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9C8F" w14:textId="3E219E03" w:rsidR="00EA354E" w:rsidRPr="00C30227" w:rsidRDefault="0071343D" w:rsidP="000A0CA1">
      <w:pPr>
        <w:pStyle w:val="Title"/>
        <w:spacing w:before="3240"/>
        <w:rPr>
          <w:sz w:val="72"/>
          <w:szCs w:val="72"/>
        </w:rPr>
      </w:pPr>
      <w:r w:rsidRPr="00C30227">
        <w:rPr>
          <w:sz w:val="72"/>
          <w:szCs w:val="72"/>
        </w:rPr>
        <w:t>Spinal Cord Stimulators</w:t>
      </w:r>
    </w:p>
    <w:p w14:paraId="4B8F09A3" w14:textId="77777777" w:rsidR="00697DE0" w:rsidRDefault="00697DE0" w:rsidP="00697DE0">
      <w:pPr>
        <w:pStyle w:val="Titlelarge"/>
      </w:pPr>
      <w:r>
        <w:t>Review of comparative clinical and cost-effectiveness to support the Prescribed List Post-Listing Review</w:t>
      </w:r>
    </w:p>
    <w:p w14:paraId="4254162B" w14:textId="3FEEBE22" w:rsidR="008A649C" w:rsidRPr="00DC6C26" w:rsidRDefault="00394789" w:rsidP="00C30227">
      <w:pPr>
        <w:pStyle w:val="Titlelarge"/>
        <w:spacing w:before="1080"/>
        <w:rPr>
          <w:sz w:val="44"/>
          <w:szCs w:val="44"/>
        </w:rPr>
      </w:pPr>
      <w:r w:rsidRPr="00DC6C26">
        <w:rPr>
          <w:sz w:val="44"/>
          <w:szCs w:val="44"/>
        </w:rPr>
        <w:t>Final Report</w:t>
      </w:r>
    </w:p>
    <w:p w14:paraId="47CE5933" w14:textId="1B9B56E4" w:rsidR="00215D29" w:rsidRPr="0040569C" w:rsidRDefault="0086384B" w:rsidP="0040569C">
      <w:pPr>
        <w:pStyle w:val="Titlesmall"/>
        <w:spacing w:before="120"/>
        <w:rPr>
          <w:b/>
          <w:sz w:val="44"/>
          <w:szCs w:val="44"/>
        </w:rPr>
        <w:sectPr w:rsidR="00215D29" w:rsidRPr="0040569C" w:rsidSect="000E0564">
          <w:footerReference w:type="default" r:id="rId11"/>
          <w:pgSz w:w="11906" w:h="16838"/>
          <w:pgMar w:top="1134" w:right="1134" w:bottom="1134" w:left="1134" w:header="720" w:footer="720" w:gutter="0"/>
          <w:cols w:space="720"/>
          <w:docGrid w:linePitch="360"/>
        </w:sectPr>
      </w:pPr>
      <w:r>
        <w:rPr>
          <w:b/>
          <w:bCs/>
          <w:sz w:val="44"/>
          <w:szCs w:val="44"/>
        </w:rPr>
        <w:t>8</w:t>
      </w:r>
      <w:r w:rsidR="004D1431" w:rsidRPr="00DC6C26">
        <w:rPr>
          <w:b/>
          <w:bCs/>
          <w:sz w:val="44"/>
          <w:szCs w:val="44"/>
        </w:rPr>
        <w:t xml:space="preserve"> September</w:t>
      </w:r>
      <w:r w:rsidR="007B31C7" w:rsidRPr="00DC6C26">
        <w:rPr>
          <w:b/>
          <w:sz w:val="44"/>
          <w:szCs w:val="44"/>
        </w:rPr>
        <w:t xml:space="preserve"> 202</w:t>
      </w:r>
      <w:r w:rsidR="00A94121">
        <w:rPr>
          <w:b/>
          <w:sz w:val="44"/>
          <w:szCs w:val="44"/>
        </w:rPr>
        <w:t>3</w:t>
      </w:r>
    </w:p>
    <w:p w14:paraId="7983A1F8" w14:textId="12DC9F76" w:rsidR="00D4004B" w:rsidRDefault="00484B5C" w:rsidP="00D4004B">
      <w:pPr>
        <w:pStyle w:val="BodyText"/>
      </w:pPr>
      <w:r>
        <w:lastRenderedPageBreak/>
        <w:t>This report was prepared by Samara Lewis, Natasha Prakash, Allison Wyndham, Jenny Ring, and Sue Campbell from Health Research Consulting (</w:t>
      </w:r>
      <w:proofErr w:type="spellStart"/>
      <w:r>
        <w:t>hereco</w:t>
      </w:r>
      <w:proofErr w:type="spellEnd"/>
      <w:r>
        <w:t xml:space="preserve">). </w:t>
      </w:r>
      <w:r w:rsidR="0055098C">
        <w:t>The report was commissioned by the Australian Government Department of Health and Aged Care.</w:t>
      </w:r>
    </w:p>
    <w:p w14:paraId="5B8E2A00" w14:textId="77777777" w:rsidR="00215D29" w:rsidRDefault="00215D29" w:rsidP="00D4004B">
      <w:pPr>
        <w:pStyle w:val="BodyText"/>
      </w:pPr>
    </w:p>
    <w:p w14:paraId="49E9B336" w14:textId="77777777" w:rsidR="004D5E17" w:rsidRPr="00A21EC3" w:rsidRDefault="004D5E17" w:rsidP="00D4004B">
      <w:pPr>
        <w:pStyle w:val="BodyText"/>
        <w:sectPr w:rsidR="004D5E17" w:rsidRPr="00A21EC3" w:rsidSect="000E0564">
          <w:pgSz w:w="11906" w:h="16838" w:code="9"/>
          <w:pgMar w:top="1134" w:right="1134" w:bottom="1134" w:left="1134" w:header="720" w:footer="720" w:gutter="0"/>
          <w:cols w:space="720"/>
          <w:vAlign w:val="bottom"/>
          <w:docGrid w:linePitch="360"/>
        </w:sectPr>
      </w:pPr>
    </w:p>
    <w:p w14:paraId="258CEBDF" w14:textId="77777777" w:rsidR="008712BE" w:rsidRPr="00A21EC3" w:rsidRDefault="008712BE">
      <w:pPr>
        <w:pStyle w:val="TOCHeading"/>
        <w:rPr>
          <w:lang w:val="en-AU"/>
        </w:rPr>
      </w:pPr>
      <w:r w:rsidRPr="00A21EC3">
        <w:rPr>
          <w:lang w:val="en-AU"/>
        </w:rPr>
        <w:lastRenderedPageBreak/>
        <w:t>Contents</w:t>
      </w:r>
    </w:p>
    <w:p w14:paraId="4A514B31" w14:textId="103E47E1" w:rsidR="00CE6ACA" w:rsidRDefault="00A331DF">
      <w:pPr>
        <w:pStyle w:val="TOC1"/>
        <w:rPr>
          <w:rFonts w:asciiTheme="minorHAnsi" w:eastAsiaTheme="minorEastAsia" w:hAnsiTheme="minorHAnsi" w:cstheme="minorBidi"/>
          <w:b w:val="0"/>
          <w:noProof/>
          <w:kern w:val="2"/>
          <w:sz w:val="24"/>
          <w:szCs w:val="24"/>
          <w:lang w:eastAsia="en-AU"/>
          <w14:ligatures w14:val="standardContextual"/>
        </w:rPr>
      </w:pPr>
      <w:r>
        <w:rPr>
          <w:bCs/>
          <w:noProof/>
        </w:rPr>
        <w:fldChar w:fldCharType="begin"/>
      </w:r>
      <w:r>
        <w:rPr>
          <w:bCs/>
          <w:noProof/>
        </w:rPr>
        <w:instrText xml:space="preserve"> TOC \o "1-3" \h \z \u \t "Heading 7,7,Heading 8,8" </w:instrText>
      </w:r>
      <w:r>
        <w:rPr>
          <w:bCs/>
          <w:noProof/>
        </w:rPr>
        <w:fldChar w:fldCharType="separate"/>
      </w:r>
      <w:hyperlink w:anchor="_Toc165634638" w:history="1">
        <w:r w:rsidR="00CE6ACA" w:rsidRPr="00733FF0">
          <w:rPr>
            <w:rStyle w:val="Hyperlink"/>
            <w:noProof/>
          </w:rPr>
          <w:t>Abbreviations</w:t>
        </w:r>
        <w:r w:rsidR="00CE6ACA">
          <w:rPr>
            <w:noProof/>
            <w:webHidden/>
          </w:rPr>
          <w:tab/>
        </w:r>
        <w:r w:rsidR="00CE6ACA">
          <w:rPr>
            <w:noProof/>
            <w:webHidden/>
          </w:rPr>
          <w:fldChar w:fldCharType="begin"/>
        </w:r>
        <w:r w:rsidR="00CE6ACA">
          <w:rPr>
            <w:noProof/>
            <w:webHidden/>
          </w:rPr>
          <w:instrText xml:space="preserve"> PAGEREF _Toc165634638 \h </w:instrText>
        </w:r>
        <w:r w:rsidR="00CE6ACA">
          <w:rPr>
            <w:noProof/>
            <w:webHidden/>
          </w:rPr>
        </w:r>
        <w:r w:rsidR="00CE6ACA">
          <w:rPr>
            <w:noProof/>
            <w:webHidden/>
          </w:rPr>
          <w:fldChar w:fldCharType="separate"/>
        </w:r>
        <w:r w:rsidR="00CE6ACA">
          <w:rPr>
            <w:noProof/>
            <w:webHidden/>
          </w:rPr>
          <w:t>5</w:t>
        </w:r>
        <w:r w:rsidR="00CE6ACA">
          <w:rPr>
            <w:noProof/>
            <w:webHidden/>
          </w:rPr>
          <w:fldChar w:fldCharType="end"/>
        </w:r>
      </w:hyperlink>
    </w:p>
    <w:p w14:paraId="2BBE7104" w14:textId="3691B59A" w:rsidR="00CE6ACA"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34639" w:history="1">
        <w:r w:rsidR="00CE6ACA" w:rsidRPr="00733FF0">
          <w:rPr>
            <w:rStyle w:val="Hyperlink"/>
            <w:noProof/>
          </w:rPr>
          <w:t>Executive Summary</w:t>
        </w:r>
        <w:r w:rsidR="00CE6ACA">
          <w:rPr>
            <w:noProof/>
            <w:webHidden/>
          </w:rPr>
          <w:tab/>
        </w:r>
        <w:r w:rsidR="00CE6ACA">
          <w:rPr>
            <w:noProof/>
            <w:webHidden/>
          </w:rPr>
          <w:fldChar w:fldCharType="begin"/>
        </w:r>
        <w:r w:rsidR="00CE6ACA">
          <w:rPr>
            <w:noProof/>
            <w:webHidden/>
          </w:rPr>
          <w:instrText xml:space="preserve"> PAGEREF _Toc165634639 \h </w:instrText>
        </w:r>
        <w:r w:rsidR="00CE6ACA">
          <w:rPr>
            <w:noProof/>
            <w:webHidden/>
          </w:rPr>
        </w:r>
        <w:r w:rsidR="00CE6ACA">
          <w:rPr>
            <w:noProof/>
            <w:webHidden/>
          </w:rPr>
          <w:fldChar w:fldCharType="separate"/>
        </w:r>
        <w:r w:rsidR="00CE6ACA">
          <w:rPr>
            <w:noProof/>
            <w:webHidden/>
          </w:rPr>
          <w:t>7</w:t>
        </w:r>
        <w:r w:rsidR="00CE6ACA">
          <w:rPr>
            <w:noProof/>
            <w:webHidden/>
          </w:rPr>
          <w:fldChar w:fldCharType="end"/>
        </w:r>
      </w:hyperlink>
    </w:p>
    <w:p w14:paraId="4402749A" w14:textId="6A17C75D"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40" w:history="1">
        <w:r w:rsidR="00CE6ACA" w:rsidRPr="00733FF0">
          <w:rPr>
            <w:rStyle w:val="Hyperlink"/>
          </w:rPr>
          <w:t>Introduction</w:t>
        </w:r>
        <w:r w:rsidR="00CE6ACA">
          <w:rPr>
            <w:webHidden/>
          </w:rPr>
          <w:tab/>
        </w:r>
        <w:r w:rsidR="00CE6ACA">
          <w:rPr>
            <w:webHidden/>
          </w:rPr>
          <w:fldChar w:fldCharType="begin"/>
        </w:r>
        <w:r w:rsidR="00CE6ACA">
          <w:rPr>
            <w:webHidden/>
          </w:rPr>
          <w:instrText xml:space="preserve"> PAGEREF _Toc165634640 \h </w:instrText>
        </w:r>
        <w:r w:rsidR="00CE6ACA">
          <w:rPr>
            <w:webHidden/>
          </w:rPr>
        </w:r>
        <w:r w:rsidR="00CE6ACA">
          <w:rPr>
            <w:webHidden/>
          </w:rPr>
          <w:fldChar w:fldCharType="separate"/>
        </w:r>
        <w:r w:rsidR="00CE6ACA">
          <w:rPr>
            <w:webHidden/>
          </w:rPr>
          <w:t>7</w:t>
        </w:r>
        <w:r w:rsidR="00CE6ACA">
          <w:rPr>
            <w:webHidden/>
          </w:rPr>
          <w:fldChar w:fldCharType="end"/>
        </w:r>
      </w:hyperlink>
    </w:p>
    <w:p w14:paraId="2D402318" w14:textId="2D1EE1E8"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41" w:history="1">
        <w:r w:rsidR="00CE6ACA" w:rsidRPr="00733FF0">
          <w:rPr>
            <w:rStyle w:val="Hyperlink"/>
          </w:rPr>
          <w:t>Summary of findings</w:t>
        </w:r>
        <w:r w:rsidR="00CE6ACA">
          <w:rPr>
            <w:webHidden/>
          </w:rPr>
          <w:tab/>
        </w:r>
        <w:r w:rsidR="00CE6ACA">
          <w:rPr>
            <w:webHidden/>
          </w:rPr>
          <w:fldChar w:fldCharType="begin"/>
        </w:r>
        <w:r w:rsidR="00CE6ACA">
          <w:rPr>
            <w:webHidden/>
          </w:rPr>
          <w:instrText xml:space="preserve"> PAGEREF _Toc165634641 \h </w:instrText>
        </w:r>
        <w:r w:rsidR="00CE6ACA">
          <w:rPr>
            <w:webHidden/>
          </w:rPr>
        </w:r>
        <w:r w:rsidR="00CE6ACA">
          <w:rPr>
            <w:webHidden/>
          </w:rPr>
          <w:fldChar w:fldCharType="separate"/>
        </w:r>
        <w:r w:rsidR="00CE6ACA">
          <w:rPr>
            <w:webHidden/>
          </w:rPr>
          <w:t>7</w:t>
        </w:r>
        <w:r w:rsidR="00CE6ACA">
          <w:rPr>
            <w:webHidden/>
          </w:rPr>
          <w:fldChar w:fldCharType="end"/>
        </w:r>
      </w:hyperlink>
    </w:p>
    <w:p w14:paraId="108F1FD2" w14:textId="31FECF1B"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42" w:history="1">
        <w:r w:rsidR="00CE6ACA" w:rsidRPr="00733FF0">
          <w:rPr>
            <w:rStyle w:val="Hyperlink"/>
          </w:rPr>
          <w:t>Considerations for MDHTAC</w:t>
        </w:r>
        <w:r w:rsidR="00CE6ACA">
          <w:rPr>
            <w:webHidden/>
          </w:rPr>
          <w:tab/>
        </w:r>
        <w:r w:rsidR="00CE6ACA">
          <w:rPr>
            <w:webHidden/>
          </w:rPr>
          <w:fldChar w:fldCharType="begin"/>
        </w:r>
        <w:r w:rsidR="00CE6ACA">
          <w:rPr>
            <w:webHidden/>
          </w:rPr>
          <w:instrText xml:space="preserve"> PAGEREF _Toc165634642 \h </w:instrText>
        </w:r>
        <w:r w:rsidR="00CE6ACA">
          <w:rPr>
            <w:webHidden/>
          </w:rPr>
        </w:r>
        <w:r w:rsidR="00CE6ACA">
          <w:rPr>
            <w:webHidden/>
          </w:rPr>
          <w:fldChar w:fldCharType="separate"/>
        </w:r>
        <w:r w:rsidR="00CE6ACA">
          <w:rPr>
            <w:webHidden/>
          </w:rPr>
          <w:t>10</w:t>
        </w:r>
        <w:r w:rsidR="00CE6ACA">
          <w:rPr>
            <w:webHidden/>
          </w:rPr>
          <w:fldChar w:fldCharType="end"/>
        </w:r>
      </w:hyperlink>
    </w:p>
    <w:p w14:paraId="5DC4756F" w14:textId="5D7F9BAE"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43" w:history="1">
        <w:r w:rsidR="00CE6ACA" w:rsidRPr="00733FF0">
          <w:rPr>
            <w:rStyle w:val="Hyperlink"/>
          </w:rPr>
          <w:t>Considerations for MSAC</w:t>
        </w:r>
        <w:r w:rsidR="00CE6ACA">
          <w:rPr>
            <w:webHidden/>
          </w:rPr>
          <w:tab/>
        </w:r>
        <w:r w:rsidR="00CE6ACA">
          <w:rPr>
            <w:webHidden/>
          </w:rPr>
          <w:fldChar w:fldCharType="begin"/>
        </w:r>
        <w:r w:rsidR="00CE6ACA">
          <w:rPr>
            <w:webHidden/>
          </w:rPr>
          <w:instrText xml:space="preserve"> PAGEREF _Toc165634643 \h </w:instrText>
        </w:r>
        <w:r w:rsidR="00CE6ACA">
          <w:rPr>
            <w:webHidden/>
          </w:rPr>
        </w:r>
        <w:r w:rsidR="00CE6ACA">
          <w:rPr>
            <w:webHidden/>
          </w:rPr>
          <w:fldChar w:fldCharType="separate"/>
        </w:r>
        <w:r w:rsidR="00CE6ACA">
          <w:rPr>
            <w:webHidden/>
          </w:rPr>
          <w:t>12</w:t>
        </w:r>
        <w:r w:rsidR="00CE6ACA">
          <w:rPr>
            <w:webHidden/>
          </w:rPr>
          <w:fldChar w:fldCharType="end"/>
        </w:r>
      </w:hyperlink>
    </w:p>
    <w:p w14:paraId="54D9FB5D" w14:textId="07E90F7A" w:rsidR="00CE6ACA"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34644" w:history="1">
        <w:r w:rsidR="00CE6ACA" w:rsidRPr="00733FF0">
          <w:rPr>
            <w:rStyle w:val="Hyperlink"/>
            <w:noProof/>
          </w:rPr>
          <w:t>1</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Background</w:t>
        </w:r>
        <w:r w:rsidR="00CE6ACA">
          <w:rPr>
            <w:noProof/>
            <w:webHidden/>
          </w:rPr>
          <w:tab/>
        </w:r>
        <w:r w:rsidR="00CE6ACA">
          <w:rPr>
            <w:noProof/>
            <w:webHidden/>
          </w:rPr>
          <w:fldChar w:fldCharType="begin"/>
        </w:r>
        <w:r w:rsidR="00CE6ACA">
          <w:rPr>
            <w:noProof/>
            <w:webHidden/>
          </w:rPr>
          <w:instrText xml:space="preserve"> PAGEREF _Toc165634644 \h </w:instrText>
        </w:r>
        <w:r w:rsidR="00CE6ACA">
          <w:rPr>
            <w:noProof/>
            <w:webHidden/>
          </w:rPr>
        </w:r>
        <w:r w:rsidR="00CE6ACA">
          <w:rPr>
            <w:noProof/>
            <w:webHidden/>
          </w:rPr>
          <w:fldChar w:fldCharType="separate"/>
        </w:r>
        <w:r w:rsidR="00CE6ACA">
          <w:rPr>
            <w:noProof/>
            <w:webHidden/>
          </w:rPr>
          <w:t>13</w:t>
        </w:r>
        <w:r w:rsidR="00CE6ACA">
          <w:rPr>
            <w:noProof/>
            <w:webHidden/>
          </w:rPr>
          <w:fldChar w:fldCharType="end"/>
        </w:r>
      </w:hyperlink>
    </w:p>
    <w:p w14:paraId="498D0909" w14:textId="3BB1BADE"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45" w:history="1">
        <w:r w:rsidR="00CE6ACA" w:rsidRPr="00733FF0">
          <w:rPr>
            <w:rStyle w:val="Hyperlink"/>
          </w:rPr>
          <w:t>1.1</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Context for the review</w:t>
        </w:r>
        <w:r w:rsidR="00CE6ACA">
          <w:rPr>
            <w:webHidden/>
          </w:rPr>
          <w:tab/>
        </w:r>
        <w:r w:rsidR="00CE6ACA">
          <w:rPr>
            <w:webHidden/>
          </w:rPr>
          <w:fldChar w:fldCharType="begin"/>
        </w:r>
        <w:r w:rsidR="00CE6ACA">
          <w:rPr>
            <w:webHidden/>
          </w:rPr>
          <w:instrText xml:space="preserve"> PAGEREF _Toc165634645 \h </w:instrText>
        </w:r>
        <w:r w:rsidR="00CE6ACA">
          <w:rPr>
            <w:webHidden/>
          </w:rPr>
        </w:r>
        <w:r w:rsidR="00CE6ACA">
          <w:rPr>
            <w:webHidden/>
          </w:rPr>
          <w:fldChar w:fldCharType="separate"/>
        </w:r>
        <w:r w:rsidR="00CE6ACA">
          <w:rPr>
            <w:webHidden/>
          </w:rPr>
          <w:t>13</w:t>
        </w:r>
        <w:r w:rsidR="00CE6ACA">
          <w:rPr>
            <w:webHidden/>
          </w:rPr>
          <w:fldChar w:fldCharType="end"/>
        </w:r>
      </w:hyperlink>
    </w:p>
    <w:p w14:paraId="42A0677A" w14:textId="7E72BE1C"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46" w:history="1">
        <w:r w:rsidR="00CE6ACA" w:rsidRPr="00733FF0">
          <w:rPr>
            <w:rStyle w:val="Hyperlink"/>
            <w:noProof/>
          </w:rPr>
          <w:t>1.1.1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Prostheses List Post-Listing Review Framework</w:t>
        </w:r>
        <w:r w:rsidR="00CE6ACA">
          <w:rPr>
            <w:noProof/>
            <w:webHidden/>
          </w:rPr>
          <w:tab/>
        </w:r>
        <w:r w:rsidR="00CE6ACA">
          <w:rPr>
            <w:noProof/>
            <w:webHidden/>
          </w:rPr>
          <w:fldChar w:fldCharType="begin"/>
        </w:r>
        <w:r w:rsidR="00CE6ACA">
          <w:rPr>
            <w:noProof/>
            <w:webHidden/>
          </w:rPr>
          <w:instrText xml:space="preserve"> PAGEREF _Toc165634646 \h </w:instrText>
        </w:r>
        <w:r w:rsidR="00CE6ACA">
          <w:rPr>
            <w:noProof/>
            <w:webHidden/>
          </w:rPr>
        </w:r>
        <w:r w:rsidR="00CE6ACA">
          <w:rPr>
            <w:noProof/>
            <w:webHidden/>
          </w:rPr>
          <w:fldChar w:fldCharType="separate"/>
        </w:r>
        <w:r w:rsidR="00CE6ACA">
          <w:rPr>
            <w:noProof/>
            <w:webHidden/>
          </w:rPr>
          <w:t>13</w:t>
        </w:r>
        <w:r w:rsidR="00CE6ACA">
          <w:rPr>
            <w:noProof/>
            <w:webHidden/>
          </w:rPr>
          <w:fldChar w:fldCharType="end"/>
        </w:r>
      </w:hyperlink>
    </w:p>
    <w:p w14:paraId="1EAE788E" w14:textId="7E7B016A"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47" w:history="1">
        <w:r w:rsidR="00CE6ACA" w:rsidRPr="00733FF0">
          <w:rPr>
            <w:rStyle w:val="Hyperlink"/>
          </w:rPr>
          <w:t>1.2</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About the spinal cord stimulators post-listing review</w:t>
        </w:r>
        <w:r w:rsidR="00CE6ACA">
          <w:rPr>
            <w:webHidden/>
          </w:rPr>
          <w:tab/>
        </w:r>
        <w:r w:rsidR="00CE6ACA">
          <w:rPr>
            <w:webHidden/>
          </w:rPr>
          <w:fldChar w:fldCharType="begin"/>
        </w:r>
        <w:r w:rsidR="00CE6ACA">
          <w:rPr>
            <w:webHidden/>
          </w:rPr>
          <w:instrText xml:space="preserve"> PAGEREF _Toc165634647 \h </w:instrText>
        </w:r>
        <w:r w:rsidR="00CE6ACA">
          <w:rPr>
            <w:webHidden/>
          </w:rPr>
        </w:r>
        <w:r w:rsidR="00CE6ACA">
          <w:rPr>
            <w:webHidden/>
          </w:rPr>
          <w:fldChar w:fldCharType="separate"/>
        </w:r>
        <w:r w:rsidR="00CE6ACA">
          <w:rPr>
            <w:webHidden/>
          </w:rPr>
          <w:t>13</w:t>
        </w:r>
        <w:r w:rsidR="00CE6ACA">
          <w:rPr>
            <w:webHidden/>
          </w:rPr>
          <w:fldChar w:fldCharType="end"/>
        </w:r>
      </w:hyperlink>
    </w:p>
    <w:p w14:paraId="2653B322" w14:textId="074F42BC"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48" w:history="1">
        <w:r w:rsidR="00CE6ACA" w:rsidRPr="00733FF0">
          <w:rPr>
            <w:rStyle w:val="Hyperlink"/>
            <w:noProof/>
          </w:rPr>
          <w:t>1.2.1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Why review spinal cord stimulators?</w:t>
        </w:r>
        <w:r w:rsidR="00CE6ACA">
          <w:rPr>
            <w:noProof/>
            <w:webHidden/>
          </w:rPr>
          <w:tab/>
        </w:r>
        <w:r w:rsidR="00CE6ACA">
          <w:rPr>
            <w:noProof/>
            <w:webHidden/>
          </w:rPr>
          <w:fldChar w:fldCharType="begin"/>
        </w:r>
        <w:r w:rsidR="00CE6ACA">
          <w:rPr>
            <w:noProof/>
            <w:webHidden/>
          </w:rPr>
          <w:instrText xml:space="preserve"> PAGEREF _Toc165634648 \h </w:instrText>
        </w:r>
        <w:r w:rsidR="00CE6ACA">
          <w:rPr>
            <w:noProof/>
            <w:webHidden/>
          </w:rPr>
        </w:r>
        <w:r w:rsidR="00CE6ACA">
          <w:rPr>
            <w:noProof/>
            <w:webHidden/>
          </w:rPr>
          <w:fldChar w:fldCharType="separate"/>
        </w:r>
        <w:r w:rsidR="00CE6ACA">
          <w:rPr>
            <w:noProof/>
            <w:webHidden/>
          </w:rPr>
          <w:t>13</w:t>
        </w:r>
        <w:r w:rsidR="00CE6ACA">
          <w:rPr>
            <w:noProof/>
            <w:webHidden/>
          </w:rPr>
          <w:fldChar w:fldCharType="end"/>
        </w:r>
      </w:hyperlink>
    </w:p>
    <w:p w14:paraId="740BE721" w14:textId="310EA4C4"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49" w:history="1">
        <w:r w:rsidR="00CE6ACA" w:rsidRPr="00733FF0">
          <w:rPr>
            <w:rStyle w:val="Hyperlink"/>
            <w:noProof/>
          </w:rPr>
          <w:t>1.2.2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Undertaking the post-listing review</w:t>
        </w:r>
        <w:r w:rsidR="00CE6ACA">
          <w:rPr>
            <w:noProof/>
            <w:webHidden/>
          </w:rPr>
          <w:tab/>
        </w:r>
        <w:r w:rsidR="00CE6ACA">
          <w:rPr>
            <w:noProof/>
            <w:webHidden/>
          </w:rPr>
          <w:fldChar w:fldCharType="begin"/>
        </w:r>
        <w:r w:rsidR="00CE6ACA">
          <w:rPr>
            <w:noProof/>
            <w:webHidden/>
          </w:rPr>
          <w:instrText xml:space="preserve"> PAGEREF _Toc165634649 \h </w:instrText>
        </w:r>
        <w:r w:rsidR="00CE6ACA">
          <w:rPr>
            <w:noProof/>
            <w:webHidden/>
          </w:rPr>
        </w:r>
        <w:r w:rsidR="00CE6ACA">
          <w:rPr>
            <w:noProof/>
            <w:webHidden/>
          </w:rPr>
          <w:fldChar w:fldCharType="separate"/>
        </w:r>
        <w:r w:rsidR="00CE6ACA">
          <w:rPr>
            <w:noProof/>
            <w:webHidden/>
          </w:rPr>
          <w:t>13</w:t>
        </w:r>
        <w:r w:rsidR="00CE6ACA">
          <w:rPr>
            <w:noProof/>
            <w:webHidden/>
          </w:rPr>
          <w:fldChar w:fldCharType="end"/>
        </w:r>
      </w:hyperlink>
    </w:p>
    <w:p w14:paraId="07AEDDA5" w14:textId="5D2EBFA5"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50" w:history="1">
        <w:r w:rsidR="00CE6ACA" w:rsidRPr="00733FF0">
          <w:rPr>
            <w:rStyle w:val="Hyperlink"/>
          </w:rPr>
          <w:t>1.3</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Spinal cord stimulators for chronic pain</w:t>
        </w:r>
        <w:r w:rsidR="00CE6ACA">
          <w:rPr>
            <w:webHidden/>
          </w:rPr>
          <w:tab/>
        </w:r>
        <w:r w:rsidR="00CE6ACA">
          <w:rPr>
            <w:webHidden/>
          </w:rPr>
          <w:fldChar w:fldCharType="begin"/>
        </w:r>
        <w:r w:rsidR="00CE6ACA">
          <w:rPr>
            <w:webHidden/>
          </w:rPr>
          <w:instrText xml:space="preserve"> PAGEREF _Toc165634650 \h </w:instrText>
        </w:r>
        <w:r w:rsidR="00CE6ACA">
          <w:rPr>
            <w:webHidden/>
          </w:rPr>
        </w:r>
        <w:r w:rsidR="00CE6ACA">
          <w:rPr>
            <w:webHidden/>
          </w:rPr>
          <w:fldChar w:fldCharType="separate"/>
        </w:r>
        <w:r w:rsidR="00CE6ACA">
          <w:rPr>
            <w:webHidden/>
          </w:rPr>
          <w:t>15</w:t>
        </w:r>
        <w:r w:rsidR="00CE6ACA">
          <w:rPr>
            <w:webHidden/>
          </w:rPr>
          <w:fldChar w:fldCharType="end"/>
        </w:r>
      </w:hyperlink>
    </w:p>
    <w:p w14:paraId="5A79B1C5" w14:textId="71B4AD5A"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51" w:history="1">
        <w:r w:rsidR="00CE6ACA" w:rsidRPr="00733FF0">
          <w:rPr>
            <w:rStyle w:val="Hyperlink"/>
            <w:noProof/>
          </w:rPr>
          <w:t>1.3.1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Description of the condition</w:t>
        </w:r>
        <w:r w:rsidR="00CE6ACA">
          <w:rPr>
            <w:noProof/>
            <w:webHidden/>
          </w:rPr>
          <w:tab/>
        </w:r>
        <w:r w:rsidR="00CE6ACA">
          <w:rPr>
            <w:noProof/>
            <w:webHidden/>
          </w:rPr>
          <w:fldChar w:fldCharType="begin"/>
        </w:r>
        <w:r w:rsidR="00CE6ACA">
          <w:rPr>
            <w:noProof/>
            <w:webHidden/>
          </w:rPr>
          <w:instrText xml:space="preserve"> PAGEREF _Toc165634651 \h </w:instrText>
        </w:r>
        <w:r w:rsidR="00CE6ACA">
          <w:rPr>
            <w:noProof/>
            <w:webHidden/>
          </w:rPr>
        </w:r>
        <w:r w:rsidR="00CE6ACA">
          <w:rPr>
            <w:noProof/>
            <w:webHidden/>
          </w:rPr>
          <w:fldChar w:fldCharType="separate"/>
        </w:r>
        <w:r w:rsidR="00CE6ACA">
          <w:rPr>
            <w:noProof/>
            <w:webHidden/>
          </w:rPr>
          <w:t>15</w:t>
        </w:r>
        <w:r w:rsidR="00CE6ACA">
          <w:rPr>
            <w:noProof/>
            <w:webHidden/>
          </w:rPr>
          <w:fldChar w:fldCharType="end"/>
        </w:r>
      </w:hyperlink>
    </w:p>
    <w:p w14:paraId="09A5C091" w14:textId="7F97E298"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52" w:history="1">
        <w:r w:rsidR="00CE6ACA" w:rsidRPr="00733FF0">
          <w:rPr>
            <w:rStyle w:val="Hyperlink"/>
            <w:noProof/>
          </w:rPr>
          <w:t>1.3.2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Description of the intervention</w:t>
        </w:r>
        <w:r w:rsidR="00CE6ACA">
          <w:rPr>
            <w:noProof/>
            <w:webHidden/>
          </w:rPr>
          <w:tab/>
        </w:r>
        <w:r w:rsidR="00CE6ACA">
          <w:rPr>
            <w:noProof/>
            <w:webHidden/>
          </w:rPr>
          <w:fldChar w:fldCharType="begin"/>
        </w:r>
        <w:r w:rsidR="00CE6ACA">
          <w:rPr>
            <w:noProof/>
            <w:webHidden/>
          </w:rPr>
          <w:instrText xml:space="preserve"> PAGEREF _Toc165634652 \h </w:instrText>
        </w:r>
        <w:r w:rsidR="00CE6ACA">
          <w:rPr>
            <w:noProof/>
            <w:webHidden/>
          </w:rPr>
        </w:r>
        <w:r w:rsidR="00CE6ACA">
          <w:rPr>
            <w:noProof/>
            <w:webHidden/>
          </w:rPr>
          <w:fldChar w:fldCharType="separate"/>
        </w:r>
        <w:r w:rsidR="00CE6ACA">
          <w:rPr>
            <w:noProof/>
            <w:webHidden/>
          </w:rPr>
          <w:t>15</w:t>
        </w:r>
        <w:r w:rsidR="00CE6ACA">
          <w:rPr>
            <w:noProof/>
            <w:webHidden/>
          </w:rPr>
          <w:fldChar w:fldCharType="end"/>
        </w:r>
      </w:hyperlink>
    </w:p>
    <w:p w14:paraId="36D920AA" w14:textId="16CF4032" w:rsidR="00CE6ACA"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34653" w:history="1">
        <w:r w:rsidR="00CE6ACA" w:rsidRPr="00733FF0">
          <w:rPr>
            <w:rStyle w:val="Hyperlink"/>
            <w:noProof/>
          </w:rPr>
          <w:t>2</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Devices within scope</w:t>
        </w:r>
        <w:r w:rsidR="00CE6ACA">
          <w:rPr>
            <w:noProof/>
            <w:webHidden/>
          </w:rPr>
          <w:tab/>
        </w:r>
        <w:r w:rsidR="00CE6ACA">
          <w:rPr>
            <w:noProof/>
            <w:webHidden/>
          </w:rPr>
          <w:fldChar w:fldCharType="begin"/>
        </w:r>
        <w:r w:rsidR="00CE6ACA">
          <w:rPr>
            <w:noProof/>
            <w:webHidden/>
          </w:rPr>
          <w:instrText xml:space="preserve"> PAGEREF _Toc165634653 \h </w:instrText>
        </w:r>
        <w:r w:rsidR="00CE6ACA">
          <w:rPr>
            <w:noProof/>
            <w:webHidden/>
          </w:rPr>
        </w:r>
        <w:r w:rsidR="00CE6ACA">
          <w:rPr>
            <w:noProof/>
            <w:webHidden/>
          </w:rPr>
          <w:fldChar w:fldCharType="separate"/>
        </w:r>
        <w:r w:rsidR="00CE6ACA">
          <w:rPr>
            <w:noProof/>
            <w:webHidden/>
          </w:rPr>
          <w:t>19</w:t>
        </w:r>
        <w:r w:rsidR="00CE6ACA">
          <w:rPr>
            <w:noProof/>
            <w:webHidden/>
          </w:rPr>
          <w:fldChar w:fldCharType="end"/>
        </w:r>
      </w:hyperlink>
    </w:p>
    <w:p w14:paraId="42C6F71E" w14:textId="298D8C1A"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54" w:history="1">
        <w:r w:rsidR="00CE6ACA" w:rsidRPr="00733FF0">
          <w:rPr>
            <w:rStyle w:val="Hyperlink"/>
          </w:rPr>
          <w:t>2.1</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Stakeholder and sponsor feedback</w:t>
        </w:r>
        <w:r w:rsidR="00CE6ACA">
          <w:rPr>
            <w:webHidden/>
          </w:rPr>
          <w:tab/>
        </w:r>
        <w:r w:rsidR="00CE6ACA">
          <w:rPr>
            <w:webHidden/>
          </w:rPr>
          <w:fldChar w:fldCharType="begin"/>
        </w:r>
        <w:r w:rsidR="00CE6ACA">
          <w:rPr>
            <w:webHidden/>
          </w:rPr>
          <w:instrText xml:space="preserve"> PAGEREF _Toc165634654 \h </w:instrText>
        </w:r>
        <w:r w:rsidR="00CE6ACA">
          <w:rPr>
            <w:webHidden/>
          </w:rPr>
        </w:r>
        <w:r w:rsidR="00CE6ACA">
          <w:rPr>
            <w:webHidden/>
          </w:rPr>
          <w:fldChar w:fldCharType="separate"/>
        </w:r>
        <w:r w:rsidR="00CE6ACA">
          <w:rPr>
            <w:webHidden/>
          </w:rPr>
          <w:t>19</w:t>
        </w:r>
        <w:r w:rsidR="00CE6ACA">
          <w:rPr>
            <w:webHidden/>
          </w:rPr>
          <w:fldChar w:fldCharType="end"/>
        </w:r>
      </w:hyperlink>
    </w:p>
    <w:p w14:paraId="6603202C" w14:textId="263AB87A"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55" w:history="1">
        <w:r w:rsidR="00CE6ACA" w:rsidRPr="00733FF0">
          <w:rPr>
            <w:rStyle w:val="Hyperlink"/>
            <w:noProof/>
          </w:rPr>
          <w:t>2.1.1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Sponsors</w:t>
        </w:r>
        <w:r w:rsidR="00CE6ACA">
          <w:rPr>
            <w:noProof/>
            <w:webHidden/>
          </w:rPr>
          <w:tab/>
        </w:r>
        <w:r w:rsidR="00CE6ACA">
          <w:rPr>
            <w:noProof/>
            <w:webHidden/>
          </w:rPr>
          <w:fldChar w:fldCharType="begin"/>
        </w:r>
        <w:r w:rsidR="00CE6ACA">
          <w:rPr>
            <w:noProof/>
            <w:webHidden/>
          </w:rPr>
          <w:instrText xml:space="preserve"> PAGEREF _Toc165634655 \h </w:instrText>
        </w:r>
        <w:r w:rsidR="00CE6ACA">
          <w:rPr>
            <w:noProof/>
            <w:webHidden/>
          </w:rPr>
        </w:r>
        <w:r w:rsidR="00CE6ACA">
          <w:rPr>
            <w:noProof/>
            <w:webHidden/>
          </w:rPr>
          <w:fldChar w:fldCharType="separate"/>
        </w:r>
        <w:r w:rsidR="00CE6ACA">
          <w:rPr>
            <w:noProof/>
            <w:webHidden/>
          </w:rPr>
          <w:t>19</w:t>
        </w:r>
        <w:r w:rsidR="00CE6ACA">
          <w:rPr>
            <w:noProof/>
            <w:webHidden/>
          </w:rPr>
          <w:fldChar w:fldCharType="end"/>
        </w:r>
      </w:hyperlink>
    </w:p>
    <w:p w14:paraId="20F635DE" w14:textId="08DF6600"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56" w:history="1">
        <w:r w:rsidR="00CE6ACA" w:rsidRPr="00733FF0">
          <w:rPr>
            <w:rStyle w:val="Hyperlink"/>
            <w:noProof/>
            <w:lang w:val="en-US"/>
          </w:rPr>
          <w:t>2.1.2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lang w:val="en-US"/>
          </w:rPr>
          <w:t>Stakeholders</w:t>
        </w:r>
        <w:r w:rsidR="00CE6ACA">
          <w:rPr>
            <w:noProof/>
            <w:webHidden/>
          </w:rPr>
          <w:tab/>
        </w:r>
        <w:r w:rsidR="00CE6ACA">
          <w:rPr>
            <w:noProof/>
            <w:webHidden/>
          </w:rPr>
          <w:fldChar w:fldCharType="begin"/>
        </w:r>
        <w:r w:rsidR="00CE6ACA">
          <w:rPr>
            <w:noProof/>
            <w:webHidden/>
          </w:rPr>
          <w:instrText xml:space="preserve"> PAGEREF _Toc165634656 \h </w:instrText>
        </w:r>
        <w:r w:rsidR="00CE6ACA">
          <w:rPr>
            <w:noProof/>
            <w:webHidden/>
          </w:rPr>
        </w:r>
        <w:r w:rsidR="00CE6ACA">
          <w:rPr>
            <w:noProof/>
            <w:webHidden/>
          </w:rPr>
          <w:fldChar w:fldCharType="separate"/>
        </w:r>
        <w:r w:rsidR="00CE6ACA">
          <w:rPr>
            <w:noProof/>
            <w:webHidden/>
          </w:rPr>
          <w:t>20</w:t>
        </w:r>
        <w:r w:rsidR="00CE6ACA">
          <w:rPr>
            <w:noProof/>
            <w:webHidden/>
          </w:rPr>
          <w:fldChar w:fldCharType="end"/>
        </w:r>
      </w:hyperlink>
    </w:p>
    <w:p w14:paraId="207D3F1F" w14:textId="1EDBCC62"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57" w:history="1">
        <w:r w:rsidR="00CE6ACA" w:rsidRPr="00733FF0">
          <w:rPr>
            <w:rStyle w:val="Hyperlink"/>
            <w:lang w:val="en-US"/>
          </w:rPr>
          <w:t>2.2</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lang w:val="en-US"/>
          </w:rPr>
          <w:t>Other considerations</w:t>
        </w:r>
        <w:r w:rsidR="00CE6ACA">
          <w:rPr>
            <w:webHidden/>
          </w:rPr>
          <w:tab/>
        </w:r>
        <w:r w:rsidR="00CE6ACA">
          <w:rPr>
            <w:webHidden/>
          </w:rPr>
          <w:fldChar w:fldCharType="begin"/>
        </w:r>
        <w:r w:rsidR="00CE6ACA">
          <w:rPr>
            <w:webHidden/>
          </w:rPr>
          <w:instrText xml:space="preserve"> PAGEREF _Toc165634657 \h </w:instrText>
        </w:r>
        <w:r w:rsidR="00CE6ACA">
          <w:rPr>
            <w:webHidden/>
          </w:rPr>
        </w:r>
        <w:r w:rsidR="00CE6ACA">
          <w:rPr>
            <w:webHidden/>
          </w:rPr>
          <w:fldChar w:fldCharType="separate"/>
        </w:r>
        <w:r w:rsidR="00CE6ACA">
          <w:rPr>
            <w:webHidden/>
          </w:rPr>
          <w:t>20</w:t>
        </w:r>
        <w:r w:rsidR="00CE6ACA">
          <w:rPr>
            <w:webHidden/>
          </w:rPr>
          <w:fldChar w:fldCharType="end"/>
        </w:r>
      </w:hyperlink>
    </w:p>
    <w:p w14:paraId="7FEB47F2" w14:textId="7067C9A4"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58" w:history="1">
        <w:r w:rsidR="00CE6ACA" w:rsidRPr="00733FF0">
          <w:rPr>
            <w:rStyle w:val="Hyperlink"/>
            <w:noProof/>
            <w:lang w:val="en-US"/>
          </w:rPr>
          <w:t>2.2.1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lang w:val="en-US"/>
          </w:rPr>
          <w:t>TGA review</w:t>
        </w:r>
        <w:r w:rsidR="00CE6ACA">
          <w:rPr>
            <w:noProof/>
            <w:webHidden/>
          </w:rPr>
          <w:tab/>
        </w:r>
        <w:r w:rsidR="00CE6ACA">
          <w:rPr>
            <w:noProof/>
            <w:webHidden/>
          </w:rPr>
          <w:fldChar w:fldCharType="begin"/>
        </w:r>
        <w:r w:rsidR="00CE6ACA">
          <w:rPr>
            <w:noProof/>
            <w:webHidden/>
          </w:rPr>
          <w:instrText xml:space="preserve"> PAGEREF _Toc165634658 \h </w:instrText>
        </w:r>
        <w:r w:rsidR="00CE6ACA">
          <w:rPr>
            <w:noProof/>
            <w:webHidden/>
          </w:rPr>
        </w:r>
        <w:r w:rsidR="00CE6ACA">
          <w:rPr>
            <w:noProof/>
            <w:webHidden/>
          </w:rPr>
          <w:fldChar w:fldCharType="separate"/>
        </w:r>
        <w:r w:rsidR="00CE6ACA">
          <w:rPr>
            <w:noProof/>
            <w:webHidden/>
          </w:rPr>
          <w:t>20</w:t>
        </w:r>
        <w:r w:rsidR="00CE6ACA">
          <w:rPr>
            <w:noProof/>
            <w:webHidden/>
          </w:rPr>
          <w:fldChar w:fldCharType="end"/>
        </w:r>
      </w:hyperlink>
    </w:p>
    <w:p w14:paraId="00341E42" w14:textId="57AE6E9A"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59" w:history="1">
        <w:r w:rsidR="00CE6ACA" w:rsidRPr="00733FF0">
          <w:rPr>
            <w:rStyle w:val="Hyperlink"/>
            <w:noProof/>
            <w:lang w:val="en-US"/>
          </w:rPr>
          <w:t>2.2.2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lang w:val="en-US"/>
          </w:rPr>
          <w:t>MBS items and utilisation of spinal cord stimulators</w:t>
        </w:r>
        <w:r w:rsidR="00CE6ACA">
          <w:rPr>
            <w:noProof/>
            <w:webHidden/>
          </w:rPr>
          <w:tab/>
        </w:r>
        <w:r w:rsidR="00CE6ACA">
          <w:rPr>
            <w:noProof/>
            <w:webHidden/>
          </w:rPr>
          <w:fldChar w:fldCharType="begin"/>
        </w:r>
        <w:r w:rsidR="00CE6ACA">
          <w:rPr>
            <w:noProof/>
            <w:webHidden/>
          </w:rPr>
          <w:instrText xml:space="preserve"> PAGEREF _Toc165634659 \h </w:instrText>
        </w:r>
        <w:r w:rsidR="00CE6ACA">
          <w:rPr>
            <w:noProof/>
            <w:webHidden/>
          </w:rPr>
        </w:r>
        <w:r w:rsidR="00CE6ACA">
          <w:rPr>
            <w:noProof/>
            <w:webHidden/>
          </w:rPr>
          <w:fldChar w:fldCharType="separate"/>
        </w:r>
        <w:r w:rsidR="00CE6ACA">
          <w:rPr>
            <w:noProof/>
            <w:webHidden/>
          </w:rPr>
          <w:t>20</w:t>
        </w:r>
        <w:r w:rsidR="00CE6ACA">
          <w:rPr>
            <w:noProof/>
            <w:webHidden/>
          </w:rPr>
          <w:fldChar w:fldCharType="end"/>
        </w:r>
      </w:hyperlink>
    </w:p>
    <w:p w14:paraId="6A796985" w14:textId="2FC09529"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60" w:history="1">
        <w:r w:rsidR="00CE6ACA" w:rsidRPr="00733FF0">
          <w:rPr>
            <w:rStyle w:val="Hyperlink"/>
            <w:lang w:val="en-US"/>
          </w:rPr>
          <w:t>2.3</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lang w:val="en-US"/>
          </w:rPr>
          <w:t>Analysis</w:t>
        </w:r>
        <w:r w:rsidR="00CE6ACA">
          <w:rPr>
            <w:webHidden/>
          </w:rPr>
          <w:tab/>
        </w:r>
        <w:r w:rsidR="00CE6ACA">
          <w:rPr>
            <w:webHidden/>
          </w:rPr>
          <w:fldChar w:fldCharType="begin"/>
        </w:r>
        <w:r w:rsidR="00CE6ACA">
          <w:rPr>
            <w:webHidden/>
          </w:rPr>
          <w:instrText xml:space="preserve"> PAGEREF _Toc165634660 \h </w:instrText>
        </w:r>
        <w:r w:rsidR="00CE6ACA">
          <w:rPr>
            <w:webHidden/>
          </w:rPr>
        </w:r>
        <w:r w:rsidR="00CE6ACA">
          <w:rPr>
            <w:webHidden/>
          </w:rPr>
          <w:fldChar w:fldCharType="separate"/>
        </w:r>
        <w:r w:rsidR="00CE6ACA">
          <w:rPr>
            <w:webHidden/>
          </w:rPr>
          <w:t>22</w:t>
        </w:r>
        <w:r w:rsidR="00CE6ACA">
          <w:rPr>
            <w:webHidden/>
          </w:rPr>
          <w:fldChar w:fldCharType="end"/>
        </w:r>
      </w:hyperlink>
    </w:p>
    <w:p w14:paraId="4ED1FF37" w14:textId="5B2384AB"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61" w:history="1">
        <w:r w:rsidR="00CE6ACA" w:rsidRPr="00733FF0">
          <w:rPr>
            <w:rStyle w:val="Hyperlink"/>
            <w:lang w:val="en-US"/>
          </w:rPr>
          <w:t>2.4</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lang w:val="en-US"/>
          </w:rPr>
          <w:t>Conclusions/Summary</w:t>
        </w:r>
        <w:r w:rsidR="00CE6ACA">
          <w:rPr>
            <w:webHidden/>
          </w:rPr>
          <w:tab/>
        </w:r>
        <w:r w:rsidR="00CE6ACA">
          <w:rPr>
            <w:webHidden/>
          </w:rPr>
          <w:fldChar w:fldCharType="begin"/>
        </w:r>
        <w:r w:rsidR="00CE6ACA">
          <w:rPr>
            <w:webHidden/>
          </w:rPr>
          <w:instrText xml:space="preserve"> PAGEREF _Toc165634661 \h </w:instrText>
        </w:r>
        <w:r w:rsidR="00CE6ACA">
          <w:rPr>
            <w:webHidden/>
          </w:rPr>
        </w:r>
        <w:r w:rsidR="00CE6ACA">
          <w:rPr>
            <w:webHidden/>
          </w:rPr>
          <w:fldChar w:fldCharType="separate"/>
        </w:r>
        <w:r w:rsidR="00CE6ACA">
          <w:rPr>
            <w:webHidden/>
          </w:rPr>
          <w:t>23</w:t>
        </w:r>
        <w:r w:rsidR="00CE6ACA">
          <w:rPr>
            <w:webHidden/>
          </w:rPr>
          <w:fldChar w:fldCharType="end"/>
        </w:r>
      </w:hyperlink>
    </w:p>
    <w:p w14:paraId="6938B86B" w14:textId="0B1C71FD" w:rsidR="00CE6ACA"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34662" w:history="1">
        <w:r w:rsidR="00CE6ACA" w:rsidRPr="00733FF0">
          <w:rPr>
            <w:rStyle w:val="Hyperlink"/>
            <w:noProof/>
          </w:rPr>
          <w:t>3</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Comparative clinical effectiveness</w:t>
        </w:r>
        <w:r w:rsidR="00CE6ACA">
          <w:rPr>
            <w:noProof/>
            <w:webHidden/>
          </w:rPr>
          <w:tab/>
        </w:r>
        <w:r w:rsidR="00CE6ACA">
          <w:rPr>
            <w:noProof/>
            <w:webHidden/>
          </w:rPr>
          <w:fldChar w:fldCharType="begin"/>
        </w:r>
        <w:r w:rsidR="00CE6ACA">
          <w:rPr>
            <w:noProof/>
            <w:webHidden/>
          </w:rPr>
          <w:instrText xml:space="preserve"> PAGEREF _Toc165634662 \h </w:instrText>
        </w:r>
        <w:r w:rsidR="00CE6ACA">
          <w:rPr>
            <w:noProof/>
            <w:webHidden/>
          </w:rPr>
        </w:r>
        <w:r w:rsidR="00CE6ACA">
          <w:rPr>
            <w:noProof/>
            <w:webHidden/>
          </w:rPr>
          <w:fldChar w:fldCharType="separate"/>
        </w:r>
        <w:r w:rsidR="00CE6ACA">
          <w:rPr>
            <w:noProof/>
            <w:webHidden/>
          </w:rPr>
          <w:t>24</w:t>
        </w:r>
        <w:r w:rsidR="00CE6ACA">
          <w:rPr>
            <w:noProof/>
            <w:webHidden/>
          </w:rPr>
          <w:fldChar w:fldCharType="end"/>
        </w:r>
      </w:hyperlink>
    </w:p>
    <w:p w14:paraId="4007E01A" w14:textId="12DFACBD"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63" w:history="1">
        <w:r w:rsidR="00CE6ACA" w:rsidRPr="00733FF0">
          <w:rPr>
            <w:rStyle w:val="Hyperlink"/>
          </w:rPr>
          <w:t>3.1</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Methodology</w:t>
        </w:r>
        <w:r w:rsidR="00CE6ACA">
          <w:rPr>
            <w:webHidden/>
          </w:rPr>
          <w:tab/>
        </w:r>
        <w:r w:rsidR="00CE6ACA">
          <w:rPr>
            <w:webHidden/>
          </w:rPr>
          <w:fldChar w:fldCharType="begin"/>
        </w:r>
        <w:r w:rsidR="00CE6ACA">
          <w:rPr>
            <w:webHidden/>
          </w:rPr>
          <w:instrText xml:space="preserve"> PAGEREF _Toc165634663 \h </w:instrText>
        </w:r>
        <w:r w:rsidR="00CE6ACA">
          <w:rPr>
            <w:webHidden/>
          </w:rPr>
        </w:r>
        <w:r w:rsidR="00CE6ACA">
          <w:rPr>
            <w:webHidden/>
          </w:rPr>
          <w:fldChar w:fldCharType="separate"/>
        </w:r>
        <w:r w:rsidR="00CE6ACA">
          <w:rPr>
            <w:webHidden/>
          </w:rPr>
          <w:t>24</w:t>
        </w:r>
        <w:r w:rsidR="00CE6ACA">
          <w:rPr>
            <w:webHidden/>
          </w:rPr>
          <w:fldChar w:fldCharType="end"/>
        </w:r>
      </w:hyperlink>
    </w:p>
    <w:p w14:paraId="092D0942" w14:textId="3000F1EF"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64" w:history="1">
        <w:r w:rsidR="00CE6ACA" w:rsidRPr="00733FF0">
          <w:rPr>
            <w:rStyle w:val="Hyperlink"/>
            <w:noProof/>
          </w:rPr>
          <w:t>3.1.1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Targeted evidence scan</w:t>
        </w:r>
        <w:r w:rsidR="00CE6ACA">
          <w:rPr>
            <w:noProof/>
            <w:webHidden/>
          </w:rPr>
          <w:tab/>
        </w:r>
        <w:r w:rsidR="00CE6ACA">
          <w:rPr>
            <w:noProof/>
            <w:webHidden/>
          </w:rPr>
          <w:fldChar w:fldCharType="begin"/>
        </w:r>
        <w:r w:rsidR="00CE6ACA">
          <w:rPr>
            <w:noProof/>
            <w:webHidden/>
          </w:rPr>
          <w:instrText xml:space="preserve"> PAGEREF _Toc165634664 \h </w:instrText>
        </w:r>
        <w:r w:rsidR="00CE6ACA">
          <w:rPr>
            <w:noProof/>
            <w:webHidden/>
          </w:rPr>
        </w:r>
        <w:r w:rsidR="00CE6ACA">
          <w:rPr>
            <w:noProof/>
            <w:webHidden/>
          </w:rPr>
          <w:fldChar w:fldCharType="separate"/>
        </w:r>
        <w:r w:rsidR="00CE6ACA">
          <w:rPr>
            <w:noProof/>
            <w:webHidden/>
          </w:rPr>
          <w:t>24</w:t>
        </w:r>
        <w:r w:rsidR="00CE6ACA">
          <w:rPr>
            <w:noProof/>
            <w:webHidden/>
          </w:rPr>
          <w:fldChar w:fldCharType="end"/>
        </w:r>
      </w:hyperlink>
    </w:p>
    <w:p w14:paraId="1FC8EB37" w14:textId="4E6B8931"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65" w:history="1">
        <w:r w:rsidR="00CE6ACA" w:rsidRPr="00733FF0">
          <w:rPr>
            <w:rStyle w:val="Hyperlink"/>
            <w:noProof/>
          </w:rPr>
          <w:t>3.1.2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Studies from stakeholder submissions</w:t>
        </w:r>
        <w:r w:rsidR="00CE6ACA">
          <w:rPr>
            <w:noProof/>
            <w:webHidden/>
          </w:rPr>
          <w:tab/>
        </w:r>
        <w:r w:rsidR="00CE6ACA">
          <w:rPr>
            <w:noProof/>
            <w:webHidden/>
          </w:rPr>
          <w:fldChar w:fldCharType="begin"/>
        </w:r>
        <w:r w:rsidR="00CE6ACA">
          <w:rPr>
            <w:noProof/>
            <w:webHidden/>
          </w:rPr>
          <w:instrText xml:space="preserve"> PAGEREF _Toc165634665 \h </w:instrText>
        </w:r>
        <w:r w:rsidR="00CE6ACA">
          <w:rPr>
            <w:noProof/>
            <w:webHidden/>
          </w:rPr>
        </w:r>
        <w:r w:rsidR="00CE6ACA">
          <w:rPr>
            <w:noProof/>
            <w:webHidden/>
          </w:rPr>
          <w:fldChar w:fldCharType="separate"/>
        </w:r>
        <w:r w:rsidR="00CE6ACA">
          <w:rPr>
            <w:noProof/>
            <w:webHidden/>
          </w:rPr>
          <w:t>24</w:t>
        </w:r>
        <w:r w:rsidR="00CE6ACA">
          <w:rPr>
            <w:noProof/>
            <w:webHidden/>
          </w:rPr>
          <w:fldChar w:fldCharType="end"/>
        </w:r>
      </w:hyperlink>
    </w:p>
    <w:p w14:paraId="79F46655" w14:textId="253ECFCF"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66" w:history="1">
        <w:r w:rsidR="00CE6ACA" w:rsidRPr="00733FF0">
          <w:rPr>
            <w:rStyle w:val="Hyperlink"/>
            <w:noProof/>
          </w:rPr>
          <w:t>3.1.3</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Methodological considerations for undertaking research in SCS</w:t>
        </w:r>
        <w:r w:rsidR="00CE6ACA">
          <w:rPr>
            <w:noProof/>
            <w:webHidden/>
          </w:rPr>
          <w:tab/>
        </w:r>
        <w:r w:rsidR="00CE6ACA">
          <w:rPr>
            <w:noProof/>
            <w:webHidden/>
          </w:rPr>
          <w:fldChar w:fldCharType="begin"/>
        </w:r>
        <w:r w:rsidR="00CE6ACA">
          <w:rPr>
            <w:noProof/>
            <w:webHidden/>
          </w:rPr>
          <w:instrText xml:space="preserve"> PAGEREF _Toc165634666 \h </w:instrText>
        </w:r>
        <w:r w:rsidR="00CE6ACA">
          <w:rPr>
            <w:noProof/>
            <w:webHidden/>
          </w:rPr>
        </w:r>
        <w:r w:rsidR="00CE6ACA">
          <w:rPr>
            <w:noProof/>
            <w:webHidden/>
          </w:rPr>
          <w:fldChar w:fldCharType="separate"/>
        </w:r>
        <w:r w:rsidR="00CE6ACA">
          <w:rPr>
            <w:noProof/>
            <w:webHidden/>
          </w:rPr>
          <w:t>24</w:t>
        </w:r>
        <w:r w:rsidR="00CE6ACA">
          <w:rPr>
            <w:noProof/>
            <w:webHidden/>
          </w:rPr>
          <w:fldChar w:fldCharType="end"/>
        </w:r>
      </w:hyperlink>
    </w:p>
    <w:p w14:paraId="3006C46A" w14:textId="0CA46CB0"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67" w:history="1">
        <w:r w:rsidR="00CE6ACA" w:rsidRPr="00733FF0">
          <w:rPr>
            <w:rStyle w:val="Hyperlink"/>
          </w:rPr>
          <w:t>3.2</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Summary of the evidence</w:t>
        </w:r>
        <w:r w:rsidR="00CE6ACA">
          <w:rPr>
            <w:webHidden/>
          </w:rPr>
          <w:tab/>
        </w:r>
        <w:r w:rsidR="00CE6ACA">
          <w:rPr>
            <w:webHidden/>
          </w:rPr>
          <w:fldChar w:fldCharType="begin"/>
        </w:r>
        <w:r w:rsidR="00CE6ACA">
          <w:rPr>
            <w:webHidden/>
          </w:rPr>
          <w:instrText xml:space="preserve"> PAGEREF _Toc165634667 \h </w:instrText>
        </w:r>
        <w:r w:rsidR="00CE6ACA">
          <w:rPr>
            <w:webHidden/>
          </w:rPr>
        </w:r>
        <w:r w:rsidR="00CE6ACA">
          <w:rPr>
            <w:webHidden/>
          </w:rPr>
          <w:fldChar w:fldCharType="separate"/>
        </w:r>
        <w:r w:rsidR="00CE6ACA">
          <w:rPr>
            <w:webHidden/>
          </w:rPr>
          <w:t>25</w:t>
        </w:r>
        <w:r w:rsidR="00CE6ACA">
          <w:rPr>
            <w:webHidden/>
          </w:rPr>
          <w:fldChar w:fldCharType="end"/>
        </w:r>
      </w:hyperlink>
    </w:p>
    <w:p w14:paraId="0EA9E1F7" w14:textId="115766C7"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68" w:history="1">
        <w:r w:rsidR="00CE6ACA" w:rsidRPr="00733FF0">
          <w:rPr>
            <w:rStyle w:val="Hyperlink"/>
            <w:noProof/>
          </w:rPr>
          <w:t>3.2.1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Included Cochrane review (Traeger 2023)</w:t>
        </w:r>
        <w:r w:rsidR="00CE6ACA">
          <w:rPr>
            <w:noProof/>
            <w:webHidden/>
          </w:rPr>
          <w:tab/>
        </w:r>
        <w:r w:rsidR="00CE6ACA">
          <w:rPr>
            <w:noProof/>
            <w:webHidden/>
          </w:rPr>
          <w:fldChar w:fldCharType="begin"/>
        </w:r>
        <w:r w:rsidR="00CE6ACA">
          <w:rPr>
            <w:noProof/>
            <w:webHidden/>
          </w:rPr>
          <w:instrText xml:space="preserve"> PAGEREF _Toc165634668 \h </w:instrText>
        </w:r>
        <w:r w:rsidR="00CE6ACA">
          <w:rPr>
            <w:noProof/>
            <w:webHidden/>
          </w:rPr>
        </w:r>
        <w:r w:rsidR="00CE6ACA">
          <w:rPr>
            <w:noProof/>
            <w:webHidden/>
          </w:rPr>
          <w:fldChar w:fldCharType="separate"/>
        </w:r>
        <w:r w:rsidR="00CE6ACA">
          <w:rPr>
            <w:noProof/>
            <w:webHidden/>
          </w:rPr>
          <w:t>25</w:t>
        </w:r>
        <w:r w:rsidR="00CE6ACA">
          <w:rPr>
            <w:noProof/>
            <w:webHidden/>
          </w:rPr>
          <w:fldChar w:fldCharType="end"/>
        </w:r>
      </w:hyperlink>
    </w:p>
    <w:p w14:paraId="264E70D6" w14:textId="17D81ADC"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69" w:history="1">
        <w:r w:rsidR="00CE6ACA" w:rsidRPr="00733FF0">
          <w:rPr>
            <w:rStyle w:val="Hyperlink"/>
            <w:noProof/>
          </w:rPr>
          <w:t>3.2.2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Included Cochrane review (O’Connell 2021)</w:t>
        </w:r>
        <w:r w:rsidR="00CE6ACA">
          <w:rPr>
            <w:noProof/>
            <w:webHidden/>
          </w:rPr>
          <w:tab/>
        </w:r>
        <w:r w:rsidR="00CE6ACA">
          <w:rPr>
            <w:noProof/>
            <w:webHidden/>
          </w:rPr>
          <w:fldChar w:fldCharType="begin"/>
        </w:r>
        <w:r w:rsidR="00CE6ACA">
          <w:rPr>
            <w:noProof/>
            <w:webHidden/>
          </w:rPr>
          <w:instrText xml:space="preserve"> PAGEREF _Toc165634669 \h </w:instrText>
        </w:r>
        <w:r w:rsidR="00CE6ACA">
          <w:rPr>
            <w:noProof/>
            <w:webHidden/>
          </w:rPr>
        </w:r>
        <w:r w:rsidR="00CE6ACA">
          <w:rPr>
            <w:noProof/>
            <w:webHidden/>
          </w:rPr>
          <w:fldChar w:fldCharType="separate"/>
        </w:r>
        <w:r w:rsidR="00CE6ACA">
          <w:rPr>
            <w:noProof/>
            <w:webHidden/>
          </w:rPr>
          <w:t>29</w:t>
        </w:r>
        <w:r w:rsidR="00CE6ACA">
          <w:rPr>
            <w:noProof/>
            <w:webHidden/>
          </w:rPr>
          <w:fldChar w:fldCharType="end"/>
        </w:r>
      </w:hyperlink>
    </w:p>
    <w:p w14:paraId="2A4B8CBF" w14:textId="4958D77B"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70" w:history="1">
        <w:r w:rsidR="00CE6ACA" w:rsidRPr="00733FF0">
          <w:rPr>
            <w:rStyle w:val="Hyperlink"/>
            <w:noProof/>
          </w:rPr>
          <w:t>3.2.3</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Included systematic review on ischaemic pain (NICE 2008)</w:t>
        </w:r>
        <w:r w:rsidR="00CE6ACA">
          <w:rPr>
            <w:noProof/>
            <w:webHidden/>
          </w:rPr>
          <w:tab/>
        </w:r>
        <w:r w:rsidR="00CE6ACA">
          <w:rPr>
            <w:noProof/>
            <w:webHidden/>
          </w:rPr>
          <w:fldChar w:fldCharType="begin"/>
        </w:r>
        <w:r w:rsidR="00CE6ACA">
          <w:rPr>
            <w:noProof/>
            <w:webHidden/>
          </w:rPr>
          <w:instrText xml:space="preserve"> PAGEREF _Toc165634670 \h </w:instrText>
        </w:r>
        <w:r w:rsidR="00CE6ACA">
          <w:rPr>
            <w:noProof/>
            <w:webHidden/>
          </w:rPr>
        </w:r>
        <w:r w:rsidR="00CE6ACA">
          <w:rPr>
            <w:noProof/>
            <w:webHidden/>
          </w:rPr>
          <w:fldChar w:fldCharType="separate"/>
        </w:r>
        <w:r w:rsidR="00CE6ACA">
          <w:rPr>
            <w:noProof/>
            <w:webHidden/>
          </w:rPr>
          <w:t>33</w:t>
        </w:r>
        <w:r w:rsidR="00CE6ACA">
          <w:rPr>
            <w:noProof/>
            <w:webHidden/>
          </w:rPr>
          <w:fldChar w:fldCharType="end"/>
        </w:r>
      </w:hyperlink>
    </w:p>
    <w:p w14:paraId="2F634E69" w14:textId="0920138F"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71" w:history="1">
        <w:r w:rsidR="00CE6ACA" w:rsidRPr="00733FF0">
          <w:rPr>
            <w:rStyle w:val="Hyperlink"/>
            <w:noProof/>
          </w:rPr>
          <w:t>3.2.4</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Additional RCT evidence</w:t>
        </w:r>
        <w:r w:rsidR="00CE6ACA">
          <w:rPr>
            <w:noProof/>
            <w:webHidden/>
          </w:rPr>
          <w:tab/>
        </w:r>
        <w:r w:rsidR="00CE6ACA">
          <w:rPr>
            <w:noProof/>
            <w:webHidden/>
          </w:rPr>
          <w:fldChar w:fldCharType="begin"/>
        </w:r>
        <w:r w:rsidR="00CE6ACA">
          <w:rPr>
            <w:noProof/>
            <w:webHidden/>
          </w:rPr>
          <w:instrText xml:space="preserve"> PAGEREF _Toc165634671 \h </w:instrText>
        </w:r>
        <w:r w:rsidR="00CE6ACA">
          <w:rPr>
            <w:noProof/>
            <w:webHidden/>
          </w:rPr>
        </w:r>
        <w:r w:rsidR="00CE6ACA">
          <w:rPr>
            <w:noProof/>
            <w:webHidden/>
          </w:rPr>
          <w:fldChar w:fldCharType="separate"/>
        </w:r>
        <w:r w:rsidR="00CE6ACA">
          <w:rPr>
            <w:noProof/>
            <w:webHidden/>
          </w:rPr>
          <w:t>34</w:t>
        </w:r>
        <w:r w:rsidR="00CE6ACA">
          <w:rPr>
            <w:noProof/>
            <w:webHidden/>
          </w:rPr>
          <w:fldChar w:fldCharType="end"/>
        </w:r>
      </w:hyperlink>
    </w:p>
    <w:p w14:paraId="0FC3CF84" w14:textId="3D852BA0"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72" w:history="1">
        <w:r w:rsidR="00CE6ACA" w:rsidRPr="00733FF0">
          <w:rPr>
            <w:rStyle w:val="Hyperlink"/>
            <w:noProof/>
          </w:rPr>
          <w:t>3.2.5</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Additional non-randomised comparative evidence</w:t>
        </w:r>
        <w:r w:rsidR="00CE6ACA">
          <w:rPr>
            <w:noProof/>
            <w:webHidden/>
          </w:rPr>
          <w:tab/>
        </w:r>
        <w:r w:rsidR="00CE6ACA">
          <w:rPr>
            <w:noProof/>
            <w:webHidden/>
          </w:rPr>
          <w:fldChar w:fldCharType="begin"/>
        </w:r>
        <w:r w:rsidR="00CE6ACA">
          <w:rPr>
            <w:noProof/>
            <w:webHidden/>
          </w:rPr>
          <w:instrText xml:space="preserve"> PAGEREF _Toc165634672 \h </w:instrText>
        </w:r>
        <w:r w:rsidR="00CE6ACA">
          <w:rPr>
            <w:noProof/>
            <w:webHidden/>
          </w:rPr>
        </w:r>
        <w:r w:rsidR="00CE6ACA">
          <w:rPr>
            <w:noProof/>
            <w:webHidden/>
          </w:rPr>
          <w:fldChar w:fldCharType="separate"/>
        </w:r>
        <w:r w:rsidR="00CE6ACA">
          <w:rPr>
            <w:noProof/>
            <w:webHidden/>
          </w:rPr>
          <w:t>41</w:t>
        </w:r>
        <w:r w:rsidR="00CE6ACA">
          <w:rPr>
            <w:noProof/>
            <w:webHidden/>
          </w:rPr>
          <w:fldChar w:fldCharType="end"/>
        </w:r>
      </w:hyperlink>
    </w:p>
    <w:p w14:paraId="65FCA55C" w14:textId="77027F9D"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73" w:history="1">
        <w:r w:rsidR="00CE6ACA" w:rsidRPr="00733FF0">
          <w:rPr>
            <w:rStyle w:val="Hyperlink"/>
            <w:noProof/>
          </w:rPr>
          <w:t>3.2.6</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Non-comparative evidence</w:t>
        </w:r>
        <w:r w:rsidR="00CE6ACA">
          <w:rPr>
            <w:noProof/>
            <w:webHidden/>
          </w:rPr>
          <w:tab/>
        </w:r>
        <w:r w:rsidR="00CE6ACA">
          <w:rPr>
            <w:noProof/>
            <w:webHidden/>
          </w:rPr>
          <w:fldChar w:fldCharType="begin"/>
        </w:r>
        <w:r w:rsidR="00CE6ACA">
          <w:rPr>
            <w:noProof/>
            <w:webHidden/>
          </w:rPr>
          <w:instrText xml:space="preserve"> PAGEREF _Toc165634673 \h </w:instrText>
        </w:r>
        <w:r w:rsidR="00CE6ACA">
          <w:rPr>
            <w:noProof/>
            <w:webHidden/>
          </w:rPr>
        </w:r>
        <w:r w:rsidR="00CE6ACA">
          <w:rPr>
            <w:noProof/>
            <w:webHidden/>
          </w:rPr>
          <w:fldChar w:fldCharType="separate"/>
        </w:r>
        <w:r w:rsidR="00CE6ACA">
          <w:rPr>
            <w:noProof/>
            <w:webHidden/>
          </w:rPr>
          <w:t>43</w:t>
        </w:r>
        <w:r w:rsidR="00CE6ACA">
          <w:rPr>
            <w:noProof/>
            <w:webHidden/>
          </w:rPr>
          <w:fldChar w:fldCharType="end"/>
        </w:r>
      </w:hyperlink>
    </w:p>
    <w:p w14:paraId="2860B348" w14:textId="53CC8DC7" w:rsidR="00CE6ACA"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34674" w:history="1">
        <w:r w:rsidR="00CE6ACA" w:rsidRPr="00733FF0">
          <w:rPr>
            <w:rStyle w:val="Hyperlink"/>
            <w:noProof/>
          </w:rPr>
          <w:t>4</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Comparative cost-effectiveness</w:t>
        </w:r>
        <w:r w:rsidR="00CE6ACA">
          <w:rPr>
            <w:noProof/>
            <w:webHidden/>
          </w:rPr>
          <w:tab/>
        </w:r>
        <w:r w:rsidR="00CE6ACA">
          <w:rPr>
            <w:noProof/>
            <w:webHidden/>
          </w:rPr>
          <w:fldChar w:fldCharType="begin"/>
        </w:r>
        <w:r w:rsidR="00CE6ACA">
          <w:rPr>
            <w:noProof/>
            <w:webHidden/>
          </w:rPr>
          <w:instrText xml:space="preserve"> PAGEREF _Toc165634674 \h </w:instrText>
        </w:r>
        <w:r w:rsidR="00CE6ACA">
          <w:rPr>
            <w:noProof/>
            <w:webHidden/>
          </w:rPr>
        </w:r>
        <w:r w:rsidR="00CE6ACA">
          <w:rPr>
            <w:noProof/>
            <w:webHidden/>
          </w:rPr>
          <w:fldChar w:fldCharType="separate"/>
        </w:r>
        <w:r w:rsidR="00CE6ACA">
          <w:rPr>
            <w:noProof/>
            <w:webHidden/>
          </w:rPr>
          <w:t>44</w:t>
        </w:r>
        <w:r w:rsidR="00CE6ACA">
          <w:rPr>
            <w:noProof/>
            <w:webHidden/>
          </w:rPr>
          <w:fldChar w:fldCharType="end"/>
        </w:r>
      </w:hyperlink>
    </w:p>
    <w:p w14:paraId="20CAAA79" w14:textId="76D55B60"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75" w:history="1">
        <w:r w:rsidR="00CE6ACA" w:rsidRPr="00733FF0">
          <w:rPr>
            <w:rStyle w:val="Hyperlink"/>
          </w:rPr>
          <w:t>4.1</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Methodology</w:t>
        </w:r>
        <w:r w:rsidR="00CE6ACA">
          <w:rPr>
            <w:webHidden/>
          </w:rPr>
          <w:tab/>
        </w:r>
        <w:r w:rsidR="00CE6ACA">
          <w:rPr>
            <w:webHidden/>
          </w:rPr>
          <w:fldChar w:fldCharType="begin"/>
        </w:r>
        <w:r w:rsidR="00CE6ACA">
          <w:rPr>
            <w:webHidden/>
          </w:rPr>
          <w:instrText xml:space="preserve"> PAGEREF _Toc165634675 \h </w:instrText>
        </w:r>
        <w:r w:rsidR="00CE6ACA">
          <w:rPr>
            <w:webHidden/>
          </w:rPr>
        </w:r>
        <w:r w:rsidR="00CE6ACA">
          <w:rPr>
            <w:webHidden/>
          </w:rPr>
          <w:fldChar w:fldCharType="separate"/>
        </w:r>
        <w:r w:rsidR="00CE6ACA">
          <w:rPr>
            <w:webHidden/>
          </w:rPr>
          <w:t>44</w:t>
        </w:r>
        <w:r w:rsidR="00CE6ACA">
          <w:rPr>
            <w:webHidden/>
          </w:rPr>
          <w:fldChar w:fldCharType="end"/>
        </w:r>
      </w:hyperlink>
    </w:p>
    <w:p w14:paraId="19FAAB37" w14:textId="2C588DAD"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76" w:history="1">
        <w:r w:rsidR="00CE6ACA" w:rsidRPr="00733FF0">
          <w:rPr>
            <w:rStyle w:val="Hyperlink"/>
          </w:rPr>
          <w:t>4.2</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Summary of the evidence</w:t>
        </w:r>
        <w:r w:rsidR="00CE6ACA">
          <w:rPr>
            <w:webHidden/>
          </w:rPr>
          <w:tab/>
        </w:r>
        <w:r w:rsidR="00CE6ACA">
          <w:rPr>
            <w:webHidden/>
          </w:rPr>
          <w:fldChar w:fldCharType="begin"/>
        </w:r>
        <w:r w:rsidR="00CE6ACA">
          <w:rPr>
            <w:webHidden/>
          </w:rPr>
          <w:instrText xml:space="preserve"> PAGEREF _Toc165634676 \h </w:instrText>
        </w:r>
        <w:r w:rsidR="00CE6ACA">
          <w:rPr>
            <w:webHidden/>
          </w:rPr>
        </w:r>
        <w:r w:rsidR="00CE6ACA">
          <w:rPr>
            <w:webHidden/>
          </w:rPr>
          <w:fldChar w:fldCharType="separate"/>
        </w:r>
        <w:r w:rsidR="00CE6ACA">
          <w:rPr>
            <w:webHidden/>
          </w:rPr>
          <w:t>44</w:t>
        </w:r>
        <w:r w:rsidR="00CE6ACA">
          <w:rPr>
            <w:webHidden/>
          </w:rPr>
          <w:fldChar w:fldCharType="end"/>
        </w:r>
      </w:hyperlink>
    </w:p>
    <w:p w14:paraId="40872CDB" w14:textId="7BDD5FE7"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77" w:history="1">
        <w:r w:rsidR="00CE6ACA" w:rsidRPr="00733FF0">
          <w:rPr>
            <w:rStyle w:val="Hyperlink"/>
            <w:noProof/>
          </w:rPr>
          <w:t>4.2.1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Cost-effectiveness studies from other countries</w:t>
        </w:r>
        <w:r w:rsidR="00CE6ACA">
          <w:rPr>
            <w:noProof/>
            <w:webHidden/>
          </w:rPr>
          <w:tab/>
        </w:r>
        <w:r w:rsidR="00CE6ACA">
          <w:rPr>
            <w:noProof/>
            <w:webHidden/>
          </w:rPr>
          <w:fldChar w:fldCharType="begin"/>
        </w:r>
        <w:r w:rsidR="00CE6ACA">
          <w:rPr>
            <w:noProof/>
            <w:webHidden/>
          </w:rPr>
          <w:instrText xml:space="preserve"> PAGEREF _Toc165634677 \h </w:instrText>
        </w:r>
        <w:r w:rsidR="00CE6ACA">
          <w:rPr>
            <w:noProof/>
            <w:webHidden/>
          </w:rPr>
        </w:r>
        <w:r w:rsidR="00CE6ACA">
          <w:rPr>
            <w:noProof/>
            <w:webHidden/>
          </w:rPr>
          <w:fldChar w:fldCharType="separate"/>
        </w:r>
        <w:r w:rsidR="00CE6ACA">
          <w:rPr>
            <w:noProof/>
            <w:webHidden/>
          </w:rPr>
          <w:t>44</w:t>
        </w:r>
        <w:r w:rsidR="00CE6ACA">
          <w:rPr>
            <w:noProof/>
            <w:webHidden/>
          </w:rPr>
          <w:fldChar w:fldCharType="end"/>
        </w:r>
      </w:hyperlink>
    </w:p>
    <w:p w14:paraId="1CD0992A" w14:textId="55D4FD67"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78" w:history="1">
        <w:r w:rsidR="00CE6ACA" w:rsidRPr="00733FF0">
          <w:rPr>
            <w:rStyle w:val="Hyperlink"/>
            <w:noProof/>
          </w:rPr>
          <w:t>4.2.2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Cost-effectiveness studies from Australia</w:t>
        </w:r>
        <w:r w:rsidR="00CE6ACA">
          <w:rPr>
            <w:noProof/>
            <w:webHidden/>
          </w:rPr>
          <w:tab/>
        </w:r>
        <w:r w:rsidR="00CE6ACA">
          <w:rPr>
            <w:noProof/>
            <w:webHidden/>
          </w:rPr>
          <w:fldChar w:fldCharType="begin"/>
        </w:r>
        <w:r w:rsidR="00CE6ACA">
          <w:rPr>
            <w:noProof/>
            <w:webHidden/>
          </w:rPr>
          <w:instrText xml:space="preserve"> PAGEREF _Toc165634678 \h </w:instrText>
        </w:r>
        <w:r w:rsidR="00CE6ACA">
          <w:rPr>
            <w:noProof/>
            <w:webHidden/>
          </w:rPr>
        </w:r>
        <w:r w:rsidR="00CE6ACA">
          <w:rPr>
            <w:noProof/>
            <w:webHidden/>
          </w:rPr>
          <w:fldChar w:fldCharType="separate"/>
        </w:r>
        <w:r w:rsidR="00CE6ACA">
          <w:rPr>
            <w:noProof/>
            <w:webHidden/>
          </w:rPr>
          <w:t>48</w:t>
        </w:r>
        <w:r w:rsidR="00CE6ACA">
          <w:rPr>
            <w:noProof/>
            <w:webHidden/>
          </w:rPr>
          <w:fldChar w:fldCharType="end"/>
        </w:r>
      </w:hyperlink>
    </w:p>
    <w:p w14:paraId="09909E4D" w14:textId="06A044C2" w:rsidR="00CE6ACA"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34679" w:history="1">
        <w:r w:rsidR="00CE6ACA" w:rsidRPr="00733FF0">
          <w:rPr>
            <w:rStyle w:val="Hyperlink"/>
            <w:noProof/>
          </w:rPr>
          <w:t>5</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Patient selection and management</w:t>
        </w:r>
        <w:r w:rsidR="00CE6ACA">
          <w:rPr>
            <w:noProof/>
            <w:webHidden/>
          </w:rPr>
          <w:tab/>
        </w:r>
        <w:r w:rsidR="00CE6ACA">
          <w:rPr>
            <w:noProof/>
            <w:webHidden/>
          </w:rPr>
          <w:fldChar w:fldCharType="begin"/>
        </w:r>
        <w:r w:rsidR="00CE6ACA">
          <w:rPr>
            <w:noProof/>
            <w:webHidden/>
          </w:rPr>
          <w:instrText xml:space="preserve"> PAGEREF _Toc165634679 \h </w:instrText>
        </w:r>
        <w:r w:rsidR="00CE6ACA">
          <w:rPr>
            <w:noProof/>
            <w:webHidden/>
          </w:rPr>
        </w:r>
        <w:r w:rsidR="00CE6ACA">
          <w:rPr>
            <w:noProof/>
            <w:webHidden/>
          </w:rPr>
          <w:fldChar w:fldCharType="separate"/>
        </w:r>
        <w:r w:rsidR="00CE6ACA">
          <w:rPr>
            <w:noProof/>
            <w:webHidden/>
          </w:rPr>
          <w:t>51</w:t>
        </w:r>
        <w:r w:rsidR="00CE6ACA">
          <w:rPr>
            <w:noProof/>
            <w:webHidden/>
          </w:rPr>
          <w:fldChar w:fldCharType="end"/>
        </w:r>
      </w:hyperlink>
    </w:p>
    <w:p w14:paraId="0C15B2BD" w14:textId="4C2DA4A4"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80" w:history="1">
        <w:r w:rsidR="00CE6ACA" w:rsidRPr="00733FF0">
          <w:rPr>
            <w:rStyle w:val="Hyperlink"/>
            <w:rFonts w:eastAsia="Batang"/>
            <w:lang w:eastAsia="en-AU"/>
          </w:rPr>
          <w:t>5.1</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Fonts w:eastAsia="Batang"/>
            <w:lang w:eastAsia="en-AU"/>
          </w:rPr>
          <w:t>Methodology</w:t>
        </w:r>
        <w:r w:rsidR="00CE6ACA">
          <w:rPr>
            <w:webHidden/>
          </w:rPr>
          <w:tab/>
        </w:r>
        <w:r w:rsidR="00CE6ACA">
          <w:rPr>
            <w:webHidden/>
          </w:rPr>
          <w:fldChar w:fldCharType="begin"/>
        </w:r>
        <w:r w:rsidR="00CE6ACA">
          <w:rPr>
            <w:webHidden/>
          </w:rPr>
          <w:instrText xml:space="preserve"> PAGEREF _Toc165634680 \h </w:instrText>
        </w:r>
        <w:r w:rsidR="00CE6ACA">
          <w:rPr>
            <w:webHidden/>
          </w:rPr>
        </w:r>
        <w:r w:rsidR="00CE6ACA">
          <w:rPr>
            <w:webHidden/>
          </w:rPr>
          <w:fldChar w:fldCharType="separate"/>
        </w:r>
        <w:r w:rsidR="00CE6ACA">
          <w:rPr>
            <w:webHidden/>
          </w:rPr>
          <w:t>51</w:t>
        </w:r>
        <w:r w:rsidR="00CE6ACA">
          <w:rPr>
            <w:webHidden/>
          </w:rPr>
          <w:fldChar w:fldCharType="end"/>
        </w:r>
      </w:hyperlink>
    </w:p>
    <w:p w14:paraId="3776AA11" w14:textId="40FFF5AB"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81" w:history="1">
        <w:r w:rsidR="00CE6ACA" w:rsidRPr="00733FF0">
          <w:rPr>
            <w:rStyle w:val="Hyperlink"/>
            <w:rFonts w:eastAsia="Batang"/>
            <w:lang w:eastAsia="en-AU"/>
          </w:rPr>
          <w:t>5.2</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Fonts w:eastAsia="Batang"/>
            <w:lang w:eastAsia="en-AU"/>
          </w:rPr>
          <w:t>Patient population</w:t>
        </w:r>
        <w:r w:rsidR="00CE6ACA">
          <w:rPr>
            <w:webHidden/>
          </w:rPr>
          <w:tab/>
        </w:r>
        <w:r w:rsidR="00CE6ACA">
          <w:rPr>
            <w:webHidden/>
          </w:rPr>
          <w:fldChar w:fldCharType="begin"/>
        </w:r>
        <w:r w:rsidR="00CE6ACA">
          <w:rPr>
            <w:webHidden/>
          </w:rPr>
          <w:instrText xml:space="preserve"> PAGEREF _Toc165634681 \h </w:instrText>
        </w:r>
        <w:r w:rsidR="00CE6ACA">
          <w:rPr>
            <w:webHidden/>
          </w:rPr>
        </w:r>
        <w:r w:rsidR="00CE6ACA">
          <w:rPr>
            <w:webHidden/>
          </w:rPr>
          <w:fldChar w:fldCharType="separate"/>
        </w:r>
        <w:r w:rsidR="00CE6ACA">
          <w:rPr>
            <w:webHidden/>
          </w:rPr>
          <w:t>51</w:t>
        </w:r>
        <w:r w:rsidR="00CE6ACA">
          <w:rPr>
            <w:webHidden/>
          </w:rPr>
          <w:fldChar w:fldCharType="end"/>
        </w:r>
      </w:hyperlink>
    </w:p>
    <w:p w14:paraId="5E672ADC" w14:textId="692918E3"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82" w:history="1">
        <w:r w:rsidR="00CE6ACA" w:rsidRPr="00733FF0">
          <w:rPr>
            <w:rStyle w:val="Hyperlink"/>
            <w:rFonts w:eastAsia="Batang"/>
            <w:noProof/>
            <w:lang w:eastAsia="en-AU"/>
          </w:rPr>
          <w:t>5.2.1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rFonts w:eastAsia="Batang"/>
            <w:noProof/>
            <w:lang w:eastAsia="en-AU"/>
          </w:rPr>
          <w:t>Clinical indications</w:t>
        </w:r>
        <w:r w:rsidR="00CE6ACA">
          <w:rPr>
            <w:noProof/>
            <w:webHidden/>
          </w:rPr>
          <w:tab/>
        </w:r>
        <w:r w:rsidR="00CE6ACA">
          <w:rPr>
            <w:noProof/>
            <w:webHidden/>
          </w:rPr>
          <w:fldChar w:fldCharType="begin"/>
        </w:r>
        <w:r w:rsidR="00CE6ACA">
          <w:rPr>
            <w:noProof/>
            <w:webHidden/>
          </w:rPr>
          <w:instrText xml:space="preserve"> PAGEREF _Toc165634682 \h </w:instrText>
        </w:r>
        <w:r w:rsidR="00CE6ACA">
          <w:rPr>
            <w:noProof/>
            <w:webHidden/>
          </w:rPr>
        </w:r>
        <w:r w:rsidR="00CE6ACA">
          <w:rPr>
            <w:noProof/>
            <w:webHidden/>
          </w:rPr>
          <w:fldChar w:fldCharType="separate"/>
        </w:r>
        <w:r w:rsidR="00CE6ACA">
          <w:rPr>
            <w:noProof/>
            <w:webHidden/>
          </w:rPr>
          <w:t>51</w:t>
        </w:r>
        <w:r w:rsidR="00CE6ACA">
          <w:rPr>
            <w:noProof/>
            <w:webHidden/>
          </w:rPr>
          <w:fldChar w:fldCharType="end"/>
        </w:r>
      </w:hyperlink>
    </w:p>
    <w:p w14:paraId="36E42E36" w14:textId="33B62F60"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83" w:history="1">
        <w:r w:rsidR="00CE6ACA" w:rsidRPr="00733FF0">
          <w:rPr>
            <w:rStyle w:val="Hyperlink"/>
            <w:rFonts w:eastAsia="Batang"/>
            <w:noProof/>
            <w:lang w:eastAsia="en-AU"/>
          </w:rPr>
          <w:t>5.2.2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rFonts w:eastAsia="Batang"/>
            <w:noProof/>
            <w:lang w:eastAsia="en-AU"/>
          </w:rPr>
          <w:t>Eligibility criteria</w:t>
        </w:r>
        <w:r w:rsidR="00CE6ACA">
          <w:rPr>
            <w:noProof/>
            <w:webHidden/>
          </w:rPr>
          <w:tab/>
        </w:r>
        <w:r w:rsidR="00CE6ACA">
          <w:rPr>
            <w:noProof/>
            <w:webHidden/>
          </w:rPr>
          <w:fldChar w:fldCharType="begin"/>
        </w:r>
        <w:r w:rsidR="00CE6ACA">
          <w:rPr>
            <w:noProof/>
            <w:webHidden/>
          </w:rPr>
          <w:instrText xml:space="preserve"> PAGEREF _Toc165634683 \h </w:instrText>
        </w:r>
        <w:r w:rsidR="00CE6ACA">
          <w:rPr>
            <w:noProof/>
            <w:webHidden/>
          </w:rPr>
        </w:r>
        <w:r w:rsidR="00CE6ACA">
          <w:rPr>
            <w:noProof/>
            <w:webHidden/>
          </w:rPr>
          <w:fldChar w:fldCharType="separate"/>
        </w:r>
        <w:r w:rsidR="00CE6ACA">
          <w:rPr>
            <w:noProof/>
            <w:webHidden/>
          </w:rPr>
          <w:t>53</w:t>
        </w:r>
        <w:r w:rsidR="00CE6ACA">
          <w:rPr>
            <w:noProof/>
            <w:webHidden/>
          </w:rPr>
          <w:fldChar w:fldCharType="end"/>
        </w:r>
      </w:hyperlink>
    </w:p>
    <w:p w14:paraId="6ACDA3DB" w14:textId="4D9EBFD4"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84" w:history="1">
        <w:r w:rsidR="00CE6ACA" w:rsidRPr="00733FF0">
          <w:rPr>
            <w:rStyle w:val="Hyperlink"/>
            <w:rFonts w:eastAsia="Batang"/>
            <w:noProof/>
            <w:lang w:eastAsia="en-AU"/>
          </w:rPr>
          <w:t>5.2.3</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rFonts w:eastAsia="Batang"/>
            <w:noProof/>
            <w:lang w:eastAsia="en-AU"/>
          </w:rPr>
          <w:t>Patients unsuitable for spinal cord stimulation</w:t>
        </w:r>
        <w:r w:rsidR="00CE6ACA">
          <w:rPr>
            <w:noProof/>
            <w:webHidden/>
          </w:rPr>
          <w:tab/>
        </w:r>
        <w:r w:rsidR="00CE6ACA">
          <w:rPr>
            <w:noProof/>
            <w:webHidden/>
          </w:rPr>
          <w:fldChar w:fldCharType="begin"/>
        </w:r>
        <w:r w:rsidR="00CE6ACA">
          <w:rPr>
            <w:noProof/>
            <w:webHidden/>
          </w:rPr>
          <w:instrText xml:space="preserve"> PAGEREF _Toc165634684 \h </w:instrText>
        </w:r>
        <w:r w:rsidR="00CE6ACA">
          <w:rPr>
            <w:noProof/>
            <w:webHidden/>
          </w:rPr>
        </w:r>
        <w:r w:rsidR="00CE6ACA">
          <w:rPr>
            <w:noProof/>
            <w:webHidden/>
          </w:rPr>
          <w:fldChar w:fldCharType="separate"/>
        </w:r>
        <w:r w:rsidR="00CE6ACA">
          <w:rPr>
            <w:noProof/>
            <w:webHidden/>
          </w:rPr>
          <w:t>53</w:t>
        </w:r>
        <w:r w:rsidR="00CE6ACA">
          <w:rPr>
            <w:noProof/>
            <w:webHidden/>
          </w:rPr>
          <w:fldChar w:fldCharType="end"/>
        </w:r>
      </w:hyperlink>
    </w:p>
    <w:p w14:paraId="6E140B62" w14:textId="634C21A1"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85" w:history="1">
        <w:r w:rsidR="00CE6ACA" w:rsidRPr="00733FF0">
          <w:rPr>
            <w:rStyle w:val="Hyperlink"/>
            <w:rFonts w:eastAsia="Batang"/>
            <w:lang w:eastAsia="en-AU"/>
          </w:rPr>
          <w:t>5.3</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Fonts w:eastAsia="Batang"/>
            <w:lang w:eastAsia="en-AU"/>
          </w:rPr>
          <w:t>Management pathways</w:t>
        </w:r>
        <w:r w:rsidR="00CE6ACA">
          <w:rPr>
            <w:webHidden/>
          </w:rPr>
          <w:tab/>
        </w:r>
        <w:r w:rsidR="00CE6ACA">
          <w:rPr>
            <w:webHidden/>
          </w:rPr>
          <w:fldChar w:fldCharType="begin"/>
        </w:r>
        <w:r w:rsidR="00CE6ACA">
          <w:rPr>
            <w:webHidden/>
          </w:rPr>
          <w:instrText xml:space="preserve"> PAGEREF _Toc165634685 \h </w:instrText>
        </w:r>
        <w:r w:rsidR="00CE6ACA">
          <w:rPr>
            <w:webHidden/>
          </w:rPr>
        </w:r>
        <w:r w:rsidR="00CE6ACA">
          <w:rPr>
            <w:webHidden/>
          </w:rPr>
          <w:fldChar w:fldCharType="separate"/>
        </w:r>
        <w:r w:rsidR="00CE6ACA">
          <w:rPr>
            <w:webHidden/>
          </w:rPr>
          <w:t>54</w:t>
        </w:r>
        <w:r w:rsidR="00CE6ACA">
          <w:rPr>
            <w:webHidden/>
          </w:rPr>
          <w:fldChar w:fldCharType="end"/>
        </w:r>
      </w:hyperlink>
    </w:p>
    <w:p w14:paraId="12058E23" w14:textId="2B8648EC"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86" w:history="1">
        <w:r w:rsidR="00CE6ACA" w:rsidRPr="00733FF0">
          <w:rPr>
            <w:rStyle w:val="Hyperlink"/>
            <w:rFonts w:eastAsia="Batang"/>
            <w:noProof/>
            <w:lang w:eastAsia="en-AU"/>
          </w:rPr>
          <w:t>5.3.1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rFonts w:eastAsia="Batang"/>
            <w:noProof/>
            <w:lang w:eastAsia="en-AU"/>
          </w:rPr>
          <w:t>Types of spinal cord stimulation</w:t>
        </w:r>
        <w:r w:rsidR="00CE6ACA">
          <w:rPr>
            <w:noProof/>
            <w:webHidden/>
          </w:rPr>
          <w:tab/>
        </w:r>
        <w:r w:rsidR="00CE6ACA">
          <w:rPr>
            <w:noProof/>
            <w:webHidden/>
          </w:rPr>
          <w:fldChar w:fldCharType="begin"/>
        </w:r>
        <w:r w:rsidR="00CE6ACA">
          <w:rPr>
            <w:noProof/>
            <w:webHidden/>
          </w:rPr>
          <w:instrText xml:space="preserve"> PAGEREF _Toc165634686 \h </w:instrText>
        </w:r>
        <w:r w:rsidR="00CE6ACA">
          <w:rPr>
            <w:noProof/>
            <w:webHidden/>
          </w:rPr>
        </w:r>
        <w:r w:rsidR="00CE6ACA">
          <w:rPr>
            <w:noProof/>
            <w:webHidden/>
          </w:rPr>
          <w:fldChar w:fldCharType="separate"/>
        </w:r>
        <w:r w:rsidR="00CE6ACA">
          <w:rPr>
            <w:noProof/>
            <w:webHidden/>
          </w:rPr>
          <w:t>54</w:t>
        </w:r>
        <w:r w:rsidR="00CE6ACA">
          <w:rPr>
            <w:noProof/>
            <w:webHidden/>
          </w:rPr>
          <w:fldChar w:fldCharType="end"/>
        </w:r>
      </w:hyperlink>
    </w:p>
    <w:p w14:paraId="7A2A9EF7" w14:textId="76AE0394"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87" w:history="1">
        <w:r w:rsidR="00CE6ACA" w:rsidRPr="00733FF0">
          <w:rPr>
            <w:rStyle w:val="Hyperlink"/>
            <w:rFonts w:eastAsia="Batang"/>
            <w:noProof/>
            <w:lang w:eastAsia="en-AU"/>
          </w:rPr>
          <w:t>5.3.2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rFonts w:eastAsia="Batang"/>
            <w:noProof/>
            <w:lang w:eastAsia="en-AU"/>
          </w:rPr>
          <w:t>Trial stimulation</w:t>
        </w:r>
        <w:r w:rsidR="00CE6ACA">
          <w:rPr>
            <w:noProof/>
            <w:webHidden/>
          </w:rPr>
          <w:tab/>
        </w:r>
        <w:r w:rsidR="00CE6ACA">
          <w:rPr>
            <w:noProof/>
            <w:webHidden/>
          </w:rPr>
          <w:fldChar w:fldCharType="begin"/>
        </w:r>
        <w:r w:rsidR="00CE6ACA">
          <w:rPr>
            <w:noProof/>
            <w:webHidden/>
          </w:rPr>
          <w:instrText xml:space="preserve"> PAGEREF _Toc165634687 \h </w:instrText>
        </w:r>
        <w:r w:rsidR="00CE6ACA">
          <w:rPr>
            <w:noProof/>
            <w:webHidden/>
          </w:rPr>
        </w:r>
        <w:r w:rsidR="00CE6ACA">
          <w:rPr>
            <w:noProof/>
            <w:webHidden/>
          </w:rPr>
          <w:fldChar w:fldCharType="separate"/>
        </w:r>
        <w:r w:rsidR="00CE6ACA">
          <w:rPr>
            <w:noProof/>
            <w:webHidden/>
          </w:rPr>
          <w:t>55</w:t>
        </w:r>
        <w:r w:rsidR="00CE6ACA">
          <w:rPr>
            <w:noProof/>
            <w:webHidden/>
          </w:rPr>
          <w:fldChar w:fldCharType="end"/>
        </w:r>
      </w:hyperlink>
    </w:p>
    <w:p w14:paraId="50216A28" w14:textId="104398E6" w:rsidR="00CE6ACA"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34688" w:history="1">
        <w:r w:rsidR="00CE6ACA" w:rsidRPr="00733FF0">
          <w:rPr>
            <w:rStyle w:val="Hyperlink"/>
            <w:noProof/>
          </w:rPr>
          <w:t>6</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Summary of findings and considerations for MDHTAC</w:t>
        </w:r>
        <w:r w:rsidR="00CE6ACA">
          <w:rPr>
            <w:noProof/>
            <w:webHidden/>
          </w:rPr>
          <w:tab/>
        </w:r>
        <w:r w:rsidR="00CE6ACA">
          <w:rPr>
            <w:noProof/>
            <w:webHidden/>
          </w:rPr>
          <w:fldChar w:fldCharType="begin"/>
        </w:r>
        <w:r w:rsidR="00CE6ACA">
          <w:rPr>
            <w:noProof/>
            <w:webHidden/>
          </w:rPr>
          <w:instrText xml:space="preserve"> PAGEREF _Toc165634688 \h </w:instrText>
        </w:r>
        <w:r w:rsidR="00CE6ACA">
          <w:rPr>
            <w:noProof/>
            <w:webHidden/>
          </w:rPr>
        </w:r>
        <w:r w:rsidR="00CE6ACA">
          <w:rPr>
            <w:noProof/>
            <w:webHidden/>
          </w:rPr>
          <w:fldChar w:fldCharType="separate"/>
        </w:r>
        <w:r w:rsidR="00CE6ACA">
          <w:rPr>
            <w:noProof/>
            <w:webHidden/>
          </w:rPr>
          <w:t>56</w:t>
        </w:r>
        <w:r w:rsidR="00CE6ACA">
          <w:rPr>
            <w:noProof/>
            <w:webHidden/>
          </w:rPr>
          <w:fldChar w:fldCharType="end"/>
        </w:r>
      </w:hyperlink>
    </w:p>
    <w:p w14:paraId="2CF26742" w14:textId="2A038C4F"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89" w:history="1">
        <w:r w:rsidR="00CE6ACA" w:rsidRPr="00733FF0">
          <w:rPr>
            <w:rStyle w:val="Hyperlink"/>
          </w:rPr>
          <w:t>6.1</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Comparative clinical effectiveness</w:t>
        </w:r>
        <w:r w:rsidR="00CE6ACA">
          <w:rPr>
            <w:webHidden/>
          </w:rPr>
          <w:tab/>
        </w:r>
        <w:r w:rsidR="00CE6ACA">
          <w:rPr>
            <w:webHidden/>
          </w:rPr>
          <w:fldChar w:fldCharType="begin"/>
        </w:r>
        <w:r w:rsidR="00CE6ACA">
          <w:rPr>
            <w:webHidden/>
          </w:rPr>
          <w:instrText xml:space="preserve"> PAGEREF _Toc165634689 \h </w:instrText>
        </w:r>
        <w:r w:rsidR="00CE6ACA">
          <w:rPr>
            <w:webHidden/>
          </w:rPr>
        </w:r>
        <w:r w:rsidR="00CE6ACA">
          <w:rPr>
            <w:webHidden/>
          </w:rPr>
          <w:fldChar w:fldCharType="separate"/>
        </w:r>
        <w:r w:rsidR="00CE6ACA">
          <w:rPr>
            <w:webHidden/>
          </w:rPr>
          <w:t>56</w:t>
        </w:r>
        <w:r w:rsidR="00CE6ACA">
          <w:rPr>
            <w:webHidden/>
          </w:rPr>
          <w:fldChar w:fldCharType="end"/>
        </w:r>
      </w:hyperlink>
    </w:p>
    <w:p w14:paraId="6A7029F0" w14:textId="7ADB20F0"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90" w:history="1">
        <w:r w:rsidR="00CE6ACA" w:rsidRPr="00733FF0">
          <w:rPr>
            <w:rStyle w:val="Hyperlink"/>
            <w:noProof/>
          </w:rPr>
          <w:t>6.1.1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Spinal cord stimulation in people with chronic (non-ischaemic, non-cancer) pain</w:t>
        </w:r>
        <w:r w:rsidR="00CE6ACA">
          <w:rPr>
            <w:noProof/>
            <w:webHidden/>
          </w:rPr>
          <w:tab/>
        </w:r>
        <w:r w:rsidR="00CE6ACA">
          <w:rPr>
            <w:noProof/>
            <w:webHidden/>
          </w:rPr>
          <w:fldChar w:fldCharType="begin"/>
        </w:r>
        <w:r w:rsidR="00CE6ACA">
          <w:rPr>
            <w:noProof/>
            <w:webHidden/>
          </w:rPr>
          <w:instrText xml:space="preserve"> PAGEREF _Toc165634690 \h </w:instrText>
        </w:r>
        <w:r w:rsidR="00CE6ACA">
          <w:rPr>
            <w:noProof/>
            <w:webHidden/>
          </w:rPr>
        </w:r>
        <w:r w:rsidR="00CE6ACA">
          <w:rPr>
            <w:noProof/>
            <w:webHidden/>
          </w:rPr>
          <w:fldChar w:fldCharType="separate"/>
        </w:r>
        <w:r w:rsidR="00CE6ACA">
          <w:rPr>
            <w:noProof/>
            <w:webHidden/>
          </w:rPr>
          <w:t>56</w:t>
        </w:r>
        <w:r w:rsidR="00CE6ACA">
          <w:rPr>
            <w:noProof/>
            <w:webHidden/>
          </w:rPr>
          <w:fldChar w:fldCharType="end"/>
        </w:r>
      </w:hyperlink>
    </w:p>
    <w:p w14:paraId="6C05C9A8" w14:textId="0FD2A9E4" w:rsidR="00CE6ACA"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5634691" w:history="1">
        <w:r w:rsidR="00CE6ACA" w:rsidRPr="00733FF0">
          <w:rPr>
            <w:rStyle w:val="Hyperlink"/>
            <w:noProof/>
          </w:rPr>
          <w:t>6.1.2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Spinal cord stimulation in people with ischaemic pain</w:t>
        </w:r>
        <w:r w:rsidR="00CE6ACA">
          <w:rPr>
            <w:noProof/>
            <w:webHidden/>
          </w:rPr>
          <w:tab/>
        </w:r>
        <w:r w:rsidR="00CE6ACA">
          <w:rPr>
            <w:noProof/>
            <w:webHidden/>
          </w:rPr>
          <w:fldChar w:fldCharType="begin"/>
        </w:r>
        <w:r w:rsidR="00CE6ACA">
          <w:rPr>
            <w:noProof/>
            <w:webHidden/>
          </w:rPr>
          <w:instrText xml:space="preserve"> PAGEREF _Toc165634691 \h </w:instrText>
        </w:r>
        <w:r w:rsidR="00CE6ACA">
          <w:rPr>
            <w:noProof/>
            <w:webHidden/>
          </w:rPr>
        </w:r>
        <w:r w:rsidR="00CE6ACA">
          <w:rPr>
            <w:noProof/>
            <w:webHidden/>
          </w:rPr>
          <w:fldChar w:fldCharType="separate"/>
        </w:r>
        <w:r w:rsidR="00CE6ACA">
          <w:rPr>
            <w:noProof/>
            <w:webHidden/>
          </w:rPr>
          <w:t>61</w:t>
        </w:r>
        <w:r w:rsidR="00CE6ACA">
          <w:rPr>
            <w:noProof/>
            <w:webHidden/>
          </w:rPr>
          <w:fldChar w:fldCharType="end"/>
        </w:r>
      </w:hyperlink>
    </w:p>
    <w:p w14:paraId="35161A55" w14:textId="0957D837"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92" w:history="1">
        <w:r w:rsidR="00CE6ACA" w:rsidRPr="00733FF0">
          <w:rPr>
            <w:rStyle w:val="Hyperlink"/>
          </w:rPr>
          <w:t>6.2</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Comparative cost-effectiveness</w:t>
        </w:r>
        <w:r w:rsidR="00CE6ACA">
          <w:rPr>
            <w:webHidden/>
          </w:rPr>
          <w:tab/>
        </w:r>
        <w:r w:rsidR="00CE6ACA">
          <w:rPr>
            <w:webHidden/>
          </w:rPr>
          <w:fldChar w:fldCharType="begin"/>
        </w:r>
        <w:r w:rsidR="00CE6ACA">
          <w:rPr>
            <w:webHidden/>
          </w:rPr>
          <w:instrText xml:space="preserve"> PAGEREF _Toc165634692 \h </w:instrText>
        </w:r>
        <w:r w:rsidR="00CE6ACA">
          <w:rPr>
            <w:webHidden/>
          </w:rPr>
        </w:r>
        <w:r w:rsidR="00CE6ACA">
          <w:rPr>
            <w:webHidden/>
          </w:rPr>
          <w:fldChar w:fldCharType="separate"/>
        </w:r>
        <w:r w:rsidR="00CE6ACA">
          <w:rPr>
            <w:webHidden/>
          </w:rPr>
          <w:t>61</w:t>
        </w:r>
        <w:r w:rsidR="00CE6ACA">
          <w:rPr>
            <w:webHidden/>
          </w:rPr>
          <w:fldChar w:fldCharType="end"/>
        </w:r>
      </w:hyperlink>
    </w:p>
    <w:p w14:paraId="2BFD02BA" w14:textId="762F590A"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93" w:history="1">
        <w:r w:rsidR="00CE6ACA" w:rsidRPr="00733FF0">
          <w:rPr>
            <w:rStyle w:val="Hyperlink"/>
          </w:rPr>
          <w:t>6.3</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Patient selection and management</w:t>
        </w:r>
        <w:r w:rsidR="00CE6ACA">
          <w:rPr>
            <w:webHidden/>
          </w:rPr>
          <w:tab/>
        </w:r>
        <w:r w:rsidR="00CE6ACA">
          <w:rPr>
            <w:webHidden/>
          </w:rPr>
          <w:fldChar w:fldCharType="begin"/>
        </w:r>
        <w:r w:rsidR="00CE6ACA">
          <w:rPr>
            <w:webHidden/>
          </w:rPr>
          <w:instrText xml:space="preserve"> PAGEREF _Toc165634693 \h </w:instrText>
        </w:r>
        <w:r w:rsidR="00CE6ACA">
          <w:rPr>
            <w:webHidden/>
          </w:rPr>
        </w:r>
        <w:r w:rsidR="00CE6ACA">
          <w:rPr>
            <w:webHidden/>
          </w:rPr>
          <w:fldChar w:fldCharType="separate"/>
        </w:r>
        <w:r w:rsidR="00CE6ACA">
          <w:rPr>
            <w:webHidden/>
          </w:rPr>
          <w:t>62</w:t>
        </w:r>
        <w:r w:rsidR="00CE6ACA">
          <w:rPr>
            <w:webHidden/>
          </w:rPr>
          <w:fldChar w:fldCharType="end"/>
        </w:r>
      </w:hyperlink>
    </w:p>
    <w:p w14:paraId="245E56DD" w14:textId="732E3168"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94" w:history="1">
        <w:r w:rsidR="00CE6ACA" w:rsidRPr="00733FF0">
          <w:rPr>
            <w:rStyle w:val="Hyperlink"/>
          </w:rPr>
          <w:t>6.4</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Considerations for MDHTAC</w:t>
        </w:r>
        <w:r w:rsidR="00CE6ACA">
          <w:rPr>
            <w:webHidden/>
          </w:rPr>
          <w:tab/>
        </w:r>
        <w:r w:rsidR="00CE6ACA">
          <w:rPr>
            <w:webHidden/>
          </w:rPr>
          <w:fldChar w:fldCharType="begin"/>
        </w:r>
        <w:r w:rsidR="00CE6ACA">
          <w:rPr>
            <w:webHidden/>
          </w:rPr>
          <w:instrText xml:space="preserve"> PAGEREF _Toc165634694 \h </w:instrText>
        </w:r>
        <w:r w:rsidR="00CE6ACA">
          <w:rPr>
            <w:webHidden/>
          </w:rPr>
        </w:r>
        <w:r w:rsidR="00CE6ACA">
          <w:rPr>
            <w:webHidden/>
          </w:rPr>
          <w:fldChar w:fldCharType="separate"/>
        </w:r>
        <w:r w:rsidR="00CE6ACA">
          <w:rPr>
            <w:webHidden/>
          </w:rPr>
          <w:t>62</w:t>
        </w:r>
        <w:r w:rsidR="00CE6ACA">
          <w:rPr>
            <w:webHidden/>
          </w:rPr>
          <w:fldChar w:fldCharType="end"/>
        </w:r>
      </w:hyperlink>
    </w:p>
    <w:p w14:paraId="52372617" w14:textId="54BE901E" w:rsidR="00CE6ACA" w:rsidRDefault="00000000">
      <w:pPr>
        <w:pStyle w:val="TOC2"/>
        <w:rPr>
          <w:rFonts w:asciiTheme="minorHAnsi" w:eastAsiaTheme="minorEastAsia" w:hAnsiTheme="minorHAnsi" w:cstheme="minorBidi"/>
          <w:kern w:val="2"/>
          <w:sz w:val="24"/>
          <w:szCs w:val="24"/>
          <w:lang w:eastAsia="en-AU"/>
          <w14:ligatures w14:val="standardContextual"/>
        </w:rPr>
      </w:pPr>
      <w:hyperlink w:anchor="_Toc165634695" w:history="1">
        <w:r w:rsidR="00CE6ACA" w:rsidRPr="00733FF0">
          <w:rPr>
            <w:rStyle w:val="Hyperlink"/>
          </w:rPr>
          <w:t>6.5</w:t>
        </w:r>
        <w:r w:rsidR="00CE6ACA">
          <w:rPr>
            <w:rFonts w:asciiTheme="minorHAnsi" w:eastAsiaTheme="minorEastAsia" w:hAnsiTheme="minorHAnsi" w:cstheme="minorBidi"/>
            <w:kern w:val="2"/>
            <w:sz w:val="24"/>
            <w:szCs w:val="24"/>
            <w:lang w:eastAsia="en-AU"/>
            <w14:ligatures w14:val="standardContextual"/>
          </w:rPr>
          <w:tab/>
        </w:r>
        <w:r w:rsidR="00CE6ACA" w:rsidRPr="00733FF0">
          <w:rPr>
            <w:rStyle w:val="Hyperlink"/>
          </w:rPr>
          <w:t>Considerations for MSAC</w:t>
        </w:r>
        <w:r w:rsidR="00CE6ACA">
          <w:rPr>
            <w:webHidden/>
          </w:rPr>
          <w:tab/>
        </w:r>
        <w:r w:rsidR="00CE6ACA">
          <w:rPr>
            <w:webHidden/>
          </w:rPr>
          <w:fldChar w:fldCharType="begin"/>
        </w:r>
        <w:r w:rsidR="00CE6ACA">
          <w:rPr>
            <w:webHidden/>
          </w:rPr>
          <w:instrText xml:space="preserve"> PAGEREF _Toc165634695 \h </w:instrText>
        </w:r>
        <w:r w:rsidR="00CE6ACA">
          <w:rPr>
            <w:webHidden/>
          </w:rPr>
        </w:r>
        <w:r w:rsidR="00CE6ACA">
          <w:rPr>
            <w:webHidden/>
          </w:rPr>
          <w:fldChar w:fldCharType="separate"/>
        </w:r>
        <w:r w:rsidR="00CE6ACA">
          <w:rPr>
            <w:webHidden/>
          </w:rPr>
          <w:t>65</w:t>
        </w:r>
        <w:r w:rsidR="00CE6ACA">
          <w:rPr>
            <w:webHidden/>
          </w:rPr>
          <w:fldChar w:fldCharType="end"/>
        </w:r>
      </w:hyperlink>
    </w:p>
    <w:p w14:paraId="28BD16F9" w14:textId="16377AE9" w:rsidR="00CE6ACA"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5634696" w:history="1">
        <w:r w:rsidR="00CE6ACA" w:rsidRPr="00733FF0">
          <w:rPr>
            <w:rStyle w:val="Hyperlink"/>
            <w:noProof/>
          </w:rPr>
          <w:t>7</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References</w:t>
        </w:r>
        <w:r w:rsidR="00CE6ACA">
          <w:rPr>
            <w:noProof/>
            <w:webHidden/>
          </w:rPr>
          <w:tab/>
        </w:r>
        <w:r w:rsidR="00CE6ACA">
          <w:rPr>
            <w:noProof/>
            <w:webHidden/>
          </w:rPr>
          <w:fldChar w:fldCharType="begin"/>
        </w:r>
        <w:r w:rsidR="00CE6ACA">
          <w:rPr>
            <w:noProof/>
            <w:webHidden/>
          </w:rPr>
          <w:instrText xml:space="preserve"> PAGEREF _Toc165634696 \h </w:instrText>
        </w:r>
        <w:r w:rsidR="00CE6ACA">
          <w:rPr>
            <w:noProof/>
            <w:webHidden/>
          </w:rPr>
        </w:r>
        <w:r w:rsidR="00CE6ACA">
          <w:rPr>
            <w:noProof/>
            <w:webHidden/>
          </w:rPr>
          <w:fldChar w:fldCharType="separate"/>
        </w:r>
        <w:r w:rsidR="00CE6ACA">
          <w:rPr>
            <w:noProof/>
            <w:webHidden/>
          </w:rPr>
          <w:t>66</w:t>
        </w:r>
        <w:r w:rsidR="00CE6ACA">
          <w:rPr>
            <w:noProof/>
            <w:webHidden/>
          </w:rPr>
          <w:fldChar w:fldCharType="end"/>
        </w:r>
      </w:hyperlink>
    </w:p>
    <w:p w14:paraId="79272765" w14:textId="32760E4C" w:rsidR="00CE6ACA"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34697" w:history="1">
        <w:r w:rsidR="00CE6ACA" w:rsidRPr="00733FF0">
          <w:rPr>
            <w:rStyle w:val="Hyperlink"/>
            <w:noProof/>
          </w:rPr>
          <w:t>Appendix A</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PL grouping of ‘Neurostimulation Therapies for Pain’ Subcategory</w:t>
        </w:r>
        <w:r w:rsidR="00CE6ACA">
          <w:rPr>
            <w:noProof/>
            <w:webHidden/>
          </w:rPr>
          <w:tab/>
        </w:r>
        <w:r w:rsidR="00CE6ACA">
          <w:rPr>
            <w:noProof/>
            <w:webHidden/>
          </w:rPr>
          <w:fldChar w:fldCharType="begin"/>
        </w:r>
        <w:r w:rsidR="00CE6ACA">
          <w:rPr>
            <w:noProof/>
            <w:webHidden/>
          </w:rPr>
          <w:instrText xml:space="preserve"> PAGEREF _Toc165634697 \h </w:instrText>
        </w:r>
        <w:r w:rsidR="00CE6ACA">
          <w:rPr>
            <w:noProof/>
            <w:webHidden/>
          </w:rPr>
        </w:r>
        <w:r w:rsidR="00CE6ACA">
          <w:rPr>
            <w:noProof/>
            <w:webHidden/>
          </w:rPr>
          <w:fldChar w:fldCharType="separate"/>
        </w:r>
        <w:r w:rsidR="00CE6ACA">
          <w:rPr>
            <w:noProof/>
            <w:webHidden/>
          </w:rPr>
          <w:t>80</w:t>
        </w:r>
        <w:r w:rsidR="00CE6ACA">
          <w:rPr>
            <w:noProof/>
            <w:webHidden/>
          </w:rPr>
          <w:fldChar w:fldCharType="end"/>
        </w:r>
      </w:hyperlink>
    </w:p>
    <w:p w14:paraId="6E1F3ED5" w14:textId="29445670" w:rsidR="00CE6ACA"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34698" w:history="1">
        <w:r w:rsidR="00CE6ACA" w:rsidRPr="00733FF0">
          <w:rPr>
            <w:rStyle w:val="Hyperlink"/>
            <w:noProof/>
          </w:rPr>
          <w:t>Appendix B</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MBS items</w:t>
        </w:r>
        <w:r w:rsidR="00CE6ACA">
          <w:rPr>
            <w:noProof/>
            <w:webHidden/>
          </w:rPr>
          <w:tab/>
        </w:r>
        <w:r w:rsidR="00CE6ACA">
          <w:rPr>
            <w:noProof/>
            <w:webHidden/>
          </w:rPr>
          <w:fldChar w:fldCharType="begin"/>
        </w:r>
        <w:r w:rsidR="00CE6ACA">
          <w:rPr>
            <w:noProof/>
            <w:webHidden/>
          </w:rPr>
          <w:instrText xml:space="preserve"> PAGEREF _Toc165634698 \h </w:instrText>
        </w:r>
        <w:r w:rsidR="00CE6ACA">
          <w:rPr>
            <w:noProof/>
            <w:webHidden/>
          </w:rPr>
        </w:r>
        <w:r w:rsidR="00CE6ACA">
          <w:rPr>
            <w:noProof/>
            <w:webHidden/>
          </w:rPr>
          <w:fldChar w:fldCharType="separate"/>
        </w:r>
        <w:r w:rsidR="00CE6ACA">
          <w:rPr>
            <w:noProof/>
            <w:webHidden/>
          </w:rPr>
          <w:t>85</w:t>
        </w:r>
        <w:r w:rsidR="00CE6ACA">
          <w:rPr>
            <w:noProof/>
            <w:webHidden/>
          </w:rPr>
          <w:fldChar w:fldCharType="end"/>
        </w:r>
      </w:hyperlink>
    </w:p>
    <w:p w14:paraId="3FBA5602" w14:textId="6CA7EE1A" w:rsidR="00CE6ACA"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34699" w:history="1">
        <w:r w:rsidR="00CE6ACA" w:rsidRPr="00733FF0">
          <w:rPr>
            <w:rStyle w:val="Hyperlink"/>
            <w:noProof/>
          </w:rPr>
          <w:t>Appendix C</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Methodology</w:t>
        </w:r>
        <w:r w:rsidR="00CE6ACA">
          <w:rPr>
            <w:noProof/>
            <w:webHidden/>
          </w:rPr>
          <w:tab/>
        </w:r>
        <w:r w:rsidR="00CE6ACA">
          <w:rPr>
            <w:noProof/>
            <w:webHidden/>
          </w:rPr>
          <w:fldChar w:fldCharType="begin"/>
        </w:r>
        <w:r w:rsidR="00CE6ACA">
          <w:rPr>
            <w:noProof/>
            <w:webHidden/>
          </w:rPr>
          <w:instrText xml:space="preserve"> PAGEREF _Toc165634699 \h </w:instrText>
        </w:r>
        <w:r w:rsidR="00CE6ACA">
          <w:rPr>
            <w:noProof/>
            <w:webHidden/>
          </w:rPr>
        </w:r>
        <w:r w:rsidR="00CE6ACA">
          <w:rPr>
            <w:noProof/>
            <w:webHidden/>
          </w:rPr>
          <w:fldChar w:fldCharType="separate"/>
        </w:r>
        <w:r w:rsidR="00CE6ACA">
          <w:rPr>
            <w:noProof/>
            <w:webHidden/>
          </w:rPr>
          <w:t>87</w:t>
        </w:r>
        <w:r w:rsidR="00CE6ACA">
          <w:rPr>
            <w:noProof/>
            <w:webHidden/>
          </w:rPr>
          <w:fldChar w:fldCharType="end"/>
        </w:r>
      </w:hyperlink>
    </w:p>
    <w:p w14:paraId="6A826277" w14:textId="16B2F031" w:rsidR="00CE6ACA"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34700" w:history="1">
        <w:r w:rsidR="00CE6ACA" w:rsidRPr="00733FF0">
          <w:rPr>
            <w:rStyle w:val="Hyperlink"/>
            <w:noProof/>
          </w:rPr>
          <w:t>C.1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Comparative clinical effectiveness</w:t>
        </w:r>
        <w:r w:rsidR="00CE6ACA">
          <w:rPr>
            <w:noProof/>
            <w:webHidden/>
          </w:rPr>
          <w:tab/>
        </w:r>
        <w:r w:rsidR="00CE6ACA">
          <w:rPr>
            <w:noProof/>
            <w:webHidden/>
          </w:rPr>
          <w:fldChar w:fldCharType="begin"/>
        </w:r>
        <w:r w:rsidR="00CE6ACA">
          <w:rPr>
            <w:noProof/>
            <w:webHidden/>
          </w:rPr>
          <w:instrText xml:space="preserve"> PAGEREF _Toc165634700 \h </w:instrText>
        </w:r>
        <w:r w:rsidR="00CE6ACA">
          <w:rPr>
            <w:noProof/>
            <w:webHidden/>
          </w:rPr>
        </w:r>
        <w:r w:rsidR="00CE6ACA">
          <w:rPr>
            <w:noProof/>
            <w:webHidden/>
          </w:rPr>
          <w:fldChar w:fldCharType="separate"/>
        </w:r>
        <w:r w:rsidR="00CE6ACA">
          <w:rPr>
            <w:noProof/>
            <w:webHidden/>
          </w:rPr>
          <w:t>87</w:t>
        </w:r>
        <w:r w:rsidR="00CE6ACA">
          <w:rPr>
            <w:noProof/>
            <w:webHidden/>
          </w:rPr>
          <w:fldChar w:fldCharType="end"/>
        </w:r>
      </w:hyperlink>
    </w:p>
    <w:p w14:paraId="270863F8" w14:textId="4433D77E" w:rsidR="00CE6ACA"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34701" w:history="1">
        <w:r w:rsidR="00CE6ACA" w:rsidRPr="00733FF0">
          <w:rPr>
            <w:rStyle w:val="Hyperlink"/>
            <w:noProof/>
          </w:rPr>
          <w:t>C.2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Comparative cost-effectiveness</w:t>
        </w:r>
        <w:r w:rsidR="00CE6ACA">
          <w:rPr>
            <w:noProof/>
            <w:webHidden/>
          </w:rPr>
          <w:tab/>
        </w:r>
        <w:r w:rsidR="00CE6ACA">
          <w:rPr>
            <w:noProof/>
            <w:webHidden/>
          </w:rPr>
          <w:fldChar w:fldCharType="begin"/>
        </w:r>
        <w:r w:rsidR="00CE6ACA">
          <w:rPr>
            <w:noProof/>
            <w:webHidden/>
          </w:rPr>
          <w:instrText xml:space="preserve"> PAGEREF _Toc165634701 \h </w:instrText>
        </w:r>
        <w:r w:rsidR="00CE6ACA">
          <w:rPr>
            <w:noProof/>
            <w:webHidden/>
          </w:rPr>
        </w:r>
        <w:r w:rsidR="00CE6ACA">
          <w:rPr>
            <w:noProof/>
            <w:webHidden/>
          </w:rPr>
          <w:fldChar w:fldCharType="separate"/>
        </w:r>
        <w:r w:rsidR="00CE6ACA">
          <w:rPr>
            <w:noProof/>
            <w:webHidden/>
          </w:rPr>
          <w:t>105</w:t>
        </w:r>
        <w:r w:rsidR="00CE6ACA">
          <w:rPr>
            <w:noProof/>
            <w:webHidden/>
          </w:rPr>
          <w:fldChar w:fldCharType="end"/>
        </w:r>
      </w:hyperlink>
    </w:p>
    <w:p w14:paraId="07EFFAC9" w14:textId="53F72A63" w:rsidR="00CE6ACA"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34702" w:history="1">
        <w:r w:rsidR="00CE6ACA" w:rsidRPr="00733FF0">
          <w:rPr>
            <w:rStyle w:val="Hyperlink"/>
            <w:noProof/>
          </w:rPr>
          <w:t>Appendix D</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Data extraction</w:t>
        </w:r>
        <w:r w:rsidR="00CE6ACA">
          <w:rPr>
            <w:noProof/>
            <w:webHidden/>
          </w:rPr>
          <w:tab/>
        </w:r>
        <w:r w:rsidR="00CE6ACA">
          <w:rPr>
            <w:noProof/>
            <w:webHidden/>
          </w:rPr>
          <w:fldChar w:fldCharType="begin"/>
        </w:r>
        <w:r w:rsidR="00CE6ACA">
          <w:rPr>
            <w:noProof/>
            <w:webHidden/>
          </w:rPr>
          <w:instrText xml:space="preserve"> PAGEREF _Toc165634702 \h </w:instrText>
        </w:r>
        <w:r w:rsidR="00CE6ACA">
          <w:rPr>
            <w:noProof/>
            <w:webHidden/>
          </w:rPr>
        </w:r>
        <w:r w:rsidR="00CE6ACA">
          <w:rPr>
            <w:noProof/>
            <w:webHidden/>
          </w:rPr>
          <w:fldChar w:fldCharType="separate"/>
        </w:r>
        <w:r w:rsidR="00CE6ACA">
          <w:rPr>
            <w:noProof/>
            <w:webHidden/>
          </w:rPr>
          <w:t>107</w:t>
        </w:r>
        <w:r w:rsidR="00CE6ACA">
          <w:rPr>
            <w:noProof/>
            <w:webHidden/>
          </w:rPr>
          <w:fldChar w:fldCharType="end"/>
        </w:r>
      </w:hyperlink>
    </w:p>
    <w:p w14:paraId="1C74B4C2" w14:textId="5DABF0D1" w:rsidR="00CE6ACA"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34703" w:history="1">
        <w:r w:rsidR="00CE6ACA" w:rsidRPr="00733FF0">
          <w:rPr>
            <w:rStyle w:val="Hyperlink"/>
            <w:noProof/>
          </w:rPr>
          <w:t>D.1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Included systematic reviews on comparative effectiveness</w:t>
        </w:r>
        <w:r w:rsidR="00CE6ACA">
          <w:rPr>
            <w:noProof/>
            <w:webHidden/>
          </w:rPr>
          <w:tab/>
        </w:r>
        <w:r w:rsidR="00CE6ACA">
          <w:rPr>
            <w:noProof/>
            <w:webHidden/>
          </w:rPr>
          <w:fldChar w:fldCharType="begin"/>
        </w:r>
        <w:r w:rsidR="00CE6ACA">
          <w:rPr>
            <w:noProof/>
            <w:webHidden/>
          </w:rPr>
          <w:instrText xml:space="preserve"> PAGEREF _Toc165634703 \h </w:instrText>
        </w:r>
        <w:r w:rsidR="00CE6ACA">
          <w:rPr>
            <w:noProof/>
            <w:webHidden/>
          </w:rPr>
        </w:r>
        <w:r w:rsidR="00CE6ACA">
          <w:rPr>
            <w:noProof/>
            <w:webHidden/>
          </w:rPr>
          <w:fldChar w:fldCharType="separate"/>
        </w:r>
        <w:r w:rsidR="00CE6ACA">
          <w:rPr>
            <w:noProof/>
            <w:webHidden/>
          </w:rPr>
          <w:t>107</w:t>
        </w:r>
        <w:r w:rsidR="00CE6ACA">
          <w:rPr>
            <w:noProof/>
            <w:webHidden/>
          </w:rPr>
          <w:fldChar w:fldCharType="end"/>
        </w:r>
      </w:hyperlink>
    </w:p>
    <w:p w14:paraId="444731BF" w14:textId="51FB38BE" w:rsidR="00CE6ACA" w:rsidRDefault="00000000">
      <w:pPr>
        <w:pStyle w:val="TOC7"/>
        <w:rPr>
          <w:rFonts w:asciiTheme="minorHAnsi" w:eastAsiaTheme="minorEastAsia" w:hAnsiTheme="minorHAnsi" w:cstheme="minorBidi"/>
          <w:b w:val="0"/>
          <w:noProof/>
          <w:kern w:val="2"/>
          <w:sz w:val="24"/>
          <w:szCs w:val="24"/>
          <w:lang w:eastAsia="en-AU"/>
          <w14:ligatures w14:val="standardContextual"/>
        </w:rPr>
      </w:pPr>
      <w:hyperlink w:anchor="_Toc165634704" w:history="1">
        <w:r w:rsidR="00CE6ACA" w:rsidRPr="00733FF0">
          <w:rPr>
            <w:rStyle w:val="Hyperlink"/>
            <w:noProof/>
          </w:rPr>
          <w:t>Appendix E</w:t>
        </w:r>
        <w:r w:rsidR="00CE6ACA">
          <w:rPr>
            <w:rFonts w:asciiTheme="minorHAnsi" w:eastAsiaTheme="minorEastAsia" w:hAnsiTheme="minorHAnsi" w:cstheme="minorBidi"/>
            <w:b w:val="0"/>
            <w:noProof/>
            <w:kern w:val="2"/>
            <w:sz w:val="24"/>
            <w:szCs w:val="24"/>
            <w:lang w:eastAsia="en-AU"/>
            <w14:ligatures w14:val="standardContextual"/>
          </w:rPr>
          <w:tab/>
        </w:r>
        <w:r w:rsidR="00CE6ACA" w:rsidRPr="00733FF0">
          <w:rPr>
            <w:rStyle w:val="Hyperlink"/>
            <w:noProof/>
          </w:rPr>
          <w:t>Patient selection and management</w:t>
        </w:r>
        <w:r w:rsidR="00CE6ACA">
          <w:rPr>
            <w:noProof/>
            <w:webHidden/>
          </w:rPr>
          <w:tab/>
        </w:r>
        <w:r w:rsidR="00CE6ACA">
          <w:rPr>
            <w:noProof/>
            <w:webHidden/>
          </w:rPr>
          <w:fldChar w:fldCharType="begin"/>
        </w:r>
        <w:r w:rsidR="00CE6ACA">
          <w:rPr>
            <w:noProof/>
            <w:webHidden/>
          </w:rPr>
          <w:instrText xml:space="preserve"> PAGEREF _Toc165634704 \h </w:instrText>
        </w:r>
        <w:r w:rsidR="00CE6ACA">
          <w:rPr>
            <w:noProof/>
            <w:webHidden/>
          </w:rPr>
        </w:r>
        <w:r w:rsidR="00CE6ACA">
          <w:rPr>
            <w:noProof/>
            <w:webHidden/>
          </w:rPr>
          <w:fldChar w:fldCharType="separate"/>
        </w:r>
        <w:r w:rsidR="00CE6ACA">
          <w:rPr>
            <w:noProof/>
            <w:webHidden/>
          </w:rPr>
          <w:t>110</w:t>
        </w:r>
        <w:r w:rsidR="00CE6ACA">
          <w:rPr>
            <w:noProof/>
            <w:webHidden/>
          </w:rPr>
          <w:fldChar w:fldCharType="end"/>
        </w:r>
      </w:hyperlink>
    </w:p>
    <w:p w14:paraId="7A4C39DC" w14:textId="6A09C733" w:rsidR="00CE6ACA"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34705" w:history="1">
        <w:r w:rsidR="00CE6ACA" w:rsidRPr="00733FF0">
          <w:rPr>
            <w:rStyle w:val="Hyperlink"/>
            <w:noProof/>
          </w:rPr>
          <w:t>E.1</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Included publications</w:t>
        </w:r>
        <w:r w:rsidR="00CE6ACA">
          <w:rPr>
            <w:noProof/>
            <w:webHidden/>
          </w:rPr>
          <w:tab/>
        </w:r>
        <w:r w:rsidR="00CE6ACA">
          <w:rPr>
            <w:noProof/>
            <w:webHidden/>
          </w:rPr>
          <w:fldChar w:fldCharType="begin"/>
        </w:r>
        <w:r w:rsidR="00CE6ACA">
          <w:rPr>
            <w:noProof/>
            <w:webHidden/>
          </w:rPr>
          <w:instrText xml:space="preserve"> PAGEREF _Toc165634705 \h </w:instrText>
        </w:r>
        <w:r w:rsidR="00CE6ACA">
          <w:rPr>
            <w:noProof/>
            <w:webHidden/>
          </w:rPr>
        </w:r>
        <w:r w:rsidR="00CE6ACA">
          <w:rPr>
            <w:noProof/>
            <w:webHidden/>
          </w:rPr>
          <w:fldChar w:fldCharType="separate"/>
        </w:r>
        <w:r w:rsidR="00CE6ACA">
          <w:rPr>
            <w:noProof/>
            <w:webHidden/>
          </w:rPr>
          <w:t>110</w:t>
        </w:r>
        <w:r w:rsidR="00CE6ACA">
          <w:rPr>
            <w:noProof/>
            <w:webHidden/>
          </w:rPr>
          <w:fldChar w:fldCharType="end"/>
        </w:r>
      </w:hyperlink>
    </w:p>
    <w:p w14:paraId="5954A614" w14:textId="1DEEF1A3" w:rsidR="00CE6ACA" w:rsidRDefault="00000000">
      <w:pPr>
        <w:pStyle w:val="TOC8"/>
        <w:tabs>
          <w:tab w:val="left" w:pos="1985"/>
        </w:tabs>
        <w:rPr>
          <w:rFonts w:asciiTheme="minorHAnsi" w:eastAsiaTheme="minorEastAsia" w:hAnsiTheme="minorHAnsi" w:cstheme="minorBidi"/>
          <w:noProof/>
          <w:kern w:val="2"/>
          <w:sz w:val="24"/>
          <w:szCs w:val="24"/>
          <w:lang w:eastAsia="en-AU"/>
          <w14:ligatures w14:val="standardContextual"/>
        </w:rPr>
      </w:pPr>
      <w:hyperlink w:anchor="_Toc165634706" w:history="1">
        <w:r w:rsidR="00CE6ACA" w:rsidRPr="00733FF0">
          <w:rPr>
            <w:rStyle w:val="Hyperlink"/>
            <w:noProof/>
          </w:rPr>
          <w:t>E.2</w:t>
        </w:r>
        <w:r w:rsidR="00CE6ACA">
          <w:rPr>
            <w:rFonts w:asciiTheme="minorHAnsi" w:eastAsiaTheme="minorEastAsia" w:hAnsiTheme="minorHAnsi" w:cstheme="minorBidi"/>
            <w:noProof/>
            <w:kern w:val="2"/>
            <w:sz w:val="24"/>
            <w:szCs w:val="24"/>
            <w:lang w:eastAsia="en-AU"/>
            <w14:ligatures w14:val="standardContextual"/>
          </w:rPr>
          <w:tab/>
        </w:r>
        <w:r w:rsidR="00CE6ACA" w:rsidRPr="00733FF0">
          <w:rPr>
            <w:rStyle w:val="Hyperlink"/>
            <w:noProof/>
          </w:rPr>
          <w:t>SCS device indications and patient populations</w:t>
        </w:r>
        <w:r w:rsidR="00CE6ACA">
          <w:rPr>
            <w:noProof/>
            <w:webHidden/>
          </w:rPr>
          <w:tab/>
        </w:r>
        <w:r w:rsidR="00CE6ACA">
          <w:rPr>
            <w:noProof/>
            <w:webHidden/>
          </w:rPr>
          <w:fldChar w:fldCharType="begin"/>
        </w:r>
        <w:r w:rsidR="00CE6ACA">
          <w:rPr>
            <w:noProof/>
            <w:webHidden/>
          </w:rPr>
          <w:instrText xml:space="preserve"> PAGEREF _Toc165634706 \h </w:instrText>
        </w:r>
        <w:r w:rsidR="00CE6ACA">
          <w:rPr>
            <w:noProof/>
            <w:webHidden/>
          </w:rPr>
        </w:r>
        <w:r w:rsidR="00CE6ACA">
          <w:rPr>
            <w:noProof/>
            <w:webHidden/>
          </w:rPr>
          <w:fldChar w:fldCharType="separate"/>
        </w:r>
        <w:r w:rsidR="00CE6ACA">
          <w:rPr>
            <w:noProof/>
            <w:webHidden/>
          </w:rPr>
          <w:t>113</w:t>
        </w:r>
        <w:r w:rsidR="00CE6ACA">
          <w:rPr>
            <w:noProof/>
            <w:webHidden/>
          </w:rPr>
          <w:fldChar w:fldCharType="end"/>
        </w:r>
      </w:hyperlink>
    </w:p>
    <w:p w14:paraId="016DFAD7" w14:textId="1F744288" w:rsidR="008712BE" w:rsidRPr="00A21EC3" w:rsidRDefault="00A331DF">
      <w:r>
        <w:rPr>
          <w:bCs/>
          <w:noProof/>
        </w:rPr>
        <w:fldChar w:fldCharType="end"/>
      </w:r>
    </w:p>
    <w:p w14:paraId="78224B9A" w14:textId="60428F2A" w:rsidR="00EA0C88" w:rsidRDefault="0034464C" w:rsidP="00B123D8">
      <w:pPr>
        <w:pStyle w:val="ExecSumHeading1"/>
      </w:pPr>
      <w:bookmarkStart w:id="0" w:name="_Toc531705722"/>
      <w:bookmarkStart w:id="1" w:name="_Toc126153498"/>
      <w:bookmarkStart w:id="2" w:name="_Toc165634638"/>
      <w:r>
        <w:lastRenderedPageBreak/>
        <w:t>Abbreviations</w:t>
      </w:r>
      <w:bookmarkEnd w:id="0"/>
      <w:bookmarkEnd w:id="1"/>
      <w:bookmarkEnd w:id="2"/>
    </w:p>
    <w:p w14:paraId="7238F8FB" w14:textId="77777777" w:rsidR="005D6329" w:rsidRDefault="005D6329" w:rsidP="00EA0C88">
      <w:pPr>
        <w:pStyle w:val="BodyText"/>
        <w:sectPr w:rsidR="005D6329" w:rsidSect="000E0564">
          <w:headerReference w:type="even" r:id="rId12"/>
          <w:footerReference w:type="default" r:id="rId13"/>
          <w:headerReference w:type="first" r:id="rId14"/>
          <w:pgSz w:w="11906" w:h="16838"/>
          <w:pgMar w:top="1134" w:right="1134" w:bottom="1134" w:left="1134" w:header="850" w:footer="709" w:gutter="0"/>
          <w:cols w:space="708"/>
          <w:docGrid w:linePitch="360"/>
        </w:sectPr>
      </w:pPr>
    </w:p>
    <w:p w14:paraId="56BB4DC0" w14:textId="7DA0264C" w:rsidR="00EA0C88" w:rsidRPr="005D6329" w:rsidRDefault="00EA0C88" w:rsidP="00DF54D1">
      <w:pPr>
        <w:pStyle w:val="BodyText"/>
        <w:spacing w:after="60"/>
        <w:rPr>
          <w:sz w:val="18"/>
          <w:szCs w:val="18"/>
        </w:rPr>
      </w:pPr>
      <w:r w:rsidRPr="005D6329">
        <w:rPr>
          <w:sz w:val="18"/>
          <w:szCs w:val="18"/>
        </w:rPr>
        <w:t>ABDR</w:t>
      </w:r>
      <w:r w:rsidRPr="005D6329">
        <w:rPr>
          <w:sz w:val="18"/>
          <w:szCs w:val="18"/>
        </w:rPr>
        <w:tab/>
        <w:t>Australian Breast Device Registry</w:t>
      </w:r>
    </w:p>
    <w:p w14:paraId="6AA2B3DC" w14:textId="61E0E7D4" w:rsidR="00EA0C88" w:rsidRPr="005D6329" w:rsidRDefault="00EA0C88" w:rsidP="00DF54D1">
      <w:pPr>
        <w:pStyle w:val="BodyText"/>
        <w:spacing w:after="60"/>
        <w:ind w:left="720" w:hanging="720"/>
        <w:rPr>
          <w:sz w:val="18"/>
          <w:szCs w:val="18"/>
        </w:rPr>
      </w:pPr>
      <w:r w:rsidRPr="005D6329">
        <w:rPr>
          <w:sz w:val="18"/>
          <w:szCs w:val="18"/>
        </w:rPr>
        <w:t>ACSQHC</w:t>
      </w:r>
      <w:r w:rsidRPr="005D6329">
        <w:rPr>
          <w:sz w:val="18"/>
          <w:szCs w:val="18"/>
        </w:rPr>
        <w:tab/>
        <w:t>Australian Commission on Safety and Quality in Health Care</w:t>
      </w:r>
    </w:p>
    <w:p w14:paraId="7EDAFB73" w14:textId="03EA2C45" w:rsidR="00EA0C88" w:rsidRPr="005D6329" w:rsidRDefault="00EA0C88" w:rsidP="00DF54D1">
      <w:pPr>
        <w:pStyle w:val="BodyText"/>
        <w:spacing w:after="60"/>
        <w:rPr>
          <w:sz w:val="18"/>
          <w:szCs w:val="18"/>
        </w:rPr>
      </w:pPr>
      <w:r w:rsidRPr="005D6329">
        <w:rPr>
          <w:sz w:val="18"/>
          <w:szCs w:val="18"/>
        </w:rPr>
        <w:t>AE</w:t>
      </w:r>
      <w:r w:rsidRPr="005D6329">
        <w:rPr>
          <w:sz w:val="18"/>
          <w:szCs w:val="18"/>
        </w:rPr>
        <w:tab/>
        <w:t>Adverse events</w:t>
      </w:r>
    </w:p>
    <w:p w14:paraId="31ED66A3" w14:textId="49B113E1" w:rsidR="00EA0C88" w:rsidRPr="005D6329" w:rsidRDefault="00EA0C88" w:rsidP="00DF54D1">
      <w:pPr>
        <w:pStyle w:val="BodyText"/>
        <w:spacing w:after="60"/>
        <w:rPr>
          <w:sz w:val="18"/>
          <w:szCs w:val="18"/>
        </w:rPr>
      </w:pPr>
      <w:r w:rsidRPr="005D6329">
        <w:rPr>
          <w:sz w:val="18"/>
          <w:szCs w:val="18"/>
        </w:rPr>
        <w:t>AIHW</w:t>
      </w:r>
      <w:r w:rsidRPr="005D6329">
        <w:rPr>
          <w:sz w:val="18"/>
          <w:szCs w:val="18"/>
        </w:rPr>
        <w:tab/>
        <w:t>Australian Institute of Health and Welfare</w:t>
      </w:r>
    </w:p>
    <w:p w14:paraId="41CB1237" w14:textId="29547D26" w:rsidR="00674A54" w:rsidRPr="005D6329" w:rsidRDefault="00674A54" w:rsidP="00DF54D1">
      <w:pPr>
        <w:pStyle w:val="BodyText"/>
        <w:spacing w:after="60"/>
        <w:rPr>
          <w:sz w:val="18"/>
          <w:szCs w:val="18"/>
        </w:rPr>
      </w:pPr>
      <w:r w:rsidRPr="005D6329">
        <w:rPr>
          <w:sz w:val="18"/>
          <w:szCs w:val="18"/>
        </w:rPr>
        <w:t>AIMD</w:t>
      </w:r>
      <w:r w:rsidRPr="005D6329">
        <w:rPr>
          <w:sz w:val="18"/>
          <w:szCs w:val="18"/>
        </w:rPr>
        <w:tab/>
        <w:t>Active implantable medical device</w:t>
      </w:r>
    </w:p>
    <w:p w14:paraId="7B87386E" w14:textId="2951EF8D" w:rsidR="00EA0C88" w:rsidRPr="005D6329" w:rsidRDefault="00EA0C88" w:rsidP="00DF54D1">
      <w:pPr>
        <w:pStyle w:val="BodyText"/>
        <w:spacing w:after="60"/>
        <w:ind w:left="720" w:hanging="720"/>
        <w:rPr>
          <w:sz w:val="18"/>
          <w:szCs w:val="18"/>
        </w:rPr>
      </w:pPr>
      <w:r w:rsidRPr="005D6329">
        <w:rPr>
          <w:sz w:val="18"/>
          <w:szCs w:val="18"/>
        </w:rPr>
        <w:t>ANZCA</w:t>
      </w:r>
      <w:r w:rsidRPr="005D6329">
        <w:rPr>
          <w:sz w:val="18"/>
          <w:szCs w:val="18"/>
        </w:rPr>
        <w:tab/>
        <w:t>Australian and New Zealand College of Anaesthetists</w:t>
      </w:r>
    </w:p>
    <w:p w14:paraId="14CFD46A" w14:textId="475FB868" w:rsidR="00674A54" w:rsidRPr="005D6329" w:rsidRDefault="00674A54" w:rsidP="00DF54D1">
      <w:pPr>
        <w:pStyle w:val="BodyText"/>
        <w:spacing w:after="60"/>
        <w:rPr>
          <w:sz w:val="18"/>
          <w:szCs w:val="18"/>
        </w:rPr>
      </w:pPr>
      <w:r w:rsidRPr="005D6329">
        <w:rPr>
          <w:sz w:val="18"/>
          <w:szCs w:val="18"/>
        </w:rPr>
        <w:t>ANZCTR</w:t>
      </w:r>
      <w:r w:rsidRPr="005D6329">
        <w:rPr>
          <w:sz w:val="18"/>
          <w:szCs w:val="18"/>
        </w:rPr>
        <w:tab/>
        <w:t>Australian New Zealand Clinical Trials Registry</w:t>
      </w:r>
    </w:p>
    <w:p w14:paraId="0D8CBD2A" w14:textId="23A44CEE" w:rsidR="00EA0C88" w:rsidRPr="005D6329" w:rsidRDefault="00EA0C88" w:rsidP="00DF54D1">
      <w:pPr>
        <w:pStyle w:val="BodyText"/>
        <w:spacing w:after="60"/>
        <w:ind w:left="720" w:hanging="720"/>
        <w:rPr>
          <w:sz w:val="18"/>
          <w:szCs w:val="18"/>
        </w:rPr>
      </w:pPr>
      <w:r w:rsidRPr="005D6329">
        <w:rPr>
          <w:sz w:val="18"/>
          <w:szCs w:val="18"/>
        </w:rPr>
        <w:t>AOANJRR</w:t>
      </w:r>
      <w:r w:rsidRPr="005D6329">
        <w:rPr>
          <w:sz w:val="18"/>
          <w:szCs w:val="18"/>
        </w:rPr>
        <w:tab/>
        <w:t>Australian Orthopaedic Association National Joint Replacement Registry</w:t>
      </w:r>
    </w:p>
    <w:p w14:paraId="264FDF9E" w14:textId="7F01D9A3" w:rsidR="00674A54" w:rsidRPr="005D6329" w:rsidRDefault="00674A54" w:rsidP="00DF54D1">
      <w:pPr>
        <w:pStyle w:val="BodyText"/>
        <w:spacing w:after="60"/>
        <w:rPr>
          <w:sz w:val="18"/>
          <w:szCs w:val="18"/>
        </w:rPr>
      </w:pPr>
      <w:r w:rsidRPr="005D6329">
        <w:rPr>
          <w:sz w:val="18"/>
          <w:szCs w:val="18"/>
        </w:rPr>
        <w:t>AP</w:t>
      </w:r>
      <w:r w:rsidRPr="005D6329">
        <w:rPr>
          <w:sz w:val="18"/>
          <w:szCs w:val="18"/>
        </w:rPr>
        <w:tab/>
        <w:t>Angina pectoris</w:t>
      </w:r>
    </w:p>
    <w:p w14:paraId="61426AC4" w14:textId="050739E1" w:rsidR="00674A54" w:rsidRPr="005D6329" w:rsidRDefault="00674A54" w:rsidP="00DF54D1">
      <w:pPr>
        <w:pStyle w:val="BodyText"/>
        <w:spacing w:after="60"/>
        <w:rPr>
          <w:sz w:val="18"/>
          <w:szCs w:val="18"/>
        </w:rPr>
      </w:pPr>
      <w:r w:rsidRPr="005D6329">
        <w:rPr>
          <w:sz w:val="18"/>
          <w:szCs w:val="18"/>
        </w:rPr>
        <w:t>ARTG</w:t>
      </w:r>
      <w:r w:rsidRPr="005D6329">
        <w:rPr>
          <w:sz w:val="18"/>
          <w:szCs w:val="18"/>
        </w:rPr>
        <w:tab/>
        <w:t>Australian Registry of Therapeutic Goods</w:t>
      </w:r>
    </w:p>
    <w:p w14:paraId="58DA9880" w14:textId="0144235D" w:rsidR="00EA0C88" w:rsidRPr="005D6329" w:rsidRDefault="00EA0C88" w:rsidP="00DF54D1">
      <w:pPr>
        <w:pStyle w:val="BodyText"/>
        <w:spacing w:after="60"/>
        <w:rPr>
          <w:sz w:val="18"/>
          <w:szCs w:val="18"/>
        </w:rPr>
      </w:pPr>
      <w:r w:rsidRPr="005D6329">
        <w:rPr>
          <w:sz w:val="18"/>
          <w:szCs w:val="18"/>
        </w:rPr>
        <w:t>ASIPP</w:t>
      </w:r>
      <w:r w:rsidRPr="005D6329">
        <w:rPr>
          <w:sz w:val="18"/>
          <w:szCs w:val="18"/>
        </w:rPr>
        <w:tab/>
      </w:r>
      <w:r w:rsidR="00D47701" w:rsidRPr="005D6329">
        <w:rPr>
          <w:sz w:val="18"/>
          <w:szCs w:val="18"/>
        </w:rPr>
        <w:t>American Society of Interventional Pain Physicians</w:t>
      </w:r>
    </w:p>
    <w:p w14:paraId="551948F4" w14:textId="2E0D6A39" w:rsidR="00EA0C88" w:rsidRPr="005D6329" w:rsidRDefault="00EA0C88" w:rsidP="00DF54D1">
      <w:pPr>
        <w:pStyle w:val="BodyText"/>
        <w:spacing w:after="60"/>
        <w:rPr>
          <w:sz w:val="18"/>
          <w:szCs w:val="18"/>
        </w:rPr>
      </w:pPr>
      <w:r w:rsidRPr="005D6329">
        <w:rPr>
          <w:sz w:val="18"/>
          <w:szCs w:val="18"/>
        </w:rPr>
        <w:t>ASPN</w:t>
      </w:r>
      <w:r w:rsidRPr="005D6329">
        <w:rPr>
          <w:sz w:val="18"/>
          <w:szCs w:val="18"/>
        </w:rPr>
        <w:tab/>
        <w:t>American Society of Pain and Neuroscience</w:t>
      </w:r>
    </w:p>
    <w:p w14:paraId="234E912A" w14:textId="53B0D277" w:rsidR="00EA0C88" w:rsidRPr="005D6329" w:rsidRDefault="00EA0C88" w:rsidP="00DF54D1">
      <w:pPr>
        <w:pStyle w:val="BodyText"/>
        <w:spacing w:after="60"/>
        <w:rPr>
          <w:sz w:val="18"/>
          <w:szCs w:val="18"/>
        </w:rPr>
      </w:pPr>
      <w:r w:rsidRPr="005D6329">
        <w:rPr>
          <w:sz w:val="18"/>
          <w:szCs w:val="18"/>
        </w:rPr>
        <w:t>BMT</w:t>
      </w:r>
      <w:r w:rsidR="00052E19" w:rsidRPr="005D6329">
        <w:rPr>
          <w:sz w:val="18"/>
          <w:szCs w:val="18"/>
        </w:rPr>
        <w:tab/>
        <w:t>Best medical treatment</w:t>
      </w:r>
    </w:p>
    <w:p w14:paraId="2D464889" w14:textId="418708B1" w:rsidR="00EA0C88" w:rsidRPr="005D6329" w:rsidRDefault="00EA0C88" w:rsidP="00DF54D1">
      <w:pPr>
        <w:pStyle w:val="BodyText"/>
        <w:spacing w:after="60"/>
        <w:rPr>
          <w:sz w:val="18"/>
          <w:szCs w:val="18"/>
        </w:rPr>
      </w:pPr>
      <w:r w:rsidRPr="005D6329">
        <w:rPr>
          <w:sz w:val="18"/>
          <w:szCs w:val="18"/>
        </w:rPr>
        <w:t>BPI</w:t>
      </w:r>
      <w:r w:rsidR="00052E19" w:rsidRPr="005D6329">
        <w:rPr>
          <w:sz w:val="18"/>
          <w:szCs w:val="18"/>
        </w:rPr>
        <w:tab/>
        <w:t>Brief Pain Inventory</w:t>
      </w:r>
    </w:p>
    <w:p w14:paraId="7C598A34" w14:textId="74654E35" w:rsidR="00EA0C88" w:rsidRPr="005D6329" w:rsidRDefault="00EA0C88" w:rsidP="00DF54D1">
      <w:pPr>
        <w:pStyle w:val="BodyText"/>
        <w:spacing w:after="60"/>
        <w:rPr>
          <w:sz w:val="18"/>
          <w:szCs w:val="18"/>
        </w:rPr>
      </w:pPr>
      <w:r w:rsidRPr="005D6329">
        <w:rPr>
          <w:sz w:val="18"/>
          <w:szCs w:val="18"/>
        </w:rPr>
        <w:t>CABG</w:t>
      </w:r>
      <w:r w:rsidR="00052E19" w:rsidRPr="005D6329">
        <w:rPr>
          <w:sz w:val="18"/>
          <w:szCs w:val="18"/>
        </w:rPr>
        <w:tab/>
        <w:t>Coronary artery bypass grafting</w:t>
      </w:r>
    </w:p>
    <w:p w14:paraId="3B49D755" w14:textId="6D763446" w:rsidR="00674A54" w:rsidRPr="005D6329" w:rsidRDefault="00674A54" w:rsidP="00DF54D1">
      <w:pPr>
        <w:pStyle w:val="BodyText"/>
        <w:spacing w:after="60"/>
        <w:rPr>
          <w:sz w:val="18"/>
          <w:szCs w:val="18"/>
        </w:rPr>
      </w:pPr>
      <w:r w:rsidRPr="005D6329">
        <w:rPr>
          <w:sz w:val="18"/>
          <w:szCs w:val="18"/>
        </w:rPr>
        <w:t>CBLP</w:t>
      </w:r>
      <w:r w:rsidRPr="005D6329">
        <w:rPr>
          <w:sz w:val="18"/>
          <w:szCs w:val="18"/>
        </w:rPr>
        <w:tab/>
        <w:t>Chronic back and leg pain</w:t>
      </w:r>
    </w:p>
    <w:p w14:paraId="1217F650" w14:textId="6AC0465B" w:rsidR="00EA0C88" w:rsidRPr="005D6329" w:rsidRDefault="00EA0C88" w:rsidP="00DF54D1">
      <w:pPr>
        <w:pStyle w:val="BodyText"/>
        <w:spacing w:after="60"/>
        <w:rPr>
          <w:sz w:val="18"/>
          <w:szCs w:val="18"/>
        </w:rPr>
      </w:pPr>
      <w:r w:rsidRPr="005D6329">
        <w:rPr>
          <w:sz w:val="18"/>
          <w:szCs w:val="18"/>
        </w:rPr>
        <w:t>CEA</w:t>
      </w:r>
      <w:r w:rsidR="00052E19" w:rsidRPr="005D6329">
        <w:rPr>
          <w:sz w:val="18"/>
          <w:szCs w:val="18"/>
        </w:rPr>
        <w:tab/>
        <w:t xml:space="preserve">Cost-effectiveness </w:t>
      </w:r>
      <w:proofErr w:type="spellStart"/>
      <w:r w:rsidR="00052E19" w:rsidRPr="005D6329">
        <w:rPr>
          <w:sz w:val="18"/>
          <w:szCs w:val="18"/>
        </w:rPr>
        <w:t>anaylsis</w:t>
      </w:r>
      <w:proofErr w:type="spellEnd"/>
    </w:p>
    <w:p w14:paraId="37560992" w14:textId="6D5804AC" w:rsidR="00674A54" w:rsidRPr="005D6329" w:rsidRDefault="00674A54" w:rsidP="00DF54D1">
      <w:pPr>
        <w:pStyle w:val="BodyText"/>
        <w:spacing w:after="60"/>
        <w:rPr>
          <w:sz w:val="18"/>
          <w:szCs w:val="18"/>
        </w:rPr>
      </w:pPr>
      <w:r w:rsidRPr="005D6329">
        <w:rPr>
          <w:sz w:val="18"/>
          <w:szCs w:val="18"/>
        </w:rPr>
        <w:t>CHEPA</w:t>
      </w:r>
      <w:r w:rsidRPr="005D6329">
        <w:rPr>
          <w:sz w:val="18"/>
          <w:szCs w:val="18"/>
        </w:rPr>
        <w:tab/>
        <w:t>Centre for Health Economics and Policy Analysis</w:t>
      </w:r>
    </w:p>
    <w:p w14:paraId="7AB9FEAD" w14:textId="64B81EBD" w:rsidR="00674A54" w:rsidRPr="005D6329" w:rsidRDefault="00674A54" w:rsidP="00DF54D1">
      <w:pPr>
        <w:pStyle w:val="BodyText"/>
        <w:spacing w:after="60"/>
        <w:rPr>
          <w:sz w:val="18"/>
          <w:szCs w:val="18"/>
        </w:rPr>
      </w:pPr>
      <w:r w:rsidRPr="005D6329">
        <w:rPr>
          <w:sz w:val="18"/>
          <w:szCs w:val="18"/>
        </w:rPr>
        <w:t>CHSPR</w:t>
      </w:r>
      <w:r w:rsidRPr="005D6329">
        <w:rPr>
          <w:sz w:val="18"/>
          <w:szCs w:val="18"/>
        </w:rPr>
        <w:tab/>
        <w:t>Centre for Health Services and Policy Research</w:t>
      </w:r>
    </w:p>
    <w:p w14:paraId="4C6C2E7B" w14:textId="06801400" w:rsidR="00674A54" w:rsidRPr="005D6329" w:rsidRDefault="00674A54" w:rsidP="00DF54D1">
      <w:pPr>
        <w:pStyle w:val="BodyText"/>
        <w:spacing w:after="60"/>
        <w:rPr>
          <w:sz w:val="18"/>
          <w:szCs w:val="18"/>
        </w:rPr>
      </w:pPr>
      <w:r w:rsidRPr="005D6329">
        <w:rPr>
          <w:sz w:val="18"/>
          <w:szCs w:val="18"/>
        </w:rPr>
        <w:t>CI</w:t>
      </w:r>
      <w:r w:rsidRPr="005D6329">
        <w:rPr>
          <w:sz w:val="18"/>
          <w:szCs w:val="18"/>
        </w:rPr>
        <w:tab/>
        <w:t>Confidence interval</w:t>
      </w:r>
    </w:p>
    <w:p w14:paraId="6D3FF36E" w14:textId="7A8C0795" w:rsidR="00674A54" w:rsidRPr="005D6329" w:rsidRDefault="00674A54" w:rsidP="00DF54D1">
      <w:pPr>
        <w:pStyle w:val="BodyText"/>
        <w:spacing w:after="60"/>
        <w:rPr>
          <w:sz w:val="18"/>
          <w:szCs w:val="18"/>
        </w:rPr>
      </w:pPr>
      <w:r w:rsidRPr="005D6329">
        <w:rPr>
          <w:sz w:val="18"/>
          <w:szCs w:val="18"/>
        </w:rPr>
        <w:t>CLBP</w:t>
      </w:r>
      <w:r w:rsidRPr="005D6329">
        <w:rPr>
          <w:sz w:val="18"/>
          <w:szCs w:val="18"/>
        </w:rPr>
        <w:tab/>
        <w:t>Chronic low back pain</w:t>
      </w:r>
    </w:p>
    <w:p w14:paraId="496ABF7E" w14:textId="690BD92F" w:rsidR="00674A54" w:rsidRPr="005D6329" w:rsidRDefault="00674A54" w:rsidP="00DF54D1">
      <w:pPr>
        <w:pStyle w:val="BodyText"/>
        <w:spacing w:after="60"/>
        <w:rPr>
          <w:sz w:val="18"/>
          <w:szCs w:val="18"/>
        </w:rPr>
      </w:pPr>
      <w:r w:rsidRPr="005D6329">
        <w:rPr>
          <w:sz w:val="18"/>
          <w:szCs w:val="18"/>
        </w:rPr>
        <w:t>CLI</w:t>
      </w:r>
      <w:r w:rsidRPr="005D6329">
        <w:rPr>
          <w:sz w:val="18"/>
          <w:szCs w:val="18"/>
        </w:rPr>
        <w:tab/>
        <w:t xml:space="preserve">Critical limb </w:t>
      </w:r>
      <w:proofErr w:type="spellStart"/>
      <w:r w:rsidRPr="005D6329">
        <w:rPr>
          <w:sz w:val="18"/>
          <w:szCs w:val="18"/>
        </w:rPr>
        <w:t>ischaemia</w:t>
      </w:r>
      <w:proofErr w:type="spellEnd"/>
    </w:p>
    <w:p w14:paraId="1F411A6B" w14:textId="0697DC3C" w:rsidR="00674A54" w:rsidRPr="005D6329" w:rsidRDefault="00674A54" w:rsidP="00DF54D1">
      <w:pPr>
        <w:pStyle w:val="BodyText"/>
        <w:spacing w:after="60"/>
        <w:rPr>
          <w:sz w:val="18"/>
          <w:szCs w:val="18"/>
        </w:rPr>
      </w:pPr>
      <w:r w:rsidRPr="005D6329">
        <w:rPr>
          <w:sz w:val="18"/>
          <w:szCs w:val="18"/>
        </w:rPr>
        <w:t>CLS</w:t>
      </w:r>
      <w:r w:rsidRPr="005D6329">
        <w:rPr>
          <w:sz w:val="18"/>
          <w:szCs w:val="18"/>
        </w:rPr>
        <w:tab/>
        <w:t>Closed Loop Stimulator</w:t>
      </w:r>
    </w:p>
    <w:p w14:paraId="1F9F45F4" w14:textId="0AE89C74" w:rsidR="00674A54" w:rsidRPr="005D6329" w:rsidRDefault="00674A54" w:rsidP="00DF54D1">
      <w:pPr>
        <w:pStyle w:val="BodyText"/>
        <w:spacing w:after="60"/>
        <w:rPr>
          <w:sz w:val="18"/>
          <w:szCs w:val="18"/>
        </w:rPr>
      </w:pPr>
      <w:r w:rsidRPr="005D6329">
        <w:rPr>
          <w:sz w:val="18"/>
          <w:szCs w:val="18"/>
        </w:rPr>
        <w:t>CMM</w:t>
      </w:r>
      <w:r w:rsidRPr="005D6329">
        <w:rPr>
          <w:sz w:val="18"/>
          <w:szCs w:val="18"/>
        </w:rPr>
        <w:tab/>
        <w:t>Conventional medical management</w:t>
      </w:r>
    </w:p>
    <w:p w14:paraId="3C5113A2" w14:textId="18C6B987" w:rsidR="00EA0C88" w:rsidRPr="005D6329" w:rsidRDefault="00EA0C88" w:rsidP="00DF54D1">
      <w:pPr>
        <w:pStyle w:val="BodyText"/>
        <w:spacing w:after="60"/>
        <w:rPr>
          <w:sz w:val="18"/>
          <w:szCs w:val="18"/>
        </w:rPr>
      </w:pPr>
      <w:r w:rsidRPr="005D6329">
        <w:rPr>
          <w:sz w:val="18"/>
          <w:szCs w:val="18"/>
        </w:rPr>
        <w:t>COI</w:t>
      </w:r>
      <w:r w:rsidR="00052E19" w:rsidRPr="005D6329">
        <w:rPr>
          <w:sz w:val="18"/>
          <w:szCs w:val="18"/>
        </w:rPr>
        <w:tab/>
        <w:t>Conflict of interest</w:t>
      </w:r>
    </w:p>
    <w:p w14:paraId="5EDEF9CA" w14:textId="1AC82A0A" w:rsidR="00EA0C88" w:rsidRPr="005D6329" w:rsidRDefault="00EA0C88" w:rsidP="00DF54D1">
      <w:pPr>
        <w:pStyle w:val="BodyText"/>
        <w:spacing w:after="60"/>
        <w:rPr>
          <w:sz w:val="18"/>
          <w:szCs w:val="18"/>
        </w:rPr>
      </w:pPr>
      <w:r w:rsidRPr="005D6329">
        <w:rPr>
          <w:sz w:val="18"/>
          <w:szCs w:val="18"/>
        </w:rPr>
        <w:t>CPG</w:t>
      </w:r>
      <w:r w:rsidR="00052E19" w:rsidRPr="005D6329">
        <w:rPr>
          <w:sz w:val="18"/>
          <w:szCs w:val="18"/>
        </w:rPr>
        <w:tab/>
        <w:t>Clinical practice guideline</w:t>
      </w:r>
    </w:p>
    <w:p w14:paraId="2B21A216" w14:textId="0C018BBE" w:rsidR="00EA0C88" w:rsidRPr="005D6329" w:rsidRDefault="00EA0C88" w:rsidP="00DF54D1">
      <w:pPr>
        <w:pStyle w:val="BodyText"/>
        <w:spacing w:after="60"/>
        <w:rPr>
          <w:sz w:val="18"/>
          <w:szCs w:val="18"/>
        </w:rPr>
      </w:pPr>
      <w:r w:rsidRPr="005D6329">
        <w:rPr>
          <w:sz w:val="18"/>
          <w:szCs w:val="18"/>
        </w:rPr>
        <w:t>CPRS</w:t>
      </w:r>
      <w:r w:rsidR="00052E19" w:rsidRPr="005D6329">
        <w:rPr>
          <w:sz w:val="18"/>
          <w:szCs w:val="18"/>
        </w:rPr>
        <w:tab/>
        <w:t>Complex</w:t>
      </w:r>
      <w:r w:rsidR="00D773A9" w:rsidRPr="005D6329">
        <w:rPr>
          <w:sz w:val="18"/>
          <w:szCs w:val="18"/>
        </w:rPr>
        <w:t xml:space="preserve"> </w:t>
      </w:r>
      <w:r w:rsidR="00007DCC" w:rsidRPr="005D6329">
        <w:rPr>
          <w:sz w:val="18"/>
          <w:szCs w:val="18"/>
        </w:rPr>
        <w:t>regional pain syndrome</w:t>
      </w:r>
    </w:p>
    <w:p w14:paraId="62098866" w14:textId="1CCEF967" w:rsidR="00EA0C88" w:rsidRPr="005D6329" w:rsidRDefault="00EA0C88" w:rsidP="00DF54D1">
      <w:pPr>
        <w:pStyle w:val="BodyText"/>
        <w:spacing w:after="60"/>
        <w:rPr>
          <w:sz w:val="18"/>
          <w:szCs w:val="18"/>
        </w:rPr>
      </w:pPr>
      <w:r w:rsidRPr="005D6329">
        <w:rPr>
          <w:sz w:val="18"/>
          <w:szCs w:val="18"/>
        </w:rPr>
        <w:t>CUA</w:t>
      </w:r>
      <w:r w:rsidR="00007DCC" w:rsidRPr="005D6329">
        <w:rPr>
          <w:sz w:val="18"/>
          <w:szCs w:val="18"/>
        </w:rPr>
        <w:tab/>
        <w:t>Cost-utility analysis</w:t>
      </w:r>
    </w:p>
    <w:p w14:paraId="1F3CE380" w14:textId="6B5AFDFE" w:rsidR="00EA0C88" w:rsidRPr="005D6329" w:rsidRDefault="00EA0C88" w:rsidP="00DF54D1">
      <w:pPr>
        <w:pStyle w:val="BodyText"/>
        <w:spacing w:after="60"/>
        <w:ind w:left="720" w:hanging="720"/>
        <w:rPr>
          <w:sz w:val="18"/>
          <w:szCs w:val="18"/>
        </w:rPr>
      </w:pPr>
      <w:r w:rsidRPr="005D6329">
        <w:rPr>
          <w:sz w:val="18"/>
          <w:szCs w:val="18"/>
        </w:rPr>
        <w:t>DASH</w:t>
      </w:r>
      <w:r w:rsidR="004B7A5E" w:rsidRPr="005D6329">
        <w:rPr>
          <w:sz w:val="18"/>
          <w:szCs w:val="18"/>
        </w:rPr>
        <w:tab/>
        <w:t>Disabilities of the Arm, Shoulder, and Hand Questionnaire</w:t>
      </w:r>
    </w:p>
    <w:p w14:paraId="0A24AE64" w14:textId="4B42AF45" w:rsidR="00EA0C88" w:rsidRPr="005D6329" w:rsidRDefault="00EA0C88" w:rsidP="00DF54D1">
      <w:pPr>
        <w:pStyle w:val="BodyText"/>
        <w:spacing w:after="60"/>
        <w:rPr>
          <w:sz w:val="18"/>
          <w:szCs w:val="18"/>
        </w:rPr>
      </w:pPr>
      <w:r w:rsidRPr="005D6329">
        <w:rPr>
          <w:sz w:val="18"/>
          <w:szCs w:val="18"/>
        </w:rPr>
        <w:t>DASS</w:t>
      </w:r>
      <w:r w:rsidR="004B7A5E" w:rsidRPr="005D6329">
        <w:rPr>
          <w:sz w:val="18"/>
          <w:szCs w:val="18"/>
        </w:rPr>
        <w:tab/>
        <w:t>Depression, Anxiety and Stress Scale</w:t>
      </w:r>
    </w:p>
    <w:p w14:paraId="6CC82E9A" w14:textId="06711B24" w:rsidR="00674A54" w:rsidRPr="005D6329" w:rsidRDefault="00674A54" w:rsidP="00DF54D1">
      <w:pPr>
        <w:pStyle w:val="BodyText"/>
        <w:spacing w:after="60"/>
        <w:rPr>
          <w:sz w:val="18"/>
          <w:szCs w:val="18"/>
        </w:rPr>
      </w:pPr>
      <w:proofErr w:type="spellStart"/>
      <w:r w:rsidRPr="005D6329">
        <w:rPr>
          <w:sz w:val="18"/>
          <w:szCs w:val="18"/>
        </w:rPr>
        <w:t>DoHAC</w:t>
      </w:r>
      <w:proofErr w:type="spellEnd"/>
      <w:r w:rsidRPr="005D6329">
        <w:rPr>
          <w:sz w:val="18"/>
          <w:szCs w:val="18"/>
        </w:rPr>
        <w:tab/>
        <w:t>Department of Health and Aged Care</w:t>
      </w:r>
    </w:p>
    <w:p w14:paraId="56B0B817" w14:textId="3C2AF711" w:rsidR="00674A54" w:rsidRPr="005D6329" w:rsidRDefault="00674A54" w:rsidP="00DF54D1">
      <w:pPr>
        <w:pStyle w:val="BodyText"/>
        <w:spacing w:after="60"/>
        <w:rPr>
          <w:sz w:val="18"/>
          <w:szCs w:val="18"/>
        </w:rPr>
      </w:pPr>
      <w:r w:rsidRPr="005D6329">
        <w:rPr>
          <w:sz w:val="18"/>
          <w:szCs w:val="18"/>
        </w:rPr>
        <w:t>DPN</w:t>
      </w:r>
      <w:r w:rsidRPr="005D6329">
        <w:rPr>
          <w:sz w:val="18"/>
          <w:szCs w:val="18"/>
        </w:rPr>
        <w:tab/>
        <w:t>Diabetic peripheral neuropathy</w:t>
      </w:r>
    </w:p>
    <w:p w14:paraId="549324CB" w14:textId="5755097C" w:rsidR="00674A54" w:rsidRPr="005D6329" w:rsidRDefault="00674A54" w:rsidP="00DF54D1">
      <w:pPr>
        <w:pStyle w:val="BodyText"/>
        <w:spacing w:after="60"/>
        <w:rPr>
          <w:sz w:val="18"/>
          <w:szCs w:val="18"/>
        </w:rPr>
      </w:pPr>
      <w:r w:rsidRPr="005D6329">
        <w:rPr>
          <w:sz w:val="18"/>
          <w:szCs w:val="18"/>
        </w:rPr>
        <w:t>DRG</w:t>
      </w:r>
      <w:r w:rsidRPr="005D6329">
        <w:rPr>
          <w:sz w:val="18"/>
          <w:szCs w:val="18"/>
        </w:rPr>
        <w:tab/>
        <w:t>Dorsal root ganglion</w:t>
      </w:r>
    </w:p>
    <w:p w14:paraId="2BF762CE" w14:textId="7459D0BB" w:rsidR="00674A54" w:rsidRPr="005D6329" w:rsidRDefault="00674A54" w:rsidP="00DF54D1">
      <w:pPr>
        <w:pStyle w:val="BodyText"/>
        <w:spacing w:after="60"/>
        <w:rPr>
          <w:sz w:val="18"/>
          <w:szCs w:val="18"/>
        </w:rPr>
      </w:pPr>
      <w:r w:rsidRPr="005D6329">
        <w:rPr>
          <w:sz w:val="18"/>
          <w:szCs w:val="18"/>
        </w:rPr>
        <w:t>DRGS</w:t>
      </w:r>
      <w:r w:rsidRPr="005D6329">
        <w:rPr>
          <w:sz w:val="18"/>
          <w:szCs w:val="18"/>
        </w:rPr>
        <w:tab/>
        <w:t>Dorsal root ganglion stimulator/stimulation</w:t>
      </w:r>
    </w:p>
    <w:p w14:paraId="2E1C243E" w14:textId="34A98B59" w:rsidR="00EA0C88" w:rsidRPr="005D6329" w:rsidRDefault="00EA0C88" w:rsidP="00DF54D1">
      <w:pPr>
        <w:pStyle w:val="BodyText"/>
        <w:spacing w:after="60"/>
        <w:rPr>
          <w:sz w:val="18"/>
          <w:szCs w:val="18"/>
        </w:rPr>
      </w:pPr>
      <w:r w:rsidRPr="005D6329">
        <w:rPr>
          <w:sz w:val="18"/>
          <w:szCs w:val="18"/>
        </w:rPr>
        <w:t>DTM</w:t>
      </w:r>
      <w:r w:rsidR="00A14BD3" w:rsidRPr="005D6329">
        <w:rPr>
          <w:sz w:val="18"/>
          <w:szCs w:val="18"/>
        </w:rPr>
        <w:tab/>
      </w:r>
      <w:r w:rsidR="00A14BD3" w:rsidRPr="005D6329">
        <w:rPr>
          <w:rFonts w:eastAsia="Batang"/>
          <w:sz w:val="18"/>
          <w:szCs w:val="18"/>
          <w:lang w:eastAsia="en-AU"/>
        </w:rPr>
        <w:t>differential target multiplexed</w:t>
      </w:r>
    </w:p>
    <w:p w14:paraId="38EC8233" w14:textId="6753A115" w:rsidR="00674A54" w:rsidRPr="005D6329" w:rsidRDefault="00674A54" w:rsidP="00DF54D1">
      <w:pPr>
        <w:pStyle w:val="BodyText"/>
        <w:spacing w:after="60"/>
        <w:rPr>
          <w:sz w:val="18"/>
          <w:szCs w:val="18"/>
        </w:rPr>
      </w:pPr>
      <w:r w:rsidRPr="005D6329">
        <w:rPr>
          <w:sz w:val="18"/>
          <w:szCs w:val="18"/>
        </w:rPr>
        <w:t>EAN</w:t>
      </w:r>
      <w:r w:rsidRPr="005D6329">
        <w:rPr>
          <w:sz w:val="18"/>
          <w:szCs w:val="18"/>
        </w:rPr>
        <w:tab/>
        <w:t>European Academy of Neurology</w:t>
      </w:r>
    </w:p>
    <w:p w14:paraId="644BB478" w14:textId="7E20220F" w:rsidR="00674A54" w:rsidRPr="005D6329" w:rsidRDefault="00674A54" w:rsidP="00DF54D1">
      <w:pPr>
        <w:pStyle w:val="BodyText"/>
        <w:spacing w:after="60"/>
        <w:rPr>
          <w:sz w:val="18"/>
          <w:szCs w:val="18"/>
        </w:rPr>
      </w:pPr>
      <w:r w:rsidRPr="005D6329">
        <w:rPr>
          <w:sz w:val="18"/>
          <w:szCs w:val="18"/>
        </w:rPr>
        <w:t>EPT</w:t>
      </w:r>
      <w:r w:rsidRPr="005D6329">
        <w:rPr>
          <w:sz w:val="18"/>
          <w:szCs w:val="18"/>
        </w:rPr>
        <w:tab/>
        <w:t>External pulse transmitter</w:t>
      </w:r>
    </w:p>
    <w:p w14:paraId="0F167CE5" w14:textId="730ABDCC" w:rsidR="00EA0C88" w:rsidRPr="005D6329" w:rsidRDefault="00EA0C88" w:rsidP="00DF54D1">
      <w:pPr>
        <w:pStyle w:val="BodyText"/>
        <w:spacing w:after="60"/>
        <w:rPr>
          <w:sz w:val="18"/>
          <w:szCs w:val="18"/>
        </w:rPr>
      </w:pPr>
      <w:r w:rsidRPr="005D6329">
        <w:rPr>
          <w:sz w:val="18"/>
          <w:szCs w:val="18"/>
        </w:rPr>
        <w:t>EQ</w:t>
      </w:r>
      <w:r w:rsidR="00444AFE" w:rsidRPr="005D6329">
        <w:rPr>
          <w:sz w:val="18"/>
          <w:szCs w:val="18"/>
        </w:rPr>
        <w:tab/>
      </w:r>
      <w:proofErr w:type="spellStart"/>
      <w:r w:rsidR="00444AFE" w:rsidRPr="005D6329">
        <w:rPr>
          <w:sz w:val="18"/>
          <w:szCs w:val="18"/>
        </w:rPr>
        <w:t>EuroQOL</w:t>
      </w:r>
      <w:proofErr w:type="spellEnd"/>
    </w:p>
    <w:p w14:paraId="7A3A325C" w14:textId="2FA1F397" w:rsidR="00674A54" w:rsidRPr="005D6329" w:rsidRDefault="00674A54" w:rsidP="00DF54D1">
      <w:pPr>
        <w:pStyle w:val="BodyText"/>
        <w:spacing w:after="60"/>
        <w:rPr>
          <w:sz w:val="18"/>
          <w:szCs w:val="18"/>
        </w:rPr>
      </w:pPr>
      <w:r w:rsidRPr="005D6329">
        <w:rPr>
          <w:sz w:val="18"/>
          <w:szCs w:val="18"/>
        </w:rPr>
        <w:t>FBSS</w:t>
      </w:r>
      <w:r w:rsidRPr="005D6329">
        <w:rPr>
          <w:sz w:val="18"/>
          <w:szCs w:val="18"/>
        </w:rPr>
        <w:tab/>
        <w:t>Failed back surgery syndrome</w:t>
      </w:r>
    </w:p>
    <w:p w14:paraId="25AAFAE5" w14:textId="7CD91906" w:rsidR="00674A54" w:rsidRPr="005D6329" w:rsidRDefault="00674A54" w:rsidP="00DF54D1">
      <w:pPr>
        <w:pStyle w:val="BodyText"/>
        <w:spacing w:after="60"/>
        <w:rPr>
          <w:sz w:val="18"/>
          <w:szCs w:val="18"/>
        </w:rPr>
      </w:pPr>
      <w:r w:rsidRPr="005D6329">
        <w:rPr>
          <w:sz w:val="18"/>
          <w:szCs w:val="18"/>
        </w:rPr>
        <w:t>FDA</w:t>
      </w:r>
      <w:r w:rsidRPr="005D6329">
        <w:rPr>
          <w:sz w:val="18"/>
          <w:szCs w:val="18"/>
        </w:rPr>
        <w:tab/>
        <w:t>Food and Drug Administration</w:t>
      </w:r>
    </w:p>
    <w:p w14:paraId="669E22A8" w14:textId="34069D9B" w:rsidR="00EA0C88" w:rsidRPr="005D6329" w:rsidRDefault="00EA0C88" w:rsidP="00DF54D1">
      <w:pPr>
        <w:pStyle w:val="BodyText"/>
        <w:spacing w:after="60"/>
        <w:rPr>
          <w:sz w:val="18"/>
          <w:szCs w:val="18"/>
        </w:rPr>
      </w:pPr>
      <w:r w:rsidRPr="005D6329">
        <w:rPr>
          <w:sz w:val="18"/>
          <w:szCs w:val="18"/>
        </w:rPr>
        <w:t>FSQ</w:t>
      </w:r>
      <w:r w:rsidR="00444AFE" w:rsidRPr="005D6329">
        <w:rPr>
          <w:sz w:val="18"/>
          <w:szCs w:val="18"/>
        </w:rPr>
        <w:tab/>
        <w:t>Fibromyalgia Survey Questionnaire</w:t>
      </w:r>
    </w:p>
    <w:p w14:paraId="5BA47566" w14:textId="0B2560FE" w:rsidR="00EA0C88" w:rsidRPr="005D6329" w:rsidRDefault="00EA0C88" w:rsidP="00DF54D1">
      <w:pPr>
        <w:pStyle w:val="BodyText"/>
        <w:spacing w:after="60"/>
        <w:rPr>
          <w:sz w:val="18"/>
          <w:szCs w:val="18"/>
        </w:rPr>
      </w:pPr>
      <w:r w:rsidRPr="005D6329">
        <w:rPr>
          <w:sz w:val="18"/>
          <w:szCs w:val="18"/>
        </w:rPr>
        <w:t>GMDN</w:t>
      </w:r>
      <w:r w:rsidR="00444AFE" w:rsidRPr="005D6329">
        <w:rPr>
          <w:sz w:val="18"/>
          <w:szCs w:val="18"/>
        </w:rPr>
        <w:tab/>
        <w:t>Global Medical Device Nomenclature</w:t>
      </w:r>
    </w:p>
    <w:p w14:paraId="4F38B93F" w14:textId="18AB9FFD" w:rsidR="00EA0C88" w:rsidRPr="005D6329" w:rsidRDefault="00EA0C88" w:rsidP="00DF54D1">
      <w:pPr>
        <w:pStyle w:val="BodyText"/>
        <w:spacing w:after="60"/>
        <w:ind w:left="720" w:hanging="720"/>
        <w:rPr>
          <w:sz w:val="18"/>
          <w:szCs w:val="18"/>
        </w:rPr>
      </w:pPr>
      <w:r w:rsidRPr="005D6329">
        <w:rPr>
          <w:sz w:val="18"/>
          <w:szCs w:val="18"/>
        </w:rPr>
        <w:t>GRADE</w:t>
      </w:r>
      <w:r w:rsidR="00444AFE" w:rsidRPr="005D6329">
        <w:rPr>
          <w:sz w:val="18"/>
          <w:szCs w:val="18"/>
        </w:rPr>
        <w:tab/>
      </w:r>
      <w:r w:rsidR="00887687" w:rsidRPr="005D6329">
        <w:rPr>
          <w:sz w:val="18"/>
          <w:szCs w:val="18"/>
        </w:rPr>
        <w:t>Grading of Recommendations, Assessment, Development and Evaluation</w:t>
      </w:r>
    </w:p>
    <w:p w14:paraId="4E279501" w14:textId="01B1AFA3" w:rsidR="00EA0C88" w:rsidRPr="005D6329" w:rsidRDefault="00EA0C88" w:rsidP="00DF54D1">
      <w:pPr>
        <w:pStyle w:val="BodyText"/>
        <w:spacing w:after="60"/>
        <w:rPr>
          <w:sz w:val="18"/>
          <w:szCs w:val="18"/>
        </w:rPr>
      </w:pPr>
      <w:r w:rsidRPr="005D6329">
        <w:rPr>
          <w:sz w:val="18"/>
          <w:szCs w:val="18"/>
        </w:rPr>
        <w:t>HAD</w:t>
      </w:r>
      <w:r w:rsidR="00887687" w:rsidRPr="005D6329">
        <w:rPr>
          <w:sz w:val="18"/>
          <w:szCs w:val="18"/>
        </w:rPr>
        <w:tab/>
      </w:r>
      <w:r w:rsidR="00B527EB" w:rsidRPr="005D6329">
        <w:rPr>
          <w:sz w:val="18"/>
          <w:szCs w:val="18"/>
        </w:rPr>
        <w:t>Hospital Anxiety and Depression scale</w:t>
      </w:r>
    </w:p>
    <w:p w14:paraId="6D085A0D" w14:textId="1980EA85" w:rsidR="00674A54" w:rsidRPr="005D6329" w:rsidRDefault="00674A54" w:rsidP="00DF54D1">
      <w:pPr>
        <w:pStyle w:val="BodyText"/>
        <w:spacing w:after="60"/>
        <w:rPr>
          <w:sz w:val="18"/>
          <w:szCs w:val="18"/>
        </w:rPr>
      </w:pPr>
      <w:r w:rsidRPr="005D6329">
        <w:rPr>
          <w:sz w:val="18"/>
          <w:szCs w:val="18"/>
        </w:rPr>
        <w:t>HF</w:t>
      </w:r>
      <w:r w:rsidRPr="005D6329">
        <w:rPr>
          <w:sz w:val="18"/>
          <w:szCs w:val="18"/>
        </w:rPr>
        <w:tab/>
        <w:t>High-frequency</w:t>
      </w:r>
    </w:p>
    <w:p w14:paraId="7473A1ED" w14:textId="234497D1" w:rsidR="00674A54" w:rsidRPr="005D6329" w:rsidRDefault="00674A54" w:rsidP="00DF54D1">
      <w:pPr>
        <w:pStyle w:val="BodyText"/>
        <w:spacing w:after="60"/>
        <w:rPr>
          <w:sz w:val="18"/>
          <w:szCs w:val="18"/>
        </w:rPr>
      </w:pPr>
      <w:r w:rsidRPr="005D6329">
        <w:rPr>
          <w:sz w:val="18"/>
          <w:szCs w:val="18"/>
        </w:rPr>
        <w:t>HFSCS</w:t>
      </w:r>
      <w:r w:rsidRPr="005D6329">
        <w:rPr>
          <w:sz w:val="18"/>
          <w:szCs w:val="18"/>
        </w:rPr>
        <w:tab/>
        <w:t>High Frequency Spinal Cord Stimulation</w:t>
      </w:r>
    </w:p>
    <w:p w14:paraId="1317EF05" w14:textId="332B6814" w:rsidR="00674A54" w:rsidRPr="005D6329" w:rsidRDefault="00674A54" w:rsidP="00DF54D1">
      <w:pPr>
        <w:pStyle w:val="BodyText"/>
        <w:spacing w:after="60"/>
        <w:rPr>
          <w:sz w:val="18"/>
          <w:szCs w:val="18"/>
        </w:rPr>
      </w:pPr>
      <w:proofErr w:type="spellStart"/>
      <w:r w:rsidRPr="005D6329">
        <w:rPr>
          <w:sz w:val="18"/>
          <w:szCs w:val="18"/>
        </w:rPr>
        <w:t>HRQoL</w:t>
      </w:r>
      <w:proofErr w:type="spellEnd"/>
      <w:r w:rsidRPr="005D6329">
        <w:rPr>
          <w:sz w:val="18"/>
          <w:szCs w:val="18"/>
        </w:rPr>
        <w:tab/>
        <w:t>Health-related quality of life</w:t>
      </w:r>
    </w:p>
    <w:p w14:paraId="18395847" w14:textId="3130AB61" w:rsidR="00674A54" w:rsidRPr="005D6329" w:rsidRDefault="00674A54" w:rsidP="00DF54D1">
      <w:pPr>
        <w:pStyle w:val="BodyText"/>
        <w:spacing w:after="60"/>
        <w:rPr>
          <w:sz w:val="18"/>
          <w:szCs w:val="18"/>
        </w:rPr>
      </w:pPr>
      <w:r w:rsidRPr="005D6329">
        <w:rPr>
          <w:sz w:val="18"/>
          <w:szCs w:val="18"/>
        </w:rPr>
        <w:t>HTA</w:t>
      </w:r>
      <w:r w:rsidRPr="005D6329">
        <w:rPr>
          <w:sz w:val="18"/>
          <w:szCs w:val="18"/>
        </w:rPr>
        <w:tab/>
        <w:t>Health technology assessment</w:t>
      </w:r>
    </w:p>
    <w:p w14:paraId="6AFC5DE1" w14:textId="5377ACE5" w:rsidR="00674A54" w:rsidRPr="005D6329" w:rsidRDefault="00674A54" w:rsidP="00DF54D1">
      <w:pPr>
        <w:pStyle w:val="BodyText"/>
        <w:spacing w:after="60"/>
        <w:rPr>
          <w:sz w:val="18"/>
          <w:szCs w:val="18"/>
        </w:rPr>
      </w:pPr>
      <w:r w:rsidRPr="005D6329">
        <w:rPr>
          <w:sz w:val="18"/>
          <w:szCs w:val="18"/>
        </w:rPr>
        <w:t>ICD</w:t>
      </w:r>
      <w:r w:rsidRPr="005D6329">
        <w:rPr>
          <w:sz w:val="18"/>
          <w:szCs w:val="18"/>
        </w:rPr>
        <w:tab/>
        <w:t>International Classification of Diseases</w:t>
      </w:r>
    </w:p>
    <w:p w14:paraId="6EAA6284" w14:textId="30193E4C" w:rsidR="00674A54" w:rsidRPr="005D6329" w:rsidRDefault="00674A54" w:rsidP="00DF54D1">
      <w:pPr>
        <w:pStyle w:val="BodyText"/>
        <w:spacing w:after="60"/>
        <w:rPr>
          <w:sz w:val="18"/>
          <w:szCs w:val="18"/>
        </w:rPr>
      </w:pPr>
      <w:r w:rsidRPr="005D6329">
        <w:rPr>
          <w:sz w:val="18"/>
          <w:szCs w:val="18"/>
        </w:rPr>
        <w:t>ICER</w:t>
      </w:r>
      <w:r w:rsidRPr="005D6329">
        <w:rPr>
          <w:sz w:val="18"/>
          <w:szCs w:val="18"/>
        </w:rPr>
        <w:tab/>
        <w:t>Incremental cost-effectiveness ratio</w:t>
      </w:r>
    </w:p>
    <w:p w14:paraId="2007A0DD" w14:textId="31F571BD" w:rsidR="00EA0C88" w:rsidRDefault="00EA0C88" w:rsidP="00DF54D1">
      <w:pPr>
        <w:pStyle w:val="BodyText"/>
        <w:spacing w:after="60"/>
        <w:rPr>
          <w:sz w:val="18"/>
          <w:szCs w:val="18"/>
        </w:rPr>
      </w:pPr>
      <w:r w:rsidRPr="005D6329">
        <w:rPr>
          <w:sz w:val="18"/>
          <w:szCs w:val="18"/>
        </w:rPr>
        <w:t>IFU</w:t>
      </w:r>
      <w:r w:rsidR="00B527EB" w:rsidRPr="005D6329">
        <w:rPr>
          <w:sz w:val="18"/>
          <w:szCs w:val="18"/>
        </w:rPr>
        <w:tab/>
        <w:t>Instructions for Use</w:t>
      </w:r>
    </w:p>
    <w:p w14:paraId="40C721FB" w14:textId="02A4D20A" w:rsidR="003D7C0F" w:rsidRPr="005D6329" w:rsidRDefault="000F4E60" w:rsidP="00DF54D1">
      <w:pPr>
        <w:pStyle w:val="BodyText"/>
        <w:spacing w:after="60"/>
        <w:rPr>
          <w:sz w:val="18"/>
          <w:szCs w:val="18"/>
        </w:rPr>
      </w:pPr>
      <w:r>
        <w:rPr>
          <w:sz w:val="18"/>
          <w:szCs w:val="18"/>
        </w:rPr>
        <w:t>IHPA</w:t>
      </w:r>
      <w:r>
        <w:rPr>
          <w:sz w:val="18"/>
          <w:szCs w:val="18"/>
        </w:rPr>
        <w:tab/>
      </w:r>
      <w:r w:rsidR="003D7C0F" w:rsidRPr="003D7C0F">
        <w:rPr>
          <w:sz w:val="18"/>
          <w:szCs w:val="18"/>
        </w:rPr>
        <w:t>Independent Hospital Pricing Authority</w:t>
      </w:r>
    </w:p>
    <w:p w14:paraId="5FB303D1" w14:textId="0E38BE9E" w:rsidR="00EA0C88" w:rsidRPr="005D6329" w:rsidRDefault="00EA0C88" w:rsidP="00DF54D1">
      <w:pPr>
        <w:pStyle w:val="BodyText"/>
        <w:spacing w:after="60"/>
        <w:rPr>
          <w:sz w:val="18"/>
          <w:szCs w:val="18"/>
        </w:rPr>
      </w:pPr>
      <w:r w:rsidRPr="005D6329">
        <w:rPr>
          <w:sz w:val="18"/>
          <w:szCs w:val="18"/>
        </w:rPr>
        <w:t>INS</w:t>
      </w:r>
      <w:r w:rsidR="00B527EB" w:rsidRPr="005D6329">
        <w:rPr>
          <w:sz w:val="18"/>
          <w:szCs w:val="18"/>
        </w:rPr>
        <w:tab/>
        <w:t>International Neuromodulation Society</w:t>
      </w:r>
    </w:p>
    <w:p w14:paraId="71A65857" w14:textId="4523EC9B" w:rsidR="00EA0C88" w:rsidRPr="005D6329" w:rsidRDefault="00EA0C88" w:rsidP="00DF54D1">
      <w:pPr>
        <w:pStyle w:val="BodyText"/>
        <w:spacing w:after="60"/>
        <w:rPr>
          <w:sz w:val="18"/>
          <w:szCs w:val="18"/>
        </w:rPr>
      </w:pPr>
      <w:r w:rsidRPr="005D6329">
        <w:rPr>
          <w:sz w:val="18"/>
          <w:szCs w:val="18"/>
        </w:rPr>
        <w:t>IPG</w:t>
      </w:r>
      <w:r w:rsidR="00B527EB" w:rsidRPr="005D6329">
        <w:rPr>
          <w:sz w:val="18"/>
          <w:szCs w:val="18"/>
        </w:rPr>
        <w:tab/>
        <w:t>Implantable pulse generator</w:t>
      </w:r>
    </w:p>
    <w:p w14:paraId="159805A2" w14:textId="121184E4" w:rsidR="00EA0C88" w:rsidRPr="005D6329" w:rsidRDefault="00EA0C88" w:rsidP="00DF54D1">
      <w:pPr>
        <w:pStyle w:val="BodyText"/>
        <w:spacing w:after="60"/>
        <w:rPr>
          <w:sz w:val="18"/>
          <w:szCs w:val="18"/>
        </w:rPr>
      </w:pPr>
      <w:r w:rsidRPr="005D6329">
        <w:rPr>
          <w:sz w:val="18"/>
          <w:szCs w:val="18"/>
        </w:rPr>
        <w:t>IPM</w:t>
      </w:r>
      <w:r w:rsidR="00B527EB" w:rsidRPr="005D6329">
        <w:rPr>
          <w:sz w:val="18"/>
          <w:szCs w:val="18"/>
        </w:rPr>
        <w:tab/>
      </w:r>
      <w:r w:rsidR="00B527EB" w:rsidRPr="005D6329">
        <w:rPr>
          <w:rFonts w:eastAsia="Batang"/>
          <w:sz w:val="18"/>
          <w:szCs w:val="18"/>
          <w:lang w:eastAsia="en-AU"/>
        </w:rPr>
        <w:t>Interventional Pain Management</w:t>
      </w:r>
    </w:p>
    <w:p w14:paraId="041CCD6E" w14:textId="5809FBE6" w:rsidR="00EA0C88" w:rsidRPr="005D6329" w:rsidRDefault="00EA0C88" w:rsidP="00DF54D1">
      <w:pPr>
        <w:pStyle w:val="BodyText"/>
        <w:spacing w:after="60"/>
        <w:rPr>
          <w:sz w:val="18"/>
          <w:szCs w:val="18"/>
        </w:rPr>
      </w:pPr>
      <w:r w:rsidRPr="005D6329">
        <w:rPr>
          <w:sz w:val="18"/>
          <w:szCs w:val="18"/>
        </w:rPr>
        <w:t>ITT</w:t>
      </w:r>
      <w:r w:rsidR="00B527EB" w:rsidRPr="005D6329">
        <w:rPr>
          <w:sz w:val="18"/>
          <w:szCs w:val="18"/>
        </w:rPr>
        <w:tab/>
      </w:r>
      <w:r w:rsidR="00FB703A" w:rsidRPr="005D6329">
        <w:rPr>
          <w:sz w:val="18"/>
          <w:szCs w:val="18"/>
        </w:rPr>
        <w:t>intention to treat</w:t>
      </w:r>
    </w:p>
    <w:p w14:paraId="39ECCAC4" w14:textId="6787991E" w:rsidR="00EA0C88" w:rsidRPr="005D6329" w:rsidRDefault="00EA0C88" w:rsidP="00DF54D1">
      <w:pPr>
        <w:pStyle w:val="BodyText"/>
        <w:spacing w:after="60"/>
        <w:rPr>
          <w:sz w:val="18"/>
          <w:szCs w:val="18"/>
        </w:rPr>
      </w:pPr>
      <w:r w:rsidRPr="005D6329">
        <w:rPr>
          <w:sz w:val="18"/>
          <w:szCs w:val="18"/>
        </w:rPr>
        <w:t>LBP</w:t>
      </w:r>
      <w:r w:rsidR="00FB703A" w:rsidRPr="005D6329">
        <w:rPr>
          <w:sz w:val="18"/>
          <w:szCs w:val="18"/>
        </w:rPr>
        <w:tab/>
        <w:t>low back pain</w:t>
      </w:r>
    </w:p>
    <w:p w14:paraId="4C2B99EB" w14:textId="39D2D023" w:rsidR="00EA0C88" w:rsidRPr="005D6329" w:rsidRDefault="00EA0C88" w:rsidP="00DF54D1">
      <w:pPr>
        <w:pStyle w:val="BodyText"/>
        <w:spacing w:after="60"/>
        <w:rPr>
          <w:sz w:val="18"/>
          <w:szCs w:val="18"/>
        </w:rPr>
      </w:pPr>
      <w:r w:rsidRPr="005D6329">
        <w:rPr>
          <w:sz w:val="18"/>
          <w:szCs w:val="18"/>
        </w:rPr>
        <w:t>LOS</w:t>
      </w:r>
      <w:r w:rsidR="00FB703A" w:rsidRPr="005D6329">
        <w:rPr>
          <w:sz w:val="18"/>
          <w:szCs w:val="18"/>
        </w:rPr>
        <w:tab/>
        <w:t>length of stay</w:t>
      </w:r>
    </w:p>
    <w:p w14:paraId="0CF67F5B" w14:textId="7FD2173F" w:rsidR="00674A54" w:rsidRPr="005D6329" w:rsidRDefault="00674A54" w:rsidP="00DF54D1">
      <w:pPr>
        <w:pStyle w:val="BodyText"/>
        <w:spacing w:after="60"/>
        <w:rPr>
          <w:sz w:val="18"/>
          <w:szCs w:val="18"/>
        </w:rPr>
      </w:pPr>
      <w:r w:rsidRPr="005D6329">
        <w:rPr>
          <w:sz w:val="18"/>
          <w:szCs w:val="18"/>
        </w:rPr>
        <w:t>MBNS</w:t>
      </w:r>
      <w:r w:rsidRPr="005D6329">
        <w:rPr>
          <w:sz w:val="18"/>
          <w:szCs w:val="18"/>
        </w:rPr>
        <w:tab/>
        <w:t>Medial branch nerve stimulator</w:t>
      </w:r>
    </w:p>
    <w:p w14:paraId="439D3327" w14:textId="7B9AE1B7" w:rsidR="00EA0C88" w:rsidRPr="005D6329" w:rsidRDefault="00EA0C88" w:rsidP="00DF54D1">
      <w:pPr>
        <w:pStyle w:val="BodyText"/>
        <w:spacing w:after="60"/>
        <w:rPr>
          <w:sz w:val="18"/>
          <w:szCs w:val="18"/>
        </w:rPr>
      </w:pPr>
      <w:r w:rsidRPr="005D6329">
        <w:rPr>
          <w:sz w:val="18"/>
          <w:szCs w:val="18"/>
        </w:rPr>
        <w:t>MBS</w:t>
      </w:r>
      <w:r w:rsidR="00FB703A" w:rsidRPr="005D6329">
        <w:rPr>
          <w:sz w:val="18"/>
          <w:szCs w:val="18"/>
        </w:rPr>
        <w:tab/>
        <w:t>Medicare Benefits Schedule</w:t>
      </w:r>
    </w:p>
    <w:p w14:paraId="00C027C7" w14:textId="1309D772" w:rsidR="00EA0C88" w:rsidRPr="005D6329" w:rsidRDefault="00EA0C88" w:rsidP="00DF54D1">
      <w:pPr>
        <w:pStyle w:val="BodyText"/>
        <w:spacing w:after="60"/>
        <w:rPr>
          <w:sz w:val="18"/>
          <w:szCs w:val="18"/>
        </w:rPr>
      </w:pPr>
      <w:r w:rsidRPr="005D6329">
        <w:rPr>
          <w:sz w:val="18"/>
          <w:szCs w:val="18"/>
        </w:rPr>
        <w:t>MCP</w:t>
      </w:r>
      <w:r w:rsidR="00FB703A" w:rsidRPr="005D6329">
        <w:rPr>
          <w:sz w:val="18"/>
          <w:szCs w:val="18"/>
        </w:rPr>
        <w:tab/>
        <w:t>multicolumn programming</w:t>
      </w:r>
    </w:p>
    <w:p w14:paraId="29F3B802" w14:textId="0B81F111" w:rsidR="00674A54" w:rsidRPr="005D6329" w:rsidRDefault="00674A54" w:rsidP="00DF54D1">
      <w:pPr>
        <w:pStyle w:val="BodyText"/>
        <w:spacing w:after="60"/>
        <w:rPr>
          <w:sz w:val="18"/>
          <w:szCs w:val="18"/>
        </w:rPr>
      </w:pPr>
      <w:r w:rsidRPr="005D6329">
        <w:rPr>
          <w:sz w:val="18"/>
          <w:szCs w:val="18"/>
        </w:rPr>
        <w:t>MD</w:t>
      </w:r>
      <w:r w:rsidRPr="005D6329">
        <w:rPr>
          <w:sz w:val="18"/>
          <w:szCs w:val="18"/>
        </w:rPr>
        <w:tab/>
        <w:t>Mean difference</w:t>
      </w:r>
    </w:p>
    <w:p w14:paraId="2A45AF42" w14:textId="32EFCC48" w:rsidR="009F3D43" w:rsidRDefault="009F3D43" w:rsidP="00182437">
      <w:pPr>
        <w:pStyle w:val="BodyText"/>
        <w:spacing w:after="60"/>
        <w:ind w:left="720" w:hanging="720"/>
        <w:rPr>
          <w:sz w:val="18"/>
          <w:szCs w:val="18"/>
        </w:rPr>
      </w:pPr>
      <w:r>
        <w:rPr>
          <w:sz w:val="18"/>
          <w:szCs w:val="18"/>
        </w:rPr>
        <w:t>MDHTAC</w:t>
      </w:r>
      <w:r>
        <w:rPr>
          <w:sz w:val="18"/>
          <w:szCs w:val="18"/>
        </w:rPr>
        <w:tab/>
      </w:r>
      <w:r w:rsidRPr="009F3D43">
        <w:rPr>
          <w:sz w:val="18"/>
          <w:szCs w:val="18"/>
        </w:rPr>
        <w:t>Medical Devices and Human Tissue Advisory Committee</w:t>
      </w:r>
    </w:p>
    <w:p w14:paraId="05E6FE0C" w14:textId="0D164444" w:rsidR="00674A54" w:rsidRPr="005D6329" w:rsidRDefault="00674A54" w:rsidP="00DF54D1">
      <w:pPr>
        <w:pStyle w:val="BodyText"/>
        <w:spacing w:after="60"/>
        <w:rPr>
          <w:sz w:val="18"/>
          <w:szCs w:val="18"/>
        </w:rPr>
      </w:pPr>
      <w:r w:rsidRPr="005D6329">
        <w:rPr>
          <w:sz w:val="18"/>
          <w:szCs w:val="18"/>
        </w:rPr>
        <w:t>MIB</w:t>
      </w:r>
      <w:r w:rsidRPr="005D6329">
        <w:rPr>
          <w:sz w:val="18"/>
          <w:szCs w:val="18"/>
        </w:rPr>
        <w:tab/>
      </w:r>
      <w:proofErr w:type="spellStart"/>
      <w:r w:rsidRPr="005D6329">
        <w:rPr>
          <w:sz w:val="18"/>
          <w:szCs w:val="18"/>
        </w:rPr>
        <w:t>Medtech</w:t>
      </w:r>
      <w:proofErr w:type="spellEnd"/>
      <w:r w:rsidRPr="005D6329">
        <w:rPr>
          <w:sz w:val="18"/>
          <w:szCs w:val="18"/>
        </w:rPr>
        <w:t xml:space="preserve"> innovation briefings</w:t>
      </w:r>
    </w:p>
    <w:p w14:paraId="5612A697" w14:textId="3076D3C9" w:rsidR="00EA0C88" w:rsidRPr="005D6329" w:rsidRDefault="00EA0C88" w:rsidP="00DF54D1">
      <w:pPr>
        <w:pStyle w:val="BodyText"/>
        <w:spacing w:after="60"/>
        <w:rPr>
          <w:sz w:val="18"/>
          <w:szCs w:val="18"/>
        </w:rPr>
      </w:pPr>
      <w:r w:rsidRPr="005D6329">
        <w:rPr>
          <w:sz w:val="18"/>
          <w:szCs w:val="18"/>
        </w:rPr>
        <w:t>MM</w:t>
      </w:r>
      <w:r w:rsidR="00AC5351" w:rsidRPr="005D6329">
        <w:rPr>
          <w:sz w:val="18"/>
          <w:szCs w:val="18"/>
        </w:rPr>
        <w:tab/>
      </w:r>
      <w:r w:rsidR="000A6778" w:rsidRPr="005D6329">
        <w:rPr>
          <w:sz w:val="18"/>
          <w:szCs w:val="18"/>
        </w:rPr>
        <w:t>medical management</w:t>
      </w:r>
    </w:p>
    <w:p w14:paraId="4165947D" w14:textId="5B8C4D1A" w:rsidR="00674A54" w:rsidRPr="005D6329" w:rsidRDefault="00674A54" w:rsidP="00DF54D1">
      <w:pPr>
        <w:pStyle w:val="BodyText"/>
        <w:spacing w:after="60"/>
        <w:rPr>
          <w:sz w:val="18"/>
          <w:szCs w:val="18"/>
        </w:rPr>
      </w:pPr>
      <w:r w:rsidRPr="005D6329">
        <w:rPr>
          <w:sz w:val="18"/>
          <w:szCs w:val="18"/>
        </w:rPr>
        <w:t>MME</w:t>
      </w:r>
      <w:r w:rsidRPr="005D6329">
        <w:rPr>
          <w:sz w:val="18"/>
          <w:szCs w:val="18"/>
        </w:rPr>
        <w:tab/>
        <w:t>Morphine milligram equivalent</w:t>
      </w:r>
    </w:p>
    <w:p w14:paraId="72A8F4AC" w14:textId="29592279" w:rsidR="00EA0C88" w:rsidRPr="005D6329" w:rsidRDefault="00EA0C88" w:rsidP="00DF54D1">
      <w:pPr>
        <w:pStyle w:val="BodyText"/>
        <w:spacing w:after="60"/>
        <w:rPr>
          <w:sz w:val="18"/>
          <w:szCs w:val="18"/>
        </w:rPr>
      </w:pPr>
      <w:r w:rsidRPr="005D6329">
        <w:rPr>
          <w:sz w:val="18"/>
          <w:szCs w:val="18"/>
        </w:rPr>
        <w:t>MOSS</w:t>
      </w:r>
      <w:r w:rsidR="002D6F87" w:rsidRPr="005D6329">
        <w:rPr>
          <w:sz w:val="18"/>
          <w:szCs w:val="18"/>
        </w:rPr>
        <w:tab/>
        <w:t>Medical Outcomes Study Sleep</w:t>
      </w:r>
    </w:p>
    <w:p w14:paraId="6690967E" w14:textId="6FF1C680" w:rsidR="00674A54" w:rsidRPr="005D6329" w:rsidRDefault="00674A54" w:rsidP="00DF54D1">
      <w:pPr>
        <w:pStyle w:val="BodyText"/>
        <w:spacing w:after="60"/>
        <w:rPr>
          <w:sz w:val="18"/>
          <w:szCs w:val="18"/>
        </w:rPr>
      </w:pPr>
      <w:r w:rsidRPr="005D6329">
        <w:rPr>
          <w:sz w:val="18"/>
          <w:szCs w:val="18"/>
        </w:rPr>
        <w:t>MSAC</w:t>
      </w:r>
      <w:r w:rsidRPr="005D6329">
        <w:rPr>
          <w:sz w:val="18"/>
          <w:szCs w:val="18"/>
        </w:rPr>
        <w:tab/>
        <w:t>Medical Services Advisory Committee</w:t>
      </w:r>
    </w:p>
    <w:p w14:paraId="53EA48E6" w14:textId="0B484E55" w:rsidR="00674A54" w:rsidRPr="005D6329" w:rsidRDefault="00674A54" w:rsidP="00DF54D1">
      <w:pPr>
        <w:pStyle w:val="BodyText"/>
        <w:spacing w:after="60"/>
        <w:rPr>
          <w:sz w:val="18"/>
          <w:szCs w:val="18"/>
        </w:rPr>
      </w:pPr>
      <w:r w:rsidRPr="005D6329">
        <w:rPr>
          <w:sz w:val="18"/>
          <w:szCs w:val="18"/>
        </w:rPr>
        <w:t>MTAA</w:t>
      </w:r>
      <w:r w:rsidRPr="005D6329">
        <w:rPr>
          <w:sz w:val="18"/>
          <w:szCs w:val="18"/>
        </w:rPr>
        <w:tab/>
        <w:t>Medical Technology Association of Australia</w:t>
      </w:r>
    </w:p>
    <w:p w14:paraId="5DFB7353" w14:textId="50FACEFA" w:rsidR="00674A54" w:rsidRPr="005D6329" w:rsidRDefault="00674A54" w:rsidP="00DF54D1">
      <w:pPr>
        <w:pStyle w:val="BodyText"/>
        <w:spacing w:after="60"/>
        <w:rPr>
          <w:sz w:val="18"/>
          <w:szCs w:val="18"/>
        </w:rPr>
      </w:pPr>
      <w:r w:rsidRPr="005D6329">
        <w:rPr>
          <w:sz w:val="18"/>
          <w:szCs w:val="18"/>
        </w:rPr>
        <w:t>MTG</w:t>
      </w:r>
      <w:r w:rsidRPr="005D6329">
        <w:rPr>
          <w:sz w:val="18"/>
          <w:szCs w:val="18"/>
        </w:rPr>
        <w:tab/>
        <w:t>Medical technologies guidance</w:t>
      </w:r>
    </w:p>
    <w:p w14:paraId="128413D7" w14:textId="0E5794F9" w:rsidR="00674A54" w:rsidRPr="005D6329" w:rsidRDefault="00674A54" w:rsidP="00DF54D1">
      <w:pPr>
        <w:pStyle w:val="BodyText"/>
        <w:spacing w:after="60"/>
        <w:rPr>
          <w:sz w:val="18"/>
          <w:szCs w:val="18"/>
        </w:rPr>
      </w:pPr>
      <w:r w:rsidRPr="005D6329">
        <w:rPr>
          <w:sz w:val="18"/>
          <w:szCs w:val="18"/>
        </w:rPr>
        <w:t>NA</w:t>
      </w:r>
      <w:r w:rsidRPr="005D6329">
        <w:rPr>
          <w:sz w:val="18"/>
          <w:szCs w:val="18"/>
        </w:rPr>
        <w:tab/>
        <w:t>Not applicable</w:t>
      </w:r>
    </w:p>
    <w:p w14:paraId="234E93AA" w14:textId="357D9B36" w:rsidR="002E5709" w:rsidRPr="005D6329" w:rsidRDefault="002E5709" w:rsidP="00DF54D1">
      <w:pPr>
        <w:pStyle w:val="BodyText"/>
        <w:spacing w:after="60"/>
        <w:ind w:left="720" w:hanging="720"/>
        <w:rPr>
          <w:sz w:val="18"/>
          <w:szCs w:val="18"/>
        </w:rPr>
      </w:pPr>
      <w:r>
        <w:rPr>
          <w:sz w:val="18"/>
          <w:szCs w:val="18"/>
        </w:rPr>
        <w:t>NACC</w:t>
      </w:r>
      <w:r>
        <w:rPr>
          <w:sz w:val="18"/>
          <w:szCs w:val="18"/>
        </w:rPr>
        <w:tab/>
        <w:t xml:space="preserve">Neuromodulation </w:t>
      </w:r>
      <w:proofErr w:type="spellStart"/>
      <w:r>
        <w:rPr>
          <w:sz w:val="18"/>
          <w:szCs w:val="18"/>
        </w:rPr>
        <w:t>Approrpriateness</w:t>
      </w:r>
      <w:proofErr w:type="spellEnd"/>
      <w:r>
        <w:rPr>
          <w:sz w:val="18"/>
          <w:szCs w:val="18"/>
        </w:rPr>
        <w:t xml:space="preserve"> Consensus </w:t>
      </w:r>
      <w:r w:rsidR="007D0E0F">
        <w:rPr>
          <w:sz w:val="18"/>
          <w:szCs w:val="18"/>
        </w:rPr>
        <w:t>Committee/ the Neurostimulation Appropriateness Consensus Committee</w:t>
      </w:r>
    </w:p>
    <w:p w14:paraId="62072226" w14:textId="15E56E61" w:rsidR="00674A54" w:rsidRPr="005D6329" w:rsidRDefault="00674A54" w:rsidP="00DF54D1">
      <w:pPr>
        <w:pStyle w:val="BodyText"/>
        <w:spacing w:after="60"/>
        <w:rPr>
          <w:sz w:val="18"/>
          <w:szCs w:val="18"/>
        </w:rPr>
      </w:pPr>
      <w:r w:rsidRPr="005D6329">
        <w:rPr>
          <w:sz w:val="18"/>
          <w:szCs w:val="18"/>
        </w:rPr>
        <w:t>NICE</w:t>
      </w:r>
      <w:r w:rsidRPr="005D6329">
        <w:rPr>
          <w:sz w:val="18"/>
          <w:szCs w:val="18"/>
        </w:rPr>
        <w:tab/>
        <w:t>National Institute of Health and Care Excellence</w:t>
      </w:r>
    </w:p>
    <w:p w14:paraId="56BF60A5" w14:textId="44AB01DA" w:rsidR="00EA0C88" w:rsidRPr="005D6329" w:rsidRDefault="00EA0C88" w:rsidP="00DF54D1">
      <w:pPr>
        <w:pStyle w:val="BodyText"/>
        <w:spacing w:after="60"/>
        <w:rPr>
          <w:sz w:val="18"/>
          <w:szCs w:val="18"/>
        </w:rPr>
      </w:pPr>
      <w:r w:rsidRPr="005D6329">
        <w:rPr>
          <w:sz w:val="18"/>
          <w:szCs w:val="18"/>
        </w:rPr>
        <w:t>NL</w:t>
      </w:r>
      <w:r w:rsidR="002D6F87" w:rsidRPr="005D6329">
        <w:rPr>
          <w:sz w:val="18"/>
          <w:szCs w:val="18"/>
        </w:rPr>
        <w:tab/>
        <w:t>The Netherlands</w:t>
      </w:r>
    </w:p>
    <w:p w14:paraId="06EB8505" w14:textId="462ABCD2" w:rsidR="00EA0C88" w:rsidRPr="005D6329" w:rsidRDefault="00EA0C88" w:rsidP="00DF54D1">
      <w:pPr>
        <w:pStyle w:val="BodyText"/>
        <w:spacing w:after="60"/>
        <w:rPr>
          <w:sz w:val="18"/>
          <w:szCs w:val="18"/>
        </w:rPr>
      </w:pPr>
      <w:r w:rsidRPr="005D6329">
        <w:rPr>
          <w:sz w:val="18"/>
          <w:szCs w:val="18"/>
        </w:rPr>
        <w:t>NNTB</w:t>
      </w:r>
      <w:r w:rsidR="00307732" w:rsidRPr="005D6329">
        <w:rPr>
          <w:sz w:val="18"/>
          <w:szCs w:val="18"/>
        </w:rPr>
        <w:tab/>
        <w:t>number needed to benefit</w:t>
      </w:r>
    </w:p>
    <w:p w14:paraId="145AB396" w14:textId="7B5D5249" w:rsidR="00EA0C88" w:rsidRPr="005D6329" w:rsidRDefault="00EA0C88" w:rsidP="00DF54D1">
      <w:pPr>
        <w:pStyle w:val="BodyText"/>
        <w:spacing w:after="60"/>
        <w:rPr>
          <w:sz w:val="18"/>
          <w:szCs w:val="18"/>
        </w:rPr>
      </w:pPr>
      <w:r w:rsidRPr="005D6329">
        <w:rPr>
          <w:sz w:val="18"/>
          <w:szCs w:val="18"/>
        </w:rPr>
        <w:t>NNTH</w:t>
      </w:r>
      <w:r w:rsidR="00307732" w:rsidRPr="005D6329">
        <w:rPr>
          <w:sz w:val="18"/>
          <w:szCs w:val="18"/>
        </w:rPr>
        <w:tab/>
        <w:t>number needed to harm</w:t>
      </w:r>
    </w:p>
    <w:p w14:paraId="76A83FC1" w14:textId="79598C03" w:rsidR="00EA0C88" w:rsidRPr="005D6329" w:rsidRDefault="00EA0C88" w:rsidP="00DF54D1">
      <w:pPr>
        <w:pStyle w:val="BodyText"/>
        <w:spacing w:after="60"/>
        <w:rPr>
          <w:sz w:val="18"/>
          <w:szCs w:val="18"/>
        </w:rPr>
      </w:pPr>
      <w:r w:rsidRPr="005D6329">
        <w:rPr>
          <w:sz w:val="18"/>
          <w:szCs w:val="18"/>
        </w:rPr>
        <w:t>NR</w:t>
      </w:r>
      <w:r w:rsidR="00307732" w:rsidRPr="005D6329">
        <w:rPr>
          <w:sz w:val="18"/>
          <w:szCs w:val="18"/>
        </w:rPr>
        <w:tab/>
        <w:t>not reported</w:t>
      </w:r>
    </w:p>
    <w:p w14:paraId="2FA2CD25" w14:textId="1D2D9929" w:rsidR="00EA0C88" w:rsidRPr="005D6329" w:rsidRDefault="00EA0C88" w:rsidP="00DF54D1">
      <w:pPr>
        <w:pStyle w:val="BodyText"/>
        <w:spacing w:after="60"/>
        <w:rPr>
          <w:sz w:val="18"/>
          <w:szCs w:val="18"/>
        </w:rPr>
      </w:pPr>
      <w:r w:rsidRPr="005D6329">
        <w:rPr>
          <w:sz w:val="18"/>
          <w:szCs w:val="18"/>
        </w:rPr>
        <w:t>NRS</w:t>
      </w:r>
      <w:r w:rsidR="00307732" w:rsidRPr="005D6329">
        <w:rPr>
          <w:sz w:val="18"/>
          <w:szCs w:val="18"/>
        </w:rPr>
        <w:tab/>
        <w:t>numerical rating scale</w:t>
      </w:r>
    </w:p>
    <w:p w14:paraId="13A4CC00" w14:textId="5E8E8913" w:rsidR="00EA0C88" w:rsidRPr="005D6329" w:rsidRDefault="00EA0C88" w:rsidP="00DF54D1">
      <w:pPr>
        <w:pStyle w:val="BodyText"/>
        <w:spacing w:after="60"/>
        <w:rPr>
          <w:sz w:val="18"/>
          <w:szCs w:val="18"/>
        </w:rPr>
      </w:pPr>
      <w:r w:rsidRPr="005D6329">
        <w:rPr>
          <w:sz w:val="18"/>
          <w:szCs w:val="18"/>
        </w:rPr>
        <w:t>NS</w:t>
      </w:r>
      <w:r w:rsidR="00307732" w:rsidRPr="005D6329">
        <w:rPr>
          <w:sz w:val="18"/>
          <w:szCs w:val="18"/>
        </w:rPr>
        <w:tab/>
        <w:t>not significant</w:t>
      </w:r>
    </w:p>
    <w:p w14:paraId="77D08B11" w14:textId="430CD685" w:rsidR="00674A54" w:rsidRPr="005D6329" w:rsidRDefault="00674A54" w:rsidP="00DF54D1">
      <w:pPr>
        <w:pStyle w:val="BodyText"/>
        <w:spacing w:after="60"/>
        <w:rPr>
          <w:sz w:val="18"/>
          <w:szCs w:val="18"/>
        </w:rPr>
      </w:pPr>
      <w:r w:rsidRPr="005D6329">
        <w:rPr>
          <w:sz w:val="18"/>
          <w:szCs w:val="18"/>
        </w:rPr>
        <w:t>NSAID</w:t>
      </w:r>
      <w:r w:rsidRPr="005D6329">
        <w:rPr>
          <w:sz w:val="18"/>
          <w:szCs w:val="18"/>
        </w:rPr>
        <w:tab/>
        <w:t>Non-steroidal anti-inflammatory drugs</w:t>
      </w:r>
    </w:p>
    <w:p w14:paraId="1673FFEB" w14:textId="184C52B0" w:rsidR="00674A54" w:rsidRPr="005D6329" w:rsidRDefault="00674A54" w:rsidP="00DF54D1">
      <w:pPr>
        <w:pStyle w:val="BodyText"/>
        <w:spacing w:after="60"/>
        <w:ind w:left="720" w:hanging="720"/>
        <w:rPr>
          <w:sz w:val="18"/>
          <w:szCs w:val="18"/>
        </w:rPr>
      </w:pPr>
      <w:r w:rsidRPr="005D6329">
        <w:rPr>
          <w:sz w:val="18"/>
          <w:szCs w:val="18"/>
        </w:rPr>
        <w:t>NSANZ</w:t>
      </w:r>
      <w:r w:rsidRPr="005D6329">
        <w:rPr>
          <w:sz w:val="18"/>
          <w:szCs w:val="18"/>
        </w:rPr>
        <w:tab/>
        <w:t>Neuromodulation Society of Australia and New Zealand</w:t>
      </w:r>
    </w:p>
    <w:p w14:paraId="3432E162" w14:textId="3CB21E97" w:rsidR="00EA0C88" w:rsidRPr="005D6329" w:rsidRDefault="00EA0C88" w:rsidP="00DF54D1">
      <w:pPr>
        <w:pStyle w:val="BodyText"/>
        <w:spacing w:after="60"/>
        <w:rPr>
          <w:sz w:val="18"/>
          <w:szCs w:val="18"/>
        </w:rPr>
      </w:pPr>
      <w:r w:rsidRPr="005D6329">
        <w:rPr>
          <w:sz w:val="18"/>
          <w:szCs w:val="18"/>
        </w:rPr>
        <w:t>ODI</w:t>
      </w:r>
      <w:r w:rsidR="00307732" w:rsidRPr="005D6329">
        <w:rPr>
          <w:sz w:val="18"/>
          <w:szCs w:val="18"/>
        </w:rPr>
        <w:tab/>
        <w:t>Oswestry Disability Index</w:t>
      </w:r>
    </w:p>
    <w:p w14:paraId="1EFD4E16" w14:textId="67121B67" w:rsidR="00EA0C88" w:rsidRPr="005D6329" w:rsidRDefault="00EA0C88" w:rsidP="00DF54D1">
      <w:pPr>
        <w:pStyle w:val="BodyText"/>
        <w:spacing w:after="60"/>
        <w:rPr>
          <w:sz w:val="18"/>
          <w:szCs w:val="18"/>
        </w:rPr>
      </w:pPr>
      <w:r w:rsidRPr="005D6329">
        <w:rPr>
          <w:sz w:val="18"/>
          <w:szCs w:val="18"/>
        </w:rPr>
        <w:t>OMM</w:t>
      </w:r>
      <w:r w:rsidR="00307732" w:rsidRPr="005D6329">
        <w:rPr>
          <w:sz w:val="18"/>
          <w:szCs w:val="18"/>
        </w:rPr>
        <w:tab/>
        <w:t>optimal medical management</w:t>
      </w:r>
    </w:p>
    <w:p w14:paraId="76A96187" w14:textId="18BEB428" w:rsidR="00EA0C88" w:rsidRPr="005D6329" w:rsidRDefault="00EA0C88" w:rsidP="00DF54D1">
      <w:pPr>
        <w:pStyle w:val="BodyText"/>
        <w:spacing w:after="60"/>
        <w:rPr>
          <w:sz w:val="18"/>
          <w:szCs w:val="18"/>
        </w:rPr>
      </w:pPr>
      <w:r w:rsidRPr="005D6329">
        <w:rPr>
          <w:sz w:val="18"/>
          <w:szCs w:val="18"/>
        </w:rPr>
        <w:t>ONS</w:t>
      </w:r>
      <w:r w:rsidR="00307732" w:rsidRPr="005D6329">
        <w:rPr>
          <w:sz w:val="18"/>
          <w:szCs w:val="18"/>
        </w:rPr>
        <w:tab/>
        <w:t>occipital nerve stimulation</w:t>
      </w:r>
    </w:p>
    <w:p w14:paraId="6AC34894" w14:textId="01A45788" w:rsidR="00674A54" w:rsidRPr="005D6329" w:rsidRDefault="00674A54" w:rsidP="00DF54D1">
      <w:pPr>
        <w:pStyle w:val="BodyText"/>
        <w:spacing w:after="60"/>
        <w:rPr>
          <w:sz w:val="18"/>
          <w:szCs w:val="18"/>
        </w:rPr>
      </w:pPr>
      <w:r w:rsidRPr="005D6329">
        <w:rPr>
          <w:sz w:val="18"/>
          <w:szCs w:val="18"/>
        </w:rPr>
        <w:lastRenderedPageBreak/>
        <w:t>PAD</w:t>
      </w:r>
      <w:r w:rsidRPr="005D6329">
        <w:rPr>
          <w:sz w:val="18"/>
          <w:szCs w:val="18"/>
        </w:rPr>
        <w:tab/>
        <w:t>Peripheral arterial disease</w:t>
      </w:r>
    </w:p>
    <w:p w14:paraId="5B0F7971" w14:textId="4B5E7466" w:rsidR="00EA0C88" w:rsidRPr="005D6329" w:rsidRDefault="00EA0C88" w:rsidP="00DF54D1">
      <w:pPr>
        <w:pStyle w:val="BodyText"/>
        <w:spacing w:after="60"/>
        <w:rPr>
          <w:sz w:val="18"/>
          <w:szCs w:val="18"/>
        </w:rPr>
      </w:pPr>
      <w:r w:rsidRPr="005D6329">
        <w:rPr>
          <w:sz w:val="18"/>
          <w:szCs w:val="18"/>
        </w:rPr>
        <w:t>PDI</w:t>
      </w:r>
      <w:r w:rsidR="00307732" w:rsidRPr="005D6329">
        <w:rPr>
          <w:sz w:val="18"/>
          <w:szCs w:val="18"/>
        </w:rPr>
        <w:tab/>
        <w:t>General Pain Disability Index</w:t>
      </w:r>
    </w:p>
    <w:p w14:paraId="63CA434E" w14:textId="5C6FE2D9" w:rsidR="00674A54" w:rsidRPr="005D6329" w:rsidRDefault="00674A54" w:rsidP="00DF54D1">
      <w:pPr>
        <w:pStyle w:val="BodyText"/>
        <w:spacing w:after="60"/>
        <w:rPr>
          <w:sz w:val="18"/>
          <w:szCs w:val="18"/>
        </w:rPr>
      </w:pPr>
      <w:r w:rsidRPr="005D6329">
        <w:rPr>
          <w:sz w:val="18"/>
          <w:szCs w:val="18"/>
        </w:rPr>
        <w:t>PDN</w:t>
      </w:r>
      <w:r w:rsidRPr="005D6329">
        <w:rPr>
          <w:sz w:val="18"/>
          <w:szCs w:val="18"/>
        </w:rPr>
        <w:tab/>
        <w:t>Painful Diabetic Neuropathy</w:t>
      </w:r>
    </w:p>
    <w:p w14:paraId="7BB2D890" w14:textId="47D54975" w:rsidR="00EA0C88" w:rsidRPr="005D6329" w:rsidRDefault="00EA0C88" w:rsidP="00DF54D1">
      <w:pPr>
        <w:pStyle w:val="BodyText"/>
        <w:spacing w:after="60"/>
        <w:rPr>
          <w:sz w:val="18"/>
          <w:szCs w:val="18"/>
        </w:rPr>
      </w:pPr>
      <w:r w:rsidRPr="005D6329">
        <w:rPr>
          <w:sz w:val="18"/>
          <w:szCs w:val="18"/>
        </w:rPr>
        <w:t>PDPN</w:t>
      </w:r>
      <w:r w:rsidR="00307732" w:rsidRPr="005D6329">
        <w:rPr>
          <w:sz w:val="18"/>
          <w:szCs w:val="18"/>
        </w:rPr>
        <w:tab/>
        <w:t>painful diabetic polyneuropathy</w:t>
      </w:r>
    </w:p>
    <w:p w14:paraId="41BF4D05" w14:textId="731355F3" w:rsidR="00674A54" w:rsidRPr="005D6329" w:rsidRDefault="00674A54" w:rsidP="00DF54D1">
      <w:pPr>
        <w:pStyle w:val="BodyText"/>
        <w:spacing w:after="60"/>
        <w:rPr>
          <w:sz w:val="18"/>
          <w:szCs w:val="18"/>
        </w:rPr>
      </w:pPr>
      <w:r w:rsidRPr="005D6329">
        <w:rPr>
          <w:sz w:val="18"/>
          <w:szCs w:val="18"/>
        </w:rPr>
        <w:t>PENS</w:t>
      </w:r>
      <w:r w:rsidRPr="005D6329">
        <w:rPr>
          <w:sz w:val="18"/>
          <w:szCs w:val="18"/>
        </w:rPr>
        <w:tab/>
        <w:t>Percutaneous Electrical Nerve Stimulation</w:t>
      </w:r>
    </w:p>
    <w:p w14:paraId="172AF776" w14:textId="1745FD4E" w:rsidR="00EA0C88" w:rsidRPr="005D6329" w:rsidRDefault="00EA0C88" w:rsidP="00DF54D1">
      <w:pPr>
        <w:pStyle w:val="BodyText"/>
        <w:spacing w:after="60"/>
        <w:rPr>
          <w:sz w:val="18"/>
          <w:szCs w:val="18"/>
        </w:rPr>
      </w:pPr>
      <w:r w:rsidRPr="005D6329">
        <w:rPr>
          <w:sz w:val="18"/>
          <w:szCs w:val="18"/>
        </w:rPr>
        <w:t>PICO</w:t>
      </w:r>
      <w:r w:rsidR="00307732" w:rsidRPr="005D6329">
        <w:rPr>
          <w:sz w:val="18"/>
          <w:szCs w:val="18"/>
        </w:rPr>
        <w:tab/>
        <w:t>population, intervention, comparator, outcome</w:t>
      </w:r>
    </w:p>
    <w:p w14:paraId="41C7C97B" w14:textId="7A552CED" w:rsidR="00674A54" w:rsidRPr="005D6329" w:rsidRDefault="00674A54" w:rsidP="00DF54D1">
      <w:pPr>
        <w:pStyle w:val="BodyText"/>
        <w:spacing w:after="60"/>
        <w:rPr>
          <w:sz w:val="18"/>
          <w:szCs w:val="18"/>
        </w:rPr>
      </w:pPr>
      <w:r w:rsidRPr="005D6329">
        <w:rPr>
          <w:sz w:val="18"/>
          <w:szCs w:val="18"/>
        </w:rPr>
        <w:t>PL</w:t>
      </w:r>
      <w:r w:rsidRPr="005D6329">
        <w:rPr>
          <w:sz w:val="18"/>
          <w:szCs w:val="18"/>
        </w:rPr>
        <w:tab/>
        <w:t>Pr</w:t>
      </w:r>
      <w:r w:rsidR="009F3D43">
        <w:rPr>
          <w:sz w:val="18"/>
          <w:szCs w:val="18"/>
        </w:rPr>
        <w:t>escribed</w:t>
      </w:r>
      <w:r w:rsidRPr="005D6329">
        <w:rPr>
          <w:sz w:val="18"/>
          <w:szCs w:val="18"/>
        </w:rPr>
        <w:t xml:space="preserve"> List</w:t>
      </w:r>
    </w:p>
    <w:p w14:paraId="28893F70" w14:textId="0C0CB075" w:rsidR="00674A54" w:rsidRPr="005D6329" w:rsidRDefault="00674A54" w:rsidP="00DF54D1">
      <w:pPr>
        <w:pStyle w:val="BodyText"/>
        <w:spacing w:after="60"/>
        <w:rPr>
          <w:sz w:val="18"/>
          <w:szCs w:val="18"/>
        </w:rPr>
      </w:pPr>
      <w:r w:rsidRPr="005D6329">
        <w:rPr>
          <w:sz w:val="18"/>
          <w:szCs w:val="18"/>
        </w:rPr>
        <w:t>PLAC</w:t>
      </w:r>
      <w:r w:rsidRPr="005D6329">
        <w:rPr>
          <w:sz w:val="18"/>
          <w:szCs w:val="18"/>
        </w:rPr>
        <w:tab/>
        <w:t>Prostheses List Advisory Committee</w:t>
      </w:r>
    </w:p>
    <w:p w14:paraId="345377AA" w14:textId="72C5098F" w:rsidR="00674A54" w:rsidRPr="005D6329" w:rsidRDefault="00674A54" w:rsidP="00DF54D1">
      <w:pPr>
        <w:pStyle w:val="BodyText"/>
        <w:spacing w:after="60"/>
        <w:rPr>
          <w:sz w:val="18"/>
          <w:szCs w:val="18"/>
        </w:rPr>
      </w:pPr>
      <w:r w:rsidRPr="005D6329">
        <w:rPr>
          <w:sz w:val="18"/>
          <w:szCs w:val="18"/>
        </w:rPr>
        <w:t>PLR</w:t>
      </w:r>
      <w:r w:rsidRPr="005D6329">
        <w:rPr>
          <w:sz w:val="18"/>
          <w:szCs w:val="18"/>
        </w:rPr>
        <w:tab/>
        <w:t>Post-listing review</w:t>
      </w:r>
    </w:p>
    <w:p w14:paraId="66643A1D" w14:textId="68071532" w:rsidR="00EA0C88" w:rsidRPr="005D6329" w:rsidRDefault="00EA0C88" w:rsidP="00DF54D1">
      <w:pPr>
        <w:pStyle w:val="BodyText"/>
        <w:spacing w:after="60"/>
        <w:rPr>
          <w:sz w:val="18"/>
          <w:szCs w:val="18"/>
        </w:rPr>
      </w:pPr>
      <w:r w:rsidRPr="005D6329">
        <w:rPr>
          <w:sz w:val="18"/>
          <w:szCs w:val="18"/>
        </w:rPr>
        <w:t>PLRT</w:t>
      </w:r>
      <w:r w:rsidR="00CF6113" w:rsidRPr="005D6329">
        <w:rPr>
          <w:sz w:val="18"/>
          <w:szCs w:val="18"/>
        </w:rPr>
        <w:tab/>
        <w:t>Prostheses List Reform Taskforce</w:t>
      </w:r>
    </w:p>
    <w:p w14:paraId="26D38919" w14:textId="2716286E" w:rsidR="00674A54" w:rsidRPr="005D6329" w:rsidRDefault="00674A54" w:rsidP="00DF54D1">
      <w:pPr>
        <w:pStyle w:val="BodyText"/>
        <w:spacing w:after="60"/>
        <w:rPr>
          <w:sz w:val="18"/>
          <w:szCs w:val="18"/>
        </w:rPr>
      </w:pPr>
      <w:r w:rsidRPr="005D6329">
        <w:rPr>
          <w:sz w:val="18"/>
          <w:szCs w:val="18"/>
        </w:rPr>
        <w:t>PLS</w:t>
      </w:r>
      <w:r w:rsidRPr="005D6329">
        <w:rPr>
          <w:sz w:val="18"/>
          <w:szCs w:val="18"/>
        </w:rPr>
        <w:tab/>
        <w:t>Post-laminectomy syndrome</w:t>
      </w:r>
    </w:p>
    <w:p w14:paraId="2E1658FB" w14:textId="3050CEB1" w:rsidR="00EA0C88" w:rsidRPr="005D6329" w:rsidRDefault="00EA0C88" w:rsidP="00DF54D1">
      <w:pPr>
        <w:pStyle w:val="BodyText"/>
        <w:spacing w:after="60"/>
        <w:rPr>
          <w:sz w:val="18"/>
          <w:szCs w:val="18"/>
        </w:rPr>
      </w:pPr>
      <w:r w:rsidRPr="005D6329">
        <w:rPr>
          <w:sz w:val="18"/>
          <w:szCs w:val="18"/>
        </w:rPr>
        <w:t>PMR</w:t>
      </w:r>
      <w:r w:rsidR="00170505" w:rsidRPr="005D6329">
        <w:rPr>
          <w:sz w:val="18"/>
          <w:szCs w:val="18"/>
        </w:rPr>
        <w:tab/>
        <w:t>percutaneous myocardial laser revascularisation</w:t>
      </w:r>
    </w:p>
    <w:p w14:paraId="45620B26" w14:textId="3BE3E18E" w:rsidR="00674A54" w:rsidRPr="005D6329" w:rsidRDefault="00674A54" w:rsidP="00DF54D1">
      <w:pPr>
        <w:pStyle w:val="BodyText"/>
        <w:spacing w:after="60"/>
        <w:rPr>
          <w:sz w:val="18"/>
          <w:szCs w:val="18"/>
        </w:rPr>
      </w:pPr>
      <w:r w:rsidRPr="005D6329">
        <w:rPr>
          <w:sz w:val="18"/>
          <w:szCs w:val="18"/>
        </w:rPr>
        <w:t>PNS</w:t>
      </w:r>
      <w:r w:rsidRPr="005D6329">
        <w:rPr>
          <w:sz w:val="18"/>
          <w:szCs w:val="18"/>
        </w:rPr>
        <w:tab/>
        <w:t>Peripheral nerve stimulators</w:t>
      </w:r>
    </w:p>
    <w:p w14:paraId="5D529971" w14:textId="4CBE4EDA" w:rsidR="00674A54" w:rsidRPr="005D6329" w:rsidRDefault="00674A54" w:rsidP="00DF54D1">
      <w:pPr>
        <w:pStyle w:val="BodyText"/>
        <w:spacing w:after="60"/>
        <w:rPr>
          <w:sz w:val="18"/>
          <w:szCs w:val="18"/>
        </w:rPr>
      </w:pPr>
      <w:r w:rsidRPr="005D6329">
        <w:rPr>
          <w:sz w:val="18"/>
          <w:szCs w:val="18"/>
        </w:rPr>
        <w:t>PSPS</w:t>
      </w:r>
      <w:r w:rsidRPr="005D6329">
        <w:rPr>
          <w:sz w:val="18"/>
          <w:szCs w:val="18"/>
        </w:rPr>
        <w:tab/>
        <w:t>Persistent spinal pain syndrome</w:t>
      </w:r>
    </w:p>
    <w:p w14:paraId="0149A128" w14:textId="1E23569C" w:rsidR="00EA0C88" w:rsidRPr="005D6329" w:rsidRDefault="00EA0C88" w:rsidP="00DF54D1">
      <w:pPr>
        <w:pStyle w:val="BodyText"/>
        <w:spacing w:after="60"/>
        <w:rPr>
          <w:sz w:val="18"/>
          <w:szCs w:val="18"/>
        </w:rPr>
      </w:pPr>
      <w:r w:rsidRPr="005D6329">
        <w:rPr>
          <w:sz w:val="18"/>
          <w:szCs w:val="18"/>
        </w:rPr>
        <w:t>PT</w:t>
      </w:r>
      <w:r w:rsidR="000B0B5C" w:rsidRPr="005D6329">
        <w:rPr>
          <w:sz w:val="18"/>
          <w:szCs w:val="18"/>
        </w:rPr>
        <w:tab/>
        <w:t>physical therapy</w:t>
      </w:r>
    </w:p>
    <w:p w14:paraId="00B8201A" w14:textId="30A966AD" w:rsidR="00EA0C88" w:rsidRPr="005D6329" w:rsidRDefault="00EA0C88" w:rsidP="00DF54D1">
      <w:pPr>
        <w:pStyle w:val="BodyText"/>
        <w:spacing w:after="60"/>
        <w:rPr>
          <w:sz w:val="18"/>
          <w:szCs w:val="18"/>
        </w:rPr>
      </w:pPr>
      <w:r w:rsidRPr="005D6329">
        <w:rPr>
          <w:sz w:val="18"/>
          <w:szCs w:val="18"/>
        </w:rPr>
        <w:t>QALY</w:t>
      </w:r>
      <w:r w:rsidR="000B0B5C" w:rsidRPr="005D6329">
        <w:rPr>
          <w:sz w:val="18"/>
          <w:szCs w:val="18"/>
        </w:rPr>
        <w:tab/>
        <w:t>quality adjusted life year</w:t>
      </w:r>
    </w:p>
    <w:p w14:paraId="32B42B23" w14:textId="709A9954" w:rsidR="00EA0C88" w:rsidRPr="005D6329" w:rsidRDefault="00EA0C88" w:rsidP="00DF54D1">
      <w:pPr>
        <w:pStyle w:val="BodyText"/>
        <w:spacing w:after="60"/>
        <w:rPr>
          <w:sz w:val="18"/>
          <w:szCs w:val="18"/>
        </w:rPr>
      </w:pPr>
      <w:r w:rsidRPr="005D6329">
        <w:rPr>
          <w:sz w:val="18"/>
          <w:szCs w:val="18"/>
        </w:rPr>
        <w:t>QoL</w:t>
      </w:r>
      <w:r w:rsidR="000B0B5C" w:rsidRPr="005D6329">
        <w:rPr>
          <w:sz w:val="18"/>
          <w:szCs w:val="18"/>
        </w:rPr>
        <w:tab/>
        <w:t>quality of life</w:t>
      </w:r>
    </w:p>
    <w:p w14:paraId="045C31E3" w14:textId="75F931EF" w:rsidR="00674A54" w:rsidRPr="005D6329" w:rsidRDefault="00674A54" w:rsidP="00DF54D1">
      <w:pPr>
        <w:pStyle w:val="BodyText"/>
        <w:spacing w:after="60"/>
        <w:rPr>
          <w:sz w:val="18"/>
          <w:szCs w:val="18"/>
        </w:rPr>
      </w:pPr>
      <w:r w:rsidRPr="005D6329">
        <w:rPr>
          <w:sz w:val="18"/>
          <w:szCs w:val="18"/>
        </w:rPr>
        <w:t>RAP</w:t>
      </w:r>
      <w:r w:rsidRPr="005D6329">
        <w:rPr>
          <w:sz w:val="18"/>
          <w:szCs w:val="18"/>
        </w:rPr>
        <w:tab/>
        <w:t>Refractory angina pectoris</w:t>
      </w:r>
    </w:p>
    <w:p w14:paraId="5FF28577" w14:textId="73FD98EE" w:rsidR="00674A54" w:rsidRPr="005D6329" w:rsidRDefault="00674A54" w:rsidP="00DF54D1">
      <w:pPr>
        <w:pStyle w:val="BodyText"/>
        <w:spacing w:after="60"/>
        <w:rPr>
          <w:sz w:val="18"/>
          <w:szCs w:val="18"/>
        </w:rPr>
      </w:pPr>
      <w:r w:rsidRPr="005D6329">
        <w:rPr>
          <w:sz w:val="18"/>
          <w:szCs w:val="18"/>
        </w:rPr>
        <w:t>RCT</w:t>
      </w:r>
      <w:r w:rsidRPr="005D6329">
        <w:rPr>
          <w:sz w:val="18"/>
          <w:szCs w:val="18"/>
        </w:rPr>
        <w:tab/>
        <w:t>Randomised controlled trial</w:t>
      </w:r>
    </w:p>
    <w:p w14:paraId="068C8370" w14:textId="62E0CD15" w:rsidR="00EA0C88" w:rsidRPr="005D6329" w:rsidRDefault="00EA0C88" w:rsidP="00DF54D1">
      <w:pPr>
        <w:pStyle w:val="BodyText"/>
        <w:spacing w:after="60"/>
        <w:rPr>
          <w:sz w:val="18"/>
          <w:szCs w:val="18"/>
        </w:rPr>
      </w:pPr>
      <w:r w:rsidRPr="005D6329">
        <w:rPr>
          <w:sz w:val="18"/>
          <w:szCs w:val="18"/>
        </w:rPr>
        <w:t>RD</w:t>
      </w:r>
      <w:r w:rsidR="000B0B5C" w:rsidRPr="005D6329">
        <w:rPr>
          <w:sz w:val="18"/>
          <w:szCs w:val="18"/>
        </w:rPr>
        <w:tab/>
        <w:t>risk difference</w:t>
      </w:r>
    </w:p>
    <w:p w14:paraId="2020C055" w14:textId="65288AC0" w:rsidR="00674A54" w:rsidRPr="005D6329" w:rsidRDefault="00674A54" w:rsidP="00DF54D1">
      <w:pPr>
        <w:pStyle w:val="BodyText"/>
        <w:spacing w:after="60"/>
        <w:rPr>
          <w:sz w:val="18"/>
          <w:szCs w:val="18"/>
        </w:rPr>
      </w:pPr>
      <w:r w:rsidRPr="005D6329">
        <w:rPr>
          <w:sz w:val="18"/>
          <w:szCs w:val="18"/>
        </w:rPr>
        <w:t>RDQ</w:t>
      </w:r>
      <w:r w:rsidRPr="005D6329">
        <w:rPr>
          <w:sz w:val="18"/>
          <w:szCs w:val="18"/>
        </w:rPr>
        <w:tab/>
        <w:t>Roland Disability Questionnaire</w:t>
      </w:r>
    </w:p>
    <w:p w14:paraId="579B18C8" w14:textId="5F5FC5B5" w:rsidR="00EA0C88" w:rsidRPr="005D6329" w:rsidRDefault="00EA0C88" w:rsidP="00DF54D1">
      <w:pPr>
        <w:pStyle w:val="BodyText"/>
        <w:spacing w:after="60"/>
        <w:rPr>
          <w:sz w:val="18"/>
          <w:szCs w:val="18"/>
        </w:rPr>
      </w:pPr>
      <w:r w:rsidRPr="005D6329">
        <w:rPr>
          <w:sz w:val="18"/>
          <w:szCs w:val="18"/>
        </w:rPr>
        <w:t>RR</w:t>
      </w:r>
      <w:r w:rsidR="000B0B5C" w:rsidRPr="005D6329">
        <w:rPr>
          <w:sz w:val="18"/>
          <w:szCs w:val="18"/>
        </w:rPr>
        <w:tab/>
        <w:t>relative risk</w:t>
      </w:r>
    </w:p>
    <w:p w14:paraId="74129A3A" w14:textId="7830A869" w:rsidR="00EA0C88" w:rsidRPr="005D6329" w:rsidRDefault="00EA0C88" w:rsidP="00DF54D1">
      <w:pPr>
        <w:pStyle w:val="BodyText"/>
        <w:spacing w:after="60"/>
        <w:rPr>
          <w:sz w:val="18"/>
          <w:szCs w:val="18"/>
        </w:rPr>
      </w:pPr>
      <w:r w:rsidRPr="005D6329">
        <w:rPr>
          <w:sz w:val="18"/>
          <w:szCs w:val="18"/>
        </w:rPr>
        <w:t>RSD</w:t>
      </w:r>
      <w:r w:rsidR="000B0B5C" w:rsidRPr="005D6329">
        <w:rPr>
          <w:sz w:val="18"/>
          <w:szCs w:val="18"/>
        </w:rPr>
        <w:tab/>
        <w:t>reflex sympathetic dystrophy</w:t>
      </w:r>
    </w:p>
    <w:p w14:paraId="521BD876" w14:textId="7DB9C76A" w:rsidR="00674A54" w:rsidRPr="005D6329" w:rsidRDefault="00674A54" w:rsidP="00DF54D1">
      <w:pPr>
        <w:pStyle w:val="BodyText"/>
        <w:spacing w:after="60"/>
        <w:rPr>
          <w:sz w:val="18"/>
          <w:szCs w:val="18"/>
        </w:rPr>
      </w:pPr>
      <w:r w:rsidRPr="005D6329">
        <w:rPr>
          <w:sz w:val="18"/>
          <w:szCs w:val="18"/>
        </w:rPr>
        <w:t>SAE</w:t>
      </w:r>
      <w:r w:rsidRPr="005D6329">
        <w:rPr>
          <w:sz w:val="18"/>
          <w:szCs w:val="18"/>
        </w:rPr>
        <w:tab/>
        <w:t>Serious adverse events</w:t>
      </w:r>
    </w:p>
    <w:p w14:paraId="114C14DD" w14:textId="5B2436B3" w:rsidR="00674A54" w:rsidRPr="005D6329" w:rsidRDefault="00674A54" w:rsidP="00DF54D1">
      <w:pPr>
        <w:pStyle w:val="BodyText"/>
        <w:spacing w:after="60"/>
        <w:rPr>
          <w:sz w:val="18"/>
          <w:szCs w:val="18"/>
        </w:rPr>
      </w:pPr>
      <w:proofErr w:type="spellStart"/>
      <w:r w:rsidRPr="005D6329">
        <w:rPr>
          <w:sz w:val="18"/>
          <w:szCs w:val="18"/>
        </w:rPr>
        <w:t>ScHARR</w:t>
      </w:r>
      <w:proofErr w:type="spellEnd"/>
      <w:r w:rsidRPr="005D6329">
        <w:rPr>
          <w:sz w:val="18"/>
          <w:szCs w:val="18"/>
        </w:rPr>
        <w:tab/>
        <w:t>School of Health and Related Research</w:t>
      </w:r>
    </w:p>
    <w:p w14:paraId="2EC92EA3" w14:textId="17536159" w:rsidR="00674A54" w:rsidRPr="005D6329" w:rsidRDefault="00674A54" w:rsidP="00DF54D1">
      <w:pPr>
        <w:pStyle w:val="BodyText"/>
        <w:spacing w:after="60"/>
        <w:rPr>
          <w:sz w:val="18"/>
          <w:szCs w:val="18"/>
        </w:rPr>
      </w:pPr>
      <w:r w:rsidRPr="005D6329">
        <w:rPr>
          <w:sz w:val="18"/>
          <w:szCs w:val="18"/>
        </w:rPr>
        <w:t>SCS</w:t>
      </w:r>
      <w:r w:rsidRPr="005D6329">
        <w:rPr>
          <w:sz w:val="18"/>
          <w:szCs w:val="18"/>
        </w:rPr>
        <w:tab/>
        <w:t>Spinal cord stimulator/stimulation</w:t>
      </w:r>
    </w:p>
    <w:p w14:paraId="08B3A0A7" w14:textId="74CA5185" w:rsidR="00EA0C88" w:rsidRPr="005D6329" w:rsidRDefault="00EA0C88" w:rsidP="00DF54D1">
      <w:pPr>
        <w:pStyle w:val="BodyText"/>
        <w:spacing w:after="60"/>
        <w:rPr>
          <w:sz w:val="18"/>
          <w:szCs w:val="18"/>
        </w:rPr>
      </w:pPr>
      <w:r w:rsidRPr="005D6329">
        <w:rPr>
          <w:sz w:val="18"/>
          <w:szCs w:val="18"/>
        </w:rPr>
        <w:t>SD</w:t>
      </w:r>
      <w:r w:rsidR="000B0B5C" w:rsidRPr="005D6329">
        <w:rPr>
          <w:sz w:val="18"/>
          <w:szCs w:val="18"/>
        </w:rPr>
        <w:tab/>
        <w:t>standard deviation</w:t>
      </w:r>
    </w:p>
    <w:p w14:paraId="0B30F2FC" w14:textId="10A65261" w:rsidR="000B0B5C" w:rsidRPr="005D6329" w:rsidRDefault="000B0B5C" w:rsidP="00DF54D1">
      <w:pPr>
        <w:pStyle w:val="BodyText"/>
        <w:spacing w:after="60"/>
        <w:rPr>
          <w:sz w:val="18"/>
          <w:szCs w:val="18"/>
        </w:rPr>
      </w:pPr>
      <w:r w:rsidRPr="005D6329">
        <w:rPr>
          <w:sz w:val="18"/>
          <w:szCs w:val="18"/>
        </w:rPr>
        <w:t>SEM</w:t>
      </w:r>
      <w:r w:rsidRPr="005D6329">
        <w:rPr>
          <w:sz w:val="18"/>
          <w:szCs w:val="18"/>
        </w:rPr>
        <w:tab/>
        <w:t>standard error of the mean</w:t>
      </w:r>
    </w:p>
    <w:p w14:paraId="6603F2A9" w14:textId="57B31ED7" w:rsidR="00EA0C88" w:rsidRPr="005D6329" w:rsidRDefault="00EA0C88" w:rsidP="00DF54D1">
      <w:pPr>
        <w:pStyle w:val="BodyText"/>
        <w:spacing w:after="60"/>
        <w:rPr>
          <w:sz w:val="18"/>
          <w:szCs w:val="18"/>
        </w:rPr>
      </w:pPr>
      <w:r w:rsidRPr="005D6329">
        <w:rPr>
          <w:sz w:val="18"/>
          <w:szCs w:val="18"/>
        </w:rPr>
        <w:t>SFMPQ</w:t>
      </w:r>
      <w:r w:rsidR="000B0B5C" w:rsidRPr="005D6329">
        <w:rPr>
          <w:sz w:val="18"/>
          <w:szCs w:val="18"/>
        </w:rPr>
        <w:tab/>
        <w:t>Short Form McGill Pain Questionnaire</w:t>
      </w:r>
    </w:p>
    <w:p w14:paraId="34BAB646" w14:textId="0DB30283" w:rsidR="00674A54" w:rsidRPr="005D6329" w:rsidRDefault="00674A54" w:rsidP="00DF54D1">
      <w:pPr>
        <w:pStyle w:val="BodyText"/>
        <w:spacing w:after="60"/>
        <w:rPr>
          <w:sz w:val="18"/>
          <w:szCs w:val="18"/>
        </w:rPr>
      </w:pPr>
      <w:r w:rsidRPr="005D6329">
        <w:rPr>
          <w:sz w:val="18"/>
          <w:szCs w:val="18"/>
        </w:rPr>
        <w:t>SFN</w:t>
      </w:r>
      <w:r w:rsidRPr="005D6329">
        <w:rPr>
          <w:sz w:val="18"/>
          <w:szCs w:val="18"/>
        </w:rPr>
        <w:tab/>
        <w:t>Small fibre neuropathies</w:t>
      </w:r>
    </w:p>
    <w:p w14:paraId="40812505" w14:textId="27741E5A" w:rsidR="00EA0C88" w:rsidRPr="005D6329" w:rsidRDefault="00EA0C88" w:rsidP="00DF54D1">
      <w:pPr>
        <w:pStyle w:val="BodyText"/>
        <w:spacing w:after="60"/>
        <w:rPr>
          <w:sz w:val="18"/>
          <w:szCs w:val="18"/>
        </w:rPr>
      </w:pPr>
      <w:r w:rsidRPr="005D6329">
        <w:rPr>
          <w:sz w:val="18"/>
          <w:szCs w:val="18"/>
        </w:rPr>
        <w:t>SIGN</w:t>
      </w:r>
      <w:r w:rsidR="00EF2A22" w:rsidRPr="005D6329">
        <w:rPr>
          <w:sz w:val="18"/>
          <w:szCs w:val="18"/>
        </w:rPr>
        <w:tab/>
        <w:t>Scottish Intercollegiate Guidelines Network</w:t>
      </w:r>
    </w:p>
    <w:p w14:paraId="73A91BC5" w14:textId="2CBD3677" w:rsidR="00674A54" w:rsidRPr="005D6329" w:rsidRDefault="00674A54" w:rsidP="00DF54D1">
      <w:pPr>
        <w:pStyle w:val="BodyText"/>
        <w:spacing w:after="60"/>
        <w:rPr>
          <w:sz w:val="18"/>
          <w:szCs w:val="18"/>
        </w:rPr>
      </w:pPr>
      <w:r w:rsidRPr="005D6329">
        <w:rPr>
          <w:sz w:val="18"/>
          <w:szCs w:val="18"/>
        </w:rPr>
        <w:t>SNS</w:t>
      </w:r>
      <w:r w:rsidRPr="005D6329">
        <w:rPr>
          <w:sz w:val="18"/>
          <w:szCs w:val="18"/>
        </w:rPr>
        <w:tab/>
        <w:t>Sacral nerve stimulators</w:t>
      </w:r>
    </w:p>
    <w:p w14:paraId="399B3D64" w14:textId="71DF4FEA" w:rsidR="00674A54" w:rsidRPr="005D6329" w:rsidRDefault="00674A54" w:rsidP="00DF54D1">
      <w:pPr>
        <w:pStyle w:val="BodyText"/>
        <w:spacing w:after="60"/>
        <w:rPr>
          <w:sz w:val="18"/>
          <w:szCs w:val="18"/>
        </w:rPr>
      </w:pPr>
      <w:r w:rsidRPr="005D6329">
        <w:rPr>
          <w:sz w:val="18"/>
          <w:szCs w:val="18"/>
        </w:rPr>
        <w:t>SR</w:t>
      </w:r>
      <w:r w:rsidRPr="005D6329">
        <w:rPr>
          <w:sz w:val="18"/>
          <w:szCs w:val="18"/>
        </w:rPr>
        <w:tab/>
        <w:t>Systematic review</w:t>
      </w:r>
    </w:p>
    <w:p w14:paraId="138F03AA" w14:textId="7919751C" w:rsidR="00674A54" w:rsidRPr="005D6329" w:rsidRDefault="00674A54" w:rsidP="00DF54D1">
      <w:pPr>
        <w:pStyle w:val="BodyText"/>
        <w:spacing w:after="60"/>
        <w:rPr>
          <w:sz w:val="18"/>
          <w:szCs w:val="18"/>
        </w:rPr>
      </w:pPr>
      <w:r w:rsidRPr="005D6329">
        <w:rPr>
          <w:sz w:val="18"/>
          <w:szCs w:val="18"/>
        </w:rPr>
        <w:t>TGA</w:t>
      </w:r>
      <w:r w:rsidRPr="005D6329">
        <w:rPr>
          <w:sz w:val="18"/>
          <w:szCs w:val="18"/>
        </w:rPr>
        <w:tab/>
        <w:t>Therapeutic Goods Association</w:t>
      </w:r>
    </w:p>
    <w:p w14:paraId="708C5E88" w14:textId="60AEB4DF" w:rsidR="00674A54" w:rsidRPr="005D6329" w:rsidRDefault="00674A54" w:rsidP="00DF54D1">
      <w:pPr>
        <w:pStyle w:val="BodyText"/>
        <w:spacing w:after="60"/>
        <w:rPr>
          <w:sz w:val="18"/>
          <w:szCs w:val="18"/>
        </w:rPr>
      </w:pPr>
      <w:r w:rsidRPr="005D6329">
        <w:rPr>
          <w:sz w:val="18"/>
          <w:szCs w:val="18"/>
        </w:rPr>
        <w:t>UC</w:t>
      </w:r>
      <w:r w:rsidRPr="005D6329">
        <w:rPr>
          <w:sz w:val="18"/>
          <w:szCs w:val="18"/>
        </w:rPr>
        <w:tab/>
        <w:t>Usual care</w:t>
      </w:r>
    </w:p>
    <w:p w14:paraId="54137613" w14:textId="295DB909" w:rsidR="00674A54" w:rsidRPr="005D6329" w:rsidRDefault="00674A54" w:rsidP="00DF54D1">
      <w:pPr>
        <w:pStyle w:val="BodyText"/>
        <w:spacing w:after="60"/>
        <w:rPr>
          <w:sz w:val="18"/>
          <w:szCs w:val="18"/>
        </w:rPr>
      </w:pPr>
      <w:r w:rsidRPr="005D6329">
        <w:rPr>
          <w:sz w:val="18"/>
          <w:szCs w:val="18"/>
        </w:rPr>
        <w:t>UEP</w:t>
      </w:r>
      <w:r w:rsidRPr="005D6329">
        <w:rPr>
          <w:sz w:val="18"/>
          <w:szCs w:val="18"/>
        </w:rPr>
        <w:tab/>
        <w:t>Upper extremity pain</w:t>
      </w:r>
    </w:p>
    <w:p w14:paraId="09A59BAF" w14:textId="0B9068F0" w:rsidR="00674A54" w:rsidRPr="005D6329" w:rsidRDefault="00674A54" w:rsidP="00DF54D1">
      <w:pPr>
        <w:pStyle w:val="BodyText"/>
        <w:spacing w:after="60"/>
        <w:rPr>
          <w:sz w:val="18"/>
          <w:szCs w:val="18"/>
        </w:rPr>
      </w:pPr>
      <w:r w:rsidRPr="005D6329">
        <w:rPr>
          <w:sz w:val="18"/>
          <w:szCs w:val="18"/>
        </w:rPr>
        <w:t>UK</w:t>
      </w:r>
      <w:r w:rsidRPr="005D6329">
        <w:rPr>
          <w:sz w:val="18"/>
          <w:szCs w:val="18"/>
        </w:rPr>
        <w:tab/>
        <w:t>United Kingdom</w:t>
      </w:r>
    </w:p>
    <w:p w14:paraId="315247D1" w14:textId="3E166A6C" w:rsidR="00674A54" w:rsidRPr="005D6329" w:rsidRDefault="00674A54" w:rsidP="00DF54D1">
      <w:pPr>
        <w:pStyle w:val="BodyText"/>
        <w:spacing w:after="60"/>
        <w:rPr>
          <w:sz w:val="18"/>
          <w:szCs w:val="18"/>
        </w:rPr>
      </w:pPr>
      <w:r w:rsidRPr="005D6329">
        <w:rPr>
          <w:sz w:val="18"/>
          <w:szCs w:val="18"/>
        </w:rPr>
        <w:t>USPSTF</w:t>
      </w:r>
      <w:r w:rsidRPr="005D6329">
        <w:rPr>
          <w:sz w:val="18"/>
          <w:szCs w:val="18"/>
        </w:rPr>
        <w:tab/>
        <w:t>United States Preventive Services Task Force</w:t>
      </w:r>
    </w:p>
    <w:p w14:paraId="3C99DC17" w14:textId="7CFD83A7" w:rsidR="00674A54" w:rsidRPr="005D6329" w:rsidRDefault="00674A54" w:rsidP="00DF54D1">
      <w:pPr>
        <w:pStyle w:val="BodyText"/>
        <w:spacing w:after="60"/>
        <w:rPr>
          <w:sz w:val="18"/>
          <w:szCs w:val="18"/>
        </w:rPr>
      </w:pPr>
      <w:r w:rsidRPr="005D6329">
        <w:rPr>
          <w:sz w:val="18"/>
          <w:szCs w:val="18"/>
        </w:rPr>
        <w:t>VAS</w:t>
      </w:r>
      <w:r w:rsidRPr="005D6329">
        <w:rPr>
          <w:sz w:val="18"/>
          <w:szCs w:val="18"/>
        </w:rPr>
        <w:tab/>
        <w:t>Visual analogue scale</w:t>
      </w:r>
    </w:p>
    <w:p w14:paraId="759D3CE9" w14:textId="24B09661" w:rsidR="00674A54" w:rsidRPr="005D6329" w:rsidRDefault="00674A54" w:rsidP="00DF54D1">
      <w:pPr>
        <w:pStyle w:val="BodyText"/>
        <w:spacing w:after="60"/>
        <w:rPr>
          <w:sz w:val="18"/>
          <w:szCs w:val="18"/>
        </w:rPr>
      </w:pPr>
      <w:r w:rsidRPr="005D6329">
        <w:rPr>
          <w:sz w:val="18"/>
          <w:szCs w:val="18"/>
        </w:rPr>
        <w:t>VCOR</w:t>
      </w:r>
      <w:r w:rsidRPr="005D6329">
        <w:rPr>
          <w:sz w:val="18"/>
          <w:szCs w:val="18"/>
        </w:rPr>
        <w:tab/>
        <w:t>Victorian Cardiac Outcomes Registry</w:t>
      </w:r>
    </w:p>
    <w:p w14:paraId="2C36BFB1" w14:textId="2585D2B1" w:rsidR="00674A54" w:rsidRPr="005D6329" w:rsidRDefault="00674A54" w:rsidP="00DF54D1">
      <w:pPr>
        <w:pStyle w:val="BodyText"/>
        <w:spacing w:after="60"/>
        <w:rPr>
          <w:sz w:val="18"/>
          <w:szCs w:val="18"/>
        </w:rPr>
      </w:pPr>
      <w:r w:rsidRPr="005D6329">
        <w:rPr>
          <w:sz w:val="18"/>
          <w:szCs w:val="18"/>
        </w:rPr>
        <w:t>VNS</w:t>
      </w:r>
      <w:r w:rsidRPr="005D6329">
        <w:rPr>
          <w:sz w:val="18"/>
          <w:szCs w:val="18"/>
        </w:rPr>
        <w:tab/>
        <w:t>Vagal nerve stimulators</w:t>
      </w:r>
    </w:p>
    <w:p w14:paraId="4B64A551" w14:textId="19F0A6C5" w:rsidR="00674A54" w:rsidRPr="005D6329" w:rsidRDefault="00674A54" w:rsidP="00DF54D1">
      <w:pPr>
        <w:pStyle w:val="BodyText"/>
        <w:spacing w:after="60"/>
        <w:rPr>
          <w:sz w:val="18"/>
          <w:szCs w:val="18"/>
        </w:rPr>
      </w:pPr>
      <w:r w:rsidRPr="005D6329">
        <w:rPr>
          <w:sz w:val="18"/>
          <w:szCs w:val="18"/>
        </w:rPr>
        <w:t>WHO</w:t>
      </w:r>
      <w:r w:rsidRPr="005D6329">
        <w:rPr>
          <w:sz w:val="18"/>
          <w:szCs w:val="18"/>
        </w:rPr>
        <w:tab/>
        <w:t>World Health Organisation</w:t>
      </w:r>
    </w:p>
    <w:p w14:paraId="0EB49E9C" w14:textId="77777777" w:rsidR="005D6329" w:rsidRDefault="005D6329" w:rsidP="008C3478">
      <w:pPr>
        <w:pStyle w:val="ExecSumHeading1"/>
        <w:sectPr w:rsidR="005D6329" w:rsidSect="000E0564">
          <w:type w:val="continuous"/>
          <w:pgSz w:w="11906" w:h="16838"/>
          <w:pgMar w:top="1134" w:right="1134" w:bottom="1134" w:left="1134" w:header="850" w:footer="709" w:gutter="0"/>
          <w:cols w:num="2" w:space="708"/>
          <w:docGrid w:linePitch="360"/>
        </w:sectPr>
      </w:pPr>
      <w:bookmarkStart w:id="3" w:name="_Toc126153499"/>
    </w:p>
    <w:p w14:paraId="5CD35701" w14:textId="77777777" w:rsidR="008C3478" w:rsidRDefault="008C3478" w:rsidP="008C3478">
      <w:pPr>
        <w:pStyle w:val="ExecSumHeading1"/>
      </w:pPr>
      <w:bookmarkStart w:id="4" w:name="_Toc165634639"/>
      <w:r w:rsidRPr="008C3478">
        <w:lastRenderedPageBreak/>
        <w:t>E</w:t>
      </w:r>
      <w:r>
        <w:t>xec</w:t>
      </w:r>
      <w:r w:rsidR="00681387">
        <w:t>utive</w:t>
      </w:r>
      <w:r>
        <w:t xml:space="preserve"> </w:t>
      </w:r>
      <w:r w:rsidRPr="008C3478">
        <w:t>S</w:t>
      </w:r>
      <w:r>
        <w:t>um</w:t>
      </w:r>
      <w:r w:rsidR="00681387">
        <w:t>mary</w:t>
      </w:r>
      <w:bookmarkEnd w:id="3"/>
      <w:bookmarkEnd w:id="4"/>
    </w:p>
    <w:p w14:paraId="32BD9EF3" w14:textId="34C56B63" w:rsidR="008C3478" w:rsidRDefault="002D39D8" w:rsidP="008C3478">
      <w:pPr>
        <w:pStyle w:val="ExecSumHeading2"/>
      </w:pPr>
      <w:bookmarkStart w:id="5" w:name="_Toc165634640"/>
      <w:r>
        <w:t>Introduction</w:t>
      </w:r>
      <w:bookmarkEnd w:id="5"/>
    </w:p>
    <w:p w14:paraId="32C1C0F0" w14:textId="6DD4C7F2" w:rsidR="004A7D83" w:rsidRDefault="00161F9B" w:rsidP="002D39D8">
      <w:pPr>
        <w:pStyle w:val="BodyText"/>
      </w:pPr>
      <w:r>
        <w:t>Concerns about the</w:t>
      </w:r>
      <w:r w:rsidR="00C113DA">
        <w:t xml:space="preserve"> long-term safety and effectiveness of </w:t>
      </w:r>
      <w:r>
        <w:t xml:space="preserve">spinal cord stimulators (SCS) </w:t>
      </w:r>
      <w:r w:rsidR="00675C61">
        <w:t>were raised following publication of a</w:t>
      </w:r>
      <w:r w:rsidR="00BB092A">
        <w:t xml:space="preserve"> review based on analysis of Therapeutic Goods Association (TGA) adverse events (AEs) data (Jones et al. 2022).</w:t>
      </w:r>
      <w:r w:rsidR="00675C61">
        <w:t xml:space="preserve"> </w:t>
      </w:r>
      <w:r w:rsidR="00B33830" w:rsidRPr="00CB347D">
        <w:t>As these devices have not been assessed by the Medical Services Advisory Committee (MSAC) or the Prostheses List Advisory Committee (PLAC)</w:t>
      </w:r>
      <w:r w:rsidR="009F3D43">
        <w:t xml:space="preserve"> (now the Medical Devices and Human Tissue Advisory Committee [MDHTAC])</w:t>
      </w:r>
      <w:r w:rsidR="00B33830" w:rsidRPr="00CB347D">
        <w:t xml:space="preserve">, the purpose of this post-listing review </w:t>
      </w:r>
      <w:r w:rsidR="005C3486">
        <w:t>(PLR)</w:t>
      </w:r>
      <w:r w:rsidR="00B33830" w:rsidRPr="00CB347D">
        <w:t xml:space="preserve"> is to review the comparative clinical effectiveness and cost-effectiveness</w:t>
      </w:r>
      <w:r w:rsidR="00931815">
        <w:t xml:space="preserve"> of SCS</w:t>
      </w:r>
      <w:r w:rsidR="00D55C4F">
        <w:t xml:space="preserve"> to inform decisions regarding the associated listings on the </w:t>
      </w:r>
      <w:r w:rsidR="004A7D83">
        <w:t>Pr</w:t>
      </w:r>
      <w:r w:rsidR="009F3D43">
        <w:t>escribed</w:t>
      </w:r>
      <w:r w:rsidR="004A7D83">
        <w:t xml:space="preserve"> List (PL).</w:t>
      </w:r>
    </w:p>
    <w:p w14:paraId="26ACA01D" w14:textId="739B679A" w:rsidR="002D39D8" w:rsidRDefault="00C77178" w:rsidP="003A28BB">
      <w:pPr>
        <w:pStyle w:val="BodyText"/>
      </w:pPr>
      <w:r>
        <w:t xml:space="preserve">The findings are based on consideration of key documents supplied </w:t>
      </w:r>
      <w:r w:rsidR="007E33D2" w:rsidRPr="00C069BE">
        <w:t>by the Department of Health and Aged Care (</w:t>
      </w:r>
      <w:proofErr w:type="spellStart"/>
      <w:r w:rsidR="007E33D2" w:rsidRPr="00C069BE">
        <w:t>DoHAC</w:t>
      </w:r>
      <w:proofErr w:type="spellEnd"/>
      <w:r w:rsidR="007E33D2" w:rsidRPr="00C069BE">
        <w:t>), a pragmatic review of the published literature and targeted stakeholder consultation.</w:t>
      </w:r>
    </w:p>
    <w:p w14:paraId="2C6E3256" w14:textId="16CA8178" w:rsidR="00E06E85" w:rsidRPr="002D39D8" w:rsidRDefault="00E06E85" w:rsidP="003A28BB">
      <w:pPr>
        <w:pStyle w:val="BodyText"/>
      </w:pPr>
      <w:r>
        <w:t>SCS devic</w:t>
      </w:r>
      <w:r w:rsidR="001A4BDC">
        <w:t>es are listed in</w:t>
      </w:r>
      <w:r w:rsidR="00022067">
        <w:t xml:space="preserve"> Group 04.05.01 Pulse Generators under the ‘Neurostimulation Therapies for Pain’ Subcategory</w:t>
      </w:r>
      <w:r w:rsidR="00264F23">
        <w:t>. This category includes SCS, dorsal root ganglion stimulators</w:t>
      </w:r>
      <w:r w:rsidR="00D10204">
        <w:t xml:space="preserve"> (DRGS)</w:t>
      </w:r>
      <w:r w:rsidR="00264F23">
        <w:t>,</w:t>
      </w:r>
      <w:r w:rsidR="00D10204">
        <w:t xml:space="preserve"> and two peripheral nerve stimulators (PNS). The PNS </w:t>
      </w:r>
      <w:r w:rsidR="000A6E5C">
        <w:t>devices</w:t>
      </w:r>
      <w:r w:rsidR="00D10204">
        <w:t xml:space="preserve"> are out of scope for this review.</w:t>
      </w:r>
    </w:p>
    <w:p w14:paraId="453A9C49" w14:textId="6C296B3F" w:rsidR="00E7489B" w:rsidRDefault="00CD0263" w:rsidP="00CD0263">
      <w:pPr>
        <w:pStyle w:val="ExecSumHeading2"/>
      </w:pPr>
      <w:bookmarkStart w:id="6" w:name="_Toc165634641"/>
      <w:r>
        <w:t>Summary of findings</w:t>
      </w:r>
      <w:bookmarkEnd w:id="6"/>
    </w:p>
    <w:p w14:paraId="6F18A587" w14:textId="77777777" w:rsidR="00C67BF8" w:rsidRDefault="008831BB" w:rsidP="008831BB">
      <w:pPr>
        <w:pStyle w:val="ExecSumHeading3"/>
      </w:pPr>
      <w:r>
        <w:t xml:space="preserve">Clinical effectiveness </w:t>
      </w:r>
      <w:r w:rsidR="00C67BF8">
        <w:t>–</w:t>
      </w:r>
      <w:r>
        <w:t xml:space="preserve"> </w:t>
      </w:r>
      <w:r w:rsidR="00C67BF8">
        <w:t>chronic (non-ischaemic) pain</w:t>
      </w:r>
    </w:p>
    <w:p w14:paraId="726F9410" w14:textId="5D874D62" w:rsidR="00744C21" w:rsidRDefault="00744C21" w:rsidP="00744C21">
      <w:pPr>
        <w:pStyle w:val="BodyText"/>
      </w:pPr>
      <w:r>
        <w:t>Two Cochrane systematic reviews (SR</w:t>
      </w:r>
      <w:r w:rsidR="00B16DFD">
        <w:t>s)</w:t>
      </w:r>
      <w:r>
        <w:t xml:space="preserve"> considering the effectiveness of SCS were recently published and provide the most recent and comprehensive summary of the available evidence. The two reviews have substantial overlap in methodology and include eight of the same </w:t>
      </w:r>
      <w:r w:rsidR="00B16DFD">
        <w:t>studies.</w:t>
      </w:r>
    </w:p>
    <w:p w14:paraId="1312B959" w14:textId="361FCF7E" w:rsidR="004246BB" w:rsidRPr="00744C21" w:rsidRDefault="004246BB" w:rsidP="00744C21">
      <w:pPr>
        <w:pStyle w:val="BodyText"/>
      </w:pPr>
      <w:r>
        <w:t xml:space="preserve">Traeger (2023) </w:t>
      </w:r>
      <w:r w:rsidR="006F5066">
        <w:t xml:space="preserve">compared SCS to placebo (sham stimulation) or </w:t>
      </w:r>
      <w:r w:rsidR="00AF708E">
        <w:t xml:space="preserve">as an addition to </w:t>
      </w:r>
      <w:r w:rsidR="006F5066">
        <w:t>medical management for the treatment of low back pain</w:t>
      </w:r>
      <w:r w:rsidR="009C3952">
        <w:t xml:space="preserve">. The findings by outcome and follow-up time (medium and long-term only) are summarised in </w:t>
      </w:r>
      <w:r w:rsidR="004D77A1">
        <w:fldChar w:fldCharType="begin"/>
      </w:r>
      <w:r w:rsidR="004D77A1">
        <w:instrText xml:space="preserve"> REF _Ref135126470 \h </w:instrText>
      </w:r>
      <w:r w:rsidR="004D77A1">
        <w:fldChar w:fldCharType="separate"/>
      </w:r>
      <w:r w:rsidR="00CE6ACA">
        <w:t xml:space="preserve">Table ES </w:t>
      </w:r>
      <w:r w:rsidR="00CE6ACA">
        <w:rPr>
          <w:noProof/>
        </w:rPr>
        <w:t>1</w:t>
      </w:r>
      <w:r w:rsidR="004D77A1">
        <w:fldChar w:fldCharType="end"/>
      </w:r>
      <w:r w:rsidR="005C3486">
        <w:t>,</w:t>
      </w:r>
      <w:r w:rsidR="004D77A1">
        <w:t xml:space="preserve"> which</w:t>
      </w:r>
      <w:r w:rsidR="009C3952">
        <w:t xml:space="preserve"> includes the number of </w:t>
      </w:r>
      <w:r w:rsidR="006D6FAF">
        <w:t>randomised controlled trials (</w:t>
      </w:r>
      <w:r w:rsidR="009C3952">
        <w:t>RCTs</w:t>
      </w:r>
      <w:r w:rsidR="006D6FAF">
        <w:t>)</w:t>
      </w:r>
      <w:r w:rsidR="009C3952">
        <w:t xml:space="preserve"> and participants, and the author’s assessment of the quality of the evidence</w:t>
      </w:r>
      <w:r w:rsidR="004D77A1">
        <w:t xml:space="preserve"> using GRADE</w:t>
      </w:r>
      <w:r w:rsidR="009C3952">
        <w:t>.</w:t>
      </w:r>
    </w:p>
    <w:p w14:paraId="202063CE" w14:textId="1B6DAC27" w:rsidR="00885A0F" w:rsidRDefault="00885A0F" w:rsidP="00885A0F">
      <w:pPr>
        <w:pStyle w:val="Caption"/>
      </w:pPr>
      <w:bookmarkStart w:id="7" w:name="_Ref135126470"/>
      <w:r>
        <w:t xml:space="preserve">Table ES </w:t>
      </w:r>
      <w:fldSimple w:instr=" SEQ Table_ES \* ARABIC ">
        <w:r w:rsidR="00CE6ACA">
          <w:rPr>
            <w:noProof/>
          </w:rPr>
          <w:t>1</w:t>
        </w:r>
      </w:fldSimple>
      <w:bookmarkEnd w:id="7"/>
      <w:r>
        <w:tab/>
        <w:t>Summary of findings in Traeger Cochrane Review (2023) at medium and long</w:t>
      </w:r>
      <w:r w:rsidR="00462B0A">
        <w:t>-</w:t>
      </w:r>
      <w:r>
        <w:t>term follow</w:t>
      </w:r>
      <w:r w:rsidR="00B154F4">
        <w:t>-</w:t>
      </w:r>
      <w:r>
        <w:t>up</w:t>
      </w:r>
    </w:p>
    <w:tbl>
      <w:tblPr>
        <w:tblStyle w:val="TableGrid"/>
        <w:tblW w:w="9867" w:type="dxa"/>
        <w:tblLayout w:type="fixed"/>
        <w:tblLook w:val="04A0" w:firstRow="1" w:lastRow="0" w:firstColumn="1" w:lastColumn="0" w:noHBand="0" w:noVBand="1"/>
        <w:tblCaption w:val="Summary of findings in Traeger Cochrane Review (2023) at medium and long term follow up"/>
        <w:tblDescription w:val="Table showing the no. of RCTs, population, quality of evidence, statistical significance, and clinical importance for each of the outcomes reported for SCS versus placebo (sham) and SCS plus medical management versus medical management alone at medium and long term follow up"/>
      </w:tblPr>
      <w:tblGrid>
        <w:gridCol w:w="2544"/>
        <w:gridCol w:w="1284"/>
        <w:gridCol w:w="137"/>
        <w:gridCol w:w="236"/>
        <w:gridCol w:w="1469"/>
        <w:gridCol w:w="672"/>
        <w:gridCol w:w="283"/>
        <w:gridCol w:w="1172"/>
        <w:gridCol w:w="535"/>
        <w:gridCol w:w="1307"/>
        <w:gridCol w:w="228"/>
      </w:tblGrid>
      <w:tr w:rsidR="00FE6780" w:rsidRPr="00B05C77" w14:paraId="0C555766" w14:textId="77777777" w:rsidTr="004329B6">
        <w:trPr>
          <w:gridAfter w:val="1"/>
          <w:cnfStyle w:val="100000000000" w:firstRow="1" w:lastRow="0" w:firstColumn="0" w:lastColumn="0" w:oddVBand="0" w:evenVBand="0" w:oddHBand="0" w:evenHBand="0" w:firstRowFirstColumn="0" w:firstRowLastColumn="0" w:lastRowFirstColumn="0" w:lastRowLastColumn="0"/>
          <w:wAfter w:w="228" w:type="dxa"/>
        </w:trPr>
        <w:tc>
          <w:tcPr>
            <w:tcW w:w="2544" w:type="dxa"/>
          </w:tcPr>
          <w:p w14:paraId="107651A1" w14:textId="77777777" w:rsidR="00FE6780" w:rsidRPr="00B05C77" w:rsidRDefault="00FE6780">
            <w:pPr>
              <w:pStyle w:val="011TableHeading10pt"/>
              <w:rPr>
                <w:sz w:val="18"/>
                <w:szCs w:val="18"/>
              </w:rPr>
            </w:pPr>
            <w:r w:rsidRPr="00B05C77">
              <w:rPr>
                <w:sz w:val="18"/>
                <w:szCs w:val="18"/>
              </w:rPr>
              <w:t>Outcomes</w:t>
            </w:r>
          </w:p>
        </w:tc>
        <w:tc>
          <w:tcPr>
            <w:tcW w:w="1284" w:type="dxa"/>
          </w:tcPr>
          <w:p w14:paraId="262638A6" w14:textId="77777777" w:rsidR="00FE6780" w:rsidRPr="00B05C77" w:rsidRDefault="00FE6780">
            <w:pPr>
              <w:pStyle w:val="011TableHeading10pt"/>
              <w:rPr>
                <w:sz w:val="18"/>
                <w:szCs w:val="18"/>
              </w:rPr>
            </w:pPr>
            <w:r w:rsidRPr="00B05C77">
              <w:rPr>
                <w:sz w:val="18"/>
                <w:szCs w:val="18"/>
              </w:rPr>
              <w:t xml:space="preserve">No. RCTs; </w:t>
            </w:r>
            <w:r>
              <w:rPr>
                <w:sz w:val="18"/>
                <w:szCs w:val="18"/>
              </w:rPr>
              <w:t>N</w:t>
            </w:r>
          </w:p>
        </w:tc>
        <w:tc>
          <w:tcPr>
            <w:tcW w:w="1842" w:type="dxa"/>
            <w:gridSpan w:val="3"/>
          </w:tcPr>
          <w:p w14:paraId="235803C2" w14:textId="77777777" w:rsidR="00FE6780" w:rsidRPr="00B05C77" w:rsidRDefault="00FE6780">
            <w:pPr>
              <w:pStyle w:val="011TableHeading10pt"/>
              <w:rPr>
                <w:sz w:val="18"/>
                <w:szCs w:val="18"/>
              </w:rPr>
            </w:pPr>
            <w:r w:rsidRPr="00B05C77">
              <w:rPr>
                <w:sz w:val="18"/>
                <w:szCs w:val="18"/>
              </w:rPr>
              <w:t>Quality of evidence</w:t>
            </w:r>
          </w:p>
        </w:tc>
        <w:tc>
          <w:tcPr>
            <w:tcW w:w="2127" w:type="dxa"/>
            <w:gridSpan w:val="3"/>
          </w:tcPr>
          <w:p w14:paraId="0294FFF3" w14:textId="77777777" w:rsidR="00FE6780" w:rsidRPr="00B05C77" w:rsidRDefault="00FE6780">
            <w:pPr>
              <w:pStyle w:val="011TableHeading10pt"/>
              <w:rPr>
                <w:sz w:val="18"/>
                <w:szCs w:val="18"/>
              </w:rPr>
            </w:pPr>
            <w:r w:rsidRPr="00B05C77">
              <w:rPr>
                <w:sz w:val="18"/>
                <w:szCs w:val="18"/>
              </w:rPr>
              <w:t>Statistical significance</w:t>
            </w:r>
          </w:p>
        </w:tc>
        <w:tc>
          <w:tcPr>
            <w:tcW w:w="1842" w:type="dxa"/>
            <w:gridSpan w:val="2"/>
          </w:tcPr>
          <w:p w14:paraId="292BB1EB" w14:textId="46DD2556" w:rsidR="00FE6780" w:rsidRPr="00440FAC" w:rsidRDefault="00FE6780">
            <w:pPr>
              <w:pStyle w:val="011TableHeading10pt"/>
              <w:rPr>
                <w:sz w:val="18"/>
                <w:szCs w:val="18"/>
                <w:vertAlign w:val="superscript"/>
              </w:rPr>
            </w:pPr>
            <w:r w:rsidRPr="00B05C77">
              <w:rPr>
                <w:sz w:val="18"/>
                <w:szCs w:val="18"/>
              </w:rPr>
              <w:t xml:space="preserve">Clinical </w:t>
            </w:r>
            <w:proofErr w:type="spellStart"/>
            <w:r w:rsidRPr="00B05C77">
              <w:rPr>
                <w:sz w:val="18"/>
                <w:szCs w:val="18"/>
              </w:rPr>
              <w:t>importance</w:t>
            </w:r>
            <w:r w:rsidR="00BD3F2D">
              <w:rPr>
                <w:sz w:val="18"/>
                <w:szCs w:val="18"/>
                <w:vertAlign w:val="superscript"/>
              </w:rPr>
              <w:t>a</w:t>
            </w:r>
            <w:proofErr w:type="spellEnd"/>
          </w:p>
        </w:tc>
      </w:tr>
      <w:tr w:rsidR="00FE6780" w:rsidRPr="00B05C77" w14:paraId="490509BE" w14:textId="77777777" w:rsidTr="004329B6">
        <w:trPr>
          <w:gridAfter w:val="1"/>
          <w:wAfter w:w="228" w:type="dxa"/>
        </w:trPr>
        <w:tc>
          <w:tcPr>
            <w:tcW w:w="3965" w:type="dxa"/>
            <w:gridSpan w:val="3"/>
            <w:tcBorders>
              <w:bottom w:val="single" w:sz="4" w:space="0" w:color="auto"/>
            </w:tcBorders>
            <w:shd w:val="clear" w:color="auto" w:fill="E7E6E6" w:themeFill="background2"/>
          </w:tcPr>
          <w:p w14:paraId="41069210" w14:textId="77777777" w:rsidR="00FE6780" w:rsidRPr="00B05C77" w:rsidRDefault="00FE6780">
            <w:pPr>
              <w:pStyle w:val="051Tabletext228pt"/>
              <w:rPr>
                <w:b/>
                <w:sz w:val="18"/>
                <w:szCs w:val="18"/>
                <w:vertAlign w:val="superscript"/>
              </w:rPr>
            </w:pPr>
            <w:r w:rsidRPr="00B05C77">
              <w:rPr>
                <w:b/>
                <w:sz w:val="18"/>
                <w:szCs w:val="18"/>
              </w:rPr>
              <w:t>SCS versus placebo</w:t>
            </w:r>
            <w:r>
              <w:rPr>
                <w:b/>
                <w:sz w:val="18"/>
                <w:szCs w:val="18"/>
              </w:rPr>
              <w:t>(sham)</w:t>
            </w:r>
          </w:p>
        </w:tc>
        <w:tc>
          <w:tcPr>
            <w:tcW w:w="236" w:type="dxa"/>
            <w:tcBorders>
              <w:bottom w:val="single" w:sz="4" w:space="0" w:color="auto"/>
            </w:tcBorders>
            <w:shd w:val="clear" w:color="auto" w:fill="E7E6E6" w:themeFill="background2"/>
          </w:tcPr>
          <w:p w14:paraId="341E3785" w14:textId="77777777" w:rsidR="00FE6780" w:rsidRPr="00B05C77" w:rsidRDefault="00FE6780">
            <w:pPr>
              <w:pStyle w:val="051Tabletext228pt"/>
              <w:rPr>
                <w:sz w:val="18"/>
                <w:szCs w:val="18"/>
              </w:rPr>
            </w:pPr>
          </w:p>
        </w:tc>
        <w:tc>
          <w:tcPr>
            <w:tcW w:w="1469" w:type="dxa"/>
            <w:tcBorders>
              <w:bottom w:val="single" w:sz="4" w:space="0" w:color="auto"/>
            </w:tcBorders>
            <w:shd w:val="clear" w:color="auto" w:fill="E7E6E6" w:themeFill="background2"/>
          </w:tcPr>
          <w:p w14:paraId="0644BCA4" w14:textId="77777777" w:rsidR="00FE6780" w:rsidRPr="00B05C77" w:rsidRDefault="00FE6780">
            <w:pPr>
              <w:pStyle w:val="051Tabletext228pt"/>
              <w:rPr>
                <w:sz w:val="18"/>
                <w:szCs w:val="18"/>
              </w:rPr>
            </w:pPr>
          </w:p>
        </w:tc>
        <w:tc>
          <w:tcPr>
            <w:tcW w:w="2127" w:type="dxa"/>
            <w:gridSpan w:val="3"/>
            <w:tcBorders>
              <w:bottom w:val="single" w:sz="4" w:space="0" w:color="auto"/>
            </w:tcBorders>
            <w:shd w:val="clear" w:color="auto" w:fill="E7E6E6" w:themeFill="background2"/>
          </w:tcPr>
          <w:p w14:paraId="16059275" w14:textId="77777777" w:rsidR="00FE6780" w:rsidRPr="00B05C77" w:rsidRDefault="00FE6780">
            <w:pPr>
              <w:pStyle w:val="051Tabletext228pt"/>
              <w:rPr>
                <w:sz w:val="18"/>
                <w:szCs w:val="18"/>
              </w:rPr>
            </w:pPr>
          </w:p>
        </w:tc>
        <w:tc>
          <w:tcPr>
            <w:tcW w:w="1842" w:type="dxa"/>
            <w:gridSpan w:val="2"/>
            <w:tcBorders>
              <w:bottom w:val="single" w:sz="4" w:space="0" w:color="auto"/>
            </w:tcBorders>
            <w:shd w:val="clear" w:color="auto" w:fill="E7E6E6" w:themeFill="background2"/>
          </w:tcPr>
          <w:p w14:paraId="6ED052CA" w14:textId="77777777" w:rsidR="00FE6780" w:rsidRPr="00B05C77" w:rsidRDefault="00FE6780">
            <w:pPr>
              <w:pStyle w:val="051Tabletext228pt"/>
              <w:rPr>
                <w:sz w:val="18"/>
                <w:szCs w:val="18"/>
              </w:rPr>
            </w:pPr>
          </w:p>
        </w:tc>
      </w:tr>
      <w:tr w:rsidR="00FE6780" w:rsidRPr="00B05C77" w14:paraId="52FD24C1" w14:textId="77777777" w:rsidTr="004329B6">
        <w:trPr>
          <w:gridAfter w:val="1"/>
          <w:wAfter w:w="228" w:type="dxa"/>
        </w:trPr>
        <w:tc>
          <w:tcPr>
            <w:tcW w:w="2544" w:type="dxa"/>
            <w:tcBorders>
              <w:bottom w:val="dotted" w:sz="4" w:space="0" w:color="auto"/>
            </w:tcBorders>
          </w:tcPr>
          <w:p w14:paraId="61538953" w14:textId="77777777" w:rsidR="00FE6780" w:rsidRPr="004B1A23" w:rsidRDefault="00FE6780">
            <w:pPr>
              <w:pStyle w:val="051Tabletext2210pt"/>
              <w:rPr>
                <w:b/>
                <w:sz w:val="18"/>
                <w:szCs w:val="18"/>
              </w:rPr>
            </w:pPr>
            <w:r w:rsidRPr="004B1A23">
              <w:rPr>
                <w:b/>
                <w:sz w:val="18"/>
                <w:szCs w:val="18"/>
              </w:rPr>
              <w:t>Pain intensity</w:t>
            </w:r>
          </w:p>
        </w:tc>
        <w:tc>
          <w:tcPr>
            <w:tcW w:w="1284" w:type="dxa"/>
            <w:tcBorders>
              <w:bottom w:val="dotted" w:sz="4" w:space="0" w:color="auto"/>
            </w:tcBorders>
          </w:tcPr>
          <w:p w14:paraId="5CC8240B" w14:textId="77777777" w:rsidR="00FE6780" w:rsidRPr="00B05C77" w:rsidRDefault="00FE6780">
            <w:pPr>
              <w:pStyle w:val="051Tabletext2210pt"/>
              <w:rPr>
                <w:sz w:val="18"/>
                <w:szCs w:val="18"/>
              </w:rPr>
            </w:pPr>
          </w:p>
        </w:tc>
        <w:tc>
          <w:tcPr>
            <w:tcW w:w="1842" w:type="dxa"/>
            <w:gridSpan w:val="3"/>
            <w:tcBorders>
              <w:bottom w:val="dotted" w:sz="4" w:space="0" w:color="auto"/>
            </w:tcBorders>
          </w:tcPr>
          <w:p w14:paraId="051BB39C" w14:textId="77777777" w:rsidR="00FE6780" w:rsidRPr="00B05C77" w:rsidRDefault="00FE6780">
            <w:pPr>
              <w:pStyle w:val="051Tabletext2210pt"/>
              <w:rPr>
                <w:sz w:val="18"/>
                <w:szCs w:val="18"/>
              </w:rPr>
            </w:pPr>
          </w:p>
        </w:tc>
        <w:tc>
          <w:tcPr>
            <w:tcW w:w="2127" w:type="dxa"/>
            <w:gridSpan w:val="3"/>
            <w:tcBorders>
              <w:bottom w:val="dotted" w:sz="4" w:space="0" w:color="auto"/>
            </w:tcBorders>
          </w:tcPr>
          <w:p w14:paraId="12C61395" w14:textId="77777777" w:rsidR="00FE6780" w:rsidRPr="00B05C77" w:rsidRDefault="00FE6780">
            <w:pPr>
              <w:pStyle w:val="051Tabletext2210pt"/>
              <w:rPr>
                <w:sz w:val="18"/>
                <w:szCs w:val="18"/>
              </w:rPr>
            </w:pPr>
          </w:p>
        </w:tc>
        <w:tc>
          <w:tcPr>
            <w:tcW w:w="1842" w:type="dxa"/>
            <w:gridSpan w:val="2"/>
            <w:tcBorders>
              <w:bottom w:val="dotted" w:sz="4" w:space="0" w:color="auto"/>
            </w:tcBorders>
          </w:tcPr>
          <w:p w14:paraId="53E9FF8A" w14:textId="77777777" w:rsidR="00FE6780" w:rsidRPr="00B05C77" w:rsidRDefault="00FE6780">
            <w:pPr>
              <w:pStyle w:val="051Tabletext2210pt"/>
              <w:rPr>
                <w:sz w:val="18"/>
                <w:szCs w:val="18"/>
              </w:rPr>
            </w:pPr>
          </w:p>
        </w:tc>
      </w:tr>
      <w:tr w:rsidR="00FE6780" w:rsidRPr="00B05C77" w14:paraId="51193DBE" w14:textId="77777777" w:rsidTr="004329B6">
        <w:trPr>
          <w:gridAfter w:val="1"/>
          <w:wAfter w:w="228" w:type="dxa"/>
        </w:trPr>
        <w:tc>
          <w:tcPr>
            <w:tcW w:w="2544" w:type="dxa"/>
            <w:tcBorders>
              <w:top w:val="dotted" w:sz="4" w:space="0" w:color="auto"/>
              <w:bottom w:val="dotted" w:sz="4" w:space="0" w:color="auto"/>
            </w:tcBorders>
          </w:tcPr>
          <w:p w14:paraId="5477CEDD" w14:textId="77777777" w:rsidR="00FE6780" w:rsidRPr="00B05C77" w:rsidRDefault="00FE6780">
            <w:pPr>
              <w:pStyle w:val="051Tabletext2210pt"/>
              <w:ind w:left="157"/>
              <w:rPr>
                <w:sz w:val="18"/>
                <w:szCs w:val="18"/>
              </w:rPr>
            </w:pPr>
            <w:r w:rsidRPr="00B05C77">
              <w:rPr>
                <w:sz w:val="18"/>
                <w:szCs w:val="18"/>
              </w:rPr>
              <w:t>Low back pain</w:t>
            </w:r>
          </w:p>
        </w:tc>
        <w:tc>
          <w:tcPr>
            <w:tcW w:w="1284" w:type="dxa"/>
            <w:tcBorders>
              <w:top w:val="dotted" w:sz="4" w:space="0" w:color="auto"/>
              <w:bottom w:val="dotted" w:sz="4" w:space="0" w:color="auto"/>
            </w:tcBorders>
          </w:tcPr>
          <w:p w14:paraId="1347CA75" w14:textId="77777777" w:rsidR="00FE6780" w:rsidRPr="00B05C77" w:rsidRDefault="00FE6780">
            <w:pPr>
              <w:pStyle w:val="051Tabletext2210pt"/>
              <w:rPr>
                <w:sz w:val="18"/>
                <w:szCs w:val="18"/>
              </w:rPr>
            </w:pPr>
            <w:r w:rsidRPr="00B05C77">
              <w:rPr>
                <w:sz w:val="18"/>
                <w:szCs w:val="18"/>
              </w:rPr>
              <w:t>1; N=50 (M)</w:t>
            </w:r>
          </w:p>
        </w:tc>
        <w:tc>
          <w:tcPr>
            <w:tcW w:w="1842" w:type="dxa"/>
            <w:gridSpan w:val="3"/>
            <w:tcBorders>
              <w:top w:val="dotted" w:sz="4" w:space="0" w:color="auto"/>
              <w:bottom w:val="dotted" w:sz="4" w:space="0" w:color="auto"/>
            </w:tcBorders>
            <w:shd w:val="clear" w:color="auto" w:fill="D9E2F3" w:themeFill="accent1" w:themeFillTint="33"/>
          </w:tcPr>
          <w:p w14:paraId="442E99A2" w14:textId="77777777" w:rsidR="00FE6780" w:rsidRPr="00B05C77" w:rsidRDefault="00FE6780">
            <w:pPr>
              <w:pStyle w:val="051Tabletext2210pt"/>
              <w:rPr>
                <w:sz w:val="18"/>
                <w:szCs w:val="18"/>
              </w:rPr>
            </w:pPr>
            <w:r w:rsidRPr="00B05C77">
              <w:rPr>
                <w:sz w:val="18"/>
                <w:szCs w:val="18"/>
              </w:rPr>
              <w:t>moderate</w:t>
            </w:r>
          </w:p>
        </w:tc>
        <w:tc>
          <w:tcPr>
            <w:tcW w:w="2127" w:type="dxa"/>
            <w:gridSpan w:val="3"/>
            <w:tcBorders>
              <w:top w:val="dotted" w:sz="4" w:space="0" w:color="auto"/>
              <w:bottom w:val="dotted" w:sz="4" w:space="0" w:color="auto"/>
            </w:tcBorders>
            <w:shd w:val="clear" w:color="auto" w:fill="FFFFFF" w:themeFill="background1"/>
          </w:tcPr>
          <w:p w14:paraId="4AC8BF5B" w14:textId="77777777" w:rsidR="00FE6780" w:rsidRPr="00B05C77" w:rsidRDefault="00FE6780">
            <w:pPr>
              <w:pStyle w:val="051Tabletext2210pt"/>
              <w:rPr>
                <w:sz w:val="18"/>
                <w:szCs w:val="18"/>
              </w:rPr>
            </w:pPr>
            <w:r w:rsidRPr="00B05C77">
              <w:rPr>
                <w:sz w:val="18"/>
                <w:szCs w:val="18"/>
              </w:rPr>
              <w:t>No effect</w:t>
            </w:r>
          </w:p>
        </w:tc>
        <w:tc>
          <w:tcPr>
            <w:tcW w:w="1842" w:type="dxa"/>
            <w:gridSpan w:val="2"/>
            <w:tcBorders>
              <w:top w:val="dotted" w:sz="4" w:space="0" w:color="auto"/>
              <w:bottom w:val="dotted" w:sz="4" w:space="0" w:color="auto"/>
            </w:tcBorders>
          </w:tcPr>
          <w:p w14:paraId="1261E84B" w14:textId="77777777" w:rsidR="00FE6780" w:rsidRPr="00B05C77" w:rsidRDefault="00FE6780">
            <w:pPr>
              <w:pStyle w:val="051Tabletext2210pt"/>
              <w:rPr>
                <w:sz w:val="18"/>
                <w:szCs w:val="18"/>
              </w:rPr>
            </w:pPr>
            <w:r w:rsidRPr="00B05C77">
              <w:rPr>
                <w:sz w:val="18"/>
                <w:szCs w:val="18"/>
              </w:rPr>
              <w:t xml:space="preserve">No difference </w:t>
            </w:r>
          </w:p>
        </w:tc>
      </w:tr>
      <w:tr w:rsidR="00FE6780" w:rsidRPr="00B05C77" w14:paraId="1E31968E" w14:textId="77777777" w:rsidTr="004329B6">
        <w:trPr>
          <w:gridAfter w:val="1"/>
          <w:wAfter w:w="228" w:type="dxa"/>
        </w:trPr>
        <w:tc>
          <w:tcPr>
            <w:tcW w:w="2544" w:type="dxa"/>
            <w:tcBorders>
              <w:top w:val="dotted" w:sz="4" w:space="0" w:color="auto"/>
              <w:bottom w:val="single" w:sz="4" w:space="0" w:color="auto"/>
            </w:tcBorders>
          </w:tcPr>
          <w:p w14:paraId="50627A37" w14:textId="77777777" w:rsidR="00FE6780" w:rsidRPr="00B05C77" w:rsidRDefault="00FE6780">
            <w:pPr>
              <w:pStyle w:val="051Tabletext2210pt"/>
              <w:ind w:left="157"/>
              <w:rPr>
                <w:sz w:val="18"/>
                <w:szCs w:val="18"/>
              </w:rPr>
            </w:pPr>
            <w:r w:rsidRPr="00B05C77">
              <w:rPr>
                <w:sz w:val="18"/>
                <w:szCs w:val="18"/>
              </w:rPr>
              <w:t>Leg pain</w:t>
            </w:r>
          </w:p>
        </w:tc>
        <w:tc>
          <w:tcPr>
            <w:tcW w:w="1284" w:type="dxa"/>
            <w:tcBorders>
              <w:top w:val="dotted" w:sz="4" w:space="0" w:color="auto"/>
              <w:bottom w:val="single" w:sz="4" w:space="0" w:color="auto"/>
            </w:tcBorders>
          </w:tcPr>
          <w:p w14:paraId="6CF761CD" w14:textId="77777777" w:rsidR="00FE6780" w:rsidRPr="00B05C77" w:rsidRDefault="00FE6780">
            <w:pPr>
              <w:pStyle w:val="051Tabletext2210pt"/>
              <w:rPr>
                <w:i/>
                <w:sz w:val="18"/>
                <w:szCs w:val="18"/>
              </w:rPr>
            </w:pPr>
            <w:r w:rsidRPr="00B05C77">
              <w:rPr>
                <w:sz w:val="18"/>
                <w:szCs w:val="18"/>
              </w:rPr>
              <w:t>1; N=50 (M)</w:t>
            </w:r>
          </w:p>
        </w:tc>
        <w:tc>
          <w:tcPr>
            <w:tcW w:w="1842" w:type="dxa"/>
            <w:gridSpan w:val="3"/>
            <w:tcBorders>
              <w:top w:val="dotted" w:sz="4" w:space="0" w:color="auto"/>
              <w:bottom w:val="single" w:sz="4" w:space="0" w:color="auto"/>
            </w:tcBorders>
            <w:shd w:val="clear" w:color="auto" w:fill="D9E2F3" w:themeFill="accent1" w:themeFillTint="33"/>
          </w:tcPr>
          <w:p w14:paraId="696FDCCC" w14:textId="77777777" w:rsidR="00FE6780" w:rsidRPr="00B05C77" w:rsidRDefault="00FE6780">
            <w:pPr>
              <w:pStyle w:val="051Tabletext2210pt"/>
              <w:rPr>
                <w:sz w:val="18"/>
                <w:szCs w:val="18"/>
              </w:rPr>
            </w:pPr>
            <w:r w:rsidRPr="00B05C77">
              <w:rPr>
                <w:sz w:val="18"/>
                <w:szCs w:val="18"/>
              </w:rPr>
              <w:t>moderate</w:t>
            </w:r>
          </w:p>
        </w:tc>
        <w:tc>
          <w:tcPr>
            <w:tcW w:w="2127" w:type="dxa"/>
            <w:gridSpan w:val="3"/>
            <w:tcBorders>
              <w:top w:val="dotted" w:sz="4" w:space="0" w:color="auto"/>
              <w:bottom w:val="single" w:sz="4" w:space="0" w:color="auto"/>
            </w:tcBorders>
          </w:tcPr>
          <w:p w14:paraId="03766A89" w14:textId="77777777" w:rsidR="00FE6780" w:rsidRPr="00B05C77" w:rsidRDefault="00FE6780">
            <w:pPr>
              <w:pStyle w:val="051Tabletext2210pt"/>
              <w:rPr>
                <w:sz w:val="18"/>
                <w:szCs w:val="18"/>
              </w:rPr>
            </w:pPr>
            <w:r w:rsidRPr="00B05C77">
              <w:rPr>
                <w:sz w:val="18"/>
                <w:szCs w:val="18"/>
              </w:rPr>
              <w:t>No effect</w:t>
            </w:r>
          </w:p>
        </w:tc>
        <w:tc>
          <w:tcPr>
            <w:tcW w:w="1842" w:type="dxa"/>
            <w:gridSpan w:val="2"/>
            <w:tcBorders>
              <w:top w:val="dotted" w:sz="4" w:space="0" w:color="auto"/>
              <w:bottom w:val="single" w:sz="4" w:space="0" w:color="auto"/>
            </w:tcBorders>
          </w:tcPr>
          <w:p w14:paraId="70E1B6E0" w14:textId="77777777" w:rsidR="00FE6780" w:rsidRPr="00B05C77" w:rsidRDefault="00FE6780">
            <w:pPr>
              <w:pStyle w:val="051Tabletext2210pt"/>
              <w:rPr>
                <w:sz w:val="18"/>
                <w:szCs w:val="18"/>
              </w:rPr>
            </w:pPr>
            <w:r w:rsidRPr="00B05C77">
              <w:rPr>
                <w:sz w:val="18"/>
                <w:szCs w:val="18"/>
              </w:rPr>
              <w:t xml:space="preserve">No difference </w:t>
            </w:r>
          </w:p>
        </w:tc>
      </w:tr>
      <w:tr w:rsidR="00FE6780" w:rsidRPr="00B05C77" w14:paraId="588CFD04" w14:textId="77777777" w:rsidTr="004329B6">
        <w:trPr>
          <w:gridAfter w:val="1"/>
          <w:wAfter w:w="228" w:type="dxa"/>
        </w:trPr>
        <w:tc>
          <w:tcPr>
            <w:tcW w:w="2544" w:type="dxa"/>
            <w:tcBorders>
              <w:bottom w:val="dotted" w:sz="4" w:space="0" w:color="auto"/>
            </w:tcBorders>
          </w:tcPr>
          <w:p w14:paraId="6F697DB4" w14:textId="77777777" w:rsidR="00FE6780" w:rsidRPr="007F7995" w:rsidRDefault="00FE6780">
            <w:pPr>
              <w:pStyle w:val="051Tabletext2210pt"/>
              <w:rPr>
                <w:b/>
                <w:bCs/>
                <w:sz w:val="18"/>
                <w:szCs w:val="18"/>
              </w:rPr>
            </w:pPr>
            <w:r w:rsidRPr="007F7995">
              <w:rPr>
                <w:b/>
                <w:bCs/>
                <w:sz w:val="18"/>
                <w:szCs w:val="18"/>
              </w:rPr>
              <w:t>Function</w:t>
            </w:r>
          </w:p>
        </w:tc>
        <w:tc>
          <w:tcPr>
            <w:tcW w:w="1284" w:type="dxa"/>
            <w:tcBorders>
              <w:bottom w:val="dotted" w:sz="4" w:space="0" w:color="auto"/>
            </w:tcBorders>
          </w:tcPr>
          <w:p w14:paraId="3D086477" w14:textId="77777777" w:rsidR="00FE6780" w:rsidRPr="00B05C77" w:rsidRDefault="00FE6780">
            <w:pPr>
              <w:pStyle w:val="051Tabletext2210pt"/>
              <w:rPr>
                <w:sz w:val="18"/>
                <w:szCs w:val="18"/>
              </w:rPr>
            </w:pPr>
            <w:r w:rsidRPr="00B05C77">
              <w:rPr>
                <w:sz w:val="18"/>
                <w:szCs w:val="18"/>
              </w:rPr>
              <w:t>1; N=50 (M)</w:t>
            </w:r>
          </w:p>
        </w:tc>
        <w:tc>
          <w:tcPr>
            <w:tcW w:w="1842" w:type="dxa"/>
            <w:gridSpan w:val="3"/>
            <w:tcBorders>
              <w:bottom w:val="dotted" w:sz="4" w:space="0" w:color="auto"/>
            </w:tcBorders>
            <w:shd w:val="clear" w:color="auto" w:fill="D9E2F3" w:themeFill="accent1" w:themeFillTint="33"/>
          </w:tcPr>
          <w:p w14:paraId="06030FA9" w14:textId="77777777" w:rsidR="00FE6780" w:rsidRPr="00B05C77" w:rsidRDefault="00FE6780">
            <w:pPr>
              <w:pStyle w:val="051Tabletext2210pt"/>
              <w:rPr>
                <w:sz w:val="18"/>
                <w:szCs w:val="18"/>
              </w:rPr>
            </w:pPr>
            <w:r w:rsidRPr="00B05C77">
              <w:rPr>
                <w:sz w:val="18"/>
                <w:szCs w:val="18"/>
              </w:rPr>
              <w:t>moderate</w:t>
            </w:r>
          </w:p>
        </w:tc>
        <w:tc>
          <w:tcPr>
            <w:tcW w:w="2127" w:type="dxa"/>
            <w:gridSpan w:val="3"/>
            <w:tcBorders>
              <w:bottom w:val="dotted" w:sz="4" w:space="0" w:color="auto"/>
            </w:tcBorders>
          </w:tcPr>
          <w:p w14:paraId="3E7C857C" w14:textId="77777777" w:rsidR="00FE6780" w:rsidRPr="00B05C77" w:rsidRDefault="00FE6780">
            <w:pPr>
              <w:pStyle w:val="051Tabletext2210pt"/>
              <w:rPr>
                <w:sz w:val="18"/>
                <w:szCs w:val="18"/>
              </w:rPr>
            </w:pPr>
            <w:r w:rsidRPr="00B05C77">
              <w:rPr>
                <w:sz w:val="18"/>
                <w:szCs w:val="18"/>
              </w:rPr>
              <w:t>No effect</w:t>
            </w:r>
          </w:p>
        </w:tc>
        <w:tc>
          <w:tcPr>
            <w:tcW w:w="1842" w:type="dxa"/>
            <w:gridSpan w:val="2"/>
            <w:tcBorders>
              <w:bottom w:val="dotted" w:sz="4" w:space="0" w:color="auto"/>
            </w:tcBorders>
          </w:tcPr>
          <w:p w14:paraId="4A19BDA3" w14:textId="77777777" w:rsidR="00FE6780" w:rsidRPr="00B05C77" w:rsidRDefault="00FE6780">
            <w:pPr>
              <w:pStyle w:val="051Tabletext2210pt"/>
              <w:rPr>
                <w:sz w:val="18"/>
                <w:szCs w:val="18"/>
              </w:rPr>
            </w:pPr>
            <w:r w:rsidRPr="00B05C77">
              <w:rPr>
                <w:sz w:val="18"/>
                <w:szCs w:val="18"/>
              </w:rPr>
              <w:t>No difference</w:t>
            </w:r>
          </w:p>
        </w:tc>
      </w:tr>
      <w:tr w:rsidR="00FE6780" w:rsidRPr="00B05C77" w14:paraId="60EDB468" w14:textId="77777777" w:rsidTr="004329B6">
        <w:trPr>
          <w:gridAfter w:val="1"/>
          <w:wAfter w:w="228" w:type="dxa"/>
        </w:trPr>
        <w:tc>
          <w:tcPr>
            <w:tcW w:w="2544" w:type="dxa"/>
            <w:tcBorders>
              <w:bottom w:val="dotted" w:sz="4" w:space="0" w:color="auto"/>
            </w:tcBorders>
          </w:tcPr>
          <w:p w14:paraId="33D36463" w14:textId="77777777" w:rsidR="00FE6780" w:rsidRPr="007F7995" w:rsidRDefault="00FE6780">
            <w:pPr>
              <w:pStyle w:val="051Tabletext2210pt"/>
              <w:rPr>
                <w:b/>
                <w:bCs/>
                <w:sz w:val="18"/>
                <w:szCs w:val="18"/>
              </w:rPr>
            </w:pPr>
            <w:proofErr w:type="spellStart"/>
            <w:r w:rsidRPr="007F7995">
              <w:rPr>
                <w:b/>
                <w:bCs/>
                <w:sz w:val="18"/>
                <w:szCs w:val="18"/>
              </w:rPr>
              <w:t>HRQoL</w:t>
            </w:r>
            <w:proofErr w:type="spellEnd"/>
          </w:p>
        </w:tc>
        <w:tc>
          <w:tcPr>
            <w:tcW w:w="1284" w:type="dxa"/>
            <w:tcBorders>
              <w:bottom w:val="dotted" w:sz="4" w:space="0" w:color="auto"/>
            </w:tcBorders>
          </w:tcPr>
          <w:p w14:paraId="4FBEECF3" w14:textId="77777777" w:rsidR="00FE6780" w:rsidRPr="00B05C77" w:rsidRDefault="00FE6780">
            <w:pPr>
              <w:pStyle w:val="051Tabletext2210pt"/>
              <w:rPr>
                <w:sz w:val="18"/>
                <w:szCs w:val="18"/>
              </w:rPr>
            </w:pPr>
            <w:r w:rsidRPr="00B05C77">
              <w:rPr>
                <w:sz w:val="18"/>
                <w:szCs w:val="18"/>
              </w:rPr>
              <w:t>1; N=50 (M)</w:t>
            </w:r>
          </w:p>
        </w:tc>
        <w:tc>
          <w:tcPr>
            <w:tcW w:w="1842" w:type="dxa"/>
            <w:gridSpan w:val="3"/>
            <w:tcBorders>
              <w:bottom w:val="dotted" w:sz="4" w:space="0" w:color="auto"/>
            </w:tcBorders>
            <w:shd w:val="clear" w:color="auto" w:fill="D9E2F3" w:themeFill="accent1" w:themeFillTint="33"/>
          </w:tcPr>
          <w:p w14:paraId="6A950EF3" w14:textId="77777777" w:rsidR="00FE6780" w:rsidRPr="00B05C77" w:rsidRDefault="00FE6780">
            <w:pPr>
              <w:pStyle w:val="051Tabletext2210pt"/>
              <w:rPr>
                <w:sz w:val="18"/>
                <w:szCs w:val="18"/>
              </w:rPr>
            </w:pPr>
            <w:r w:rsidRPr="00B05C77">
              <w:rPr>
                <w:sz w:val="18"/>
                <w:szCs w:val="18"/>
              </w:rPr>
              <w:t>moderate</w:t>
            </w:r>
          </w:p>
        </w:tc>
        <w:tc>
          <w:tcPr>
            <w:tcW w:w="2127" w:type="dxa"/>
            <w:gridSpan w:val="3"/>
            <w:tcBorders>
              <w:bottom w:val="dotted" w:sz="4" w:space="0" w:color="auto"/>
            </w:tcBorders>
          </w:tcPr>
          <w:p w14:paraId="736B76F6" w14:textId="77777777" w:rsidR="00FE6780" w:rsidRPr="00B05C77" w:rsidRDefault="00FE6780">
            <w:pPr>
              <w:pStyle w:val="051Tabletext2210pt"/>
              <w:rPr>
                <w:sz w:val="18"/>
                <w:szCs w:val="18"/>
              </w:rPr>
            </w:pPr>
            <w:r w:rsidRPr="00B05C77">
              <w:rPr>
                <w:sz w:val="18"/>
                <w:szCs w:val="18"/>
              </w:rPr>
              <w:t>No effect</w:t>
            </w:r>
          </w:p>
        </w:tc>
        <w:tc>
          <w:tcPr>
            <w:tcW w:w="1842" w:type="dxa"/>
            <w:gridSpan w:val="2"/>
            <w:tcBorders>
              <w:bottom w:val="dotted" w:sz="4" w:space="0" w:color="auto"/>
            </w:tcBorders>
          </w:tcPr>
          <w:p w14:paraId="7CBFB0C7" w14:textId="77777777" w:rsidR="00FE6780" w:rsidRPr="00B05C77" w:rsidRDefault="00FE6780">
            <w:pPr>
              <w:pStyle w:val="051Tabletext2210pt"/>
              <w:rPr>
                <w:sz w:val="18"/>
                <w:szCs w:val="18"/>
              </w:rPr>
            </w:pPr>
            <w:r w:rsidRPr="00B05C77">
              <w:rPr>
                <w:sz w:val="18"/>
                <w:szCs w:val="18"/>
              </w:rPr>
              <w:t xml:space="preserve">No difference </w:t>
            </w:r>
          </w:p>
        </w:tc>
      </w:tr>
      <w:tr w:rsidR="00FE6780" w:rsidRPr="00B05C77" w14:paraId="76365C83" w14:textId="77777777" w:rsidTr="004329B6">
        <w:tc>
          <w:tcPr>
            <w:tcW w:w="5670" w:type="dxa"/>
            <w:gridSpan w:val="5"/>
            <w:tcBorders>
              <w:bottom w:val="single" w:sz="4" w:space="0" w:color="auto"/>
            </w:tcBorders>
            <w:shd w:val="clear" w:color="auto" w:fill="E7E6E6" w:themeFill="background2"/>
          </w:tcPr>
          <w:p w14:paraId="1A2EEC33" w14:textId="77777777" w:rsidR="00FE6780" w:rsidRPr="00B05C77" w:rsidRDefault="00FE6780">
            <w:pPr>
              <w:pStyle w:val="051Tabletext228pt"/>
              <w:rPr>
                <w:b/>
                <w:sz w:val="18"/>
                <w:szCs w:val="18"/>
              </w:rPr>
            </w:pPr>
            <w:r w:rsidRPr="00B05C77">
              <w:rPr>
                <w:b/>
                <w:sz w:val="18"/>
                <w:szCs w:val="18"/>
              </w:rPr>
              <w:t>SCS + MM versus MM alone</w:t>
            </w:r>
          </w:p>
        </w:tc>
        <w:tc>
          <w:tcPr>
            <w:tcW w:w="672" w:type="dxa"/>
            <w:tcBorders>
              <w:bottom w:val="single" w:sz="4" w:space="0" w:color="auto"/>
            </w:tcBorders>
            <w:shd w:val="clear" w:color="auto" w:fill="E7E6E6" w:themeFill="background2"/>
          </w:tcPr>
          <w:p w14:paraId="15282205" w14:textId="77777777" w:rsidR="00FE6780" w:rsidRPr="00B05C77" w:rsidRDefault="00FE6780">
            <w:pPr>
              <w:pStyle w:val="051Tabletext228pt"/>
              <w:rPr>
                <w:b/>
                <w:sz w:val="18"/>
                <w:szCs w:val="18"/>
              </w:rPr>
            </w:pPr>
          </w:p>
        </w:tc>
        <w:tc>
          <w:tcPr>
            <w:tcW w:w="283" w:type="dxa"/>
            <w:tcBorders>
              <w:bottom w:val="single" w:sz="4" w:space="0" w:color="auto"/>
            </w:tcBorders>
            <w:shd w:val="clear" w:color="auto" w:fill="E7E6E6" w:themeFill="background2"/>
          </w:tcPr>
          <w:p w14:paraId="3FADC3DA" w14:textId="77777777" w:rsidR="00FE6780" w:rsidRPr="00B05C77" w:rsidRDefault="00FE6780">
            <w:pPr>
              <w:pStyle w:val="051Tabletext228pt"/>
              <w:rPr>
                <w:sz w:val="18"/>
                <w:szCs w:val="18"/>
              </w:rPr>
            </w:pPr>
          </w:p>
        </w:tc>
        <w:tc>
          <w:tcPr>
            <w:tcW w:w="1707" w:type="dxa"/>
            <w:gridSpan w:val="2"/>
            <w:tcBorders>
              <w:bottom w:val="single" w:sz="4" w:space="0" w:color="auto"/>
            </w:tcBorders>
            <w:shd w:val="clear" w:color="auto" w:fill="E7E6E6" w:themeFill="background2"/>
          </w:tcPr>
          <w:p w14:paraId="083F5837" w14:textId="77777777" w:rsidR="00FE6780" w:rsidRPr="00B05C77" w:rsidRDefault="00FE6780">
            <w:pPr>
              <w:pStyle w:val="051Tabletext228pt"/>
              <w:rPr>
                <w:sz w:val="18"/>
                <w:szCs w:val="18"/>
              </w:rPr>
            </w:pPr>
          </w:p>
        </w:tc>
        <w:tc>
          <w:tcPr>
            <w:tcW w:w="1535" w:type="dxa"/>
            <w:gridSpan w:val="2"/>
            <w:tcBorders>
              <w:bottom w:val="single" w:sz="4" w:space="0" w:color="auto"/>
            </w:tcBorders>
            <w:shd w:val="clear" w:color="auto" w:fill="E7E6E6" w:themeFill="background2"/>
          </w:tcPr>
          <w:p w14:paraId="0127FD8B" w14:textId="77777777" w:rsidR="00FE6780" w:rsidRPr="00B05C77" w:rsidRDefault="00FE6780">
            <w:pPr>
              <w:pStyle w:val="051Tabletext228pt"/>
              <w:rPr>
                <w:sz w:val="18"/>
                <w:szCs w:val="18"/>
              </w:rPr>
            </w:pPr>
          </w:p>
        </w:tc>
      </w:tr>
      <w:tr w:rsidR="00FE6780" w:rsidRPr="00B05C77" w14:paraId="528FBC76" w14:textId="77777777" w:rsidTr="004329B6">
        <w:trPr>
          <w:gridAfter w:val="1"/>
          <w:wAfter w:w="228" w:type="dxa"/>
        </w:trPr>
        <w:tc>
          <w:tcPr>
            <w:tcW w:w="2544" w:type="dxa"/>
            <w:tcBorders>
              <w:bottom w:val="dotted" w:sz="4" w:space="0" w:color="auto"/>
            </w:tcBorders>
          </w:tcPr>
          <w:p w14:paraId="1E881570" w14:textId="77777777" w:rsidR="00FE6780" w:rsidRPr="00DE4C5A" w:rsidRDefault="00FE6780">
            <w:pPr>
              <w:pStyle w:val="051Tabletext2210pt"/>
              <w:rPr>
                <w:b/>
                <w:sz w:val="18"/>
                <w:szCs w:val="18"/>
              </w:rPr>
            </w:pPr>
            <w:r w:rsidRPr="00DE4C5A">
              <w:rPr>
                <w:b/>
                <w:sz w:val="18"/>
                <w:szCs w:val="18"/>
              </w:rPr>
              <w:t>Pain intensity</w:t>
            </w:r>
          </w:p>
        </w:tc>
        <w:tc>
          <w:tcPr>
            <w:tcW w:w="1284" w:type="dxa"/>
            <w:tcBorders>
              <w:bottom w:val="dotted" w:sz="4" w:space="0" w:color="auto"/>
            </w:tcBorders>
          </w:tcPr>
          <w:p w14:paraId="65AB34D7" w14:textId="77777777" w:rsidR="00FE6780" w:rsidRPr="00B05C77" w:rsidRDefault="00FE6780">
            <w:pPr>
              <w:pStyle w:val="051Tabletext2210pt"/>
              <w:rPr>
                <w:sz w:val="18"/>
                <w:szCs w:val="18"/>
              </w:rPr>
            </w:pPr>
          </w:p>
        </w:tc>
        <w:tc>
          <w:tcPr>
            <w:tcW w:w="1842" w:type="dxa"/>
            <w:gridSpan w:val="3"/>
            <w:tcBorders>
              <w:bottom w:val="dotted" w:sz="4" w:space="0" w:color="auto"/>
            </w:tcBorders>
          </w:tcPr>
          <w:p w14:paraId="7416FD0F" w14:textId="77777777" w:rsidR="00FE6780" w:rsidRPr="00B05C77" w:rsidRDefault="00FE6780">
            <w:pPr>
              <w:pStyle w:val="051Tabletext2210pt"/>
              <w:rPr>
                <w:sz w:val="18"/>
                <w:szCs w:val="18"/>
              </w:rPr>
            </w:pPr>
          </w:p>
        </w:tc>
        <w:tc>
          <w:tcPr>
            <w:tcW w:w="2127" w:type="dxa"/>
            <w:gridSpan w:val="3"/>
            <w:tcBorders>
              <w:bottom w:val="dotted" w:sz="4" w:space="0" w:color="auto"/>
            </w:tcBorders>
          </w:tcPr>
          <w:p w14:paraId="30F72A4D" w14:textId="77777777" w:rsidR="00FE6780" w:rsidRPr="00B05C77" w:rsidRDefault="00FE6780">
            <w:pPr>
              <w:pStyle w:val="051Tabletext2210pt"/>
              <w:rPr>
                <w:sz w:val="18"/>
                <w:szCs w:val="18"/>
              </w:rPr>
            </w:pPr>
          </w:p>
        </w:tc>
        <w:tc>
          <w:tcPr>
            <w:tcW w:w="1842" w:type="dxa"/>
            <w:gridSpan w:val="2"/>
            <w:tcBorders>
              <w:bottom w:val="dotted" w:sz="4" w:space="0" w:color="auto"/>
            </w:tcBorders>
          </w:tcPr>
          <w:p w14:paraId="151E9D93" w14:textId="77777777" w:rsidR="00FE6780" w:rsidRPr="00B05C77" w:rsidRDefault="00FE6780">
            <w:pPr>
              <w:pStyle w:val="051Tabletext2210pt"/>
              <w:rPr>
                <w:sz w:val="18"/>
                <w:szCs w:val="18"/>
              </w:rPr>
            </w:pPr>
          </w:p>
        </w:tc>
      </w:tr>
      <w:tr w:rsidR="00FE6780" w:rsidRPr="00B05C77" w14:paraId="08810A14" w14:textId="77777777" w:rsidTr="004329B6">
        <w:trPr>
          <w:gridAfter w:val="1"/>
          <w:wAfter w:w="228" w:type="dxa"/>
        </w:trPr>
        <w:tc>
          <w:tcPr>
            <w:tcW w:w="2544" w:type="dxa"/>
            <w:tcBorders>
              <w:top w:val="dotted" w:sz="4" w:space="0" w:color="auto"/>
              <w:bottom w:val="dotted" w:sz="4" w:space="0" w:color="auto"/>
            </w:tcBorders>
          </w:tcPr>
          <w:p w14:paraId="6F3DCD36" w14:textId="77777777" w:rsidR="00FE6780" w:rsidRPr="00B05C77" w:rsidRDefault="00FE6780">
            <w:pPr>
              <w:pStyle w:val="051Tabletext2210pt"/>
              <w:ind w:left="157"/>
              <w:rPr>
                <w:sz w:val="18"/>
                <w:szCs w:val="18"/>
              </w:rPr>
            </w:pPr>
            <w:r w:rsidRPr="00B05C77">
              <w:rPr>
                <w:sz w:val="18"/>
                <w:szCs w:val="18"/>
              </w:rPr>
              <w:t>Low back pain</w:t>
            </w:r>
          </w:p>
        </w:tc>
        <w:tc>
          <w:tcPr>
            <w:tcW w:w="1284" w:type="dxa"/>
            <w:tcBorders>
              <w:top w:val="dotted" w:sz="4" w:space="0" w:color="auto"/>
              <w:bottom w:val="dotted" w:sz="4" w:space="0" w:color="auto"/>
            </w:tcBorders>
          </w:tcPr>
          <w:p w14:paraId="30F6825C" w14:textId="77777777" w:rsidR="00FE6780" w:rsidRPr="00B05C77" w:rsidRDefault="00FE6780">
            <w:pPr>
              <w:pStyle w:val="051Tabletext2210pt"/>
              <w:rPr>
                <w:sz w:val="18"/>
                <w:szCs w:val="18"/>
              </w:rPr>
            </w:pPr>
            <w:r w:rsidRPr="00B05C77">
              <w:rPr>
                <w:sz w:val="18"/>
                <w:szCs w:val="18"/>
              </w:rPr>
              <w:t>3; N=430 (M)</w:t>
            </w:r>
          </w:p>
        </w:tc>
        <w:tc>
          <w:tcPr>
            <w:tcW w:w="1842" w:type="dxa"/>
            <w:gridSpan w:val="3"/>
            <w:tcBorders>
              <w:top w:val="dotted" w:sz="4" w:space="0" w:color="auto"/>
              <w:bottom w:val="dotted" w:sz="4" w:space="0" w:color="auto"/>
            </w:tcBorders>
            <w:shd w:val="clear" w:color="auto" w:fill="F4B083" w:themeFill="accent2" w:themeFillTint="99"/>
          </w:tcPr>
          <w:p w14:paraId="7BF3D311" w14:textId="77777777" w:rsidR="00FE6780" w:rsidRPr="00B05C77" w:rsidRDefault="00FE6780">
            <w:pPr>
              <w:pStyle w:val="051Tabletext2210pt"/>
              <w:rPr>
                <w:sz w:val="18"/>
                <w:szCs w:val="18"/>
              </w:rPr>
            </w:pPr>
            <w:r w:rsidRPr="00B05C77">
              <w:rPr>
                <w:sz w:val="18"/>
                <w:szCs w:val="18"/>
              </w:rPr>
              <w:t>very low</w:t>
            </w:r>
          </w:p>
        </w:tc>
        <w:tc>
          <w:tcPr>
            <w:tcW w:w="2127" w:type="dxa"/>
            <w:gridSpan w:val="3"/>
            <w:tcBorders>
              <w:top w:val="dotted" w:sz="4" w:space="0" w:color="auto"/>
              <w:bottom w:val="dotted" w:sz="4" w:space="0" w:color="auto"/>
            </w:tcBorders>
            <w:shd w:val="clear" w:color="auto" w:fill="auto"/>
          </w:tcPr>
          <w:p w14:paraId="53F53699" w14:textId="77777777" w:rsidR="00FE6780" w:rsidRPr="00B05C77" w:rsidRDefault="00FE6780">
            <w:pPr>
              <w:pStyle w:val="051Tabletext2210pt"/>
              <w:rPr>
                <w:sz w:val="18"/>
                <w:szCs w:val="18"/>
              </w:rPr>
            </w:pPr>
            <w:r w:rsidRPr="00B05C77">
              <w:rPr>
                <w:sz w:val="18"/>
                <w:szCs w:val="18"/>
              </w:rPr>
              <w:t>No effect</w:t>
            </w:r>
          </w:p>
        </w:tc>
        <w:tc>
          <w:tcPr>
            <w:tcW w:w="1842" w:type="dxa"/>
            <w:gridSpan w:val="2"/>
            <w:tcBorders>
              <w:top w:val="dotted" w:sz="4" w:space="0" w:color="auto"/>
              <w:bottom w:val="dotted" w:sz="4" w:space="0" w:color="auto"/>
            </w:tcBorders>
            <w:shd w:val="clear" w:color="auto" w:fill="E2EFD9" w:themeFill="accent6" w:themeFillTint="33"/>
          </w:tcPr>
          <w:p w14:paraId="013C7C81" w14:textId="77777777" w:rsidR="00FE6780" w:rsidRPr="00B05C77" w:rsidRDefault="00FE6780">
            <w:pPr>
              <w:pStyle w:val="051Tabletext2210pt"/>
              <w:rPr>
                <w:sz w:val="18"/>
                <w:szCs w:val="18"/>
              </w:rPr>
            </w:pPr>
            <w:r w:rsidRPr="00B05C77">
              <w:rPr>
                <w:sz w:val="18"/>
                <w:szCs w:val="18"/>
              </w:rPr>
              <w:t>Favours SCS</w:t>
            </w:r>
          </w:p>
        </w:tc>
      </w:tr>
      <w:tr w:rsidR="00FE6780" w:rsidRPr="00B05C77" w14:paraId="1FDABA92" w14:textId="77777777" w:rsidTr="004329B6">
        <w:trPr>
          <w:gridAfter w:val="1"/>
          <w:wAfter w:w="228" w:type="dxa"/>
        </w:trPr>
        <w:tc>
          <w:tcPr>
            <w:tcW w:w="2544" w:type="dxa"/>
            <w:tcBorders>
              <w:top w:val="dotted" w:sz="4" w:space="0" w:color="auto"/>
              <w:bottom w:val="dotted" w:sz="4" w:space="0" w:color="auto"/>
            </w:tcBorders>
          </w:tcPr>
          <w:p w14:paraId="596C50FF" w14:textId="77777777" w:rsidR="00FE6780" w:rsidRPr="00B05C77" w:rsidRDefault="00FE6780">
            <w:pPr>
              <w:pStyle w:val="051Tabletext2210pt"/>
              <w:ind w:left="157"/>
              <w:rPr>
                <w:sz w:val="18"/>
                <w:szCs w:val="18"/>
              </w:rPr>
            </w:pPr>
            <w:r w:rsidRPr="00B05C77">
              <w:rPr>
                <w:sz w:val="18"/>
                <w:szCs w:val="18"/>
              </w:rPr>
              <w:t>Leg pain</w:t>
            </w:r>
          </w:p>
        </w:tc>
        <w:tc>
          <w:tcPr>
            <w:tcW w:w="1284" w:type="dxa"/>
            <w:tcBorders>
              <w:top w:val="dotted" w:sz="4" w:space="0" w:color="auto"/>
              <w:bottom w:val="dotted" w:sz="4" w:space="0" w:color="auto"/>
            </w:tcBorders>
          </w:tcPr>
          <w:p w14:paraId="2B6C20AA" w14:textId="77777777" w:rsidR="00FE6780" w:rsidRPr="00B05C77" w:rsidRDefault="00FE6780">
            <w:pPr>
              <w:pStyle w:val="051Tabletext2210pt"/>
              <w:rPr>
                <w:sz w:val="18"/>
                <w:szCs w:val="18"/>
              </w:rPr>
            </w:pPr>
            <w:r w:rsidRPr="00B05C77">
              <w:rPr>
                <w:sz w:val="18"/>
                <w:szCs w:val="18"/>
              </w:rPr>
              <w:t>2; N=290 (M)</w:t>
            </w:r>
          </w:p>
        </w:tc>
        <w:tc>
          <w:tcPr>
            <w:tcW w:w="1842" w:type="dxa"/>
            <w:gridSpan w:val="3"/>
            <w:tcBorders>
              <w:top w:val="dotted" w:sz="4" w:space="0" w:color="auto"/>
              <w:bottom w:val="dotted" w:sz="4" w:space="0" w:color="auto"/>
            </w:tcBorders>
            <w:shd w:val="clear" w:color="auto" w:fill="F4B083" w:themeFill="accent2" w:themeFillTint="99"/>
          </w:tcPr>
          <w:p w14:paraId="6E2DE9A1" w14:textId="77777777" w:rsidR="00FE6780" w:rsidRPr="00B05C77" w:rsidRDefault="00FE6780">
            <w:pPr>
              <w:pStyle w:val="051Tabletext2210pt"/>
              <w:rPr>
                <w:sz w:val="18"/>
                <w:szCs w:val="18"/>
              </w:rPr>
            </w:pPr>
            <w:r w:rsidRPr="00B05C77">
              <w:rPr>
                <w:sz w:val="18"/>
                <w:szCs w:val="18"/>
              </w:rPr>
              <w:t>very low</w:t>
            </w:r>
          </w:p>
        </w:tc>
        <w:tc>
          <w:tcPr>
            <w:tcW w:w="2127" w:type="dxa"/>
            <w:gridSpan w:val="3"/>
            <w:tcBorders>
              <w:top w:val="dotted" w:sz="4" w:space="0" w:color="auto"/>
              <w:bottom w:val="dotted" w:sz="4" w:space="0" w:color="auto"/>
            </w:tcBorders>
            <w:shd w:val="clear" w:color="auto" w:fill="E2EFD9" w:themeFill="accent6" w:themeFillTint="33"/>
          </w:tcPr>
          <w:p w14:paraId="7268B774" w14:textId="77777777" w:rsidR="00FE6780" w:rsidRPr="00B05C77" w:rsidRDefault="00FE6780">
            <w:pPr>
              <w:pStyle w:val="051Tabletext2210pt"/>
              <w:rPr>
                <w:sz w:val="18"/>
                <w:szCs w:val="18"/>
              </w:rPr>
            </w:pPr>
            <w:r w:rsidRPr="00B05C77">
              <w:rPr>
                <w:sz w:val="18"/>
                <w:szCs w:val="18"/>
              </w:rPr>
              <w:t>Favours SCS</w:t>
            </w:r>
          </w:p>
        </w:tc>
        <w:tc>
          <w:tcPr>
            <w:tcW w:w="1842" w:type="dxa"/>
            <w:gridSpan w:val="2"/>
            <w:tcBorders>
              <w:top w:val="dotted" w:sz="4" w:space="0" w:color="auto"/>
              <w:bottom w:val="dotted" w:sz="4" w:space="0" w:color="auto"/>
            </w:tcBorders>
            <w:shd w:val="clear" w:color="auto" w:fill="E2EFD9" w:themeFill="accent6" w:themeFillTint="33"/>
          </w:tcPr>
          <w:p w14:paraId="3652C19F" w14:textId="77777777" w:rsidR="00FE6780" w:rsidRPr="00B05C77" w:rsidRDefault="00FE6780">
            <w:pPr>
              <w:pStyle w:val="051Tabletext2210pt"/>
              <w:rPr>
                <w:sz w:val="18"/>
                <w:szCs w:val="18"/>
              </w:rPr>
            </w:pPr>
            <w:r w:rsidRPr="00B05C77">
              <w:rPr>
                <w:sz w:val="18"/>
                <w:szCs w:val="18"/>
              </w:rPr>
              <w:t>Favours SCS</w:t>
            </w:r>
          </w:p>
        </w:tc>
      </w:tr>
      <w:tr w:rsidR="00FE6780" w:rsidRPr="00B05C77" w14:paraId="2377503C" w14:textId="77777777" w:rsidTr="004329B6">
        <w:trPr>
          <w:gridAfter w:val="1"/>
          <w:wAfter w:w="228" w:type="dxa"/>
        </w:trPr>
        <w:tc>
          <w:tcPr>
            <w:tcW w:w="2544" w:type="dxa"/>
            <w:tcBorders>
              <w:top w:val="dotted" w:sz="4" w:space="0" w:color="auto"/>
              <w:bottom w:val="nil"/>
            </w:tcBorders>
          </w:tcPr>
          <w:p w14:paraId="2534234B" w14:textId="77777777" w:rsidR="00FE6780" w:rsidRPr="00B05C77" w:rsidRDefault="00FE6780">
            <w:pPr>
              <w:pStyle w:val="051Tabletext2210pt"/>
              <w:ind w:left="157"/>
              <w:rPr>
                <w:sz w:val="18"/>
                <w:szCs w:val="18"/>
              </w:rPr>
            </w:pPr>
            <w:r w:rsidRPr="00194409">
              <w:rPr>
                <w:sz w:val="18"/>
                <w:szCs w:val="18"/>
              </w:rPr>
              <w:t>≥</w:t>
            </w:r>
            <w:r w:rsidRPr="00B05C77">
              <w:rPr>
                <w:sz w:val="18"/>
                <w:szCs w:val="18"/>
              </w:rPr>
              <w:t>50% better</w:t>
            </w:r>
          </w:p>
        </w:tc>
        <w:tc>
          <w:tcPr>
            <w:tcW w:w="1284" w:type="dxa"/>
            <w:tcBorders>
              <w:top w:val="dotted" w:sz="4" w:space="0" w:color="auto"/>
              <w:bottom w:val="nil"/>
            </w:tcBorders>
          </w:tcPr>
          <w:p w14:paraId="5C3ACD2F" w14:textId="77777777" w:rsidR="00FE6780" w:rsidRPr="00B05C77" w:rsidRDefault="00FE6780">
            <w:pPr>
              <w:pStyle w:val="051Tabletext2210pt"/>
              <w:rPr>
                <w:sz w:val="18"/>
                <w:szCs w:val="18"/>
              </w:rPr>
            </w:pPr>
            <w:r w:rsidRPr="00B05C77">
              <w:rPr>
                <w:sz w:val="18"/>
                <w:szCs w:val="18"/>
              </w:rPr>
              <w:t>3; N=430 (M)</w:t>
            </w:r>
          </w:p>
        </w:tc>
        <w:tc>
          <w:tcPr>
            <w:tcW w:w="1842" w:type="dxa"/>
            <w:gridSpan w:val="3"/>
            <w:tcBorders>
              <w:top w:val="dotted" w:sz="4" w:space="0" w:color="auto"/>
              <w:bottom w:val="nil"/>
            </w:tcBorders>
            <w:shd w:val="clear" w:color="auto" w:fill="F4B083" w:themeFill="accent2" w:themeFillTint="99"/>
          </w:tcPr>
          <w:p w14:paraId="56DE7537" w14:textId="77777777" w:rsidR="00FE6780" w:rsidRPr="00B05C77" w:rsidRDefault="00FE6780">
            <w:pPr>
              <w:pStyle w:val="051Tabletext2210pt"/>
              <w:rPr>
                <w:sz w:val="18"/>
                <w:szCs w:val="18"/>
              </w:rPr>
            </w:pPr>
            <w:r w:rsidRPr="00B05C77">
              <w:rPr>
                <w:sz w:val="18"/>
                <w:szCs w:val="18"/>
              </w:rPr>
              <w:t>very low</w:t>
            </w:r>
          </w:p>
        </w:tc>
        <w:tc>
          <w:tcPr>
            <w:tcW w:w="2127" w:type="dxa"/>
            <w:gridSpan w:val="3"/>
            <w:tcBorders>
              <w:top w:val="dotted" w:sz="4" w:space="0" w:color="auto"/>
              <w:bottom w:val="nil"/>
            </w:tcBorders>
            <w:shd w:val="clear" w:color="auto" w:fill="E2EFD9" w:themeFill="accent6" w:themeFillTint="33"/>
          </w:tcPr>
          <w:p w14:paraId="2F43A376" w14:textId="77777777" w:rsidR="00FE6780" w:rsidRPr="00B05C77" w:rsidRDefault="00FE6780">
            <w:pPr>
              <w:pStyle w:val="051Tabletext2210pt"/>
              <w:rPr>
                <w:sz w:val="18"/>
                <w:szCs w:val="18"/>
              </w:rPr>
            </w:pPr>
            <w:r w:rsidRPr="00B05C77">
              <w:rPr>
                <w:sz w:val="18"/>
                <w:szCs w:val="18"/>
              </w:rPr>
              <w:t>Favours SCS</w:t>
            </w:r>
          </w:p>
        </w:tc>
        <w:tc>
          <w:tcPr>
            <w:tcW w:w="1842" w:type="dxa"/>
            <w:gridSpan w:val="2"/>
            <w:tcBorders>
              <w:top w:val="dotted" w:sz="4" w:space="0" w:color="auto"/>
              <w:bottom w:val="nil"/>
            </w:tcBorders>
            <w:shd w:val="clear" w:color="auto" w:fill="E2EFD9" w:themeFill="accent6" w:themeFillTint="33"/>
          </w:tcPr>
          <w:p w14:paraId="50E2AF99" w14:textId="77777777" w:rsidR="00FE6780" w:rsidRPr="00B05C77" w:rsidRDefault="00FE6780">
            <w:pPr>
              <w:pStyle w:val="051Tabletext2210pt"/>
              <w:rPr>
                <w:sz w:val="18"/>
                <w:szCs w:val="18"/>
              </w:rPr>
            </w:pPr>
            <w:r w:rsidRPr="00B05C77">
              <w:rPr>
                <w:sz w:val="18"/>
                <w:szCs w:val="18"/>
              </w:rPr>
              <w:t>Favours SCS</w:t>
            </w:r>
          </w:p>
        </w:tc>
      </w:tr>
      <w:tr w:rsidR="00FE6780" w:rsidRPr="00B05C77" w14:paraId="430887C9" w14:textId="77777777" w:rsidTr="004329B6">
        <w:trPr>
          <w:gridAfter w:val="1"/>
          <w:wAfter w:w="228" w:type="dxa"/>
        </w:trPr>
        <w:tc>
          <w:tcPr>
            <w:tcW w:w="2544" w:type="dxa"/>
            <w:tcBorders>
              <w:top w:val="nil"/>
              <w:bottom w:val="single" w:sz="4" w:space="0" w:color="auto"/>
            </w:tcBorders>
          </w:tcPr>
          <w:p w14:paraId="334DC47F" w14:textId="77777777" w:rsidR="00FE6780" w:rsidRPr="00194409" w:rsidRDefault="00FE6780">
            <w:pPr>
              <w:pStyle w:val="051Tabletext2210pt"/>
              <w:ind w:left="157"/>
              <w:rPr>
                <w:sz w:val="18"/>
                <w:szCs w:val="18"/>
              </w:rPr>
            </w:pPr>
          </w:p>
        </w:tc>
        <w:tc>
          <w:tcPr>
            <w:tcW w:w="1284" w:type="dxa"/>
            <w:tcBorders>
              <w:top w:val="nil"/>
              <w:bottom w:val="single" w:sz="4" w:space="0" w:color="auto"/>
            </w:tcBorders>
          </w:tcPr>
          <w:p w14:paraId="4978068A" w14:textId="77777777" w:rsidR="00FE6780" w:rsidRPr="00B05C77" w:rsidRDefault="00FE6780">
            <w:pPr>
              <w:pStyle w:val="051Tabletext2210pt"/>
              <w:rPr>
                <w:sz w:val="18"/>
                <w:szCs w:val="18"/>
              </w:rPr>
            </w:pPr>
            <w:r w:rsidRPr="00B05C77">
              <w:rPr>
                <w:sz w:val="18"/>
                <w:szCs w:val="18"/>
              </w:rPr>
              <w:t>1; N=100 (L)</w:t>
            </w:r>
          </w:p>
        </w:tc>
        <w:tc>
          <w:tcPr>
            <w:tcW w:w="1842" w:type="dxa"/>
            <w:gridSpan w:val="3"/>
            <w:tcBorders>
              <w:top w:val="nil"/>
              <w:bottom w:val="single" w:sz="4" w:space="0" w:color="auto"/>
            </w:tcBorders>
            <w:shd w:val="clear" w:color="auto" w:fill="F4B083" w:themeFill="accent2" w:themeFillTint="99"/>
          </w:tcPr>
          <w:p w14:paraId="1C9FC423" w14:textId="77777777" w:rsidR="00FE6780" w:rsidRPr="00B05C77" w:rsidRDefault="00FE6780">
            <w:pPr>
              <w:pStyle w:val="051Tabletext2210pt"/>
              <w:rPr>
                <w:sz w:val="18"/>
                <w:szCs w:val="18"/>
              </w:rPr>
            </w:pPr>
            <w:r w:rsidRPr="00B05C77">
              <w:rPr>
                <w:sz w:val="18"/>
                <w:szCs w:val="18"/>
              </w:rPr>
              <w:t>very low</w:t>
            </w:r>
          </w:p>
        </w:tc>
        <w:tc>
          <w:tcPr>
            <w:tcW w:w="2127" w:type="dxa"/>
            <w:gridSpan w:val="3"/>
            <w:tcBorders>
              <w:top w:val="nil"/>
              <w:bottom w:val="single" w:sz="4" w:space="0" w:color="auto"/>
            </w:tcBorders>
            <w:shd w:val="clear" w:color="auto" w:fill="E2EFD9" w:themeFill="accent6" w:themeFillTint="33"/>
          </w:tcPr>
          <w:p w14:paraId="38342AB0" w14:textId="77777777" w:rsidR="00FE6780" w:rsidRPr="00B05C77" w:rsidRDefault="00FE6780">
            <w:pPr>
              <w:pStyle w:val="051Tabletext2210pt"/>
              <w:rPr>
                <w:sz w:val="18"/>
                <w:szCs w:val="18"/>
              </w:rPr>
            </w:pPr>
            <w:r w:rsidRPr="00B05C77">
              <w:rPr>
                <w:sz w:val="18"/>
                <w:szCs w:val="18"/>
              </w:rPr>
              <w:t>Favours SCS</w:t>
            </w:r>
          </w:p>
        </w:tc>
        <w:tc>
          <w:tcPr>
            <w:tcW w:w="1842" w:type="dxa"/>
            <w:gridSpan w:val="2"/>
            <w:tcBorders>
              <w:top w:val="nil"/>
              <w:bottom w:val="single" w:sz="4" w:space="0" w:color="auto"/>
            </w:tcBorders>
            <w:shd w:val="clear" w:color="auto" w:fill="E2EFD9" w:themeFill="accent6" w:themeFillTint="33"/>
          </w:tcPr>
          <w:p w14:paraId="44566FB7" w14:textId="77777777" w:rsidR="00FE6780" w:rsidRPr="00B05C77" w:rsidRDefault="00FE6780">
            <w:pPr>
              <w:pStyle w:val="051Tabletext2210pt"/>
              <w:rPr>
                <w:sz w:val="18"/>
                <w:szCs w:val="18"/>
              </w:rPr>
            </w:pPr>
            <w:r w:rsidRPr="00B05C77">
              <w:rPr>
                <w:sz w:val="18"/>
                <w:szCs w:val="18"/>
              </w:rPr>
              <w:t>Favours SCS</w:t>
            </w:r>
          </w:p>
        </w:tc>
      </w:tr>
      <w:tr w:rsidR="00FE6780" w:rsidRPr="00B05C77" w14:paraId="36517569" w14:textId="77777777" w:rsidTr="004329B6">
        <w:trPr>
          <w:gridAfter w:val="1"/>
          <w:wAfter w:w="228" w:type="dxa"/>
        </w:trPr>
        <w:tc>
          <w:tcPr>
            <w:tcW w:w="2544" w:type="dxa"/>
            <w:tcBorders>
              <w:top w:val="single" w:sz="4" w:space="0" w:color="auto"/>
              <w:bottom w:val="dotted" w:sz="4" w:space="0" w:color="auto"/>
            </w:tcBorders>
          </w:tcPr>
          <w:p w14:paraId="394E0EB9" w14:textId="77777777" w:rsidR="00FE6780" w:rsidRPr="007F7995" w:rsidRDefault="00FE6780">
            <w:pPr>
              <w:pStyle w:val="051Tabletext2210pt"/>
              <w:rPr>
                <w:b/>
                <w:bCs/>
                <w:sz w:val="18"/>
                <w:szCs w:val="18"/>
              </w:rPr>
            </w:pPr>
            <w:r w:rsidRPr="007F7995">
              <w:rPr>
                <w:b/>
                <w:bCs/>
                <w:sz w:val="18"/>
                <w:szCs w:val="18"/>
              </w:rPr>
              <w:t>Function</w:t>
            </w:r>
          </w:p>
        </w:tc>
        <w:tc>
          <w:tcPr>
            <w:tcW w:w="1284" w:type="dxa"/>
            <w:tcBorders>
              <w:top w:val="single" w:sz="4" w:space="0" w:color="auto"/>
              <w:bottom w:val="dotted" w:sz="4" w:space="0" w:color="auto"/>
            </w:tcBorders>
          </w:tcPr>
          <w:p w14:paraId="0297ADD8" w14:textId="77777777" w:rsidR="00FE6780" w:rsidRPr="00B05C77" w:rsidRDefault="00FE6780">
            <w:pPr>
              <w:pStyle w:val="051Tabletext2210pt"/>
              <w:rPr>
                <w:sz w:val="18"/>
                <w:szCs w:val="18"/>
              </w:rPr>
            </w:pPr>
            <w:r w:rsidRPr="00B05C77">
              <w:rPr>
                <w:sz w:val="18"/>
                <w:szCs w:val="18"/>
              </w:rPr>
              <w:t>3; N=430 (M)</w:t>
            </w:r>
          </w:p>
        </w:tc>
        <w:tc>
          <w:tcPr>
            <w:tcW w:w="1842" w:type="dxa"/>
            <w:gridSpan w:val="3"/>
            <w:tcBorders>
              <w:top w:val="single" w:sz="4" w:space="0" w:color="auto"/>
              <w:bottom w:val="dotted" w:sz="4" w:space="0" w:color="auto"/>
            </w:tcBorders>
            <w:shd w:val="clear" w:color="auto" w:fill="FFE599" w:themeFill="accent4" w:themeFillTint="66"/>
          </w:tcPr>
          <w:p w14:paraId="0FF4FAC2" w14:textId="77777777" w:rsidR="00FE6780" w:rsidRPr="00B05C77" w:rsidRDefault="00FE6780">
            <w:pPr>
              <w:pStyle w:val="051Tabletext2210pt"/>
              <w:rPr>
                <w:sz w:val="18"/>
                <w:szCs w:val="18"/>
              </w:rPr>
            </w:pPr>
            <w:r w:rsidRPr="00B05C77">
              <w:rPr>
                <w:sz w:val="18"/>
                <w:szCs w:val="18"/>
              </w:rPr>
              <w:t>low</w:t>
            </w:r>
          </w:p>
        </w:tc>
        <w:tc>
          <w:tcPr>
            <w:tcW w:w="2127" w:type="dxa"/>
            <w:gridSpan w:val="3"/>
            <w:tcBorders>
              <w:top w:val="single" w:sz="4" w:space="0" w:color="auto"/>
              <w:bottom w:val="dotted" w:sz="4" w:space="0" w:color="auto"/>
            </w:tcBorders>
            <w:shd w:val="clear" w:color="auto" w:fill="E2EFD9" w:themeFill="accent6" w:themeFillTint="33"/>
          </w:tcPr>
          <w:p w14:paraId="44449C4D" w14:textId="77777777" w:rsidR="00FE6780" w:rsidRPr="00B05C77" w:rsidRDefault="00FE6780">
            <w:pPr>
              <w:pStyle w:val="051Tabletext2210pt"/>
              <w:rPr>
                <w:sz w:val="18"/>
                <w:szCs w:val="18"/>
              </w:rPr>
            </w:pPr>
            <w:r w:rsidRPr="00B05C77">
              <w:rPr>
                <w:sz w:val="18"/>
                <w:szCs w:val="18"/>
              </w:rPr>
              <w:t>Favours SCS</w:t>
            </w:r>
          </w:p>
        </w:tc>
        <w:tc>
          <w:tcPr>
            <w:tcW w:w="1842" w:type="dxa"/>
            <w:gridSpan w:val="2"/>
            <w:tcBorders>
              <w:top w:val="single" w:sz="4" w:space="0" w:color="auto"/>
              <w:bottom w:val="dotted" w:sz="4" w:space="0" w:color="auto"/>
            </w:tcBorders>
            <w:shd w:val="clear" w:color="auto" w:fill="E2EFD9" w:themeFill="accent6" w:themeFillTint="33"/>
          </w:tcPr>
          <w:p w14:paraId="172D0CD1" w14:textId="77777777" w:rsidR="00FE6780" w:rsidRPr="00B05C77" w:rsidRDefault="00FE6780">
            <w:pPr>
              <w:pStyle w:val="051Tabletext2210pt"/>
              <w:rPr>
                <w:sz w:val="18"/>
                <w:szCs w:val="18"/>
              </w:rPr>
            </w:pPr>
            <w:r w:rsidRPr="00B05C77">
              <w:rPr>
                <w:sz w:val="18"/>
                <w:szCs w:val="18"/>
              </w:rPr>
              <w:t>Favours SCS</w:t>
            </w:r>
          </w:p>
        </w:tc>
      </w:tr>
      <w:tr w:rsidR="00FE6780" w:rsidRPr="00B05C77" w14:paraId="2610A48C" w14:textId="77777777" w:rsidTr="004329B6">
        <w:trPr>
          <w:gridAfter w:val="1"/>
          <w:wAfter w:w="228" w:type="dxa"/>
        </w:trPr>
        <w:tc>
          <w:tcPr>
            <w:tcW w:w="2544" w:type="dxa"/>
            <w:tcBorders>
              <w:bottom w:val="dotted" w:sz="4" w:space="0" w:color="auto"/>
            </w:tcBorders>
          </w:tcPr>
          <w:p w14:paraId="6E11FB8F" w14:textId="77777777" w:rsidR="00FE6780" w:rsidRPr="007F7995" w:rsidRDefault="00FE6780">
            <w:pPr>
              <w:pStyle w:val="051Tabletext2210pt"/>
              <w:rPr>
                <w:b/>
                <w:bCs/>
                <w:sz w:val="18"/>
                <w:szCs w:val="18"/>
              </w:rPr>
            </w:pPr>
            <w:proofErr w:type="spellStart"/>
            <w:r w:rsidRPr="007F7995">
              <w:rPr>
                <w:b/>
                <w:bCs/>
                <w:sz w:val="18"/>
                <w:szCs w:val="18"/>
              </w:rPr>
              <w:t>HRQoL</w:t>
            </w:r>
            <w:proofErr w:type="spellEnd"/>
          </w:p>
        </w:tc>
        <w:tc>
          <w:tcPr>
            <w:tcW w:w="1284" w:type="dxa"/>
            <w:tcBorders>
              <w:bottom w:val="dotted" w:sz="4" w:space="0" w:color="auto"/>
            </w:tcBorders>
          </w:tcPr>
          <w:p w14:paraId="42EC828D" w14:textId="77777777" w:rsidR="00FE6780" w:rsidRPr="00B05C77" w:rsidRDefault="00FE6780">
            <w:pPr>
              <w:pStyle w:val="051Tabletext2210pt"/>
              <w:rPr>
                <w:sz w:val="18"/>
                <w:szCs w:val="18"/>
              </w:rPr>
            </w:pPr>
            <w:r w:rsidRPr="00B05C77">
              <w:rPr>
                <w:sz w:val="18"/>
                <w:szCs w:val="18"/>
              </w:rPr>
              <w:t>2; N=289 (M)</w:t>
            </w:r>
          </w:p>
        </w:tc>
        <w:tc>
          <w:tcPr>
            <w:tcW w:w="1842" w:type="dxa"/>
            <w:gridSpan w:val="3"/>
            <w:tcBorders>
              <w:bottom w:val="dotted" w:sz="4" w:space="0" w:color="auto"/>
            </w:tcBorders>
            <w:shd w:val="clear" w:color="auto" w:fill="F4B083" w:themeFill="accent2" w:themeFillTint="99"/>
          </w:tcPr>
          <w:p w14:paraId="065940C1" w14:textId="77777777" w:rsidR="00FE6780" w:rsidRPr="00B05C77" w:rsidRDefault="00FE6780">
            <w:pPr>
              <w:pStyle w:val="051Tabletext2210pt"/>
              <w:rPr>
                <w:sz w:val="18"/>
                <w:szCs w:val="18"/>
              </w:rPr>
            </w:pPr>
            <w:r w:rsidRPr="00B05C77">
              <w:rPr>
                <w:sz w:val="18"/>
                <w:szCs w:val="18"/>
              </w:rPr>
              <w:t>very low</w:t>
            </w:r>
          </w:p>
        </w:tc>
        <w:tc>
          <w:tcPr>
            <w:tcW w:w="2127" w:type="dxa"/>
            <w:gridSpan w:val="3"/>
            <w:tcBorders>
              <w:bottom w:val="dotted" w:sz="4" w:space="0" w:color="auto"/>
            </w:tcBorders>
            <w:shd w:val="clear" w:color="auto" w:fill="auto"/>
          </w:tcPr>
          <w:p w14:paraId="2915E450" w14:textId="77777777" w:rsidR="00FE6780" w:rsidRPr="00B05C77" w:rsidRDefault="00FE6780">
            <w:pPr>
              <w:pStyle w:val="051Tabletext2210pt"/>
              <w:rPr>
                <w:sz w:val="18"/>
                <w:szCs w:val="18"/>
              </w:rPr>
            </w:pPr>
            <w:r w:rsidRPr="00B05C77">
              <w:rPr>
                <w:sz w:val="18"/>
                <w:szCs w:val="18"/>
              </w:rPr>
              <w:t>No effect</w:t>
            </w:r>
          </w:p>
        </w:tc>
        <w:tc>
          <w:tcPr>
            <w:tcW w:w="1842" w:type="dxa"/>
            <w:gridSpan w:val="2"/>
            <w:tcBorders>
              <w:bottom w:val="dotted" w:sz="4" w:space="0" w:color="auto"/>
            </w:tcBorders>
            <w:shd w:val="clear" w:color="auto" w:fill="FFFFFF" w:themeFill="background1"/>
          </w:tcPr>
          <w:p w14:paraId="47E48D61" w14:textId="77777777" w:rsidR="00FE6780" w:rsidRPr="00B05C77" w:rsidRDefault="00FE6780">
            <w:pPr>
              <w:pStyle w:val="051Tabletext2210pt"/>
              <w:rPr>
                <w:sz w:val="18"/>
                <w:szCs w:val="18"/>
              </w:rPr>
            </w:pPr>
            <w:r w:rsidRPr="00B05C77">
              <w:rPr>
                <w:sz w:val="18"/>
                <w:szCs w:val="18"/>
              </w:rPr>
              <w:t>NR</w:t>
            </w:r>
          </w:p>
        </w:tc>
      </w:tr>
      <w:tr w:rsidR="00FE6780" w:rsidRPr="00B05C77" w14:paraId="3EF686E0" w14:textId="77777777" w:rsidTr="004329B6">
        <w:trPr>
          <w:gridAfter w:val="1"/>
          <w:wAfter w:w="228" w:type="dxa"/>
        </w:trPr>
        <w:tc>
          <w:tcPr>
            <w:tcW w:w="2544" w:type="dxa"/>
            <w:tcBorders>
              <w:top w:val="single" w:sz="4" w:space="0" w:color="auto"/>
              <w:bottom w:val="dotted" w:sz="4" w:space="0" w:color="auto"/>
            </w:tcBorders>
          </w:tcPr>
          <w:p w14:paraId="67854E52" w14:textId="77777777" w:rsidR="00FE6780" w:rsidRPr="00DE4C5A" w:rsidRDefault="00FE6780">
            <w:pPr>
              <w:pStyle w:val="051Tabletext2210pt"/>
              <w:rPr>
                <w:b/>
                <w:sz w:val="18"/>
                <w:szCs w:val="18"/>
              </w:rPr>
            </w:pPr>
            <w:r w:rsidRPr="00DE4C5A">
              <w:rPr>
                <w:b/>
                <w:sz w:val="18"/>
                <w:szCs w:val="18"/>
              </w:rPr>
              <w:t>Harms</w:t>
            </w:r>
          </w:p>
        </w:tc>
        <w:tc>
          <w:tcPr>
            <w:tcW w:w="1284" w:type="dxa"/>
            <w:tcBorders>
              <w:top w:val="single" w:sz="4" w:space="0" w:color="auto"/>
              <w:bottom w:val="dotted" w:sz="4" w:space="0" w:color="auto"/>
            </w:tcBorders>
          </w:tcPr>
          <w:p w14:paraId="001A9A3A" w14:textId="77777777" w:rsidR="00FE6780" w:rsidRPr="00B05C77" w:rsidRDefault="00FE6780">
            <w:pPr>
              <w:pStyle w:val="051Tabletext2210pt"/>
              <w:rPr>
                <w:sz w:val="18"/>
                <w:szCs w:val="18"/>
              </w:rPr>
            </w:pPr>
          </w:p>
        </w:tc>
        <w:tc>
          <w:tcPr>
            <w:tcW w:w="1842" w:type="dxa"/>
            <w:gridSpan w:val="3"/>
            <w:tcBorders>
              <w:top w:val="single" w:sz="4" w:space="0" w:color="auto"/>
              <w:bottom w:val="dotted" w:sz="4" w:space="0" w:color="auto"/>
            </w:tcBorders>
            <w:shd w:val="clear" w:color="auto" w:fill="FFFFFF" w:themeFill="background1"/>
          </w:tcPr>
          <w:p w14:paraId="179B4EE8" w14:textId="77777777" w:rsidR="00FE6780" w:rsidRPr="00B05C77" w:rsidRDefault="00FE6780">
            <w:pPr>
              <w:pStyle w:val="051Tabletext2210pt"/>
              <w:rPr>
                <w:sz w:val="18"/>
                <w:szCs w:val="18"/>
              </w:rPr>
            </w:pPr>
          </w:p>
        </w:tc>
        <w:tc>
          <w:tcPr>
            <w:tcW w:w="2127" w:type="dxa"/>
            <w:gridSpan w:val="3"/>
            <w:tcBorders>
              <w:top w:val="single" w:sz="4" w:space="0" w:color="auto"/>
              <w:bottom w:val="dotted" w:sz="4" w:space="0" w:color="auto"/>
            </w:tcBorders>
          </w:tcPr>
          <w:p w14:paraId="3C2ED7B9" w14:textId="77777777" w:rsidR="00FE6780" w:rsidRPr="00B05C77" w:rsidRDefault="00FE6780">
            <w:pPr>
              <w:pStyle w:val="051Tabletext2210pt"/>
              <w:rPr>
                <w:sz w:val="18"/>
                <w:szCs w:val="18"/>
              </w:rPr>
            </w:pPr>
          </w:p>
        </w:tc>
        <w:tc>
          <w:tcPr>
            <w:tcW w:w="1842" w:type="dxa"/>
            <w:gridSpan w:val="2"/>
            <w:tcBorders>
              <w:top w:val="single" w:sz="4" w:space="0" w:color="auto"/>
              <w:bottom w:val="dotted" w:sz="4" w:space="0" w:color="auto"/>
            </w:tcBorders>
          </w:tcPr>
          <w:p w14:paraId="6C16BA50" w14:textId="77777777" w:rsidR="00FE6780" w:rsidRPr="00B05C77" w:rsidRDefault="00FE6780">
            <w:pPr>
              <w:pStyle w:val="051Tabletext2210pt"/>
              <w:rPr>
                <w:sz w:val="18"/>
                <w:szCs w:val="18"/>
              </w:rPr>
            </w:pPr>
          </w:p>
        </w:tc>
      </w:tr>
      <w:tr w:rsidR="00FE6780" w:rsidRPr="00B05C77" w14:paraId="33F4777F" w14:textId="77777777" w:rsidTr="004329B6">
        <w:trPr>
          <w:gridAfter w:val="1"/>
          <w:wAfter w:w="228" w:type="dxa"/>
        </w:trPr>
        <w:tc>
          <w:tcPr>
            <w:tcW w:w="2544" w:type="dxa"/>
            <w:tcBorders>
              <w:top w:val="dotted" w:sz="4" w:space="0" w:color="auto"/>
              <w:bottom w:val="dotted" w:sz="4" w:space="0" w:color="auto"/>
            </w:tcBorders>
          </w:tcPr>
          <w:p w14:paraId="12A103F0" w14:textId="77777777" w:rsidR="00FE6780" w:rsidRPr="00194409" w:rsidRDefault="00FE6780">
            <w:pPr>
              <w:pStyle w:val="051Tabletext2210pt"/>
              <w:ind w:left="157"/>
              <w:rPr>
                <w:sz w:val="18"/>
                <w:szCs w:val="18"/>
              </w:rPr>
            </w:pPr>
            <w:r w:rsidRPr="00B05C77">
              <w:rPr>
                <w:sz w:val="18"/>
                <w:szCs w:val="18"/>
              </w:rPr>
              <w:t>AEs</w:t>
            </w:r>
          </w:p>
        </w:tc>
        <w:tc>
          <w:tcPr>
            <w:tcW w:w="1284" w:type="dxa"/>
            <w:tcBorders>
              <w:top w:val="dotted" w:sz="4" w:space="0" w:color="auto"/>
              <w:bottom w:val="dotted" w:sz="4" w:space="0" w:color="auto"/>
            </w:tcBorders>
          </w:tcPr>
          <w:p w14:paraId="4620C961" w14:textId="77777777" w:rsidR="00FE6780" w:rsidRPr="00B05C77" w:rsidRDefault="00FE6780">
            <w:pPr>
              <w:pStyle w:val="051Tabletext2210pt"/>
              <w:rPr>
                <w:sz w:val="18"/>
                <w:szCs w:val="18"/>
              </w:rPr>
            </w:pPr>
            <w:r w:rsidRPr="00B05C77">
              <w:rPr>
                <w:sz w:val="18"/>
                <w:szCs w:val="18"/>
              </w:rPr>
              <w:t>2; N=336 (M)</w:t>
            </w:r>
          </w:p>
        </w:tc>
        <w:tc>
          <w:tcPr>
            <w:tcW w:w="1842" w:type="dxa"/>
            <w:gridSpan w:val="3"/>
            <w:tcBorders>
              <w:top w:val="dotted" w:sz="4" w:space="0" w:color="auto"/>
              <w:bottom w:val="dotted" w:sz="4" w:space="0" w:color="auto"/>
            </w:tcBorders>
            <w:shd w:val="clear" w:color="auto" w:fill="F4B083" w:themeFill="accent2" w:themeFillTint="99"/>
          </w:tcPr>
          <w:p w14:paraId="72DA7B1B" w14:textId="77777777" w:rsidR="00FE6780" w:rsidRPr="00B05C77" w:rsidRDefault="00FE6780">
            <w:pPr>
              <w:pStyle w:val="051Tabletext2210pt"/>
              <w:rPr>
                <w:sz w:val="18"/>
                <w:szCs w:val="18"/>
              </w:rPr>
            </w:pPr>
            <w:r w:rsidRPr="00B05C77">
              <w:rPr>
                <w:sz w:val="18"/>
                <w:szCs w:val="18"/>
              </w:rPr>
              <w:t>very low</w:t>
            </w:r>
          </w:p>
        </w:tc>
        <w:tc>
          <w:tcPr>
            <w:tcW w:w="2127" w:type="dxa"/>
            <w:gridSpan w:val="3"/>
            <w:tcBorders>
              <w:top w:val="dotted" w:sz="4" w:space="0" w:color="auto"/>
              <w:bottom w:val="dotted" w:sz="4" w:space="0" w:color="auto"/>
            </w:tcBorders>
            <w:shd w:val="clear" w:color="auto" w:fill="E2EFD9" w:themeFill="accent6" w:themeFillTint="33"/>
          </w:tcPr>
          <w:p w14:paraId="42B1B817" w14:textId="77777777" w:rsidR="00FE6780" w:rsidRPr="00B05C77" w:rsidRDefault="00FE6780">
            <w:pPr>
              <w:pStyle w:val="051Tabletext2210pt"/>
              <w:rPr>
                <w:color w:val="385623" w:themeColor="accent6" w:themeShade="80"/>
                <w:sz w:val="18"/>
                <w:szCs w:val="18"/>
              </w:rPr>
            </w:pPr>
            <w:r w:rsidRPr="00B05C77">
              <w:rPr>
                <w:sz w:val="18"/>
                <w:szCs w:val="18"/>
              </w:rPr>
              <w:t>Favours SCS</w:t>
            </w:r>
          </w:p>
        </w:tc>
        <w:tc>
          <w:tcPr>
            <w:tcW w:w="1842" w:type="dxa"/>
            <w:gridSpan w:val="2"/>
            <w:tcBorders>
              <w:top w:val="dotted" w:sz="4" w:space="0" w:color="auto"/>
              <w:bottom w:val="dotted" w:sz="4" w:space="0" w:color="auto"/>
            </w:tcBorders>
          </w:tcPr>
          <w:p w14:paraId="36F018CE" w14:textId="77777777" w:rsidR="00FE6780" w:rsidRPr="00B05C77" w:rsidRDefault="00FE6780">
            <w:pPr>
              <w:pStyle w:val="051Tabletext2210pt"/>
              <w:rPr>
                <w:sz w:val="18"/>
                <w:szCs w:val="18"/>
              </w:rPr>
            </w:pPr>
            <w:r w:rsidRPr="00B05C77">
              <w:rPr>
                <w:sz w:val="18"/>
                <w:szCs w:val="18"/>
              </w:rPr>
              <w:t>NR</w:t>
            </w:r>
          </w:p>
        </w:tc>
      </w:tr>
      <w:tr w:rsidR="00FE6780" w:rsidRPr="00B05C77" w14:paraId="0085A6F1" w14:textId="77777777" w:rsidTr="004329B6">
        <w:trPr>
          <w:gridAfter w:val="1"/>
          <w:wAfter w:w="228" w:type="dxa"/>
        </w:trPr>
        <w:tc>
          <w:tcPr>
            <w:tcW w:w="2544" w:type="dxa"/>
            <w:tcBorders>
              <w:top w:val="dotted" w:sz="4" w:space="0" w:color="auto"/>
              <w:bottom w:val="nil"/>
            </w:tcBorders>
          </w:tcPr>
          <w:p w14:paraId="449902C0" w14:textId="77777777" w:rsidR="00FE6780" w:rsidRPr="00B05C77" w:rsidRDefault="00FE6780">
            <w:pPr>
              <w:pStyle w:val="051Tabletext2210pt"/>
              <w:ind w:left="157"/>
              <w:rPr>
                <w:sz w:val="18"/>
                <w:szCs w:val="18"/>
              </w:rPr>
            </w:pPr>
            <w:r w:rsidRPr="00B05C77">
              <w:rPr>
                <w:sz w:val="18"/>
                <w:szCs w:val="18"/>
              </w:rPr>
              <w:lastRenderedPageBreak/>
              <w:t>SAEs</w:t>
            </w:r>
          </w:p>
        </w:tc>
        <w:tc>
          <w:tcPr>
            <w:tcW w:w="1284" w:type="dxa"/>
            <w:tcBorders>
              <w:top w:val="dotted" w:sz="4" w:space="0" w:color="auto"/>
              <w:bottom w:val="nil"/>
            </w:tcBorders>
          </w:tcPr>
          <w:p w14:paraId="3D0B61C2" w14:textId="77777777" w:rsidR="00FE6780" w:rsidRPr="00B05C77" w:rsidRDefault="00FE6780">
            <w:pPr>
              <w:pStyle w:val="051Tabletext2210pt"/>
              <w:rPr>
                <w:sz w:val="18"/>
                <w:szCs w:val="18"/>
              </w:rPr>
            </w:pPr>
            <w:r w:rsidRPr="00B05C77">
              <w:rPr>
                <w:sz w:val="18"/>
                <w:szCs w:val="18"/>
              </w:rPr>
              <w:t>1; N=140 (M)</w:t>
            </w:r>
          </w:p>
        </w:tc>
        <w:tc>
          <w:tcPr>
            <w:tcW w:w="1842" w:type="dxa"/>
            <w:gridSpan w:val="3"/>
            <w:tcBorders>
              <w:top w:val="dotted" w:sz="4" w:space="0" w:color="auto"/>
              <w:bottom w:val="nil"/>
            </w:tcBorders>
            <w:shd w:val="clear" w:color="auto" w:fill="FFE599" w:themeFill="accent4" w:themeFillTint="66"/>
          </w:tcPr>
          <w:p w14:paraId="78B2196D" w14:textId="77777777" w:rsidR="00FE6780" w:rsidRPr="00B05C77" w:rsidRDefault="00FE6780">
            <w:pPr>
              <w:pStyle w:val="051Tabletext2210pt"/>
              <w:rPr>
                <w:sz w:val="18"/>
                <w:szCs w:val="18"/>
              </w:rPr>
            </w:pPr>
            <w:r w:rsidRPr="00B05C77">
              <w:rPr>
                <w:sz w:val="18"/>
                <w:szCs w:val="18"/>
              </w:rPr>
              <w:t>low</w:t>
            </w:r>
          </w:p>
        </w:tc>
        <w:tc>
          <w:tcPr>
            <w:tcW w:w="2127" w:type="dxa"/>
            <w:gridSpan w:val="3"/>
            <w:tcBorders>
              <w:top w:val="dotted" w:sz="4" w:space="0" w:color="auto"/>
              <w:bottom w:val="nil"/>
            </w:tcBorders>
          </w:tcPr>
          <w:p w14:paraId="63867583" w14:textId="77777777" w:rsidR="00FE6780" w:rsidRPr="00B05C77" w:rsidRDefault="00FE6780">
            <w:pPr>
              <w:pStyle w:val="051Tabletext2210pt"/>
              <w:rPr>
                <w:sz w:val="18"/>
                <w:szCs w:val="18"/>
              </w:rPr>
            </w:pPr>
            <w:r w:rsidRPr="00B05C77">
              <w:rPr>
                <w:sz w:val="18"/>
                <w:szCs w:val="18"/>
              </w:rPr>
              <w:t>No effect</w:t>
            </w:r>
          </w:p>
        </w:tc>
        <w:tc>
          <w:tcPr>
            <w:tcW w:w="1842" w:type="dxa"/>
            <w:gridSpan w:val="2"/>
            <w:tcBorders>
              <w:top w:val="dotted" w:sz="4" w:space="0" w:color="auto"/>
              <w:bottom w:val="nil"/>
            </w:tcBorders>
          </w:tcPr>
          <w:p w14:paraId="385719CD" w14:textId="77777777" w:rsidR="00FE6780" w:rsidRPr="00B05C77" w:rsidRDefault="00FE6780">
            <w:pPr>
              <w:pStyle w:val="051Tabletext2210pt"/>
              <w:rPr>
                <w:sz w:val="18"/>
                <w:szCs w:val="18"/>
              </w:rPr>
            </w:pPr>
            <w:r w:rsidRPr="00B05C77">
              <w:rPr>
                <w:sz w:val="18"/>
                <w:szCs w:val="18"/>
              </w:rPr>
              <w:t>NR</w:t>
            </w:r>
          </w:p>
        </w:tc>
      </w:tr>
      <w:tr w:rsidR="00FE6780" w:rsidRPr="00B05C77" w14:paraId="503A4579" w14:textId="77777777" w:rsidTr="004329B6">
        <w:trPr>
          <w:gridAfter w:val="1"/>
          <w:wAfter w:w="228" w:type="dxa"/>
        </w:trPr>
        <w:tc>
          <w:tcPr>
            <w:tcW w:w="2544" w:type="dxa"/>
            <w:tcBorders>
              <w:top w:val="single" w:sz="4" w:space="0" w:color="auto"/>
              <w:bottom w:val="dotted" w:sz="4" w:space="0" w:color="auto"/>
            </w:tcBorders>
          </w:tcPr>
          <w:p w14:paraId="22621A62" w14:textId="77777777" w:rsidR="00FE6780" w:rsidRPr="00DE4C5A" w:rsidRDefault="00FE6780">
            <w:pPr>
              <w:pStyle w:val="051Tabletext2210pt"/>
              <w:rPr>
                <w:b/>
                <w:sz w:val="18"/>
                <w:szCs w:val="18"/>
              </w:rPr>
            </w:pPr>
            <w:r>
              <w:rPr>
                <w:b/>
                <w:sz w:val="18"/>
                <w:szCs w:val="18"/>
              </w:rPr>
              <w:t>Secondary</w:t>
            </w:r>
            <w:r w:rsidRPr="00DE4C5A">
              <w:rPr>
                <w:b/>
                <w:sz w:val="18"/>
                <w:szCs w:val="18"/>
              </w:rPr>
              <w:t xml:space="preserve"> outcomes</w:t>
            </w:r>
          </w:p>
        </w:tc>
        <w:tc>
          <w:tcPr>
            <w:tcW w:w="1284" w:type="dxa"/>
            <w:tcBorders>
              <w:top w:val="single" w:sz="4" w:space="0" w:color="auto"/>
              <w:bottom w:val="dotted" w:sz="4" w:space="0" w:color="auto"/>
            </w:tcBorders>
          </w:tcPr>
          <w:p w14:paraId="289AE93C" w14:textId="77777777" w:rsidR="00FE6780" w:rsidRPr="00B05C77" w:rsidRDefault="00FE6780">
            <w:pPr>
              <w:pStyle w:val="051Tabletext2210pt"/>
              <w:rPr>
                <w:sz w:val="18"/>
                <w:szCs w:val="18"/>
              </w:rPr>
            </w:pPr>
          </w:p>
        </w:tc>
        <w:tc>
          <w:tcPr>
            <w:tcW w:w="1842" w:type="dxa"/>
            <w:gridSpan w:val="3"/>
            <w:tcBorders>
              <w:top w:val="single" w:sz="4" w:space="0" w:color="auto"/>
              <w:bottom w:val="dotted" w:sz="4" w:space="0" w:color="auto"/>
            </w:tcBorders>
            <w:shd w:val="clear" w:color="auto" w:fill="FFFFFF" w:themeFill="background1"/>
          </w:tcPr>
          <w:p w14:paraId="59F27AA6" w14:textId="77777777" w:rsidR="00FE6780" w:rsidRPr="00B05C77" w:rsidRDefault="00FE6780">
            <w:pPr>
              <w:pStyle w:val="051Tabletext2210pt"/>
              <w:rPr>
                <w:sz w:val="18"/>
                <w:szCs w:val="18"/>
              </w:rPr>
            </w:pPr>
          </w:p>
        </w:tc>
        <w:tc>
          <w:tcPr>
            <w:tcW w:w="2127" w:type="dxa"/>
            <w:gridSpan w:val="3"/>
            <w:tcBorders>
              <w:top w:val="single" w:sz="4" w:space="0" w:color="auto"/>
              <w:bottom w:val="dotted" w:sz="4" w:space="0" w:color="auto"/>
            </w:tcBorders>
          </w:tcPr>
          <w:p w14:paraId="46581E50" w14:textId="77777777" w:rsidR="00FE6780" w:rsidRPr="00B05C77" w:rsidRDefault="00FE6780">
            <w:pPr>
              <w:pStyle w:val="051Tabletext2210pt"/>
              <w:rPr>
                <w:sz w:val="18"/>
                <w:szCs w:val="18"/>
              </w:rPr>
            </w:pPr>
          </w:p>
        </w:tc>
        <w:tc>
          <w:tcPr>
            <w:tcW w:w="1842" w:type="dxa"/>
            <w:gridSpan w:val="2"/>
            <w:tcBorders>
              <w:top w:val="single" w:sz="4" w:space="0" w:color="auto"/>
              <w:bottom w:val="dotted" w:sz="4" w:space="0" w:color="auto"/>
            </w:tcBorders>
          </w:tcPr>
          <w:p w14:paraId="3D8FC9B7" w14:textId="77777777" w:rsidR="00FE6780" w:rsidRPr="00B05C77" w:rsidRDefault="00FE6780">
            <w:pPr>
              <w:pStyle w:val="051Tabletext2210pt"/>
              <w:rPr>
                <w:sz w:val="18"/>
                <w:szCs w:val="18"/>
              </w:rPr>
            </w:pPr>
          </w:p>
        </w:tc>
      </w:tr>
      <w:tr w:rsidR="00FE6780" w:rsidRPr="00B05C77" w14:paraId="57FE7734" w14:textId="77777777" w:rsidTr="004329B6">
        <w:trPr>
          <w:gridAfter w:val="1"/>
          <w:wAfter w:w="228" w:type="dxa"/>
        </w:trPr>
        <w:tc>
          <w:tcPr>
            <w:tcW w:w="2544" w:type="dxa"/>
            <w:tcBorders>
              <w:top w:val="dotted" w:sz="4" w:space="0" w:color="auto"/>
              <w:bottom w:val="dotted" w:sz="4" w:space="0" w:color="auto"/>
            </w:tcBorders>
          </w:tcPr>
          <w:p w14:paraId="6688248C" w14:textId="77777777" w:rsidR="00FE6780" w:rsidRPr="00B05C77" w:rsidRDefault="00FE6780">
            <w:pPr>
              <w:pStyle w:val="051Tabletext2210pt"/>
              <w:ind w:left="157"/>
              <w:rPr>
                <w:sz w:val="18"/>
                <w:szCs w:val="18"/>
              </w:rPr>
            </w:pPr>
            <w:r w:rsidRPr="00B05C77">
              <w:rPr>
                <w:sz w:val="18"/>
                <w:szCs w:val="18"/>
              </w:rPr>
              <w:t>Opioid use</w:t>
            </w:r>
          </w:p>
        </w:tc>
        <w:tc>
          <w:tcPr>
            <w:tcW w:w="1284" w:type="dxa"/>
            <w:tcBorders>
              <w:top w:val="dotted" w:sz="4" w:space="0" w:color="auto"/>
              <w:bottom w:val="dotted" w:sz="4" w:space="0" w:color="auto"/>
            </w:tcBorders>
          </w:tcPr>
          <w:p w14:paraId="0FEEF6CA" w14:textId="77777777" w:rsidR="00FE6780" w:rsidRPr="00B05C77" w:rsidRDefault="00FE6780">
            <w:pPr>
              <w:pStyle w:val="051Tabletext2210pt"/>
              <w:rPr>
                <w:sz w:val="18"/>
                <w:szCs w:val="18"/>
              </w:rPr>
            </w:pPr>
            <w:r w:rsidRPr="00B05C77">
              <w:rPr>
                <w:sz w:val="18"/>
                <w:szCs w:val="18"/>
              </w:rPr>
              <w:t>2; N=290 (M)</w:t>
            </w:r>
          </w:p>
        </w:tc>
        <w:tc>
          <w:tcPr>
            <w:tcW w:w="1842" w:type="dxa"/>
            <w:gridSpan w:val="3"/>
            <w:tcBorders>
              <w:top w:val="dotted" w:sz="4" w:space="0" w:color="auto"/>
              <w:bottom w:val="dotted" w:sz="4" w:space="0" w:color="auto"/>
            </w:tcBorders>
            <w:shd w:val="clear" w:color="auto" w:fill="FFE599" w:themeFill="accent4" w:themeFillTint="66"/>
          </w:tcPr>
          <w:p w14:paraId="5D7E5462" w14:textId="77777777" w:rsidR="00FE6780" w:rsidRPr="00B05C77" w:rsidRDefault="00FE6780">
            <w:pPr>
              <w:pStyle w:val="051Tabletext2210pt"/>
              <w:rPr>
                <w:sz w:val="18"/>
                <w:szCs w:val="18"/>
              </w:rPr>
            </w:pPr>
            <w:r w:rsidRPr="00B05C77">
              <w:rPr>
                <w:sz w:val="18"/>
                <w:szCs w:val="18"/>
              </w:rPr>
              <w:t xml:space="preserve">low </w:t>
            </w:r>
          </w:p>
        </w:tc>
        <w:tc>
          <w:tcPr>
            <w:tcW w:w="2127" w:type="dxa"/>
            <w:gridSpan w:val="3"/>
            <w:tcBorders>
              <w:top w:val="dotted" w:sz="4" w:space="0" w:color="auto"/>
              <w:bottom w:val="dotted" w:sz="4" w:space="0" w:color="auto"/>
            </w:tcBorders>
            <w:shd w:val="clear" w:color="auto" w:fill="E2EFD9" w:themeFill="accent6" w:themeFillTint="33"/>
          </w:tcPr>
          <w:p w14:paraId="52782BDC" w14:textId="77777777" w:rsidR="00FE6780" w:rsidRPr="00B05C77" w:rsidRDefault="00FE6780">
            <w:pPr>
              <w:pStyle w:val="051Tabletext2210pt"/>
              <w:rPr>
                <w:color w:val="385623" w:themeColor="accent6" w:themeShade="80"/>
                <w:sz w:val="18"/>
                <w:szCs w:val="18"/>
              </w:rPr>
            </w:pPr>
            <w:r w:rsidRPr="00B05C77">
              <w:rPr>
                <w:sz w:val="18"/>
                <w:szCs w:val="18"/>
              </w:rPr>
              <w:t>Favours SCS</w:t>
            </w:r>
          </w:p>
        </w:tc>
        <w:tc>
          <w:tcPr>
            <w:tcW w:w="1842" w:type="dxa"/>
            <w:gridSpan w:val="2"/>
            <w:tcBorders>
              <w:top w:val="dotted" w:sz="4" w:space="0" w:color="auto"/>
              <w:bottom w:val="dotted" w:sz="4" w:space="0" w:color="auto"/>
            </w:tcBorders>
          </w:tcPr>
          <w:p w14:paraId="67378537" w14:textId="77777777" w:rsidR="00FE6780" w:rsidRPr="00B05C77" w:rsidRDefault="00FE6780">
            <w:pPr>
              <w:pStyle w:val="051Tabletext2210pt"/>
              <w:rPr>
                <w:sz w:val="18"/>
                <w:szCs w:val="18"/>
              </w:rPr>
            </w:pPr>
            <w:r w:rsidRPr="00B05C77">
              <w:rPr>
                <w:sz w:val="18"/>
                <w:szCs w:val="18"/>
              </w:rPr>
              <w:t>NR</w:t>
            </w:r>
          </w:p>
        </w:tc>
      </w:tr>
      <w:tr w:rsidR="00FE6780" w:rsidRPr="00B05C77" w14:paraId="15800290" w14:textId="77777777" w:rsidTr="004329B6">
        <w:trPr>
          <w:gridAfter w:val="1"/>
          <w:wAfter w:w="228" w:type="dxa"/>
        </w:trPr>
        <w:tc>
          <w:tcPr>
            <w:tcW w:w="2544" w:type="dxa"/>
            <w:tcBorders>
              <w:top w:val="dotted" w:sz="4" w:space="0" w:color="auto"/>
              <w:bottom w:val="single" w:sz="4" w:space="0" w:color="auto"/>
            </w:tcBorders>
          </w:tcPr>
          <w:p w14:paraId="582FF921" w14:textId="77777777" w:rsidR="00FE6780" w:rsidRPr="00B05C77" w:rsidRDefault="00FE6780">
            <w:pPr>
              <w:pStyle w:val="051Tabletext2210pt"/>
              <w:ind w:left="157"/>
              <w:rPr>
                <w:sz w:val="18"/>
                <w:szCs w:val="18"/>
              </w:rPr>
            </w:pPr>
            <w:r w:rsidRPr="00B05C77">
              <w:rPr>
                <w:sz w:val="18"/>
                <w:szCs w:val="18"/>
              </w:rPr>
              <w:t>Daily MMEs</w:t>
            </w:r>
          </w:p>
        </w:tc>
        <w:tc>
          <w:tcPr>
            <w:tcW w:w="1284" w:type="dxa"/>
            <w:tcBorders>
              <w:top w:val="dotted" w:sz="4" w:space="0" w:color="auto"/>
              <w:bottom w:val="single" w:sz="4" w:space="0" w:color="auto"/>
            </w:tcBorders>
          </w:tcPr>
          <w:p w14:paraId="43754EC4" w14:textId="77777777" w:rsidR="00FE6780" w:rsidRPr="00B05C77" w:rsidRDefault="00FE6780">
            <w:pPr>
              <w:pStyle w:val="051Tabletext2210pt"/>
              <w:rPr>
                <w:sz w:val="18"/>
                <w:szCs w:val="18"/>
              </w:rPr>
            </w:pPr>
            <w:r w:rsidRPr="00B05C77">
              <w:rPr>
                <w:sz w:val="18"/>
                <w:szCs w:val="18"/>
              </w:rPr>
              <w:t>3; N=430 (M)</w:t>
            </w:r>
          </w:p>
        </w:tc>
        <w:tc>
          <w:tcPr>
            <w:tcW w:w="1842" w:type="dxa"/>
            <w:gridSpan w:val="3"/>
            <w:tcBorders>
              <w:top w:val="dotted" w:sz="4" w:space="0" w:color="auto"/>
              <w:bottom w:val="single" w:sz="4" w:space="0" w:color="auto"/>
            </w:tcBorders>
            <w:shd w:val="clear" w:color="auto" w:fill="FFE599" w:themeFill="accent4" w:themeFillTint="66"/>
          </w:tcPr>
          <w:p w14:paraId="065B7EA3" w14:textId="77777777" w:rsidR="00FE6780" w:rsidRPr="00B05C77" w:rsidRDefault="00FE6780">
            <w:pPr>
              <w:pStyle w:val="051Tabletext2210pt"/>
              <w:rPr>
                <w:sz w:val="18"/>
                <w:szCs w:val="18"/>
              </w:rPr>
            </w:pPr>
            <w:r w:rsidRPr="00B05C77">
              <w:rPr>
                <w:sz w:val="18"/>
                <w:szCs w:val="18"/>
              </w:rPr>
              <w:t xml:space="preserve">low </w:t>
            </w:r>
          </w:p>
        </w:tc>
        <w:tc>
          <w:tcPr>
            <w:tcW w:w="2127" w:type="dxa"/>
            <w:gridSpan w:val="3"/>
            <w:tcBorders>
              <w:top w:val="dotted" w:sz="4" w:space="0" w:color="auto"/>
              <w:bottom w:val="single" w:sz="4" w:space="0" w:color="auto"/>
            </w:tcBorders>
            <w:shd w:val="clear" w:color="auto" w:fill="FFFFFF" w:themeFill="background1"/>
          </w:tcPr>
          <w:p w14:paraId="7F15E6FD" w14:textId="77777777" w:rsidR="00FE6780" w:rsidRPr="00B05C77" w:rsidRDefault="00FE6780">
            <w:pPr>
              <w:pStyle w:val="051Tabletext2210pt"/>
              <w:rPr>
                <w:color w:val="385623" w:themeColor="accent6" w:themeShade="80"/>
                <w:sz w:val="18"/>
                <w:szCs w:val="18"/>
              </w:rPr>
            </w:pPr>
            <w:r w:rsidRPr="00B05C77">
              <w:rPr>
                <w:sz w:val="18"/>
                <w:szCs w:val="18"/>
              </w:rPr>
              <w:t>No effect</w:t>
            </w:r>
          </w:p>
        </w:tc>
        <w:tc>
          <w:tcPr>
            <w:tcW w:w="1842" w:type="dxa"/>
            <w:gridSpan w:val="2"/>
            <w:tcBorders>
              <w:top w:val="dotted" w:sz="4" w:space="0" w:color="auto"/>
              <w:bottom w:val="single" w:sz="4" w:space="0" w:color="auto"/>
            </w:tcBorders>
          </w:tcPr>
          <w:p w14:paraId="064B6576" w14:textId="77777777" w:rsidR="00FE6780" w:rsidRPr="00B05C77" w:rsidRDefault="00FE6780" w:rsidP="00FE6780">
            <w:pPr>
              <w:pStyle w:val="051Tabletext2210pt"/>
              <w:keepNext/>
              <w:rPr>
                <w:sz w:val="18"/>
                <w:szCs w:val="18"/>
              </w:rPr>
            </w:pPr>
            <w:r w:rsidRPr="00B05C77">
              <w:rPr>
                <w:sz w:val="18"/>
                <w:szCs w:val="18"/>
              </w:rPr>
              <w:t>NR</w:t>
            </w:r>
          </w:p>
        </w:tc>
      </w:tr>
    </w:tbl>
    <w:p w14:paraId="0E4822C2" w14:textId="77777777" w:rsidR="009D7FAA" w:rsidRDefault="009D7FAA" w:rsidP="009D7FAA">
      <w:pPr>
        <w:pStyle w:val="101Tablefootnotes8pt"/>
      </w:pPr>
      <w:r>
        <w:t>Source: based on data from Traeger (2023) Cochrane review</w:t>
      </w:r>
    </w:p>
    <w:p w14:paraId="006A3071" w14:textId="4C3493B0" w:rsidR="009D7FAA" w:rsidRDefault="009D7FAA" w:rsidP="009D7FAA">
      <w:pPr>
        <w:pStyle w:val="101Tablefootnotes8pt"/>
      </w:pPr>
      <w:r w:rsidRPr="00D05DB6">
        <w:t xml:space="preserve">Abbreviations: AE, adverse event; </w:t>
      </w:r>
      <w:proofErr w:type="spellStart"/>
      <w:r>
        <w:t>HRQoL</w:t>
      </w:r>
      <w:proofErr w:type="spellEnd"/>
      <w:r>
        <w:t>, health-related quality of life; MM, medical management; MMEs, morphine milligram equivalents; N, population; NR, not reported; RCT, randomised controlled trial; SAE, s</w:t>
      </w:r>
      <w:r w:rsidR="00D31D50">
        <w:t>erious</w:t>
      </w:r>
      <w:r>
        <w:t xml:space="preserve"> adverse event; SCS, spinal cord stimulation</w:t>
      </w:r>
      <w:r>
        <w:br/>
      </w:r>
      <w:r w:rsidR="00BD3F2D">
        <w:rPr>
          <w:b/>
          <w:bCs/>
        </w:rPr>
        <w:t>a</w:t>
      </w:r>
      <w:r w:rsidR="001C4309">
        <w:rPr>
          <w:b/>
          <w:bCs/>
        </w:rPr>
        <w:t xml:space="preserve"> </w:t>
      </w:r>
      <w:r w:rsidR="0067002E">
        <w:t>C</w:t>
      </w:r>
      <w:r w:rsidR="001C4309">
        <w:t xml:space="preserve">linical importance is defined by a </w:t>
      </w:r>
      <w:r>
        <w:t xml:space="preserve">predetermined threshold of </w:t>
      </w:r>
      <w:r>
        <w:rPr>
          <w:rFonts w:cs="Calibri"/>
        </w:rPr>
        <w:t>≥</w:t>
      </w:r>
      <w:r>
        <w:t>10 points for pain intensity</w:t>
      </w:r>
      <w:r w:rsidR="00FB6E5C">
        <w:t xml:space="preserve"> (derived from O’Connell 2021) and </w:t>
      </w:r>
      <w:r w:rsidR="00800A2F">
        <w:t>function (derived from Hara 2022).</w:t>
      </w:r>
    </w:p>
    <w:p w14:paraId="04D108DD" w14:textId="4B9AB5E9" w:rsidR="009D7FAA" w:rsidRDefault="009D7FAA" w:rsidP="009D7FAA">
      <w:pPr>
        <w:pStyle w:val="111Tablefootnoteslast-nostick8pt"/>
      </w:pPr>
      <w:r>
        <w:t xml:space="preserve">Key: orange = very low quality evidence; yellow = low quality evidence; blue = moderate quality evidence; green = </w:t>
      </w:r>
      <w:proofErr w:type="spellStart"/>
      <w:r>
        <w:t>favours</w:t>
      </w:r>
      <w:proofErr w:type="spellEnd"/>
      <w:r>
        <w:t xml:space="preserve"> intervention.</w:t>
      </w:r>
      <w:r>
        <w:br/>
        <w:t>(M) = medium</w:t>
      </w:r>
      <w:r w:rsidR="008361EE">
        <w:t>-</w:t>
      </w:r>
      <w:r>
        <w:t xml:space="preserve">term outcomes </w:t>
      </w:r>
      <w:r>
        <w:rPr>
          <w:rFonts w:cs="Calibri"/>
        </w:rPr>
        <w:t>≥</w:t>
      </w:r>
      <w:r>
        <w:t xml:space="preserve"> 3 months to &lt;12 months; (L) = long</w:t>
      </w:r>
      <w:r w:rsidR="00201FD5">
        <w:t>-</w:t>
      </w:r>
      <w:r>
        <w:t xml:space="preserve">term outcomes </w:t>
      </w:r>
      <w:r w:rsidRPr="005E071F">
        <w:t>≥ 12 months</w:t>
      </w:r>
      <w:r>
        <w:t>.</w:t>
      </w:r>
    </w:p>
    <w:p w14:paraId="7213ABF4" w14:textId="78E1A705" w:rsidR="00B805C9" w:rsidRPr="00B805C9" w:rsidRDefault="00B805C9" w:rsidP="00B805C9">
      <w:pPr>
        <w:pStyle w:val="BodyText"/>
        <w:rPr>
          <w:lang w:val="en-US"/>
        </w:rPr>
      </w:pPr>
      <w:r>
        <w:rPr>
          <w:lang w:val="en-US"/>
        </w:rPr>
        <w:t>O’Connell compared SCS</w:t>
      </w:r>
      <w:r w:rsidRPr="00B805C9">
        <w:t xml:space="preserve"> </w:t>
      </w:r>
      <w:r>
        <w:t>to</w:t>
      </w:r>
      <w:r w:rsidR="00D869B4">
        <w:t xml:space="preserve"> either placebo (sham) or</w:t>
      </w:r>
      <w:r>
        <w:t xml:space="preserve"> </w:t>
      </w:r>
      <w:r w:rsidR="00404F65">
        <w:t xml:space="preserve">as an addition to </w:t>
      </w:r>
      <w:r>
        <w:t>medical management for the treatment of chronic</w:t>
      </w:r>
      <w:r w:rsidR="00A37D16">
        <w:t xml:space="preserve"> (non-isch</w:t>
      </w:r>
      <w:r w:rsidR="00620AEF">
        <w:t>aemic</w:t>
      </w:r>
      <w:r w:rsidR="00A37D16">
        <w:t>, non-cancer)</w:t>
      </w:r>
      <w:r>
        <w:t xml:space="preserve"> pain</w:t>
      </w:r>
      <w:r w:rsidR="0053562D">
        <w:t>.</w:t>
      </w:r>
      <w:r w:rsidR="006D3655">
        <w:t xml:space="preserve"> </w:t>
      </w:r>
      <w:r w:rsidR="00F032C7">
        <w:t>M</w:t>
      </w:r>
      <w:r w:rsidR="00DA0EDB">
        <w:t>edium or long-term follow</w:t>
      </w:r>
      <w:r w:rsidR="00B154F4">
        <w:t>-</w:t>
      </w:r>
      <w:r w:rsidR="00DA0EDB">
        <w:t>up</w:t>
      </w:r>
      <w:r w:rsidR="00741A6C">
        <w:t xml:space="preserve"> </w:t>
      </w:r>
      <w:r w:rsidR="00885B89">
        <w:t>was only available for the comparison to medical management</w:t>
      </w:r>
      <w:r w:rsidR="000430EF">
        <w:t>.</w:t>
      </w:r>
      <w:r w:rsidR="00741A6C">
        <w:t xml:space="preserve"> </w:t>
      </w:r>
      <w:r w:rsidR="000430EF">
        <w:t>T</w:t>
      </w:r>
      <w:r w:rsidR="00741A6C">
        <w:t xml:space="preserve">hese findings </w:t>
      </w:r>
      <w:r w:rsidR="00981EE6">
        <w:t xml:space="preserve">are summarised in </w:t>
      </w:r>
      <w:r w:rsidR="00981EE6">
        <w:fldChar w:fldCharType="begin"/>
      </w:r>
      <w:r w:rsidR="00981EE6">
        <w:instrText xml:space="preserve"> REF _Ref135127739 \h </w:instrText>
      </w:r>
      <w:r w:rsidR="00981EE6">
        <w:fldChar w:fldCharType="separate"/>
      </w:r>
      <w:r w:rsidR="00CE6ACA">
        <w:t xml:space="preserve">Table ES </w:t>
      </w:r>
      <w:r w:rsidR="00CE6ACA">
        <w:rPr>
          <w:noProof/>
        </w:rPr>
        <w:t>2</w:t>
      </w:r>
      <w:r w:rsidR="00981EE6">
        <w:fldChar w:fldCharType="end"/>
      </w:r>
      <w:r w:rsidR="00885B89">
        <w:t>,</w:t>
      </w:r>
      <w:r w:rsidR="004A68D5" w:rsidRPr="004A68D5">
        <w:t xml:space="preserve"> </w:t>
      </w:r>
      <w:r w:rsidR="004A68D5">
        <w:t>which includes the number of RCTs and participants, and the author’s assessment of the quality of the evidence using GRADE</w:t>
      </w:r>
      <w:r w:rsidR="004F79B6">
        <w:t>. No outcomes with medium-term or greater follow-up were identified for studies of SCS compared to placebo.</w:t>
      </w:r>
    </w:p>
    <w:p w14:paraId="6D8B67A5" w14:textId="7FBD1C55" w:rsidR="00901265" w:rsidRDefault="00901265" w:rsidP="00901265">
      <w:pPr>
        <w:pStyle w:val="Caption"/>
      </w:pPr>
      <w:bookmarkStart w:id="8" w:name="_Ref135127739"/>
      <w:r>
        <w:t xml:space="preserve">Table ES </w:t>
      </w:r>
      <w:fldSimple w:instr=" SEQ Table_ES \* ARABIC ">
        <w:r w:rsidR="00CE6ACA">
          <w:rPr>
            <w:noProof/>
          </w:rPr>
          <w:t>2</w:t>
        </w:r>
      </w:fldSimple>
      <w:bookmarkEnd w:id="8"/>
      <w:r w:rsidR="00FB5578">
        <w:tab/>
        <w:t xml:space="preserve">Summary of findings in O’Connell </w:t>
      </w:r>
      <w:r w:rsidR="00CE7204">
        <w:t xml:space="preserve">Cochrane Review </w:t>
      </w:r>
      <w:r w:rsidR="00FB5578">
        <w:t>(2021</w:t>
      </w:r>
      <w:r w:rsidR="00CE7204">
        <w:t>) at medium and long</w:t>
      </w:r>
      <w:r w:rsidR="00201FD5">
        <w:t>-</w:t>
      </w:r>
      <w:r w:rsidR="00CE7204">
        <w:t>term follow</w:t>
      </w:r>
      <w:r w:rsidR="00857A5C">
        <w:t>-</w:t>
      </w:r>
      <w:r w:rsidR="00CE7204">
        <w:t>up</w:t>
      </w:r>
    </w:p>
    <w:tbl>
      <w:tblPr>
        <w:tblStyle w:val="TableGrid"/>
        <w:tblW w:w="9734" w:type="dxa"/>
        <w:tblLayout w:type="fixed"/>
        <w:tblLook w:val="04A0" w:firstRow="1" w:lastRow="0" w:firstColumn="1" w:lastColumn="0" w:noHBand="0" w:noVBand="1"/>
        <w:tblCaption w:val="Summary of findings in O'Connell Cochrane Review (2021) at medium and long term follow up"/>
        <w:tblDescription w:val="Table showing the no. of RCTs, population, quality of evidence, statistical significance, and clinical importance for each of the outcomes reported for SCS versus placebo (sham) and SCS plus other intervention (medical management or physical therapy) versus other intervention alone at medium and long term follow up"/>
      </w:tblPr>
      <w:tblGrid>
        <w:gridCol w:w="2975"/>
        <w:gridCol w:w="851"/>
        <w:gridCol w:w="425"/>
        <w:gridCol w:w="1845"/>
        <w:gridCol w:w="1415"/>
        <w:gridCol w:w="427"/>
        <w:gridCol w:w="236"/>
        <w:gridCol w:w="236"/>
        <w:gridCol w:w="1228"/>
        <w:gridCol w:w="96"/>
      </w:tblGrid>
      <w:tr w:rsidR="00901265" w14:paraId="01536E28" w14:textId="77777777" w:rsidTr="00823DD3">
        <w:trPr>
          <w:gridAfter w:val="1"/>
          <w:cnfStyle w:val="100000000000" w:firstRow="1" w:lastRow="0" w:firstColumn="0" w:lastColumn="0" w:oddVBand="0" w:evenVBand="0" w:oddHBand="0" w:evenHBand="0" w:firstRowFirstColumn="0" w:firstRowLastColumn="0" w:lastRowFirstColumn="0" w:lastRowLastColumn="0"/>
          <w:wAfter w:w="96" w:type="dxa"/>
        </w:trPr>
        <w:tc>
          <w:tcPr>
            <w:tcW w:w="2975" w:type="dxa"/>
          </w:tcPr>
          <w:p w14:paraId="66C6A40F" w14:textId="77777777" w:rsidR="00901265" w:rsidRPr="001A1058" w:rsidRDefault="00901265">
            <w:pPr>
              <w:pStyle w:val="011TableHeading10pt"/>
              <w:rPr>
                <w:sz w:val="18"/>
                <w:szCs w:val="18"/>
              </w:rPr>
            </w:pPr>
            <w:r w:rsidRPr="001A1058">
              <w:rPr>
                <w:sz w:val="18"/>
                <w:szCs w:val="18"/>
              </w:rPr>
              <w:t>Outcomes</w:t>
            </w:r>
          </w:p>
        </w:tc>
        <w:tc>
          <w:tcPr>
            <w:tcW w:w="1276" w:type="dxa"/>
            <w:gridSpan w:val="2"/>
          </w:tcPr>
          <w:p w14:paraId="6D90B335" w14:textId="77777777" w:rsidR="00901265" w:rsidRPr="001A1058" w:rsidRDefault="00901265">
            <w:pPr>
              <w:pStyle w:val="011TableHeading10pt"/>
              <w:rPr>
                <w:sz w:val="18"/>
                <w:szCs w:val="18"/>
              </w:rPr>
            </w:pPr>
            <w:r w:rsidRPr="001A1058">
              <w:rPr>
                <w:sz w:val="18"/>
                <w:szCs w:val="18"/>
              </w:rPr>
              <w:t>No. RCTs; N</w:t>
            </w:r>
          </w:p>
        </w:tc>
        <w:tc>
          <w:tcPr>
            <w:tcW w:w="1845" w:type="dxa"/>
          </w:tcPr>
          <w:p w14:paraId="6337D756" w14:textId="77777777" w:rsidR="00901265" w:rsidRPr="001A1058" w:rsidRDefault="00901265">
            <w:pPr>
              <w:pStyle w:val="011TableHeading10pt"/>
              <w:rPr>
                <w:sz w:val="18"/>
                <w:szCs w:val="18"/>
              </w:rPr>
            </w:pPr>
            <w:r w:rsidRPr="001A1058">
              <w:rPr>
                <w:sz w:val="18"/>
                <w:szCs w:val="18"/>
              </w:rPr>
              <w:t>Quality of evidence</w:t>
            </w:r>
          </w:p>
        </w:tc>
        <w:tc>
          <w:tcPr>
            <w:tcW w:w="1842" w:type="dxa"/>
            <w:gridSpan w:val="2"/>
            <w:tcMar>
              <w:left w:w="57" w:type="dxa"/>
              <w:right w:w="57" w:type="dxa"/>
            </w:tcMar>
          </w:tcPr>
          <w:p w14:paraId="704CEB69" w14:textId="77777777" w:rsidR="00901265" w:rsidRPr="001A1058" w:rsidRDefault="00901265">
            <w:pPr>
              <w:pStyle w:val="011TableHeading10pt"/>
              <w:rPr>
                <w:sz w:val="18"/>
                <w:szCs w:val="18"/>
              </w:rPr>
            </w:pPr>
            <w:r w:rsidRPr="001A1058">
              <w:rPr>
                <w:sz w:val="18"/>
                <w:szCs w:val="18"/>
              </w:rPr>
              <w:t>Statistical significance</w:t>
            </w:r>
          </w:p>
        </w:tc>
        <w:tc>
          <w:tcPr>
            <w:tcW w:w="1700" w:type="dxa"/>
            <w:gridSpan w:val="3"/>
            <w:tcMar>
              <w:left w:w="57" w:type="dxa"/>
              <w:right w:w="57" w:type="dxa"/>
            </w:tcMar>
          </w:tcPr>
          <w:p w14:paraId="51F00DEF" w14:textId="53E80D9E" w:rsidR="00901265" w:rsidRPr="00440FAC" w:rsidRDefault="00901265">
            <w:pPr>
              <w:pStyle w:val="011TableHeading10pt"/>
              <w:rPr>
                <w:sz w:val="18"/>
                <w:szCs w:val="18"/>
                <w:vertAlign w:val="superscript"/>
              </w:rPr>
            </w:pPr>
            <w:r w:rsidRPr="001A1058">
              <w:rPr>
                <w:sz w:val="18"/>
                <w:szCs w:val="18"/>
              </w:rPr>
              <w:t xml:space="preserve">Clinical </w:t>
            </w:r>
            <w:proofErr w:type="spellStart"/>
            <w:r w:rsidRPr="001A1058">
              <w:rPr>
                <w:sz w:val="18"/>
                <w:szCs w:val="18"/>
              </w:rPr>
              <w:t>importance</w:t>
            </w:r>
            <w:r w:rsidR="00EC1B8D">
              <w:rPr>
                <w:sz w:val="18"/>
                <w:szCs w:val="18"/>
                <w:vertAlign w:val="superscript"/>
              </w:rPr>
              <w:t>a</w:t>
            </w:r>
            <w:proofErr w:type="spellEnd"/>
          </w:p>
        </w:tc>
      </w:tr>
      <w:tr w:rsidR="00CE1EB3" w:rsidRPr="005030B4" w14:paraId="0A1AD2AA" w14:textId="77777777" w:rsidTr="00823DD3">
        <w:trPr>
          <w:gridAfter w:val="1"/>
          <w:wAfter w:w="96" w:type="dxa"/>
        </w:trPr>
        <w:tc>
          <w:tcPr>
            <w:tcW w:w="2975" w:type="dxa"/>
            <w:tcBorders>
              <w:bottom w:val="single" w:sz="4" w:space="0" w:color="auto"/>
            </w:tcBorders>
            <w:shd w:val="clear" w:color="auto" w:fill="E7E6E6" w:themeFill="background2"/>
          </w:tcPr>
          <w:p w14:paraId="78B5B052" w14:textId="77777777" w:rsidR="00901265" w:rsidRPr="005030B4" w:rsidRDefault="00901265">
            <w:pPr>
              <w:pStyle w:val="031Tablesubheading8pt"/>
              <w:rPr>
                <w:sz w:val="18"/>
                <w:szCs w:val="18"/>
                <w:vertAlign w:val="superscript"/>
              </w:rPr>
            </w:pPr>
            <w:r>
              <w:rPr>
                <w:sz w:val="18"/>
                <w:szCs w:val="18"/>
              </w:rPr>
              <w:t>SCS</w:t>
            </w:r>
            <w:r w:rsidRPr="005030B4">
              <w:rPr>
                <w:sz w:val="18"/>
                <w:szCs w:val="18"/>
              </w:rPr>
              <w:t xml:space="preserve"> versus placebo (sham)</w:t>
            </w:r>
          </w:p>
        </w:tc>
        <w:tc>
          <w:tcPr>
            <w:tcW w:w="1276" w:type="dxa"/>
            <w:gridSpan w:val="2"/>
            <w:tcBorders>
              <w:bottom w:val="single" w:sz="4" w:space="0" w:color="auto"/>
            </w:tcBorders>
            <w:shd w:val="clear" w:color="auto" w:fill="E7E6E6" w:themeFill="background2"/>
          </w:tcPr>
          <w:p w14:paraId="6D3A380B" w14:textId="77777777" w:rsidR="00901265" w:rsidRPr="005030B4" w:rsidRDefault="00901265">
            <w:pPr>
              <w:pStyle w:val="031Tablesubheading8pt"/>
              <w:rPr>
                <w:sz w:val="18"/>
                <w:szCs w:val="18"/>
              </w:rPr>
            </w:pPr>
          </w:p>
        </w:tc>
        <w:tc>
          <w:tcPr>
            <w:tcW w:w="1845" w:type="dxa"/>
            <w:tcBorders>
              <w:bottom w:val="single" w:sz="4" w:space="0" w:color="auto"/>
            </w:tcBorders>
            <w:shd w:val="clear" w:color="auto" w:fill="E7E6E6" w:themeFill="background2"/>
          </w:tcPr>
          <w:p w14:paraId="6D84E5EB" w14:textId="77777777" w:rsidR="00901265" w:rsidRPr="005030B4" w:rsidRDefault="00901265">
            <w:pPr>
              <w:pStyle w:val="031Tablesubheading8pt"/>
              <w:rPr>
                <w:sz w:val="18"/>
                <w:szCs w:val="18"/>
              </w:rPr>
            </w:pPr>
          </w:p>
        </w:tc>
        <w:tc>
          <w:tcPr>
            <w:tcW w:w="1842" w:type="dxa"/>
            <w:gridSpan w:val="2"/>
            <w:tcBorders>
              <w:bottom w:val="single" w:sz="4" w:space="0" w:color="auto"/>
            </w:tcBorders>
            <w:shd w:val="clear" w:color="auto" w:fill="E7E6E6" w:themeFill="background2"/>
          </w:tcPr>
          <w:p w14:paraId="1E75662E" w14:textId="77777777" w:rsidR="00901265" w:rsidRPr="005030B4" w:rsidRDefault="00901265">
            <w:pPr>
              <w:pStyle w:val="031Tablesubheading8pt"/>
              <w:rPr>
                <w:sz w:val="18"/>
                <w:szCs w:val="18"/>
              </w:rPr>
            </w:pPr>
          </w:p>
        </w:tc>
        <w:tc>
          <w:tcPr>
            <w:tcW w:w="1700" w:type="dxa"/>
            <w:gridSpan w:val="3"/>
            <w:tcBorders>
              <w:bottom w:val="single" w:sz="4" w:space="0" w:color="auto"/>
            </w:tcBorders>
            <w:shd w:val="clear" w:color="auto" w:fill="E7E6E6" w:themeFill="background2"/>
          </w:tcPr>
          <w:p w14:paraId="18DDA54A" w14:textId="77777777" w:rsidR="00901265" w:rsidRPr="005030B4" w:rsidRDefault="00901265">
            <w:pPr>
              <w:pStyle w:val="031Tablesubheading8pt"/>
              <w:rPr>
                <w:sz w:val="18"/>
                <w:szCs w:val="18"/>
              </w:rPr>
            </w:pPr>
          </w:p>
        </w:tc>
      </w:tr>
      <w:tr w:rsidR="00901265" w:rsidRPr="006128AA" w14:paraId="0DAB8445" w14:textId="77777777" w:rsidTr="00823DD3">
        <w:trPr>
          <w:gridAfter w:val="1"/>
          <w:wAfter w:w="96" w:type="dxa"/>
        </w:trPr>
        <w:tc>
          <w:tcPr>
            <w:tcW w:w="3826" w:type="dxa"/>
            <w:gridSpan w:val="2"/>
            <w:tcBorders>
              <w:bottom w:val="single" w:sz="4" w:space="0" w:color="auto"/>
            </w:tcBorders>
            <w:shd w:val="clear" w:color="auto" w:fill="auto"/>
          </w:tcPr>
          <w:p w14:paraId="421081E0" w14:textId="0751FCD1" w:rsidR="00901265" w:rsidRPr="006128AA" w:rsidRDefault="00901265">
            <w:pPr>
              <w:pStyle w:val="031Tablesubheading8pt"/>
              <w:rPr>
                <w:b w:val="0"/>
                <w:bCs/>
                <w:sz w:val="18"/>
                <w:szCs w:val="18"/>
              </w:rPr>
            </w:pPr>
            <w:r w:rsidRPr="006128AA">
              <w:rPr>
                <w:b w:val="0"/>
                <w:bCs/>
                <w:i/>
                <w:color w:val="808080" w:themeColor="background1" w:themeShade="80"/>
                <w:sz w:val="18"/>
                <w:szCs w:val="18"/>
              </w:rPr>
              <w:t>no evidence at medium or long</w:t>
            </w:r>
            <w:r w:rsidR="00201FD5">
              <w:rPr>
                <w:b w:val="0"/>
                <w:bCs/>
                <w:i/>
                <w:color w:val="808080" w:themeColor="background1" w:themeShade="80"/>
                <w:sz w:val="18"/>
                <w:szCs w:val="18"/>
              </w:rPr>
              <w:t>-</w:t>
            </w:r>
            <w:r w:rsidRPr="006128AA">
              <w:rPr>
                <w:b w:val="0"/>
                <w:bCs/>
                <w:i/>
                <w:color w:val="808080" w:themeColor="background1" w:themeShade="80"/>
                <w:sz w:val="18"/>
                <w:szCs w:val="18"/>
              </w:rPr>
              <w:t>term follow</w:t>
            </w:r>
            <w:r w:rsidR="00857A5C">
              <w:rPr>
                <w:b w:val="0"/>
                <w:bCs/>
                <w:i/>
                <w:color w:val="808080" w:themeColor="background1" w:themeShade="80"/>
                <w:sz w:val="18"/>
                <w:szCs w:val="18"/>
              </w:rPr>
              <w:t>-</w:t>
            </w:r>
            <w:r w:rsidRPr="006128AA">
              <w:rPr>
                <w:b w:val="0"/>
                <w:bCs/>
                <w:i/>
                <w:color w:val="808080" w:themeColor="background1" w:themeShade="80"/>
                <w:sz w:val="18"/>
                <w:szCs w:val="18"/>
              </w:rPr>
              <w:t>up</w:t>
            </w:r>
          </w:p>
        </w:tc>
        <w:tc>
          <w:tcPr>
            <w:tcW w:w="425" w:type="dxa"/>
            <w:tcBorders>
              <w:bottom w:val="single" w:sz="4" w:space="0" w:color="auto"/>
            </w:tcBorders>
            <w:shd w:val="clear" w:color="auto" w:fill="auto"/>
          </w:tcPr>
          <w:p w14:paraId="0E53381C" w14:textId="77777777" w:rsidR="00901265" w:rsidRPr="006128AA" w:rsidRDefault="00901265">
            <w:pPr>
              <w:pStyle w:val="031Tablesubheading8pt"/>
              <w:rPr>
                <w:b w:val="0"/>
                <w:bCs/>
                <w:sz w:val="18"/>
                <w:szCs w:val="18"/>
              </w:rPr>
            </w:pPr>
          </w:p>
        </w:tc>
        <w:tc>
          <w:tcPr>
            <w:tcW w:w="1845" w:type="dxa"/>
            <w:tcBorders>
              <w:bottom w:val="single" w:sz="4" w:space="0" w:color="auto"/>
            </w:tcBorders>
            <w:shd w:val="clear" w:color="auto" w:fill="auto"/>
          </w:tcPr>
          <w:p w14:paraId="299C3376" w14:textId="77777777" w:rsidR="00901265" w:rsidRPr="006128AA" w:rsidRDefault="00901265">
            <w:pPr>
              <w:pStyle w:val="031Tablesubheading8pt"/>
              <w:rPr>
                <w:b w:val="0"/>
                <w:bCs/>
                <w:sz w:val="18"/>
                <w:szCs w:val="18"/>
              </w:rPr>
            </w:pPr>
          </w:p>
        </w:tc>
        <w:tc>
          <w:tcPr>
            <w:tcW w:w="1842" w:type="dxa"/>
            <w:gridSpan w:val="2"/>
            <w:tcBorders>
              <w:bottom w:val="single" w:sz="4" w:space="0" w:color="auto"/>
            </w:tcBorders>
            <w:shd w:val="clear" w:color="auto" w:fill="auto"/>
          </w:tcPr>
          <w:p w14:paraId="686EEC90" w14:textId="77777777" w:rsidR="00901265" w:rsidRPr="006128AA" w:rsidRDefault="00901265">
            <w:pPr>
              <w:pStyle w:val="031Tablesubheading8pt"/>
              <w:rPr>
                <w:b w:val="0"/>
                <w:bCs/>
                <w:sz w:val="18"/>
                <w:szCs w:val="18"/>
              </w:rPr>
            </w:pPr>
          </w:p>
        </w:tc>
        <w:tc>
          <w:tcPr>
            <w:tcW w:w="1700" w:type="dxa"/>
            <w:gridSpan w:val="3"/>
            <w:tcBorders>
              <w:bottom w:val="single" w:sz="4" w:space="0" w:color="auto"/>
            </w:tcBorders>
            <w:shd w:val="clear" w:color="auto" w:fill="auto"/>
          </w:tcPr>
          <w:p w14:paraId="02764115" w14:textId="77777777" w:rsidR="00901265" w:rsidRPr="006128AA" w:rsidRDefault="00901265">
            <w:pPr>
              <w:pStyle w:val="031Tablesubheading8pt"/>
              <w:rPr>
                <w:b w:val="0"/>
                <w:bCs/>
                <w:sz w:val="18"/>
                <w:szCs w:val="18"/>
              </w:rPr>
            </w:pPr>
          </w:p>
        </w:tc>
      </w:tr>
      <w:tr w:rsidR="00901265" w:rsidRPr="005030B4" w14:paraId="02C2A45C" w14:textId="77777777" w:rsidTr="00823DD3">
        <w:tc>
          <w:tcPr>
            <w:tcW w:w="7511" w:type="dxa"/>
            <w:gridSpan w:val="5"/>
            <w:tcBorders>
              <w:bottom w:val="single" w:sz="4" w:space="0" w:color="auto"/>
            </w:tcBorders>
            <w:shd w:val="clear" w:color="auto" w:fill="E7E6E6" w:themeFill="background2"/>
          </w:tcPr>
          <w:p w14:paraId="07FE030B" w14:textId="77777777" w:rsidR="00901265" w:rsidRPr="005030B4" w:rsidRDefault="00901265">
            <w:pPr>
              <w:pStyle w:val="031Tablesubheading8pt"/>
              <w:rPr>
                <w:sz w:val="18"/>
                <w:szCs w:val="18"/>
              </w:rPr>
            </w:pPr>
            <w:r w:rsidRPr="005030B4">
              <w:rPr>
                <w:sz w:val="18"/>
                <w:szCs w:val="18"/>
              </w:rPr>
              <w:t>SCS + other intervention (MM or physical therapy) versus other intervention alone</w:t>
            </w:r>
          </w:p>
        </w:tc>
        <w:tc>
          <w:tcPr>
            <w:tcW w:w="427" w:type="dxa"/>
            <w:tcBorders>
              <w:bottom w:val="single" w:sz="4" w:space="0" w:color="auto"/>
            </w:tcBorders>
            <w:shd w:val="clear" w:color="auto" w:fill="E7E6E6" w:themeFill="background2"/>
          </w:tcPr>
          <w:p w14:paraId="36C77B6A" w14:textId="77777777" w:rsidR="00901265" w:rsidRPr="005030B4" w:rsidRDefault="00901265">
            <w:pPr>
              <w:pStyle w:val="031Tablesubheading8pt"/>
              <w:rPr>
                <w:sz w:val="18"/>
                <w:szCs w:val="18"/>
              </w:rPr>
            </w:pPr>
          </w:p>
        </w:tc>
        <w:tc>
          <w:tcPr>
            <w:tcW w:w="236" w:type="dxa"/>
            <w:tcBorders>
              <w:bottom w:val="single" w:sz="4" w:space="0" w:color="auto"/>
            </w:tcBorders>
            <w:shd w:val="clear" w:color="auto" w:fill="E7E6E6" w:themeFill="background2"/>
          </w:tcPr>
          <w:p w14:paraId="1DD650C0" w14:textId="77777777" w:rsidR="00901265" w:rsidRPr="005030B4" w:rsidRDefault="00901265">
            <w:pPr>
              <w:pStyle w:val="031Tablesubheading8pt"/>
              <w:rPr>
                <w:sz w:val="18"/>
                <w:szCs w:val="18"/>
              </w:rPr>
            </w:pPr>
          </w:p>
        </w:tc>
        <w:tc>
          <w:tcPr>
            <w:tcW w:w="236" w:type="dxa"/>
            <w:tcBorders>
              <w:bottom w:val="single" w:sz="4" w:space="0" w:color="auto"/>
            </w:tcBorders>
            <w:shd w:val="clear" w:color="auto" w:fill="E7E6E6" w:themeFill="background2"/>
          </w:tcPr>
          <w:p w14:paraId="41E494EA" w14:textId="77777777" w:rsidR="00901265" w:rsidRPr="005030B4" w:rsidRDefault="00901265">
            <w:pPr>
              <w:pStyle w:val="031Tablesubheading8pt"/>
              <w:rPr>
                <w:sz w:val="18"/>
                <w:szCs w:val="18"/>
              </w:rPr>
            </w:pPr>
          </w:p>
        </w:tc>
        <w:tc>
          <w:tcPr>
            <w:tcW w:w="1324" w:type="dxa"/>
            <w:gridSpan w:val="2"/>
            <w:tcBorders>
              <w:bottom w:val="single" w:sz="4" w:space="0" w:color="auto"/>
            </w:tcBorders>
            <w:shd w:val="clear" w:color="auto" w:fill="E7E6E6" w:themeFill="background2"/>
          </w:tcPr>
          <w:p w14:paraId="7931B390" w14:textId="77777777" w:rsidR="00901265" w:rsidRPr="005030B4" w:rsidRDefault="00901265">
            <w:pPr>
              <w:pStyle w:val="031Tablesubheading8pt"/>
              <w:rPr>
                <w:sz w:val="18"/>
                <w:szCs w:val="18"/>
              </w:rPr>
            </w:pPr>
          </w:p>
        </w:tc>
      </w:tr>
      <w:tr w:rsidR="00901265" w14:paraId="7CBAF139" w14:textId="77777777" w:rsidTr="00823DD3">
        <w:trPr>
          <w:gridAfter w:val="1"/>
          <w:wAfter w:w="96" w:type="dxa"/>
        </w:trPr>
        <w:tc>
          <w:tcPr>
            <w:tcW w:w="2975" w:type="dxa"/>
            <w:tcBorders>
              <w:bottom w:val="dotted" w:sz="4" w:space="0" w:color="auto"/>
            </w:tcBorders>
          </w:tcPr>
          <w:p w14:paraId="00281972" w14:textId="77777777" w:rsidR="00901265" w:rsidRPr="001A1058" w:rsidRDefault="00901265">
            <w:pPr>
              <w:pStyle w:val="051Tabletext2210pt"/>
              <w:keepNext/>
              <w:rPr>
                <w:b/>
                <w:sz w:val="18"/>
                <w:szCs w:val="18"/>
              </w:rPr>
            </w:pPr>
            <w:r w:rsidRPr="001A1058">
              <w:rPr>
                <w:b/>
                <w:sz w:val="18"/>
                <w:szCs w:val="18"/>
              </w:rPr>
              <w:t>Pain intensity</w:t>
            </w:r>
          </w:p>
        </w:tc>
        <w:tc>
          <w:tcPr>
            <w:tcW w:w="1276" w:type="dxa"/>
            <w:gridSpan w:val="2"/>
            <w:tcBorders>
              <w:bottom w:val="dotted" w:sz="4" w:space="0" w:color="auto"/>
            </w:tcBorders>
          </w:tcPr>
          <w:p w14:paraId="1D64CA7D" w14:textId="77777777" w:rsidR="00901265" w:rsidRPr="001A1058" w:rsidRDefault="00901265">
            <w:pPr>
              <w:pStyle w:val="051Tabletext2210pt"/>
              <w:keepNext/>
              <w:rPr>
                <w:sz w:val="18"/>
                <w:szCs w:val="18"/>
              </w:rPr>
            </w:pPr>
          </w:p>
        </w:tc>
        <w:tc>
          <w:tcPr>
            <w:tcW w:w="1845" w:type="dxa"/>
            <w:tcBorders>
              <w:bottom w:val="dotted" w:sz="4" w:space="0" w:color="auto"/>
            </w:tcBorders>
          </w:tcPr>
          <w:p w14:paraId="3EB8DDFE" w14:textId="77777777" w:rsidR="00901265" w:rsidRPr="001A1058" w:rsidRDefault="00901265">
            <w:pPr>
              <w:pStyle w:val="051Tabletext2210pt"/>
              <w:keepNext/>
              <w:rPr>
                <w:sz w:val="18"/>
                <w:szCs w:val="18"/>
              </w:rPr>
            </w:pPr>
          </w:p>
        </w:tc>
        <w:tc>
          <w:tcPr>
            <w:tcW w:w="1842" w:type="dxa"/>
            <w:gridSpan w:val="2"/>
            <w:tcBorders>
              <w:bottom w:val="dotted" w:sz="4" w:space="0" w:color="auto"/>
            </w:tcBorders>
          </w:tcPr>
          <w:p w14:paraId="552938E2" w14:textId="77777777" w:rsidR="00901265" w:rsidRPr="001A1058" w:rsidRDefault="00901265">
            <w:pPr>
              <w:pStyle w:val="051Tabletext2210pt"/>
              <w:keepNext/>
              <w:rPr>
                <w:sz w:val="18"/>
                <w:szCs w:val="18"/>
              </w:rPr>
            </w:pPr>
          </w:p>
        </w:tc>
        <w:tc>
          <w:tcPr>
            <w:tcW w:w="1700" w:type="dxa"/>
            <w:gridSpan w:val="3"/>
            <w:tcBorders>
              <w:bottom w:val="dotted" w:sz="4" w:space="0" w:color="auto"/>
            </w:tcBorders>
          </w:tcPr>
          <w:p w14:paraId="29780740" w14:textId="77777777" w:rsidR="00901265" w:rsidRPr="001A1058" w:rsidRDefault="00901265">
            <w:pPr>
              <w:pStyle w:val="051Tabletext2210pt"/>
              <w:keepNext/>
              <w:rPr>
                <w:sz w:val="18"/>
                <w:szCs w:val="18"/>
              </w:rPr>
            </w:pPr>
          </w:p>
        </w:tc>
      </w:tr>
      <w:tr w:rsidR="0067002E" w14:paraId="62BB5776" w14:textId="77777777" w:rsidTr="00823DD3">
        <w:trPr>
          <w:gridAfter w:val="1"/>
          <w:wAfter w:w="96" w:type="dxa"/>
        </w:trPr>
        <w:tc>
          <w:tcPr>
            <w:tcW w:w="2975" w:type="dxa"/>
            <w:tcBorders>
              <w:top w:val="dotted" w:sz="4" w:space="0" w:color="auto"/>
              <w:bottom w:val="nil"/>
            </w:tcBorders>
          </w:tcPr>
          <w:p w14:paraId="2AC502C8" w14:textId="77777777" w:rsidR="00901265" w:rsidRPr="001A1058" w:rsidRDefault="00901265">
            <w:pPr>
              <w:pStyle w:val="051Tabletext2210pt"/>
              <w:keepNext/>
              <w:ind w:left="157"/>
              <w:rPr>
                <w:sz w:val="18"/>
                <w:szCs w:val="18"/>
              </w:rPr>
            </w:pPr>
            <w:r w:rsidRPr="001A1058">
              <w:rPr>
                <w:sz w:val="18"/>
                <w:szCs w:val="18"/>
              </w:rPr>
              <w:t>Continuous outcomes (VAS 0-100)</w:t>
            </w:r>
          </w:p>
        </w:tc>
        <w:tc>
          <w:tcPr>
            <w:tcW w:w="1276" w:type="dxa"/>
            <w:gridSpan w:val="2"/>
            <w:tcBorders>
              <w:top w:val="dotted" w:sz="4" w:space="0" w:color="auto"/>
              <w:bottom w:val="nil"/>
            </w:tcBorders>
          </w:tcPr>
          <w:p w14:paraId="63087BDC" w14:textId="77777777" w:rsidR="00901265" w:rsidRPr="001A1058" w:rsidRDefault="00901265">
            <w:pPr>
              <w:pStyle w:val="051Tabletext2210pt"/>
              <w:keepNext/>
              <w:rPr>
                <w:sz w:val="18"/>
                <w:szCs w:val="18"/>
              </w:rPr>
            </w:pPr>
            <w:r w:rsidRPr="001A1058">
              <w:rPr>
                <w:sz w:val="18"/>
                <w:szCs w:val="18"/>
              </w:rPr>
              <w:t>5; N=634 (M)</w:t>
            </w:r>
          </w:p>
        </w:tc>
        <w:tc>
          <w:tcPr>
            <w:tcW w:w="1845" w:type="dxa"/>
            <w:tcBorders>
              <w:top w:val="dotted" w:sz="4" w:space="0" w:color="auto"/>
              <w:bottom w:val="nil"/>
            </w:tcBorders>
            <w:shd w:val="clear" w:color="auto" w:fill="F4B083" w:themeFill="accent2" w:themeFillTint="99"/>
          </w:tcPr>
          <w:p w14:paraId="57849285" w14:textId="77777777" w:rsidR="00901265" w:rsidRPr="001A1058" w:rsidRDefault="00901265">
            <w:pPr>
              <w:pStyle w:val="051Tabletext2210pt"/>
              <w:keepNext/>
              <w:rPr>
                <w:sz w:val="18"/>
                <w:szCs w:val="18"/>
              </w:rPr>
            </w:pPr>
            <w:r w:rsidRPr="001A1058">
              <w:rPr>
                <w:sz w:val="18"/>
                <w:szCs w:val="18"/>
              </w:rPr>
              <w:t>low</w:t>
            </w:r>
          </w:p>
        </w:tc>
        <w:tc>
          <w:tcPr>
            <w:tcW w:w="1842" w:type="dxa"/>
            <w:gridSpan w:val="2"/>
            <w:tcBorders>
              <w:top w:val="dotted" w:sz="4" w:space="0" w:color="auto"/>
              <w:bottom w:val="nil"/>
            </w:tcBorders>
            <w:shd w:val="clear" w:color="auto" w:fill="E2EFD9" w:themeFill="accent6" w:themeFillTint="33"/>
          </w:tcPr>
          <w:p w14:paraId="13F5CBDD" w14:textId="77777777" w:rsidR="00901265" w:rsidRPr="001A1058" w:rsidRDefault="00901265">
            <w:pPr>
              <w:pStyle w:val="051Tabletext2210pt"/>
              <w:keepNext/>
              <w:rPr>
                <w:sz w:val="18"/>
                <w:szCs w:val="18"/>
              </w:rPr>
            </w:pPr>
            <w:r w:rsidRPr="001A1058">
              <w:rPr>
                <w:sz w:val="18"/>
                <w:szCs w:val="18"/>
              </w:rPr>
              <w:t>Favours SCS</w:t>
            </w:r>
          </w:p>
        </w:tc>
        <w:tc>
          <w:tcPr>
            <w:tcW w:w="1700" w:type="dxa"/>
            <w:gridSpan w:val="3"/>
            <w:tcBorders>
              <w:top w:val="dotted" w:sz="4" w:space="0" w:color="auto"/>
              <w:bottom w:val="nil"/>
            </w:tcBorders>
            <w:shd w:val="clear" w:color="auto" w:fill="E2EFD9" w:themeFill="accent6" w:themeFillTint="33"/>
          </w:tcPr>
          <w:p w14:paraId="579AA511" w14:textId="77777777" w:rsidR="00901265" w:rsidRPr="001A1058" w:rsidRDefault="00901265">
            <w:pPr>
              <w:pStyle w:val="051Tabletext2210pt"/>
              <w:keepNext/>
              <w:rPr>
                <w:sz w:val="18"/>
                <w:szCs w:val="18"/>
              </w:rPr>
            </w:pPr>
            <w:r w:rsidRPr="001A1058">
              <w:rPr>
                <w:sz w:val="18"/>
                <w:szCs w:val="18"/>
              </w:rPr>
              <w:t>Favours SCS</w:t>
            </w:r>
          </w:p>
        </w:tc>
      </w:tr>
      <w:tr w:rsidR="0067002E" w14:paraId="4E624890" w14:textId="77777777" w:rsidTr="00823DD3">
        <w:trPr>
          <w:gridAfter w:val="1"/>
          <w:wAfter w:w="96" w:type="dxa"/>
        </w:trPr>
        <w:tc>
          <w:tcPr>
            <w:tcW w:w="2975" w:type="dxa"/>
            <w:tcBorders>
              <w:top w:val="nil"/>
              <w:bottom w:val="nil"/>
            </w:tcBorders>
          </w:tcPr>
          <w:p w14:paraId="48174559" w14:textId="77777777" w:rsidR="00901265" w:rsidRPr="001A1058" w:rsidRDefault="00901265">
            <w:pPr>
              <w:pStyle w:val="051Tabletext2210pt"/>
              <w:ind w:left="157"/>
              <w:rPr>
                <w:sz w:val="18"/>
                <w:szCs w:val="18"/>
              </w:rPr>
            </w:pPr>
            <w:r w:rsidRPr="001A1058">
              <w:rPr>
                <w:i/>
                <w:sz w:val="18"/>
                <w:szCs w:val="18"/>
              </w:rPr>
              <w:t>mean difference</w:t>
            </w:r>
          </w:p>
        </w:tc>
        <w:tc>
          <w:tcPr>
            <w:tcW w:w="1276" w:type="dxa"/>
            <w:gridSpan w:val="2"/>
            <w:tcBorders>
              <w:top w:val="nil"/>
              <w:bottom w:val="nil"/>
            </w:tcBorders>
          </w:tcPr>
          <w:p w14:paraId="3FCC4E5C" w14:textId="77777777" w:rsidR="00901265" w:rsidRPr="001A1058" w:rsidRDefault="00901265">
            <w:pPr>
              <w:pStyle w:val="051Tabletext2210pt"/>
              <w:rPr>
                <w:sz w:val="18"/>
                <w:szCs w:val="18"/>
              </w:rPr>
            </w:pPr>
            <w:r w:rsidRPr="001A1058">
              <w:rPr>
                <w:sz w:val="18"/>
                <w:szCs w:val="18"/>
              </w:rPr>
              <w:t>1; N=44 (L)</w:t>
            </w:r>
          </w:p>
        </w:tc>
        <w:tc>
          <w:tcPr>
            <w:tcW w:w="1845" w:type="dxa"/>
            <w:tcBorders>
              <w:top w:val="nil"/>
              <w:bottom w:val="nil"/>
            </w:tcBorders>
            <w:shd w:val="clear" w:color="auto" w:fill="FFE599" w:themeFill="accent4" w:themeFillTint="66"/>
          </w:tcPr>
          <w:p w14:paraId="1BE6EFE6"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nil"/>
              <w:bottom w:val="nil"/>
            </w:tcBorders>
            <w:shd w:val="clear" w:color="auto" w:fill="FFFFFF" w:themeFill="background1"/>
          </w:tcPr>
          <w:p w14:paraId="058E012E" w14:textId="77777777" w:rsidR="00901265" w:rsidRPr="001A1058" w:rsidRDefault="00901265">
            <w:pPr>
              <w:pStyle w:val="051Tabletext2210pt"/>
              <w:rPr>
                <w:sz w:val="18"/>
                <w:szCs w:val="18"/>
              </w:rPr>
            </w:pPr>
            <w:r w:rsidRPr="001A1058">
              <w:rPr>
                <w:sz w:val="18"/>
                <w:szCs w:val="18"/>
              </w:rPr>
              <w:t>No effect</w:t>
            </w:r>
          </w:p>
        </w:tc>
        <w:tc>
          <w:tcPr>
            <w:tcW w:w="1700" w:type="dxa"/>
            <w:gridSpan w:val="3"/>
            <w:tcBorders>
              <w:top w:val="nil"/>
              <w:bottom w:val="nil"/>
            </w:tcBorders>
            <w:shd w:val="clear" w:color="auto" w:fill="FFFFFF" w:themeFill="background1"/>
          </w:tcPr>
          <w:p w14:paraId="33D00526" w14:textId="77777777" w:rsidR="00901265" w:rsidRPr="001A1058" w:rsidRDefault="00901265">
            <w:pPr>
              <w:pStyle w:val="051Tabletext2210pt"/>
              <w:rPr>
                <w:sz w:val="18"/>
                <w:szCs w:val="18"/>
              </w:rPr>
            </w:pPr>
            <w:r w:rsidRPr="001A1058">
              <w:rPr>
                <w:sz w:val="18"/>
                <w:szCs w:val="18"/>
              </w:rPr>
              <w:t>No difference</w:t>
            </w:r>
          </w:p>
        </w:tc>
      </w:tr>
      <w:tr w:rsidR="0067002E" w14:paraId="02B3FAF8" w14:textId="77777777" w:rsidTr="00823DD3">
        <w:trPr>
          <w:gridAfter w:val="1"/>
          <w:wAfter w:w="96" w:type="dxa"/>
        </w:trPr>
        <w:tc>
          <w:tcPr>
            <w:tcW w:w="2975" w:type="dxa"/>
            <w:tcBorders>
              <w:top w:val="dotted" w:sz="4" w:space="0" w:color="auto"/>
              <w:bottom w:val="nil"/>
            </w:tcBorders>
          </w:tcPr>
          <w:p w14:paraId="2B869A46" w14:textId="77777777" w:rsidR="00901265" w:rsidRPr="001A1058" w:rsidRDefault="00901265">
            <w:pPr>
              <w:pStyle w:val="051Tabletext2210pt"/>
              <w:ind w:left="157"/>
              <w:rPr>
                <w:sz w:val="18"/>
                <w:szCs w:val="18"/>
              </w:rPr>
            </w:pPr>
            <w:r w:rsidRPr="001A1058">
              <w:rPr>
                <w:sz w:val="18"/>
                <w:szCs w:val="18"/>
              </w:rPr>
              <w:t xml:space="preserve">Proportion with </w:t>
            </w:r>
            <w:r w:rsidRPr="001A1058">
              <w:rPr>
                <w:rFonts w:cs="Calibri"/>
                <w:sz w:val="18"/>
                <w:szCs w:val="18"/>
              </w:rPr>
              <w:t>≥</w:t>
            </w:r>
            <w:r w:rsidRPr="001A1058">
              <w:rPr>
                <w:sz w:val="18"/>
                <w:szCs w:val="18"/>
              </w:rPr>
              <w:t>50% pain relief</w:t>
            </w:r>
          </w:p>
        </w:tc>
        <w:tc>
          <w:tcPr>
            <w:tcW w:w="1276" w:type="dxa"/>
            <w:gridSpan w:val="2"/>
            <w:tcBorders>
              <w:top w:val="dotted" w:sz="4" w:space="0" w:color="auto"/>
              <w:bottom w:val="nil"/>
            </w:tcBorders>
          </w:tcPr>
          <w:p w14:paraId="65D940BA" w14:textId="77777777" w:rsidR="00901265" w:rsidRPr="001A1058" w:rsidRDefault="00901265">
            <w:pPr>
              <w:pStyle w:val="051Tabletext2210pt"/>
              <w:rPr>
                <w:sz w:val="18"/>
                <w:szCs w:val="18"/>
              </w:rPr>
            </w:pPr>
            <w:r w:rsidRPr="001A1058">
              <w:rPr>
                <w:sz w:val="18"/>
                <w:szCs w:val="18"/>
              </w:rPr>
              <w:t>5; N=597 (M)</w:t>
            </w:r>
          </w:p>
        </w:tc>
        <w:tc>
          <w:tcPr>
            <w:tcW w:w="1845" w:type="dxa"/>
            <w:tcBorders>
              <w:top w:val="dotted" w:sz="4" w:space="0" w:color="auto"/>
              <w:bottom w:val="nil"/>
            </w:tcBorders>
            <w:shd w:val="clear" w:color="auto" w:fill="F4B083" w:themeFill="accent2" w:themeFillTint="99"/>
          </w:tcPr>
          <w:p w14:paraId="5A94FC7B" w14:textId="77777777" w:rsidR="00901265" w:rsidRPr="001A1058" w:rsidRDefault="00901265">
            <w:pPr>
              <w:pStyle w:val="051Tabletext2210pt"/>
              <w:rPr>
                <w:sz w:val="18"/>
                <w:szCs w:val="18"/>
              </w:rPr>
            </w:pPr>
            <w:r w:rsidRPr="001A1058">
              <w:rPr>
                <w:sz w:val="18"/>
                <w:szCs w:val="18"/>
              </w:rPr>
              <w:t>low</w:t>
            </w:r>
          </w:p>
        </w:tc>
        <w:tc>
          <w:tcPr>
            <w:tcW w:w="1842" w:type="dxa"/>
            <w:gridSpan w:val="2"/>
            <w:tcBorders>
              <w:top w:val="dotted" w:sz="4" w:space="0" w:color="auto"/>
              <w:bottom w:val="nil"/>
            </w:tcBorders>
            <w:shd w:val="clear" w:color="auto" w:fill="E2EFD9" w:themeFill="accent6" w:themeFillTint="33"/>
          </w:tcPr>
          <w:p w14:paraId="20A6DD84" w14:textId="77777777" w:rsidR="00901265" w:rsidRPr="001A1058" w:rsidRDefault="00901265">
            <w:pPr>
              <w:pStyle w:val="051Tabletext2210pt"/>
              <w:rPr>
                <w:sz w:val="18"/>
                <w:szCs w:val="18"/>
              </w:rPr>
            </w:pPr>
            <w:r w:rsidRPr="001A1058">
              <w:rPr>
                <w:sz w:val="18"/>
                <w:szCs w:val="18"/>
              </w:rPr>
              <w:t>Favours SCS</w:t>
            </w:r>
          </w:p>
        </w:tc>
        <w:tc>
          <w:tcPr>
            <w:tcW w:w="1700" w:type="dxa"/>
            <w:gridSpan w:val="3"/>
            <w:tcBorders>
              <w:top w:val="dotted" w:sz="4" w:space="0" w:color="auto"/>
              <w:bottom w:val="nil"/>
            </w:tcBorders>
            <w:shd w:val="clear" w:color="auto" w:fill="E2EFD9" w:themeFill="accent6" w:themeFillTint="33"/>
          </w:tcPr>
          <w:p w14:paraId="3C8CDAD5" w14:textId="77777777" w:rsidR="00901265" w:rsidRPr="001A1058" w:rsidRDefault="00901265">
            <w:pPr>
              <w:pStyle w:val="051Tabletext2210pt"/>
              <w:rPr>
                <w:sz w:val="18"/>
                <w:szCs w:val="18"/>
              </w:rPr>
            </w:pPr>
            <w:r w:rsidRPr="001A1058">
              <w:rPr>
                <w:sz w:val="18"/>
                <w:szCs w:val="18"/>
              </w:rPr>
              <w:t>Favours SCS</w:t>
            </w:r>
          </w:p>
        </w:tc>
      </w:tr>
      <w:tr w:rsidR="0067002E" w14:paraId="36ED62B0" w14:textId="77777777" w:rsidTr="00823DD3">
        <w:trPr>
          <w:gridAfter w:val="1"/>
          <w:wAfter w:w="96" w:type="dxa"/>
          <w:trHeight w:val="74"/>
        </w:trPr>
        <w:tc>
          <w:tcPr>
            <w:tcW w:w="2975" w:type="dxa"/>
            <w:tcBorders>
              <w:top w:val="nil"/>
              <w:bottom w:val="nil"/>
            </w:tcBorders>
          </w:tcPr>
          <w:p w14:paraId="4DAFAA8C" w14:textId="77777777" w:rsidR="00901265" w:rsidRPr="001A1058" w:rsidRDefault="00901265">
            <w:pPr>
              <w:pStyle w:val="051Tabletext2210pt"/>
              <w:rPr>
                <w:sz w:val="18"/>
                <w:szCs w:val="18"/>
              </w:rPr>
            </w:pPr>
          </w:p>
        </w:tc>
        <w:tc>
          <w:tcPr>
            <w:tcW w:w="1276" w:type="dxa"/>
            <w:gridSpan w:val="2"/>
            <w:tcBorders>
              <w:top w:val="nil"/>
              <w:bottom w:val="nil"/>
            </w:tcBorders>
          </w:tcPr>
          <w:p w14:paraId="672EAE60" w14:textId="77777777" w:rsidR="00901265" w:rsidRPr="001A1058" w:rsidRDefault="00901265">
            <w:pPr>
              <w:pStyle w:val="051Tabletext2210pt"/>
              <w:rPr>
                <w:sz w:val="18"/>
                <w:szCs w:val="18"/>
              </w:rPr>
            </w:pPr>
            <w:r w:rsidRPr="001A1058">
              <w:rPr>
                <w:sz w:val="18"/>
                <w:szCs w:val="18"/>
              </w:rPr>
              <w:t>1; N=87 (L)</w:t>
            </w:r>
          </w:p>
        </w:tc>
        <w:tc>
          <w:tcPr>
            <w:tcW w:w="1845" w:type="dxa"/>
            <w:tcBorders>
              <w:top w:val="nil"/>
              <w:bottom w:val="nil"/>
            </w:tcBorders>
            <w:shd w:val="clear" w:color="auto" w:fill="FFE599" w:themeFill="accent4" w:themeFillTint="66"/>
          </w:tcPr>
          <w:p w14:paraId="04E490D7"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nil"/>
              <w:bottom w:val="nil"/>
            </w:tcBorders>
            <w:shd w:val="clear" w:color="auto" w:fill="E2EFD9" w:themeFill="accent6" w:themeFillTint="33"/>
          </w:tcPr>
          <w:p w14:paraId="4F95342A" w14:textId="77777777" w:rsidR="00901265" w:rsidRPr="001A1058" w:rsidRDefault="00901265">
            <w:pPr>
              <w:pStyle w:val="051Tabletext2210pt"/>
              <w:rPr>
                <w:sz w:val="18"/>
                <w:szCs w:val="18"/>
              </w:rPr>
            </w:pPr>
            <w:r w:rsidRPr="001A1058">
              <w:rPr>
                <w:sz w:val="18"/>
                <w:szCs w:val="18"/>
              </w:rPr>
              <w:t>Favours SCS</w:t>
            </w:r>
          </w:p>
        </w:tc>
        <w:tc>
          <w:tcPr>
            <w:tcW w:w="1700" w:type="dxa"/>
            <w:gridSpan w:val="3"/>
            <w:tcBorders>
              <w:top w:val="nil"/>
              <w:bottom w:val="nil"/>
            </w:tcBorders>
            <w:shd w:val="clear" w:color="auto" w:fill="E2EFD9" w:themeFill="accent6" w:themeFillTint="33"/>
          </w:tcPr>
          <w:p w14:paraId="29FF019B" w14:textId="77777777" w:rsidR="00901265" w:rsidRPr="001A1058" w:rsidRDefault="00901265">
            <w:pPr>
              <w:pStyle w:val="051Tabletext2210pt"/>
              <w:rPr>
                <w:sz w:val="18"/>
                <w:szCs w:val="18"/>
              </w:rPr>
            </w:pPr>
            <w:r w:rsidRPr="001A1058">
              <w:rPr>
                <w:sz w:val="18"/>
                <w:szCs w:val="18"/>
              </w:rPr>
              <w:t>Favours SCS</w:t>
            </w:r>
          </w:p>
        </w:tc>
      </w:tr>
      <w:tr w:rsidR="00901265" w14:paraId="3B10D6E3" w14:textId="77777777" w:rsidTr="00823DD3">
        <w:trPr>
          <w:gridAfter w:val="1"/>
          <w:wAfter w:w="96" w:type="dxa"/>
        </w:trPr>
        <w:tc>
          <w:tcPr>
            <w:tcW w:w="2975" w:type="dxa"/>
            <w:tcBorders>
              <w:bottom w:val="dotted" w:sz="4" w:space="0" w:color="auto"/>
            </w:tcBorders>
          </w:tcPr>
          <w:p w14:paraId="4BEFC970" w14:textId="77777777" w:rsidR="00901265" w:rsidRPr="001A1058" w:rsidRDefault="00901265">
            <w:pPr>
              <w:pStyle w:val="051Tabletext2210pt"/>
              <w:rPr>
                <w:b/>
                <w:sz w:val="18"/>
                <w:szCs w:val="18"/>
              </w:rPr>
            </w:pPr>
            <w:r w:rsidRPr="001A1058">
              <w:rPr>
                <w:b/>
                <w:sz w:val="18"/>
                <w:szCs w:val="18"/>
              </w:rPr>
              <w:t>AEs</w:t>
            </w:r>
          </w:p>
        </w:tc>
        <w:tc>
          <w:tcPr>
            <w:tcW w:w="1276" w:type="dxa"/>
            <w:gridSpan w:val="2"/>
            <w:tcBorders>
              <w:bottom w:val="dotted" w:sz="4" w:space="0" w:color="auto"/>
            </w:tcBorders>
          </w:tcPr>
          <w:p w14:paraId="490F9CD0" w14:textId="77777777" w:rsidR="00901265" w:rsidRPr="001A1058" w:rsidRDefault="00901265">
            <w:pPr>
              <w:pStyle w:val="051Tabletext2210pt"/>
              <w:rPr>
                <w:sz w:val="18"/>
                <w:szCs w:val="18"/>
              </w:rPr>
            </w:pPr>
          </w:p>
        </w:tc>
        <w:tc>
          <w:tcPr>
            <w:tcW w:w="1845" w:type="dxa"/>
            <w:tcBorders>
              <w:bottom w:val="dotted" w:sz="4" w:space="0" w:color="auto"/>
            </w:tcBorders>
          </w:tcPr>
          <w:p w14:paraId="76FFAA35" w14:textId="77777777" w:rsidR="00901265" w:rsidRPr="001A1058" w:rsidRDefault="00901265">
            <w:pPr>
              <w:pStyle w:val="051Tabletext2210pt"/>
              <w:rPr>
                <w:sz w:val="18"/>
                <w:szCs w:val="18"/>
              </w:rPr>
            </w:pPr>
          </w:p>
        </w:tc>
        <w:tc>
          <w:tcPr>
            <w:tcW w:w="1842" w:type="dxa"/>
            <w:gridSpan w:val="2"/>
            <w:tcBorders>
              <w:bottom w:val="dotted" w:sz="4" w:space="0" w:color="auto"/>
            </w:tcBorders>
          </w:tcPr>
          <w:p w14:paraId="49319A81" w14:textId="77777777" w:rsidR="00901265" w:rsidRPr="001A1058" w:rsidRDefault="00901265">
            <w:pPr>
              <w:pStyle w:val="051Tabletext2210pt"/>
              <w:rPr>
                <w:sz w:val="18"/>
                <w:szCs w:val="18"/>
              </w:rPr>
            </w:pPr>
          </w:p>
        </w:tc>
        <w:tc>
          <w:tcPr>
            <w:tcW w:w="1700" w:type="dxa"/>
            <w:gridSpan w:val="3"/>
            <w:tcBorders>
              <w:bottom w:val="dotted" w:sz="4" w:space="0" w:color="auto"/>
            </w:tcBorders>
          </w:tcPr>
          <w:p w14:paraId="0F012C65" w14:textId="77777777" w:rsidR="00901265" w:rsidRPr="001A1058" w:rsidRDefault="00901265">
            <w:pPr>
              <w:pStyle w:val="051Tabletext2210pt"/>
              <w:rPr>
                <w:sz w:val="18"/>
                <w:szCs w:val="18"/>
              </w:rPr>
            </w:pPr>
          </w:p>
        </w:tc>
      </w:tr>
      <w:tr w:rsidR="00901265" w14:paraId="59ACC82D" w14:textId="77777777" w:rsidTr="00823DD3">
        <w:trPr>
          <w:gridAfter w:val="1"/>
          <w:wAfter w:w="96" w:type="dxa"/>
        </w:trPr>
        <w:tc>
          <w:tcPr>
            <w:tcW w:w="2975" w:type="dxa"/>
            <w:tcBorders>
              <w:top w:val="dotted" w:sz="4" w:space="0" w:color="auto"/>
              <w:bottom w:val="nil"/>
            </w:tcBorders>
          </w:tcPr>
          <w:p w14:paraId="1010A526" w14:textId="77777777" w:rsidR="00901265" w:rsidRPr="005B42AB" w:rsidRDefault="00901265">
            <w:pPr>
              <w:pStyle w:val="051Tabletext2210pt"/>
              <w:keepNext/>
              <w:ind w:left="158"/>
              <w:rPr>
                <w:sz w:val="18"/>
                <w:szCs w:val="18"/>
              </w:rPr>
            </w:pPr>
            <w:r w:rsidRPr="001A1058">
              <w:rPr>
                <w:sz w:val="18"/>
                <w:szCs w:val="18"/>
              </w:rPr>
              <w:t>Lead failure/displacement</w:t>
            </w:r>
          </w:p>
        </w:tc>
        <w:tc>
          <w:tcPr>
            <w:tcW w:w="1276" w:type="dxa"/>
            <w:gridSpan w:val="2"/>
            <w:tcBorders>
              <w:top w:val="dotted" w:sz="4" w:space="0" w:color="auto"/>
              <w:bottom w:val="nil"/>
            </w:tcBorders>
          </w:tcPr>
          <w:p w14:paraId="699C5EBF" w14:textId="77777777" w:rsidR="00901265" w:rsidRPr="001A1058" w:rsidRDefault="00901265">
            <w:pPr>
              <w:pStyle w:val="051Tabletext2210pt"/>
              <w:rPr>
                <w:sz w:val="18"/>
                <w:szCs w:val="18"/>
              </w:rPr>
            </w:pPr>
            <w:r w:rsidRPr="001A1058">
              <w:rPr>
                <w:sz w:val="18"/>
                <w:szCs w:val="18"/>
              </w:rPr>
              <w:t>3; N=330 (M)</w:t>
            </w:r>
          </w:p>
        </w:tc>
        <w:tc>
          <w:tcPr>
            <w:tcW w:w="1845" w:type="dxa"/>
            <w:tcBorders>
              <w:top w:val="dotted" w:sz="4" w:space="0" w:color="auto"/>
              <w:bottom w:val="nil"/>
            </w:tcBorders>
            <w:shd w:val="clear" w:color="auto" w:fill="F4B083" w:themeFill="accent2" w:themeFillTint="99"/>
          </w:tcPr>
          <w:p w14:paraId="2EEBAB37"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dotted" w:sz="4" w:space="0" w:color="auto"/>
              <w:bottom w:val="nil"/>
            </w:tcBorders>
          </w:tcPr>
          <w:p w14:paraId="2214310D" w14:textId="77777777" w:rsidR="00901265" w:rsidRPr="001A1058" w:rsidRDefault="00901265">
            <w:pPr>
              <w:pStyle w:val="051Tabletext2210pt"/>
              <w:rPr>
                <w:sz w:val="18"/>
                <w:szCs w:val="18"/>
              </w:rPr>
            </w:pPr>
            <w:r w:rsidRPr="001A1058">
              <w:rPr>
                <w:sz w:val="18"/>
                <w:szCs w:val="18"/>
              </w:rPr>
              <w:t>No effect</w:t>
            </w:r>
          </w:p>
        </w:tc>
        <w:tc>
          <w:tcPr>
            <w:tcW w:w="1700" w:type="dxa"/>
            <w:gridSpan w:val="3"/>
            <w:tcBorders>
              <w:top w:val="dotted" w:sz="4" w:space="0" w:color="auto"/>
              <w:bottom w:val="nil"/>
            </w:tcBorders>
          </w:tcPr>
          <w:p w14:paraId="7BAA91EA" w14:textId="77777777" w:rsidR="00901265" w:rsidRPr="001A1058" w:rsidRDefault="00901265">
            <w:pPr>
              <w:pStyle w:val="051Tabletext2210pt"/>
              <w:rPr>
                <w:sz w:val="18"/>
                <w:szCs w:val="18"/>
              </w:rPr>
            </w:pPr>
            <w:r w:rsidRPr="001A1058">
              <w:rPr>
                <w:sz w:val="18"/>
                <w:szCs w:val="18"/>
              </w:rPr>
              <w:t>NR</w:t>
            </w:r>
          </w:p>
        </w:tc>
      </w:tr>
      <w:tr w:rsidR="0067002E" w14:paraId="14135011" w14:textId="77777777" w:rsidTr="00823DD3">
        <w:trPr>
          <w:gridAfter w:val="1"/>
          <w:wAfter w:w="96" w:type="dxa"/>
        </w:trPr>
        <w:tc>
          <w:tcPr>
            <w:tcW w:w="2975" w:type="dxa"/>
            <w:tcBorders>
              <w:top w:val="nil"/>
              <w:bottom w:val="dotted" w:sz="4" w:space="0" w:color="auto"/>
            </w:tcBorders>
          </w:tcPr>
          <w:p w14:paraId="54883E16" w14:textId="77777777" w:rsidR="00901265" w:rsidRPr="001A1058" w:rsidRDefault="00901265">
            <w:pPr>
              <w:pStyle w:val="051Tabletext2210pt"/>
              <w:ind w:left="158"/>
              <w:rPr>
                <w:sz w:val="18"/>
                <w:szCs w:val="18"/>
              </w:rPr>
            </w:pPr>
          </w:p>
        </w:tc>
        <w:tc>
          <w:tcPr>
            <w:tcW w:w="1276" w:type="dxa"/>
            <w:gridSpan w:val="2"/>
            <w:tcBorders>
              <w:top w:val="nil"/>
              <w:bottom w:val="dotted" w:sz="4" w:space="0" w:color="auto"/>
            </w:tcBorders>
          </w:tcPr>
          <w:p w14:paraId="09C2C6BC" w14:textId="77777777" w:rsidR="00901265" w:rsidRPr="001A1058" w:rsidRDefault="00901265">
            <w:pPr>
              <w:pStyle w:val="051Tabletext2210pt"/>
              <w:rPr>
                <w:sz w:val="18"/>
                <w:szCs w:val="18"/>
              </w:rPr>
            </w:pPr>
            <w:r w:rsidRPr="001A1058">
              <w:rPr>
                <w:sz w:val="18"/>
                <w:szCs w:val="18"/>
              </w:rPr>
              <w:t>1, N=44 (L)</w:t>
            </w:r>
          </w:p>
        </w:tc>
        <w:tc>
          <w:tcPr>
            <w:tcW w:w="1845" w:type="dxa"/>
            <w:tcBorders>
              <w:top w:val="nil"/>
              <w:bottom w:val="dotted" w:sz="4" w:space="0" w:color="auto"/>
            </w:tcBorders>
            <w:shd w:val="clear" w:color="auto" w:fill="F4B083" w:themeFill="accent2" w:themeFillTint="99"/>
          </w:tcPr>
          <w:p w14:paraId="104ECDA0"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nil"/>
              <w:bottom w:val="dotted" w:sz="4" w:space="0" w:color="auto"/>
            </w:tcBorders>
            <w:shd w:val="clear" w:color="auto" w:fill="FFCDCD"/>
          </w:tcPr>
          <w:p w14:paraId="3A3336DC" w14:textId="77777777" w:rsidR="00901265" w:rsidRPr="001A1058" w:rsidRDefault="00901265">
            <w:pPr>
              <w:pStyle w:val="051Tabletext2210pt"/>
              <w:rPr>
                <w:sz w:val="18"/>
                <w:szCs w:val="18"/>
              </w:rPr>
            </w:pPr>
            <w:r w:rsidRPr="001A1058">
              <w:rPr>
                <w:sz w:val="18"/>
                <w:szCs w:val="18"/>
              </w:rPr>
              <w:t>Favours MM</w:t>
            </w:r>
          </w:p>
        </w:tc>
        <w:tc>
          <w:tcPr>
            <w:tcW w:w="1700" w:type="dxa"/>
            <w:gridSpan w:val="3"/>
            <w:tcBorders>
              <w:top w:val="nil"/>
              <w:bottom w:val="dotted" w:sz="4" w:space="0" w:color="auto"/>
            </w:tcBorders>
          </w:tcPr>
          <w:p w14:paraId="59CC778D" w14:textId="77777777" w:rsidR="00901265" w:rsidRPr="001A1058" w:rsidRDefault="00901265">
            <w:pPr>
              <w:pStyle w:val="051Tabletext2210pt"/>
              <w:rPr>
                <w:sz w:val="18"/>
                <w:szCs w:val="18"/>
              </w:rPr>
            </w:pPr>
            <w:r w:rsidRPr="001A1058">
              <w:rPr>
                <w:sz w:val="18"/>
                <w:szCs w:val="18"/>
              </w:rPr>
              <w:t>NR</w:t>
            </w:r>
          </w:p>
        </w:tc>
      </w:tr>
      <w:tr w:rsidR="0067002E" w14:paraId="6910C567" w14:textId="77777777" w:rsidTr="00823DD3">
        <w:trPr>
          <w:gridAfter w:val="1"/>
          <w:wAfter w:w="96" w:type="dxa"/>
        </w:trPr>
        <w:tc>
          <w:tcPr>
            <w:tcW w:w="2975" w:type="dxa"/>
            <w:tcBorders>
              <w:top w:val="dotted" w:sz="4" w:space="0" w:color="auto"/>
              <w:bottom w:val="dotted" w:sz="4" w:space="0" w:color="auto"/>
            </w:tcBorders>
          </w:tcPr>
          <w:p w14:paraId="43F3489C" w14:textId="77777777" w:rsidR="00901265" w:rsidRPr="005B42AB" w:rsidRDefault="00901265">
            <w:pPr>
              <w:pStyle w:val="051Tabletext2210pt"/>
              <w:ind w:left="158"/>
              <w:rPr>
                <w:sz w:val="18"/>
                <w:szCs w:val="18"/>
              </w:rPr>
            </w:pPr>
            <w:r w:rsidRPr="001A1058">
              <w:rPr>
                <w:sz w:val="18"/>
                <w:szCs w:val="18"/>
              </w:rPr>
              <w:t>Infection</w:t>
            </w:r>
          </w:p>
        </w:tc>
        <w:tc>
          <w:tcPr>
            <w:tcW w:w="1276" w:type="dxa"/>
            <w:gridSpan w:val="2"/>
            <w:tcBorders>
              <w:top w:val="dotted" w:sz="4" w:space="0" w:color="auto"/>
              <w:bottom w:val="dotted" w:sz="4" w:space="0" w:color="auto"/>
            </w:tcBorders>
          </w:tcPr>
          <w:p w14:paraId="6735577F" w14:textId="77777777" w:rsidR="00901265" w:rsidRPr="001A1058" w:rsidRDefault="00901265">
            <w:pPr>
              <w:pStyle w:val="051Tabletext2210pt"/>
              <w:rPr>
                <w:sz w:val="18"/>
                <w:szCs w:val="18"/>
              </w:rPr>
            </w:pPr>
            <w:r w:rsidRPr="001A1058">
              <w:rPr>
                <w:sz w:val="18"/>
                <w:szCs w:val="18"/>
              </w:rPr>
              <w:t>4; N=548 (M)</w:t>
            </w:r>
          </w:p>
        </w:tc>
        <w:tc>
          <w:tcPr>
            <w:tcW w:w="1845" w:type="dxa"/>
            <w:tcBorders>
              <w:top w:val="dotted" w:sz="4" w:space="0" w:color="auto"/>
              <w:bottom w:val="dotted" w:sz="4" w:space="0" w:color="auto"/>
            </w:tcBorders>
            <w:shd w:val="clear" w:color="auto" w:fill="FFE599" w:themeFill="accent4" w:themeFillTint="66"/>
          </w:tcPr>
          <w:p w14:paraId="046A8047" w14:textId="77777777" w:rsidR="00901265" w:rsidRPr="001A1058" w:rsidRDefault="00901265">
            <w:pPr>
              <w:pStyle w:val="051Tabletext2210pt"/>
              <w:rPr>
                <w:sz w:val="18"/>
                <w:szCs w:val="18"/>
              </w:rPr>
            </w:pPr>
            <w:r w:rsidRPr="001A1058">
              <w:rPr>
                <w:sz w:val="18"/>
                <w:szCs w:val="18"/>
              </w:rPr>
              <w:t>low</w:t>
            </w:r>
          </w:p>
        </w:tc>
        <w:tc>
          <w:tcPr>
            <w:tcW w:w="1842" w:type="dxa"/>
            <w:gridSpan w:val="2"/>
            <w:tcBorders>
              <w:top w:val="dotted" w:sz="4" w:space="0" w:color="auto"/>
              <w:bottom w:val="dotted" w:sz="4" w:space="0" w:color="auto"/>
            </w:tcBorders>
            <w:shd w:val="clear" w:color="auto" w:fill="FFCDCD"/>
          </w:tcPr>
          <w:p w14:paraId="04C7CECE" w14:textId="77777777" w:rsidR="00901265" w:rsidRPr="001A1058" w:rsidRDefault="00901265">
            <w:pPr>
              <w:pStyle w:val="051Tabletext2210pt"/>
              <w:rPr>
                <w:sz w:val="18"/>
                <w:szCs w:val="18"/>
              </w:rPr>
            </w:pPr>
            <w:r w:rsidRPr="001A1058">
              <w:rPr>
                <w:sz w:val="18"/>
                <w:szCs w:val="18"/>
              </w:rPr>
              <w:t>Favours MM</w:t>
            </w:r>
          </w:p>
        </w:tc>
        <w:tc>
          <w:tcPr>
            <w:tcW w:w="1700" w:type="dxa"/>
            <w:gridSpan w:val="3"/>
            <w:tcBorders>
              <w:top w:val="dotted" w:sz="4" w:space="0" w:color="auto"/>
              <w:bottom w:val="dotted" w:sz="4" w:space="0" w:color="auto"/>
            </w:tcBorders>
          </w:tcPr>
          <w:p w14:paraId="0055725B" w14:textId="77777777" w:rsidR="00901265" w:rsidRPr="001A1058" w:rsidRDefault="00901265">
            <w:pPr>
              <w:pStyle w:val="051Tabletext2210pt"/>
              <w:rPr>
                <w:sz w:val="18"/>
                <w:szCs w:val="18"/>
              </w:rPr>
            </w:pPr>
            <w:r w:rsidRPr="001A1058">
              <w:rPr>
                <w:sz w:val="18"/>
                <w:szCs w:val="18"/>
              </w:rPr>
              <w:t>NR</w:t>
            </w:r>
          </w:p>
        </w:tc>
      </w:tr>
      <w:tr w:rsidR="0067002E" w14:paraId="76F87682" w14:textId="77777777" w:rsidTr="00823DD3">
        <w:trPr>
          <w:gridAfter w:val="1"/>
          <w:wAfter w:w="96" w:type="dxa"/>
        </w:trPr>
        <w:tc>
          <w:tcPr>
            <w:tcW w:w="2975" w:type="dxa"/>
            <w:tcBorders>
              <w:top w:val="dotted" w:sz="4" w:space="0" w:color="auto"/>
              <w:bottom w:val="nil"/>
            </w:tcBorders>
          </w:tcPr>
          <w:p w14:paraId="4371F109" w14:textId="77777777" w:rsidR="00901265" w:rsidRPr="005B42AB" w:rsidRDefault="00901265">
            <w:pPr>
              <w:pStyle w:val="051Tabletext2210pt"/>
              <w:ind w:left="158"/>
              <w:rPr>
                <w:sz w:val="18"/>
                <w:szCs w:val="18"/>
              </w:rPr>
            </w:pPr>
            <w:r>
              <w:rPr>
                <w:sz w:val="18"/>
                <w:szCs w:val="18"/>
              </w:rPr>
              <w:t>R</w:t>
            </w:r>
            <w:r w:rsidRPr="001A1058">
              <w:rPr>
                <w:sz w:val="18"/>
                <w:szCs w:val="18"/>
              </w:rPr>
              <w:t>eoperation/reimplantation</w:t>
            </w:r>
          </w:p>
        </w:tc>
        <w:tc>
          <w:tcPr>
            <w:tcW w:w="1276" w:type="dxa"/>
            <w:gridSpan w:val="2"/>
            <w:tcBorders>
              <w:top w:val="dotted" w:sz="4" w:space="0" w:color="auto"/>
              <w:bottom w:val="nil"/>
            </w:tcBorders>
          </w:tcPr>
          <w:p w14:paraId="0538CEB9" w14:textId="77777777" w:rsidR="00901265" w:rsidRPr="001A1058" w:rsidRDefault="00901265">
            <w:pPr>
              <w:pStyle w:val="051Tabletext2210pt"/>
              <w:rPr>
                <w:sz w:val="18"/>
                <w:szCs w:val="18"/>
              </w:rPr>
            </w:pPr>
            <w:r w:rsidRPr="001A1058">
              <w:rPr>
                <w:sz w:val="18"/>
                <w:szCs w:val="18"/>
              </w:rPr>
              <w:t>4; N=548 (M)</w:t>
            </w:r>
          </w:p>
        </w:tc>
        <w:tc>
          <w:tcPr>
            <w:tcW w:w="1845" w:type="dxa"/>
            <w:tcBorders>
              <w:top w:val="dotted" w:sz="4" w:space="0" w:color="auto"/>
              <w:bottom w:val="nil"/>
            </w:tcBorders>
            <w:shd w:val="clear" w:color="auto" w:fill="F4B083" w:themeFill="accent2" w:themeFillTint="99"/>
          </w:tcPr>
          <w:p w14:paraId="6F5F4A9F"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dotted" w:sz="4" w:space="0" w:color="auto"/>
              <w:bottom w:val="nil"/>
            </w:tcBorders>
            <w:shd w:val="clear" w:color="auto" w:fill="FFCDCD"/>
          </w:tcPr>
          <w:p w14:paraId="35BEB78A" w14:textId="77777777" w:rsidR="00901265" w:rsidRPr="001A1058" w:rsidRDefault="00901265">
            <w:pPr>
              <w:pStyle w:val="051Tabletext2210pt"/>
              <w:rPr>
                <w:sz w:val="18"/>
                <w:szCs w:val="18"/>
              </w:rPr>
            </w:pPr>
            <w:r w:rsidRPr="001A1058">
              <w:rPr>
                <w:sz w:val="18"/>
                <w:szCs w:val="18"/>
              </w:rPr>
              <w:t>Favours MM</w:t>
            </w:r>
          </w:p>
        </w:tc>
        <w:tc>
          <w:tcPr>
            <w:tcW w:w="1700" w:type="dxa"/>
            <w:gridSpan w:val="3"/>
            <w:tcBorders>
              <w:top w:val="dotted" w:sz="4" w:space="0" w:color="auto"/>
              <w:bottom w:val="nil"/>
            </w:tcBorders>
          </w:tcPr>
          <w:p w14:paraId="7093F3AF" w14:textId="77777777" w:rsidR="00901265" w:rsidRPr="001A1058" w:rsidRDefault="00901265">
            <w:pPr>
              <w:pStyle w:val="051Tabletext2210pt"/>
              <w:rPr>
                <w:sz w:val="18"/>
                <w:szCs w:val="18"/>
              </w:rPr>
            </w:pPr>
            <w:r w:rsidRPr="001A1058">
              <w:rPr>
                <w:sz w:val="18"/>
                <w:szCs w:val="18"/>
              </w:rPr>
              <w:t>NR</w:t>
            </w:r>
          </w:p>
        </w:tc>
      </w:tr>
      <w:tr w:rsidR="0067002E" w14:paraId="676ED3B3" w14:textId="77777777" w:rsidTr="00823DD3">
        <w:trPr>
          <w:gridAfter w:val="1"/>
          <w:wAfter w:w="96" w:type="dxa"/>
        </w:trPr>
        <w:tc>
          <w:tcPr>
            <w:tcW w:w="2975" w:type="dxa"/>
            <w:tcBorders>
              <w:top w:val="nil"/>
              <w:bottom w:val="dotted" w:sz="4" w:space="0" w:color="auto"/>
            </w:tcBorders>
          </w:tcPr>
          <w:p w14:paraId="34E755D5" w14:textId="77777777" w:rsidR="00901265" w:rsidRPr="001A1058" w:rsidRDefault="00901265">
            <w:pPr>
              <w:pStyle w:val="051Tabletext2210pt"/>
              <w:ind w:left="158"/>
              <w:rPr>
                <w:sz w:val="18"/>
                <w:szCs w:val="18"/>
              </w:rPr>
            </w:pPr>
          </w:p>
        </w:tc>
        <w:tc>
          <w:tcPr>
            <w:tcW w:w="1276" w:type="dxa"/>
            <w:gridSpan w:val="2"/>
            <w:tcBorders>
              <w:top w:val="nil"/>
              <w:bottom w:val="dotted" w:sz="4" w:space="0" w:color="auto"/>
            </w:tcBorders>
          </w:tcPr>
          <w:p w14:paraId="29D4A8EB" w14:textId="77777777" w:rsidR="00901265" w:rsidRPr="001A1058" w:rsidRDefault="00901265">
            <w:pPr>
              <w:pStyle w:val="051Tabletext2210pt"/>
              <w:rPr>
                <w:sz w:val="18"/>
                <w:szCs w:val="18"/>
              </w:rPr>
            </w:pPr>
            <w:r w:rsidRPr="001A1058">
              <w:rPr>
                <w:sz w:val="18"/>
                <w:szCs w:val="18"/>
              </w:rPr>
              <w:t>1; N=44 (L)</w:t>
            </w:r>
          </w:p>
        </w:tc>
        <w:tc>
          <w:tcPr>
            <w:tcW w:w="1845" w:type="dxa"/>
            <w:tcBorders>
              <w:top w:val="nil"/>
              <w:bottom w:val="dotted" w:sz="4" w:space="0" w:color="auto"/>
            </w:tcBorders>
            <w:shd w:val="clear" w:color="auto" w:fill="F4B083" w:themeFill="accent2" w:themeFillTint="99"/>
          </w:tcPr>
          <w:p w14:paraId="5E60FF5C"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nil"/>
              <w:bottom w:val="dotted" w:sz="4" w:space="0" w:color="auto"/>
            </w:tcBorders>
            <w:shd w:val="clear" w:color="auto" w:fill="FFCDCD"/>
          </w:tcPr>
          <w:p w14:paraId="4A314AE8" w14:textId="77777777" w:rsidR="00901265" w:rsidRPr="001A1058" w:rsidRDefault="00901265">
            <w:pPr>
              <w:pStyle w:val="051Tabletext2210pt"/>
              <w:rPr>
                <w:sz w:val="18"/>
                <w:szCs w:val="18"/>
              </w:rPr>
            </w:pPr>
            <w:r w:rsidRPr="001A1058">
              <w:rPr>
                <w:sz w:val="18"/>
                <w:szCs w:val="18"/>
              </w:rPr>
              <w:t>Favours MM</w:t>
            </w:r>
          </w:p>
        </w:tc>
        <w:tc>
          <w:tcPr>
            <w:tcW w:w="1700" w:type="dxa"/>
            <w:gridSpan w:val="3"/>
            <w:tcBorders>
              <w:top w:val="nil"/>
              <w:bottom w:val="dotted" w:sz="4" w:space="0" w:color="auto"/>
            </w:tcBorders>
          </w:tcPr>
          <w:p w14:paraId="601381FE" w14:textId="77777777" w:rsidR="00901265" w:rsidRPr="001A1058" w:rsidRDefault="00901265">
            <w:pPr>
              <w:pStyle w:val="051Tabletext2210pt"/>
              <w:rPr>
                <w:sz w:val="18"/>
                <w:szCs w:val="18"/>
              </w:rPr>
            </w:pPr>
            <w:r w:rsidRPr="001A1058">
              <w:rPr>
                <w:sz w:val="18"/>
                <w:szCs w:val="18"/>
              </w:rPr>
              <w:t>NR</w:t>
            </w:r>
          </w:p>
        </w:tc>
      </w:tr>
      <w:tr w:rsidR="00901265" w14:paraId="1B1B2407" w14:textId="77777777" w:rsidTr="00823DD3">
        <w:trPr>
          <w:gridAfter w:val="1"/>
          <w:wAfter w:w="96" w:type="dxa"/>
        </w:trPr>
        <w:tc>
          <w:tcPr>
            <w:tcW w:w="2975" w:type="dxa"/>
            <w:tcBorders>
              <w:top w:val="dotted" w:sz="4" w:space="0" w:color="auto"/>
              <w:bottom w:val="nil"/>
            </w:tcBorders>
          </w:tcPr>
          <w:p w14:paraId="21BC5F7C" w14:textId="77777777" w:rsidR="00901265" w:rsidRPr="001A1058" w:rsidRDefault="00901265">
            <w:pPr>
              <w:pStyle w:val="051Tabletext2210pt"/>
              <w:ind w:left="158"/>
              <w:rPr>
                <w:sz w:val="18"/>
                <w:szCs w:val="18"/>
              </w:rPr>
            </w:pPr>
            <w:r w:rsidRPr="001A1058">
              <w:rPr>
                <w:sz w:val="18"/>
                <w:szCs w:val="18"/>
              </w:rPr>
              <w:t>Other</w:t>
            </w:r>
            <w:r>
              <w:rPr>
                <w:sz w:val="18"/>
                <w:szCs w:val="18"/>
              </w:rPr>
              <w:t xml:space="preserve"> AEs</w:t>
            </w:r>
          </w:p>
        </w:tc>
        <w:tc>
          <w:tcPr>
            <w:tcW w:w="1276" w:type="dxa"/>
            <w:gridSpan w:val="2"/>
            <w:tcBorders>
              <w:top w:val="dotted" w:sz="4" w:space="0" w:color="auto"/>
              <w:bottom w:val="nil"/>
            </w:tcBorders>
          </w:tcPr>
          <w:p w14:paraId="52A7C946" w14:textId="77777777" w:rsidR="00901265" w:rsidRPr="001A1058" w:rsidRDefault="00901265">
            <w:pPr>
              <w:pStyle w:val="051Tabletext2210pt"/>
              <w:rPr>
                <w:sz w:val="18"/>
                <w:szCs w:val="18"/>
              </w:rPr>
            </w:pPr>
            <w:r w:rsidRPr="001A1058">
              <w:rPr>
                <w:sz w:val="18"/>
                <w:szCs w:val="18"/>
              </w:rPr>
              <w:t>2; N=278 (M)</w:t>
            </w:r>
          </w:p>
        </w:tc>
        <w:tc>
          <w:tcPr>
            <w:tcW w:w="1845" w:type="dxa"/>
            <w:tcBorders>
              <w:top w:val="dotted" w:sz="4" w:space="0" w:color="auto"/>
              <w:bottom w:val="nil"/>
            </w:tcBorders>
            <w:shd w:val="clear" w:color="auto" w:fill="FFE599" w:themeFill="accent4" w:themeFillTint="66"/>
          </w:tcPr>
          <w:p w14:paraId="09E1693C" w14:textId="77777777" w:rsidR="00901265" w:rsidRPr="001A1058" w:rsidRDefault="00901265">
            <w:pPr>
              <w:pStyle w:val="051Tabletext2210pt"/>
              <w:rPr>
                <w:sz w:val="18"/>
                <w:szCs w:val="18"/>
              </w:rPr>
            </w:pPr>
            <w:r w:rsidRPr="001A1058">
              <w:rPr>
                <w:sz w:val="18"/>
                <w:szCs w:val="18"/>
              </w:rPr>
              <w:t>low</w:t>
            </w:r>
          </w:p>
        </w:tc>
        <w:tc>
          <w:tcPr>
            <w:tcW w:w="1842" w:type="dxa"/>
            <w:gridSpan w:val="2"/>
            <w:tcBorders>
              <w:top w:val="dotted" w:sz="4" w:space="0" w:color="auto"/>
              <w:bottom w:val="nil"/>
            </w:tcBorders>
          </w:tcPr>
          <w:p w14:paraId="278EDE5E" w14:textId="77777777" w:rsidR="00901265" w:rsidRPr="001A1058" w:rsidRDefault="00901265">
            <w:pPr>
              <w:pStyle w:val="051Tabletext2210pt"/>
              <w:rPr>
                <w:sz w:val="18"/>
                <w:szCs w:val="18"/>
              </w:rPr>
            </w:pPr>
            <w:r w:rsidRPr="001A1058">
              <w:rPr>
                <w:sz w:val="18"/>
                <w:szCs w:val="18"/>
              </w:rPr>
              <w:t>No effect</w:t>
            </w:r>
          </w:p>
        </w:tc>
        <w:tc>
          <w:tcPr>
            <w:tcW w:w="1700" w:type="dxa"/>
            <w:gridSpan w:val="3"/>
            <w:tcBorders>
              <w:top w:val="dotted" w:sz="4" w:space="0" w:color="auto"/>
              <w:bottom w:val="nil"/>
            </w:tcBorders>
          </w:tcPr>
          <w:p w14:paraId="2EF57F23" w14:textId="77777777" w:rsidR="00901265" w:rsidRPr="001A1058" w:rsidRDefault="00901265">
            <w:pPr>
              <w:pStyle w:val="051Tabletext2210pt"/>
              <w:rPr>
                <w:sz w:val="18"/>
                <w:szCs w:val="18"/>
              </w:rPr>
            </w:pPr>
            <w:r w:rsidRPr="001A1058">
              <w:rPr>
                <w:sz w:val="18"/>
                <w:szCs w:val="18"/>
              </w:rPr>
              <w:t>NR</w:t>
            </w:r>
          </w:p>
        </w:tc>
      </w:tr>
      <w:tr w:rsidR="00901265" w14:paraId="167DD8D2" w14:textId="77777777" w:rsidTr="00823DD3">
        <w:trPr>
          <w:gridAfter w:val="1"/>
          <w:wAfter w:w="96" w:type="dxa"/>
        </w:trPr>
        <w:tc>
          <w:tcPr>
            <w:tcW w:w="2975" w:type="dxa"/>
            <w:tcBorders>
              <w:top w:val="nil"/>
              <w:bottom w:val="single" w:sz="4" w:space="0" w:color="auto"/>
            </w:tcBorders>
          </w:tcPr>
          <w:p w14:paraId="7B41F0DD" w14:textId="77777777" w:rsidR="00901265" w:rsidRPr="001A1058" w:rsidRDefault="00901265">
            <w:pPr>
              <w:pStyle w:val="051Tabletext2210pt"/>
              <w:ind w:left="158"/>
              <w:rPr>
                <w:sz w:val="18"/>
                <w:szCs w:val="18"/>
              </w:rPr>
            </w:pPr>
          </w:p>
        </w:tc>
        <w:tc>
          <w:tcPr>
            <w:tcW w:w="1276" w:type="dxa"/>
            <w:gridSpan w:val="2"/>
            <w:tcBorders>
              <w:top w:val="nil"/>
              <w:bottom w:val="single" w:sz="4" w:space="0" w:color="auto"/>
            </w:tcBorders>
          </w:tcPr>
          <w:p w14:paraId="2BC243B3" w14:textId="77777777" w:rsidR="00901265" w:rsidRPr="001A1058" w:rsidRDefault="00901265">
            <w:pPr>
              <w:pStyle w:val="051Tabletext2210pt"/>
              <w:rPr>
                <w:sz w:val="18"/>
                <w:szCs w:val="18"/>
              </w:rPr>
            </w:pPr>
            <w:r w:rsidRPr="001A1058">
              <w:rPr>
                <w:sz w:val="18"/>
                <w:szCs w:val="18"/>
              </w:rPr>
              <w:t>1; N=100 (L)</w:t>
            </w:r>
          </w:p>
        </w:tc>
        <w:tc>
          <w:tcPr>
            <w:tcW w:w="1845" w:type="dxa"/>
            <w:tcBorders>
              <w:top w:val="nil"/>
              <w:bottom w:val="single" w:sz="4" w:space="0" w:color="auto"/>
            </w:tcBorders>
            <w:shd w:val="clear" w:color="auto" w:fill="F4B083" w:themeFill="accent2" w:themeFillTint="99"/>
          </w:tcPr>
          <w:p w14:paraId="56ABF5C7"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nil"/>
              <w:bottom w:val="single" w:sz="4" w:space="0" w:color="auto"/>
            </w:tcBorders>
          </w:tcPr>
          <w:p w14:paraId="1E00C5A3" w14:textId="77777777" w:rsidR="00901265" w:rsidRPr="001A1058" w:rsidRDefault="00901265">
            <w:pPr>
              <w:pStyle w:val="051Tabletext2210pt"/>
              <w:rPr>
                <w:sz w:val="18"/>
                <w:szCs w:val="18"/>
              </w:rPr>
            </w:pPr>
            <w:r w:rsidRPr="001A1058">
              <w:rPr>
                <w:sz w:val="18"/>
                <w:szCs w:val="18"/>
              </w:rPr>
              <w:t>No effect</w:t>
            </w:r>
          </w:p>
        </w:tc>
        <w:tc>
          <w:tcPr>
            <w:tcW w:w="1700" w:type="dxa"/>
            <w:gridSpan w:val="3"/>
            <w:tcBorders>
              <w:top w:val="nil"/>
              <w:bottom w:val="single" w:sz="4" w:space="0" w:color="auto"/>
            </w:tcBorders>
          </w:tcPr>
          <w:p w14:paraId="1EAAB8BC" w14:textId="77777777" w:rsidR="00901265" w:rsidRPr="001A1058" w:rsidRDefault="00901265">
            <w:pPr>
              <w:pStyle w:val="051Tabletext2210pt"/>
              <w:rPr>
                <w:sz w:val="18"/>
                <w:szCs w:val="18"/>
              </w:rPr>
            </w:pPr>
            <w:r w:rsidRPr="001A1058">
              <w:rPr>
                <w:sz w:val="18"/>
                <w:szCs w:val="18"/>
              </w:rPr>
              <w:t>NR</w:t>
            </w:r>
          </w:p>
        </w:tc>
      </w:tr>
      <w:tr w:rsidR="00901265" w14:paraId="52A63ED8" w14:textId="77777777" w:rsidTr="00823DD3">
        <w:trPr>
          <w:gridAfter w:val="1"/>
          <w:wAfter w:w="96" w:type="dxa"/>
        </w:trPr>
        <w:tc>
          <w:tcPr>
            <w:tcW w:w="2975" w:type="dxa"/>
            <w:tcBorders>
              <w:top w:val="single" w:sz="4" w:space="0" w:color="auto"/>
              <w:bottom w:val="dotted" w:sz="4" w:space="0" w:color="auto"/>
            </w:tcBorders>
          </w:tcPr>
          <w:p w14:paraId="74F39F91" w14:textId="77777777" w:rsidR="00901265" w:rsidRPr="001A1058" w:rsidRDefault="00901265">
            <w:pPr>
              <w:pStyle w:val="051Tabletext2210pt"/>
              <w:rPr>
                <w:b/>
                <w:sz w:val="18"/>
                <w:szCs w:val="18"/>
              </w:rPr>
            </w:pPr>
            <w:r w:rsidRPr="001A1058">
              <w:rPr>
                <w:b/>
                <w:sz w:val="18"/>
                <w:szCs w:val="18"/>
              </w:rPr>
              <w:t>Secondary outcomes</w:t>
            </w:r>
          </w:p>
        </w:tc>
        <w:tc>
          <w:tcPr>
            <w:tcW w:w="1276" w:type="dxa"/>
            <w:gridSpan w:val="2"/>
            <w:tcBorders>
              <w:top w:val="single" w:sz="4" w:space="0" w:color="auto"/>
              <w:bottom w:val="dotted" w:sz="4" w:space="0" w:color="auto"/>
            </w:tcBorders>
          </w:tcPr>
          <w:p w14:paraId="413D6F1E" w14:textId="77777777" w:rsidR="00901265" w:rsidRPr="001A1058" w:rsidRDefault="00901265">
            <w:pPr>
              <w:pStyle w:val="051Tabletext2210pt"/>
              <w:rPr>
                <w:sz w:val="18"/>
                <w:szCs w:val="18"/>
              </w:rPr>
            </w:pPr>
          </w:p>
        </w:tc>
        <w:tc>
          <w:tcPr>
            <w:tcW w:w="1845" w:type="dxa"/>
            <w:tcBorders>
              <w:top w:val="single" w:sz="4" w:space="0" w:color="auto"/>
              <w:bottom w:val="dotted" w:sz="4" w:space="0" w:color="auto"/>
            </w:tcBorders>
            <w:shd w:val="clear" w:color="auto" w:fill="FFFFFF" w:themeFill="background1"/>
          </w:tcPr>
          <w:p w14:paraId="6CDCAC09" w14:textId="77777777" w:rsidR="00901265" w:rsidRPr="001A1058" w:rsidRDefault="00901265">
            <w:pPr>
              <w:pStyle w:val="051Tabletext2210pt"/>
              <w:rPr>
                <w:sz w:val="18"/>
                <w:szCs w:val="18"/>
              </w:rPr>
            </w:pPr>
          </w:p>
        </w:tc>
        <w:tc>
          <w:tcPr>
            <w:tcW w:w="1842" w:type="dxa"/>
            <w:gridSpan w:val="2"/>
            <w:tcBorders>
              <w:top w:val="single" w:sz="4" w:space="0" w:color="auto"/>
              <w:bottom w:val="dotted" w:sz="4" w:space="0" w:color="auto"/>
            </w:tcBorders>
          </w:tcPr>
          <w:p w14:paraId="68C0C2D0" w14:textId="77777777" w:rsidR="00901265" w:rsidRPr="001A1058" w:rsidRDefault="00901265">
            <w:pPr>
              <w:pStyle w:val="051Tabletext2210pt"/>
              <w:rPr>
                <w:sz w:val="18"/>
                <w:szCs w:val="18"/>
              </w:rPr>
            </w:pPr>
          </w:p>
        </w:tc>
        <w:tc>
          <w:tcPr>
            <w:tcW w:w="1700" w:type="dxa"/>
            <w:gridSpan w:val="3"/>
            <w:tcBorders>
              <w:top w:val="single" w:sz="4" w:space="0" w:color="auto"/>
              <w:bottom w:val="dotted" w:sz="4" w:space="0" w:color="auto"/>
            </w:tcBorders>
          </w:tcPr>
          <w:p w14:paraId="45FE94FB" w14:textId="77777777" w:rsidR="00901265" w:rsidRPr="001A1058" w:rsidRDefault="00901265">
            <w:pPr>
              <w:pStyle w:val="051Tabletext2210pt"/>
              <w:rPr>
                <w:sz w:val="18"/>
                <w:szCs w:val="18"/>
              </w:rPr>
            </w:pPr>
          </w:p>
        </w:tc>
      </w:tr>
      <w:tr w:rsidR="00901265" w14:paraId="4543F3B5" w14:textId="77777777" w:rsidTr="00823DD3">
        <w:trPr>
          <w:gridAfter w:val="1"/>
          <w:wAfter w:w="96" w:type="dxa"/>
        </w:trPr>
        <w:tc>
          <w:tcPr>
            <w:tcW w:w="2975" w:type="dxa"/>
            <w:tcBorders>
              <w:top w:val="dotted" w:sz="4" w:space="0" w:color="auto"/>
              <w:bottom w:val="dotted" w:sz="4" w:space="0" w:color="auto"/>
            </w:tcBorders>
          </w:tcPr>
          <w:p w14:paraId="4EC5C041" w14:textId="77777777" w:rsidR="00901265" w:rsidRPr="005B42AB" w:rsidRDefault="00901265">
            <w:pPr>
              <w:pStyle w:val="051Tabletext2210pt"/>
              <w:ind w:left="158"/>
              <w:rPr>
                <w:sz w:val="18"/>
                <w:szCs w:val="18"/>
              </w:rPr>
            </w:pPr>
            <w:r w:rsidRPr="001A1058">
              <w:rPr>
                <w:sz w:val="18"/>
                <w:szCs w:val="18"/>
              </w:rPr>
              <w:t>Disability</w:t>
            </w:r>
          </w:p>
        </w:tc>
        <w:tc>
          <w:tcPr>
            <w:tcW w:w="1276" w:type="dxa"/>
            <w:gridSpan w:val="2"/>
            <w:tcBorders>
              <w:top w:val="dotted" w:sz="4" w:space="0" w:color="auto"/>
              <w:bottom w:val="dotted" w:sz="4" w:space="0" w:color="auto"/>
            </w:tcBorders>
          </w:tcPr>
          <w:p w14:paraId="136D6B03" w14:textId="77777777" w:rsidR="00901265" w:rsidRPr="001A1058" w:rsidRDefault="00901265">
            <w:pPr>
              <w:pStyle w:val="051Tabletext2210pt"/>
              <w:rPr>
                <w:sz w:val="18"/>
                <w:szCs w:val="18"/>
              </w:rPr>
            </w:pPr>
            <w:r w:rsidRPr="001A1058">
              <w:rPr>
                <w:sz w:val="18"/>
                <w:szCs w:val="18"/>
              </w:rPr>
              <w:t>2; N=312 (M)</w:t>
            </w:r>
          </w:p>
        </w:tc>
        <w:tc>
          <w:tcPr>
            <w:tcW w:w="1845" w:type="dxa"/>
            <w:tcBorders>
              <w:top w:val="dotted" w:sz="4" w:space="0" w:color="auto"/>
              <w:bottom w:val="dotted" w:sz="4" w:space="0" w:color="auto"/>
            </w:tcBorders>
            <w:shd w:val="clear" w:color="auto" w:fill="F4B083" w:themeFill="accent2" w:themeFillTint="99"/>
          </w:tcPr>
          <w:p w14:paraId="67AF0D0E"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dotted" w:sz="4" w:space="0" w:color="auto"/>
              <w:bottom w:val="dotted" w:sz="4" w:space="0" w:color="auto"/>
            </w:tcBorders>
          </w:tcPr>
          <w:p w14:paraId="4194D06A" w14:textId="77777777" w:rsidR="00901265" w:rsidRPr="001A1058" w:rsidRDefault="00901265">
            <w:pPr>
              <w:pStyle w:val="051Tabletext2210pt"/>
              <w:rPr>
                <w:sz w:val="18"/>
                <w:szCs w:val="18"/>
              </w:rPr>
            </w:pPr>
            <w:r w:rsidRPr="001A1058">
              <w:rPr>
                <w:sz w:val="18"/>
                <w:szCs w:val="18"/>
              </w:rPr>
              <w:t>No effect</w:t>
            </w:r>
          </w:p>
        </w:tc>
        <w:tc>
          <w:tcPr>
            <w:tcW w:w="1700" w:type="dxa"/>
            <w:gridSpan w:val="3"/>
            <w:tcBorders>
              <w:top w:val="dotted" w:sz="4" w:space="0" w:color="auto"/>
              <w:bottom w:val="dotted" w:sz="4" w:space="0" w:color="auto"/>
            </w:tcBorders>
          </w:tcPr>
          <w:p w14:paraId="050C55CB" w14:textId="77777777" w:rsidR="00901265" w:rsidRPr="001A1058" w:rsidRDefault="00901265">
            <w:pPr>
              <w:pStyle w:val="051Tabletext2210pt"/>
              <w:rPr>
                <w:sz w:val="18"/>
                <w:szCs w:val="18"/>
              </w:rPr>
            </w:pPr>
            <w:r w:rsidRPr="001A1058">
              <w:rPr>
                <w:sz w:val="18"/>
                <w:szCs w:val="18"/>
              </w:rPr>
              <w:t>No difference</w:t>
            </w:r>
          </w:p>
        </w:tc>
      </w:tr>
      <w:tr w:rsidR="0067002E" w14:paraId="6EB90404" w14:textId="77777777" w:rsidTr="00823DD3">
        <w:trPr>
          <w:gridAfter w:val="1"/>
          <w:wAfter w:w="96" w:type="dxa"/>
        </w:trPr>
        <w:tc>
          <w:tcPr>
            <w:tcW w:w="2975" w:type="dxa"/>
            <w:tcBorders>
              <w:top w:val="dotted" w:sz="4" w:space="0" w:color="auto"/>
              <w:bottom w:val="nil"/>
            </w:tcBorders>
          </w:tcPr>
          <w:p w14:paraId="5AE951FA" w14:textId="77777777" w:rsidR="00901265" w:rsidRPr="001A1058" w:rsidRDefault="00901265">
            <w:pPr>
              <w:pStyle w:val="051Tabletext2210pt"/>
              <w:ind w:left="158"/>
              <w:rPr>
                <w:sz w:val="18"/>
                <w:szCs w:val="18"/>
              </w:rPr>
            </w:pPr>
            <w:proofErr w:type="spellStart"/>
            <w:r w:rsidRPr="001A1058">
              <w:rPr>
                <w:sz w:val="18"/>
                <w:szCs w:val="18"/>
              </w:rPr>
              <w:t>HRQoL</w:t>
            </w:r>
            <w:proofErr w:type="spellEnd"/>
          </w:p>
        </w:tc>
        <w:tc>
          <w:tcPr>
            <w:tcW w:w="1276" w:type="dxa"/>
            <w:gridSpan w:val="2"/>
            <w:tcBorders>
              <w:top w:val="dotted" w:sz="4" w:space="0" w:color="auto"/>
              <w:bottom w:val="nil"/>
            </w:tcBorders>
          </w:tcPr>
          <w:p w14:paraId="43FABAE3" w14:textId="77777777" w:rsidR="00901265" w:rsidRPr="001A1058" w:rsidRDefault="00901265">
            <w:pPr>
              <w:pStyle w:val="051Tabletext2210pt"/>
              <w:rPr>
                <w:sz w:val="18"/>
                <w:szCs w:val="18"/>
              </w:rPr>
            </w:pPr>
            <w:r w:rsidRPr="001A1058">
              <w:rPr>
                <w:sz w:val="18"/>
                <w:szCs w:val="18"/>
              </w:rPr>
              <w:t>5; N=595 (M)</w:t>
            </w:r>
          </w:p>
        </w:tc>
        <w:tc>
          <w:tcPr>
            <w:tcW w:w="1845" w:type="dxa"/>
            <w:tcBorders>
              <w:top w:val="dotted" w:sz="4" w:space="0" w:color="auto"/>
              <w:bottom w:val="nil"/>
            </w:tcBorders>
            <w:shd w:val="clear" w:color="auto" w:fill="F4B083" w:themeFill="accent2" w:themeFillTint="99"/>
          </w:tcPr>
          <w:p w14:paraId="04E072DB" w14:textId="77777777" w:rsidR="00901265" w:rsidRPr="001A1058" w:rsidRDefault="00901265">
            <w:pPr>
              <w:pStyle w:val="051Tabletext2210pt"/>
              <w:rPr>
                <w:sz w:val="18"/>
                <w:szCs w:val="18"/>
              </w:rPr>
            </w:pPr>
            <w:r w:rsidRPr="001A1058">
              <w:rPr>
                <w:sz w:val="18"/>
                <w:szCs w:val="18"/>
              </w:rPr>
              <w:t>low</w:t>
            </w:r>
          </w:p>
        </w:tc>
        <w:tc>
          <w:tcPr>
            <w:tcW w:w="1842" w:type="dxa"/>
            <w:gridSpan w:val="2"/>
            <w:tcBorders>
              <w:top w:val="dotted" w:sz="4" w:space="0" w:color="auto"/>
              <w:bottom w:val="nil"/>
            </w:tcBorders>
            <w:shd w:val="clear" w:color="auto" w:fill="E2EFD9" w:themeFill="accent6" w:themeFillTint="33"/>
          </w:tcPr>
          <w:p w14:paraId="31A2ED9D" w14:textId="77777777" w:rsidR="00901265" w:rsidRPr="001A1058" w:rsidRDefault="00901265">
            <w:pPr>
              <w:pStyle w:val="051Tabletext2210pt"/>
              <w:rPr>
                <w:sz w:val="18"/>
                <w:szCs w:val="18"/>
              </w:rPr>
            </w:pPr>
            <w:r w:rsidRPr="001A1058">
              <w:rPr>
                <w:sz w:val="18"/>
                <w:szCs w:val="18"/>
              </w:rPr>
              <w:t>Effect in favour of SCS</w:t>
            </w:r>
          </w:p>
        </w:tc>
        <w:tc>
          <w:tcPr>
            <w:tcW w:w="1700" w:type="dxa"/>
            <w:gridSpan w:val="3"/>
            <w:tcBorders>
              <w:top w:val="dotted" w:sz="4" w:space="0" w:color="auto"/>
              <w:bottom w:val="nil"/>
            </w:tcBorders>
          </w:tcPr>
          <w:p w14:paraId="52826066" w14:textId="77777777" w:rsidR="00901265" w:rsidRPr="001A1058" w:rsidRDefault="00901265">
            <w:pPr>
              <w:pStyle w:val="051Tabletext2210pt"/>
              <w:rPr>
                <w:sz w:val="18"/>
                <w:szCs w:val="18"/>
              </w:rPr>
            </w:pPr>
            <w:r w:rsidRPr="001A1058">
              <w:rPr>
                <w:sz w:val="18"/>
                <w:szCs w:val="18"/>
              </w:rPr>
              <w:t>NR</w:t>
            </w:r>
          </w:p>
        </w:tc>
      </w:tr>
      <w:tr w:rsidR="00901265" w14:paraId="080F7A4C" w14:textId="77777777" w:rsidTr="00823DD3">
        <w:trPr>
          <w:gridAfter w:val="1"/>
          <w:wAfter w:w="96" w:type="dxa"/>
        </w:trPr>
        <w:tc>
          <w:tcPr>
            <w:tcW w:w="2975" w:type="dxa"/>
            <w:tcBorders>
              <w:top w:val="nil"/>
              <w:bottom w:val="nil"/>
            </w:tcBorders>
          </w:tcPr>
          <w:p w14:paraId="4ADBFAEC" w14:textId="77777777" w:rsidR="00901265" w:rsidRPr="001A1058" w:rsidRDefault="00901265">
            <w:pPr>
              <w:pStyle w:val="051Tabletext2210pt"/>
              <w:ind w:left="158"/>
              <w:rPr>
                <w:sz w:val="18"/>
                <w:szCs w:val="18"/>
              </w:rPr>
            </w:pPr>
          </w:p>
        </w:tc>
        <w:tc>
          <w:tcPr>
            <w:tcW w:w="1276" w:type="dxa"/>
            <w:gridSpan w:val="2"/>
            <w:tcBorders>
              <w:top w:val="nil"/>
              <w:bottom w:val="nil"/>
            </w:tcBorders>
          </w:tcPr>
          <w:p w14:paraId="7436181B" w14:textId="77777777" w:rsidR="00901265" w:rsidRPr="001A1058" w:rsidRDefault="00901265">
            <w:pPr>
              <w:pStyle w:val="051Tabletext2210pt"/>
              <w:rPr>
                <w:sz w:val="18"/>
                <w:szCs w:val="18"/>
              </w:rPr>
            </w:pPr>
            <w:r w:rsidRPr="001A1058">
              <w:rPr>
                <w:sz w:val="18"/>
                <w:szCs w:val="18"/>
              </w:rPr>
              <w:t>1; N=44 (L)</w:t>
            </w:r>
          </w:p>
        </w:tc>
        <w:tc>
          <w:tcPr>
            <w:tcW w:w="1845" w:type="dxa"/>
            <w:tcBorders>
              <w:top w:val="nil"/>
              <w:bottom w:val="nil"/>
            </w:tcBorders>
            <w:shd w:val="clear" w:color="auto" w:fill="FFE599" w:themeFill="accent4" w:themeFillTint="66"/>
          </w:tcPr>
          <w:p w14:paraId="5A47C4FC" w14:textId="77777777" w:rsidR="00901265" w:rsidRPr="001A1058" w:rsidRDefault="00901265">
            <w:pPr>
              <w:pStyle w:val="051Tabletext2210pt"/>
              <w:rPr>
                <w:sz w:val="18"/>
                <w:szCs w:val="18"/>
              </w:rPr>
            </w:pPr>
            <w:r w:rsidRPr="001A1058">
              <w:rPr>
                <w:sz w:val="18"/>
                <w:szCs w:val="18"/>
              </w:rPr>
              <w:t>very low</w:t>
            </w:r>
          </w:p>
        </w:tc>
        <w:tc>
          <w:tcPr>
            <w:tcW w:w="1842" w:type="dxa"/>
            <w:gridSpan w:val="2"/>
            <w:tcBorders>
              <w:top w:val="nil"/>
              <w:bottom w:val="nil"/>
            </w:tcBorders>
          </w:tcPr>
          <w:p w14:paraId="0E5CD715" w14:textId="77777777" w:rsidR="00901265" w:rsidRPr="001A1058" w:rsidRDefault="00901265">
            <w:pPr>
              <w:pStyle w:val="051Tabletext2210pt"/>
              <w:rPr>
                <w:sz w:val="18"/>
                <w:szCs w:val="18"/>
              </w:rPr>
            </w:pPr>
            <w:r w:rsidRPr="001A1058">
              <w:rPr>
                <w:sz w:val="18"/>
                <w:szCs w:val="18"/>
              </w:rPr>
              <w:t>No effect</w:t>
            </w:r>
          </w:p>
        </w:tc>
        <w:tc>
          <w:tcPr>
            <w:tcW w:w="1700" w:type="dxa"/>
            <w:gridSpan w:val="3"/>
            <w:tcBorders>
              <w:top w:val="nil"/>
              <w:bottom w:val="nil"/>
            </w:tcBorders>
          </w:tcPr>
          <w:p w14:paraId="1AB40ACF" w14:textId="77777777" w:rsidR="00901265" w:rsidRPr="001A1058" w:rsidRDefault="00901265">
            <w:pPr>
              <w:pStyle w:val="051Tabletext2210pt"/>
              <w:rPr>
                <w:sz w:val="18"/>
                <w:szCs w:val="18"/>
              </w:rPr>
            </w:pPr>
            <w:r w:rsidRPr="001A1058">
              <w:rPr>
                <w:sz w:val="18"/>
                <w:szCs w:val="18"/>
              </w:rPr>
              <w:t>No difference</w:t>
            </w:r>
          </w:p>
        </w:tc>
      </w:tr>
      <w:tr w:rsidR="00901265" w14:paraId="4B153452" w14:textId="77777777" w:rsidTr="00823DD3">
        <w:trPr>
          <w:gridAfter w:val="1"/>
          <w:wAfter w:w="96" w:type="dxa"/>
        </w:trPr>
        <w:tc>
          <w:tcPr>
            <w:tcW w:w="2975" w:type="dxa"/>
            <w:tcBorders>
              <w:top w:val="dotted" w:sz="4" w:space="0" w:color="auto"/>
              <w:bottom w:val="single" w:sz="4" w:space="0" w:color="auto"/>
            </w:tcBorders>
          </w:tcPr>
          <w:p w14:paraId="54D379F1" w14:textId="77777777" w:rsidR="00901265" w:rsidRPr="001A1058" w:rsidRDefault="00901265">
            <w:pPr>
              <w:pStyle w:val="051Tabletext2210pt"/>
              <w:ind w:left="158"/>
              <w:rPr>
                <w:sz w:val="18"/>
                <w:szCs w:val="18"/>
              </w:rPr>
            </w:pPr>
            <w:r w:rsidRPr="001A1058">
              <w:rPr>
                <w:sz w:val="18"/>
                <w:szCs w:val="18"/>
              </w:rPr>
              <w:t>Medication use</w:t>
            </w:r>
          </w:p>
        </w:tc>
        <w:tc>
          <w:tcPr>
            <w:tcW w:w="1276" w:type="dxa"/>
            <w:gridSpan w:val="2"/>
            <w:tcBorders>
              <w:top w:val="dotted" w:sz="4" w:space="0" w:color="auto"/>
              <w:bottom w:val="single" w:sz="4" w:space="0" w:color="auto"/>
            </w:tcBorders>
          </w:tcPr>
          <w:p w14:paraId="4FFA0591" w14:textId="77777777" w:rsidR="00901265" w:rsidRPr="001A1058" w:rsidRDefault="00901265">
            <w:pPr>
              <w:pStyle w:val="051Tabletext2210pt"/>
              <w:rPr>
                <w:sz w:val="18"/>
                <w:szCs w:val="18"/>
              </w:rPr>
            </w:pPr>
            <w:r w:rsidRPr="001A1058">
              <w:rPr>
                <w:sz w:val="18"/>
                <w:szCs w:val="18"/>
              </w:rPr>
              <w:t>2; N=154 (M)</w:t>
            </w:r>
          </w:p>
        </w:tc>
        <w:tc>
          <w:tcPr>
            <w:tcW w:w="1845" w:type="dxa"/>
            <w:tcBorders>
              <w:top w:val="dotted" w:sz="4" w:space="0" w:color="auto"/>
              <w:bottom w:val="single" w:sz="4" w:space="0" w:color="auto"/>
            </w:tcBorders>
            <w:shd w:val="clear" w:color="auto" w:fill="FFE599" w:themeFill="accent4" w:themeFillTint="66"/>
          </w:tcPr>
          <w:p w14:paraId="45B45E8C" w14:textId="297D4F1B" w:rsidR="00901265" w:rsidRPr="001A1058" w:rsidRDefault="00A86DFD">
            <w:pPr>
              <w:pStyle w:val="051Tabletext2210pt"/>
              <w:rPr>
                <w:sz w:val="18"/>
                <w:szCs w:val="18"/>
                <w:vertAlign w:val="superscript"/>
              </w:rPr>
            </w:pPr>
            <w:proofErr w:type="spellStart"/>
            <w:r w:rsidRPr="001A1058">
              <w:rPr>
                <w:sz w:val="18"/>
                <w:szCs w:val="18"/>
              </w:rPr>
              <w:t>low</w:t>
            </w:r>
            <w:r>
              <w:rPr>
                <w:sz w:val="18"/>
                <w:szCs w:val="18"/>
                <w:vertAlign w:val="superscript"/>
              </w:rPr>
              <w:t>b</w:t>
            </w:r>
            <w:proofErr w:type="spellEnd"/>
          </w:p>
        </w:tc>
        <w:tc>
          <w:tcPr>
            <w:tcW w:w="1842" w:type="dxa"/>
            <w:gridSpan w:val="2"/>
            <w:tcBorders>
              <w:top w:val="dotted" w:sz="4" w:space="0" w:color="auto"/>
              <w:bottom w:val="single" w:sz="4" w:space="0" w:color="auto"/>
            </w:tcBorders>
          </w:tcPr>
          <w:p w14:paraId="339BF6A7" w14:textId="77777777" w:rsidR="00901265" w:rsidRPr="001A1058" w:rsidRDefault="00901265">
            <w:pPr>
              <w:pStyle w:val="051Tabletext2210pt"/>
              <w:rPr>
                <w:sz w:val="18"/>
                <w:szCs w:val="18"/>
              </w:rPr>
            </w:pPr>
            <w:r w:rsidRPr="001A1058">
              <w:rPr>
                <w:sz w:val="18"/>
                <w:szCs w:val="18"/>
              </w:rPr>
              <w:t>No effect</w:t>
            </w:r>
          </w:p>
        </w:tc>
        <w:tc>
          <w:tcPr>
            <w:tcW w:w="1700" w:type="dxa"/>
            <w:gridSpan w:val="3"/>
            <w:tcBorders>
              <w:top w:val="dotted" w:sz="4" w:space="0" w:color="auto"/>
              <w:bottom w:val="single" w:sz="4" w:space="0" w:color="auto"/>
            </w:tcBorders>
          </w:tcPr>
          <w:p w14:paraId="01523DB0" w14:textId="77777777" w:rsidR="00901265" w:rsidRPr="001A1058" w:rsidRDefault="00901265">
            <w:pPr>
              <w:pStyle w:val="051Tabletext2210pt"/>
              <w:rPr>
                <w:sz w:val="18"/>
                <w:szCs w:val="18"/>
              </w:rPr>
            </w:pPr>
            <w:r w:rsidRPr="001A1058">
              <w:rPr>
                <w:sz w:val="18"/>
                <w:szCs w:val="18"/>
              </w:rPr>
              <w:t>No difference</w:t>
            </w:r>
          </w:p>
        </w:tc>
      </w:tr>
    </w:tbl>
    <w:p w14:paraId="5726C608" w14:textId="77777777" w:rsidR="00901265" w:rsidRDefault="00901265" w:rsidP="00901265">
      <w:pPr>
        <w:pStyle w:val="101Tablefootnotes8pt"/>
      </w:pPr>
      <w:r>
        <w:t>Source: based on data from O’Connell (2021) Cochrane review</w:t>
      </w:r>
    </w:p>
    <w:p w14:paraId="0587FE45" w14:textId="77777777" w:rsidR="00901265" w:rsidRDefault="00901265" w:rsidP="00901265">
      <w:pPr>
        <w:pStyle w:val="111Tablefootnoteslast-nostick8pt"/>
        <w:spacing w:after="0"/>
      </w:pPr>
      <w:r w:rsidRPr="00D05DB6">
        <w:t xml:space="preserve">Abbreviations: AE, adverse event; </w:t>
      </w:r>
      <w:proofErr w:type="spellStart"/>
      <w:r>
        <w:t>HRQoL</w:t>
      </w:r>
      <w:proofErr w:type="spellEnd"/>
      <w:r>
        <w:t xml:space="preserve">, health-related quality of life; MM, medical </w:t>
      </w:r>
      <w:r w:rsidRPr="005A0614">
        <w:rPr>
          <w:rStyle w:val="101Tablefootnotes8ptChar"/>
        </w:rPr>
        <w:t>management; N, population; NR, not reported; RCT, randomi</w:t>
      </w:r>
      <w:r>
        <w:rPr>
          <w:rStyle w:val="101Tablefootnotes8ptChar"/>
        </w:rPr>
        <w:t>s</w:t>
      </w:r>
      <w:r w:rsidRPr="005A0614">
        <w:rPr>
          <w:rStyle w:val="101Tablefootnotes8ptChar"/>
        </w:rPr>
        <w:t>ed controlled trial; SCS, spinal cord stimulat</w:t>
      </w:r>
      <w:r>
        <w:rPr>
          <w:rStyle w:val="101Tablefootnotes8ptChar"/>
        </w:rPr>
        <w:t>ion</w:t>
      </w:r>
      <w:r w:rsidRPr="005A0614">
        <w:rPr>
          <w:rStyle w:val="101Tablefootnotes8ptChar"/>
        </w:rPr>
        <w:t>; VAS, visual analogue scale.</w:t>
      </w:r>
      <w:r>
        <w:t xml:space="preserve"> </w:t>
      </w:r>
    </w:p>
    <w:p w14:paraId="48A6FE38" w14:textId="16AA6D9B" w:rsidR="0067002E" w:rsidRDefault="0067002E" w:rsidP="0067002E">
      <w:pPr>
        <w:pStyle w:val="101Tablefootnotes8pt"/>
      </w:pPr>
      <w:r>
        <w:rPr>
          <w:b/>
          <w:bCs/>
        </w:rPr>
        <w:t xml:space="preserve">a </w:t>
      </w:r>
      <w:r>
        <w:t xml:space="preserve">Clinical importance is defined by a predetermined threshold of </w:t>
      </w:r>
      <w:r>
        <w:rPr>
          <w:rFonts w:cs="Calibri"/>
        </w:rPr>
        <w:t>≥</w:t>
      </w:r>
      <w:r>
        <w:t>10 points for pain intensity (derived from O’Connell 2021) and function (derived from Hara 2022).</w:t>
      </w:r>
    </w:p>
    <w:p w14:paraId="60E476FB" w14:textId="77777777" w:rsidR="00A86DFD" w:rsidRDefault="00A86DFD" w:rsidP="00182437">
      <w:pPr>
        <w:pStyle w:val="111Tablefootnoteslast-nostick8pt"/>
        <w:spacing w:after="0"/>
      </w:pPr>
      <w:r>
        <w:rPr>
          <w:b/>
          <w:bCs/>
        </w:rPr>
        <w:t>b</w:t>
      </w:r>
      <w:r>
        <w:t xml:space="preserve"> very low certainty of evidence on anticonvulsants, low for other medication types.</w:t>
      </w:r>
    </w:p>
    <w:p w14:paraId="2025E0B4" w14:textId="4CB8F44C" w:rsidR="00901265" w:rsidRDefault="00901265" w:rsidP="00182437">
      <w:pPr>
        <w:pStyle w:val="111Tablefootnoteslast-nostick8pt"/>
      </w:pPr>
      <w:r>
        <w:lastRenderedPageBreak/>
        <w:t xml:space="preserve">Key: </w:t>
      </w:r>
      <w:r w:rsidRPr="002A6A9E">
        <w:rPr>
          <w:rStyle w:val="101Tablefootnotes8ptChar"/>
        </w:rPr>
        <w:t xml:space="preserve">orange = very low quality evidence; yellow = low quality evidence; blue = moderate quality evidence; green = </w:t>
      </w:r>
      <w:proofErr w:type="spellStart"/>
      <w:r w:rsidRPr="002A6A9E">
        <w:rPr>
          <w:rStyle w:val="101Tablefootnotes8ptChar"/>
        </w:rPr>
        <w:t>favours</w:t>
      </w:r>
      <w:proofErr w:type="spellEnd"/>
      <w:r w:rsidRPr="002A6A9E">
        <w:rPr>
          <w:rStyle w:val="101Tablefootnotes8ptChar"/>
        </w:rPr>
        <w:t xml:space="preserve"> intervention</w:t>
      </w:r>
      <w:r>
        <w:rPr>
          <w:rStyle w:val="101Tablefootnotes8ptChar"/>
        </w:rPr>
        <w:t xml:space="preserve">; pink = </w:t>
      </w:r>
      <w:proofErr w:type="spellStart"/>
      <w:r>
        <w:rPr>
          <w:rStyle w:val="101Tablefootnotes8ptChar"/>
        </w:rPr>
        <w:t>favours</w:t>
      </w:r>
      <w:proofErr w:type="spellEnd"/>
      <w:r>
        <w:rPr>
          <w:rStyle w:val="101Tablefootnotes8ptChar"/>
        </w:rPr>
        <w:t xml:space="preserve"> comparator</w:t>
      </w:r>
      <w:r w:rsidRPr="002A6A9E">
        <w:rPr>
          <w:rStyle w:val="101Tablefootnotes8ptChar"/>
        </w:rPr>
        <w:t>.</w:t>
      </w:r>
      <w:r w:rsidRPr="008B41C5">
        <w:t xml:space="preserve"> </w:t>
      </w:r>
      <w:r>
        <w:br/>
        <w:t>(M) = medium</w:t>
      </w:r>
      <w:r w:rsidR="008361EE">
        <w:t>-</w:t>
      </w:r>
      <w:r>
        <w:t xml:space="preserve">term outcomes </w:t>
      </w:r>
      <w:r>
        <w:rPr>
          <w:rFonts w:cs="Calibri"/>
        </w:rPr>
        <w:t>≥</w:t>
      </w:r>
      <w:r>
        <w:t xml:space="preserve"> 3 months to &lt;12 months; (L) = long</w:t>
      </w:r>
      <w:r w:rsidR="00343C1A">
        <w:t>-</w:t>
      </w:r>
      <w:r>
        <w:t xml:space="preserve">term outcomes </w:t>
      </w:r>
      <w:r w:rsidRPr="005E071F">
        <w:t>≥ 12 months</w:t>
      </w:r>
      <w:r>
        <w:t>.</w:t>
      </w:r>
    </w:p>
    <w:p w14:paraId="1A3F6D13" w14:textId="44615D82" w:rsidR="009D7FAA" w:rsidRDefault="004A68D5" w:rsidP="004A68D5">
      <w:pPr>
        <w:pStyle w:val="BodyText"/>
        <w:rPr>
          <w:lang w:val="en-US"/>
        </w:rPr>
      </w:pPr>
      <w:r>
        <w:rPr>
          <w:lang w:val="en-US"/>
        </w:rPr>
        <w:t>The two Cochrane reviews conclude that SCS may not be beneficial in their respective populations.</w:t>
      </w:r>
      <w:r w:rsidR="00A027CD" w:rsidRPr="00A027CD">
        <w:rPr>
          <w:lang w:val="en-US"/>
        </w:rPr>
        <w:t xml:space="preserve"> </w:t>
      </w:r>
      <w:r w:rsidR="00A027CD">
        <w:rPr>
          <w:lang w:val="en-US"/>
        </w:rPr>
        <w:t>Whil</w:t>
      </w:r>
      <w:r w:rsidR="005C6BE9">
        <w:rPr>
          <w:lang w:val="en-US"/>
        </w:rPr>
        <w:t>st</w:t>
      </w:r>
      <w:r w:rsidR="00A027CD">
        <w:rPr>
          <w:lang w:val="en-US"/>
        </w:rPr>
        <w:t xml:space="preserve"> open-label comparisons to </w:t>
      </w:r>
      <w:r w:rsidR="008D026A">
        <w:rPr>
          <w:lang w:val="en-US"/>
        </w:rPr>
        <w:t>conventional medical management (</w:t>
      </w:r>
      <w:r w:rsidR="007C70CF">
        <w:rPr>
          <w:lang w:val="en-US"/>
        </w:rPr>
        <w:t>CMM</w:t>
      </w:r>
      <w:r w:rsidR="008D026A">
        <w:rPr>
          <w:lang w:val="en-US"/>
        </w:rPr>
        <w:t xml:space="preserve">) </w:t>
      </w:r>
      <w:r w:rsidR="00A027CD">
        <w:rPr>
          <w:lang w:val="en-US"/>
        </w:rPr>
        <w:t>demonstrated large, clinically significant effects</w:t>
      </w:r>
      <w:r w:rsidR="005D2E9F">
        <w:rPr>
          <w:lang w:val="en-US"/>
        </w:rPr>
        <w:t>,</w:t>
      </w:r>
      <w:r w:rsidR="00E5392F" w:rsidRPr="00E5392F">
        <w:rPr>
          <w:lang w:val="en-US"/>
        </w:rPr>
        <w:t xml:space="preserve"> </w:t>
      </w:r>
      <w:r w:rsidR="00E5392F">
        <w:rPr>
          <w:lang w:val="en-US"/>
        </w:rPr>
        <w:t>sham-controlled studies reported only small, possibly clinically insignificant effects; where analyses were restricted to studies that were adequately blinded, there was no evidence for a treatment effect.</w:t>
      </w:r>
      <w:r w:rsidR="00203D18">
        <w:rPr>
          <w:lang w:val="en-US"/>
        </w:rPr>
        <w:t xml:space="preserve"> This is despite the </w:t>
      </w:r>
      <w:r w:rsidR="005B0CC1">
        <w:rPr>
          <w:lang w:val="en-US"/>
        </w:rPr>
        <w:t xml:space="preserve">high risk of bias </w:t>
      </w:r>
      <w:r w:rsidR="00611637">
        <w:rPr>
          <w:lang w:val="en-US"/>
        </w:rPr>
        <w:t xml:space="preserve">in the </w:t>
      </w:r>
      <w:r w:rsidR="00945830">
        <w:rPr>
          <w:lang w:val="en-US"/>
        </w:rPr>
        <w:t>sham-controlled</w:t>
      </w:r>
      <w:r w:rsidR="00611637">
        <w:rPr>
          <w:lang w:val="en-US"/>
        </w:rPr>
        <w:t xml:space="preserve"> studies </w:t>
      </w:r>
      <w:r w:rsidR="00D03EDC">
        <w:rPr>
          <w:lang w:val="en-US"/>
        </w:rPr>
        <w:t xml:space="preserve">including </w:t>
      </w:r>
      <w:r w:rsidR="003C18C2">
        <w:rPr>
          <w:lang w:val="en-US"/>
        </w:rPr>
        <w:t>short</w:t>
      </w:r>
      <w:r w:rsidR="00EF10B9">
        <w:rPr>
          <w:lang w:val="en-US"/>
        </w:rPr>
        <w:t>-</w:t>
      </w:r>
      <w:r w:rsidR="003C18C2">
        <w:rPr>
          <w:lang w:val="en-US"/>
        </w:rPr>
        <w:t xml:space="preserve">term duration, </w:t>
      </w:r>
      <w:r w:rsidR="004730B8">
        <w:rPr>
          <w:lang w:val="en-US"/>
        </w:rPr>
        <w:t>lack of washout periods, per-protocol analyses</w:t>
      </w:r>
      <w:r w:rsidR="00D76031">
        <w:rPr>
          <w:lang w:val="en-US"/>
        </w:rPr>
        <w:t xml:space="preserve"> and lack of formal assessment of blinding success. </w:t>
      </w:r>
      <w:r w:rsidR="009E5E8B">
        <w:rPr>
          <w:lang w:val="en-US"/>
        </w:rPr>
        <w:t>The authors</w:t>
      </w:r>
      <w:r w:rsidR="00F4055A">
        <w:rPr>
          <w:lang w:val="en-US"/>
        </w:rPr>
        <w:t xml:space="preserve"> propose that the large effects</w:t>
      </w:r>
      <w:r w:rsidR="00282BE1">
        <w:rPr>
          <w:lang w:val="en-US"/>
        </w:rPr>
        <w:t xml:space="preserve"> in the open-label studies may be explained by </w:t>
      </w:r>
      <w:r w:rsidR="001C36C3">
        <w:rPr>
          <w:lang w:val="en-US"/>
        </w:rPr>
        <w:t xml:space="preserve">contextual (placebo) </w:t>
      </w:r>
      <w:r w:rsidR="00197D4E">
        <w:rPr>
          <w:lang w:val="en-US"/>
        </w:rPr>
        <w:t xml:space="preserve">effects. </w:t>
      </w:r>
    </w:p>
    <w:p w14:paraId="6D49863C" w14:textId="33793D5F" w:rsidR="00197D4E" w:rsidRDefault="00F95AA0" w:rsidP="004A68D5">
      <w:pPr>
        <w:pStyle w:val="BodyText"/>
        <w:rPr>
          <w:lang w:val="en-US"/>
        </w:rPr>
      </w:pPr>
      <w:r>
        <w:rPr>
          <w:lang w:val="en-US"/>
        </w:rPr>
        <w:t>A key difference between the two Cochrane reviews is the inclusion of the Hara (2022) study, which was published after the O’Connell (2021) review but is included in Traeger (2023). Hara (2022) is a cross-over RCT comparing burst SCS with placebo (sham) SCS in 50 patients with chronic radicular pain. Participants underwent two three-month periods with each condition and therefore it is the only study that provides medium-term outcomes for the placebo comparator. The study reported no significant differences between SCS and placebo for any outcomes</w:t>
      </w:r>
      <w:r w:rsidR="005176E8">
        <w:rPr>
          <w:lang w:val="en-US"/>
        </w:rPr>
        <w:t xml:space="preserve"> (SCS versus placebo in </w:t>
      </w:r>
      <w:r w:rsidR="005176E8">
        <w:rPr>
          <w:lang w:val="en-US"/>
        </w:rPr>
        <w:fldChar w:fldCharType="begin"/>
      </w:r>
      <w:r w:rsidR="005176E8">
        <w:rPr>
          <w:lang w:val="en-US"/>
        </w:rPr>
        <w:instrText xml:space="preserve"> REF _Ref135126470 \h </w:instrText>
      </w:r>
      <w:r w:rsidR="005176E8">
        <w:rPr>
          <w:lang w:val="en-US"/>
        </w:rPr>
      </w:r>
      <w:r w:rsidR="005176E8">
        <w:rPr>
          <w:lang w:val="en-US"/>
        </w:rPr>
        <w:fldChar w:fldCharType="separate"/>
      </w:r>
      <w:r w:rsidR="00CE6ACA">
        <w:t xml:space="preserve">Table ES </w:t>
      </w:r>
      <w:r w:rsidR="00CE6ACA">
        <w:rPr>
          <w:noProof/>
        </w:rPr>
        <w:t>1</w:t>
      </w:r>
      <w:r w:rsidR="005176E8">
        <w:rPr>
          <w:lang w:val="en-US"/>
        </w:rPr>
        <w:fldChar w:fldCharType="end"/>
      </w:r>
      <w:r w:rsidR="005176E8">
        <w:rPr>
          <w:lang w:val="en-US"/>
        </w:rPr>
        <w:t>)</w:t>
      </w:r>
      <w:r w:rsidR="00CF20A6">
        <w:rPr>
          <w:lang w:val="en-US"/>
        </w:rPr>
        <w:t>.</w:t>
      </w:r>
    </w:p>
    <w:p w14:paraId="4EB8B8AE" w14:textId="42D6A129" w:rsidR="00CF20A6" w:rsidRDefault="000F516E" w:rsidP="004A68D5">
      <w:pPr>
        <w:pStyle w:val="BodyText"/>
        <w:rPr>
          <w:rFonts w:cs="Calibri"/>
          <w:lang w:val="en-US"/>
        </w:rPr>
      </w:pPr>
      <w:r>
        <w:rPr>
          <w:lang w:val="en-US"/>
        </w:rPr>
        <w:t xml:space="preserve">Although a number of concerns have been raised regarding the </w:t>
      </w:r>
      <w:r w:rsidR="009C62FF">
        <w:rPr>
          <w:lang w:val="en-US"/>
        </w:rPr>
        <w:t xml:space="preserve">conduct of this trial, the key issue </w:t>
      </w:r>
      <w:r w:rsidR="006362D1">
        <w:rPr>
          <w:lang w:val="en-US"/>
        </w:rPr>
        <w:t>is the validity of the SCS as applied in the active stimulation arm of the trial. The authors label this stimulation ‘burst’</w:t>
      </w:r>
      <w:r w:rsidR="00427A2E">
        <w:rPr>
          <w:lang w:val="en-US"/>
        </w:rPr>
        <w:t>;</w:t>
      </w:r>
      <w:r w:rsidR="002E0EC4">
        <w:rPr>
          <w:lang w:val="en-US"/>
        </w:rPr>
        <w:t xml:space="preserve"> however</w:t>
      </w:r>
      <w:r w:rsidR="00427A2E">
        <w:rPr>
          <w:lang w:val="en-US"/>
        </w:rPr>
        <w:t>,</w:t>
      </w:r>
      <w:r w:rsidR="002E0EC4">
        <w:rPr>
          <w:lang w:val="en-US"/>
        </w:rPr>
        <w:t xml:space="preserve"> it differs from </w:t>
      </w:r>
      <w:proofErr w:type="spellStart"/>
      <w:r w:rsidR="002E0EC4" w:rsidRPr="008A67AB">
        <w:rPr>
          <w:lang w:val="en-US"/>
        </w:rPr>
        <w:t>BurstDR</w:t>
      </w:r>
      <w:r w:rsidR="002E0EC4" w:rsidRPr="008A67AB">
        <w:rPr>
          <w:vertAlign w:val="superscript"/>
          <w:lang w:val="en-US"/>
        </w:rPr>
        <w:t>TM</w:t>
      </w:r>
      <w:proofErr w:type="spellEnd"/>
      <w:r w:rsidR="002E0EC4" w:rsidRPr="008A67AB">
        <w:rPr>
          <w:lang w:val="en-US"/>
        </w:rPr>
        <w:t xml:space="preserve"> stimulation</w:t>
      </w:r>
      <w:r w:rsidR="00427A2E">
        <w:rPr>
          <w:lang w:val="en-US"/>
        </w:rPr>
        <w:t>,</w:t>
      </w:r>
      <w:r w:rsidR="002E0EC4" w:rsidRPr="002E0EC4">
        <w:rPr>
          <w:lang w:val="en-US"/>
        </w:rPr>
        <w:t xml:space="preserve"> </w:t>
      </w:r>
      <w:r w:rsidR="002E0EC4">
        <w:rPr>
          <w:lang w:val="en-US"/>
        </w:rPr>
        <w:t>raising concerns that the trial was a ‘placebo versus placebo’ trial.</w:t>
      </w:r>
      <w:r w:rsidR="0059086A">
        <w:rPr>
          <w:lang w:val="en-US"/>
        </w:rPr>
        <w:t xml:space="preserve"> Th</w:t>
      </w:r>
      <w:r w:rsidR="00A528F4">
        <w:rPr>
          <w:lang w:val="en-US"/>
        </w:rPr>
        <w:t>e stimulation parameters tested,</w:t>
      </w:r>
      <w:r w:rsidR="0059086A">
        <w:rPr>
          <w:lang w:val="en-US"/>
        </w:rPr>
        <w:t xml:space="preserve"> </w:t>
      </w:r>
      <w:r w:rsidR="00D938D7">
        <w:rPr>
          <w:lang w:val="en-US"/>
        </w:rPr>
        <w:t xml:space="preserve">and the </w:t>
      </w:r>
      <w:r w:rsidR="00D938D7">
        <w:rPr>
          <w:rFonts w:cs="Calibri"/>
          <w:lang w:val="en-US"/>
        </w:rPr>
        <w:t>prohibition on any change to the parameters during treatment to preserve blinding (which differs to clinical practice)</w:t>
      </w:r>
      <w:r w:rsidR="00A1524D">
        <w:rPr>
          <w:rFonts w:cs="Calibri"/>
          <w:lang w:val="en-US"/>
        </w:rPr>
        <w:t>, limit</w:t>
      </w:r>
      <w:r w:rsidR="00F24676">
        <w:rPr>
          <w:rFonts w:cs="Calibri"/>
          <w:lang w:val="en-US"/>
        </w:rPr>
        <w:t>s</w:t>
      </w:r>
      <w:r w:rsidR="00A1524D">
        <w:rPr>
          <w:rFonts w:cs="Calibri"/>
          <w:lang w:val="en-US"/>
        </w:rPr>
        <w:t xml:space="preserve"> the applicability of the trial</w:t>
      </w:r>
      <w:r w:rsidR="00AF141F">
        <w:rPr>
          <w:rFonts w:cs="Calibri"/>
          <w:lang w:val="en-US"/>
        </w:rPr>
        <w:t>, however it remains the strongest methodological design of the included trials</w:t>
      </w:r>
      <w:r w:rsidR="00D938D7">
        <w:rPr>
          <w:rFonts w:cs="Calibri"/>
          <w:lang w:val="en-US"/>
        </w:rPr>
        <w:t>.</w:t>
      </w:r>
    </w:p>
    <w:p w14:paraId="497BEF13" w14:textId="3B3B7822" w:rsidR="002A33BB" w:rsidRDefault="00A63F2D" w:rsidP="004A68D5">
      <w:pPr>
        <w:pStyle w:val="BodyText"/>
        <w:rPr>
          <w:lang w:val="en-US"/>
        </w:rPr>
      </w:pPr>
      <w:r>
        <w:rPr>
          <w:rFonts w:cs="Calibri"/>
          <w:lang w:val="en-US"/>
        </w:rPr>
        <w:t>Cochrane reviews ha</w:t>
      </w:r>
      <w:r w:rsidR="00085D4A">
        <w:rPr>
          <w:rFonts w:cs="Calibri"/>
          <w:lang w:val="en-US"/>
        </w:rPr>
        <w:t>ve</w:t>
      </w:r>
      <w:r>
        <w:rPr>
          <w:rFonts w:cs="Calibri"/>
          <w:lang w:val="en-US"/>
        </w:rPr>
        <w:t xml:space="preserve"> narrow inclusion criteria </w:t>
      </w:r>
      <w:r w:rsidR="00085D4A">
        <w:rPr>
          <w:rFonts w:cs="Calibri"/>
          <w:lang w:val="en-US"/>
        </w:rPr>
        <w:t>and may have</w:t>
      </w:r>
      <w:r>
        <w:rPr>
          <w:rFonts w:cs="Calibri"/>
          <w:lang w:val="en-US"/>
        </w:rPr>
        <w:t xml:space="preserve"> omitted a much larger volume of relevant evidence</w:t>
      </w:r>
      <w:r w:rsidR="00085D4A">
        <w:rPr>
          <w:rFonts w:cs="Calibri"/>
          <w:lang w:val="en-US"/>
        </w:rPr>
        <w:t xml:space="preserve">. </w:t>
      </w:r>
      <w:r w:rsidR="002A33BB">
        <w:rPr>
          <w:lang w:val="en-US"/>
        </w:rPr>
        <w:t>Therefore, a</w:t>
      </w:r>
      <w:r w:rsidR="00BC39EC">
        <w:rPr>
          <w:lang w:val="en-US"/>
        </w:rPr>
        <w:t>ll evidence provided by sponsors and stakeholders, together with evidence excluded from the Cochrane reviews, was collated for this</w:t>
      </w:r>
      <w:r w:rsidR="00673888">
        <w:rPr>
          <w:lang w:val="en-US"/>
        </w:rPr>
        <w:t xml:space="preserve"> post-listing review</w:t>
      </w:r>
      <w:r w:rsidR="00BC39EC">
        <w:rPr>
          <w:lang w:val="en-US"/>
        </w:rPr>
        <w:t xml:space="preserve"> </w:t>
      </w:r>
      <w:r w:rsidR="00673888">
        <w:rPr>
          <w:lang w:val="en-US"/>
        </w:rPr>
        <w:t>(</w:t>
      </w:r>
      <w:r w:rsidR="00BC39EC">
        <w:rPr>
          <w:lang w:val="en-US"/>
        </w:rPr>
        <w:t>PLR</w:t>
      </w:r>
      <w:r w:rsidR="00673888">
        <w:rPr>
          <w:lang w:val="en-US"/>
        </w:rPr>
        <w:t>)</w:t>
      </w:r>
      <w:r w:rsidR="002A33BB">
        <w:rPr>
          <w:lang w:val="en-US"/>
        </w:rPr>
        <w:t xml:space="preserve"> and additional RCT</w:t>
      </w:r>
      <w:r w:rsidR="008E7693">
        <w:rPr>
          <w:lang w:val="en-US"/>
        </w:rPr>
        <w:t>s</w:t>
      </w:r>
      <w:r w:rsidR="002A33BB">
        <w:rPr>
          <w:lang w:val="en-US"/>
        </w:rPr>
        <w:t xml:space="preserve"> and </w:t>
      </w:r>
      <w:r w:rsidR="002A33BB">
        <w:rPr>
          <w:rFonts w:cs="Calibri"/>
          <w:lang w:val="en-US"/>
        </w:rPr>
        <w:t>appropriately adjusted comparative observational studies were considered as supplementary evidence</w:t>
      </w:r>
      <w:r w:rsidR="00BC39EC">
        <w:rPr>
          <w:lang w:val="en-US"/>
        </w:rPr>
        <w:t xml:space="preserve">. </w:t>
      </w:r>
    </w:p>
    <w:p w14:paraId="4207F312" w14:textId="3EF16E06" w:rsidR="00B50486" w:rsidRDefault="00BC39EC" w:rsidP="00B50486">
      <w:pPr>
        <w:pStyle w:val="BodyText"/>
        <w:rPr>
          <w:lang w:val="en-US"/>
        </w:rPr>
      </w:pPr>
      <w:r>
        <w:rPr>
          <w:lang w:val="en-US"/>
        </w:rPr>
        <w:t>Nine additional RCTs were considered as they provided at least medium-term follow-up (three months or more) and reported a measure of pain intensity.</w:t>
      </w:r>
      <w:r w:rsidR="00B50486">
        <w:rPr>
          <w:lang w:val="en-US"/>
        </w:rPr>
        <w:t xml:space="preserve"> Although small differences in pain outcomes were found for some trials, all </w:t>
      </w:r>
      <w:proofErr w:type="spellStart"/>
      <w:r w:rsidR="00B50486">
        <w:rPr>
          <w:lang w:val="en-US"/>
        </w:rPr>
        <w:t>favouring</w:t>
      </w:r>
      <w:proofErr w:type="spellEnd"/>
      <w:r w:rsidR="00B50486">
        <w:rPr>
          <w:lang w:val="en-US"/>
        </w:rPr>
        <w:t xml:space="preserve"> the intervention, many reported no difference. Two of the nine trials stated they were blinded, one of which reported no difference between multicolumn SCS programming and conventional SCS in patients with </w:t>
      </w:r>
      <w:r w:rsidR="0079741C">
        <w:rPr>
          <w:lang w:val="en-US"/>
        </w:rPr>
        <w:t>failed back surgery syndrome (</w:t>
      </w:r>
      <w:r w:rsidR="00B50486">
        <w:rPr>
          <w:lang w:val="en-US"/>
        </w:rPr>
        <w:t>FBSS</w:t>
      </w:r>
      <w:r w:rsidR="0079741C">
        <w:rPr>
          <w:lang w:val="en-US"/>
        </w:rPr>
        <w:t>)</w:t>
      </w:r>
      <w:r w:rsidR="00B50486">
        <w:rPr>
          <w:lang w:val="en-US"/>
        </w:rPr>
        <w:t xml:space="preserve"> </w:t>
      </w:r>
      <w:r w:rsidR="00B50486" w:rsidRPr="006F4494">
        <w:rPr>
          <w:lang w:val="en-US"/>
        </w:rPr>
        <w:t>(</w:t>
      </w:r>
      <w:r w:rsidR="00B50486">
        <w:rPr>
          <w:lang w:val="en-US"/>
        </w:rPr>
        <w:t>ESTIMET</w:t>
      </w:r>
      <w:r w:rsidR="00B50486" w:rsidRPr="006F4494">
        <w:rPr>
          <w:lang w:val="en-US"/>
        </w:rPr>
        <w:t>)</w:t>
      </w:r>
      <w:r w:rsidR="00B50486">
        <w:rPr>
          <w:lang w:val="en-US"/>
        </w:rPr>
        <w:t>. The second blinded RCT (EVOKE), which was in patients with chronic intractable pain of the back and legs, reported a difference in favour of closed</w:t>
      </w:r>
      <w:r w:rsidR="009C7EEC">
        <w:rPr>
          <w:lang w:val="en-US"/>
        </w:rPr>
        <w:t>-</w:t>
      </w:r>
      <w:r w:rsidR="00B50486">
        <w:rPr>
          <w:lang w:val="en-US"/>
        </w:rPr>
        <w:t xml:space="preserve">loop SCS in responder analysis </w:t>
      </w:r>
      <w:r w:rsidR="005B1D02">
        <w:rPr>
          <w:lang w:val="en-US"/>
        </w:rPr>
        <w:t xml:space="preserve">and </w:t>
      </w:r>
      <w:r w:rsidR="00B50486">
        <w:rPr>
          <w:lang w:val="en-US"/>
        </w:rPr>
        <w:t xml:space="preserve">mean change in pain intensity. Although these trials demonstrate a significant reduction in pain intensity between baseline and follow-up across both arms, the blinding within them is to the intervention and not to the use of SCS; therefore, this does not add confidence regarding overall clinical effectiveness of SCS compared to standard (non-SCS) treatment. </w:t>
      </w:r>
    </w:p>
    <w:p w14:paraId="6F831E97" w14:textId="2B7EF024" w:rsidR="00A63F2D" w:rsidRDefault="00B50486" w:rsidP="00B50486">
      <w:pPr>
        <w:pStyle w:val="BodyText"/>
      </w:pPr>
      <w:r>
        <w:rPr>
          <w:lang w:val="en-US"/>
        </w:rPr>
        <w:t xml:space="preserve">DRGS stimulation is in scope of this </w:t>
      </w:r>
      <w:r w:rsidR="0050190E">
        <w:rPr>
          <w:lang w:val="en-US"/>
        </w:rPr>
        <w:t xml:space="preserve">PLR </w:t>
      </w:r>
      <w:r>
        <w:rPr>
          <w:lang w:val="en-US"/>
        </w:rPr>
        <w:t xml:space="preserve">and was in scope for O’Connell (2021), although no studies of this stimulation type met their inclusion criteria. Therefore, the ACCURATE RCT (Deer 2017) is the best available evidence on these devices. The ACCURATE study demonstrated that DRGS may be more </w:t>
      </w:r>
      <w:proofErr w:type="spellStart"/>
      <w:r>
        <w:rPr>
          <w:lang w:val="en-US"/>
        </w:rPr>
        <w:t>favourable</w:t>
      </w:r>
      <w:proofErr w:type="spellEnd"/>
      <w:r>
        <w:rPr>
          <w:lang w:val="en-US"/>
        </w:rPr>
        <w:t xml:space="preserve"> than SCS for pain outcomes in patients with</w:t>
      </w:r>
      <w:r w:rsidR="00D13A97">
        <w:rPr>
          <w:lang w:val="en-US"/>
        </w:rPr>
        <w:t xml:space="preserve"> complex regional pain syndrome</w:t>
      </w:r>
      <w:r>
        <w:rPr>
          <w:lang w:val="en-US"/>
        </w:rPr>
        <w:t xml:space="preserve"> </w:t>
      </w:r>
      <w:r w:rsidR="00D13A97">
        <w:rPr>
          <w:lang w:val="en-US"/>
        </w:rPr>
        <w:t>(</w:t>
      </w:r>
      <w:r>
        <w:rPr>
          <w:lang w:val="en-US"/>
        </w:rPr>
        <w:t>CRPS</w:t>
      </w:r>
      <w:r w:rsidR="00D13A97" w:rsidRPr="00E04B8C">
        <w:rPr>
          <w:lang w:val="en-US"/>
        </w:rPr>
        <w:t>)</w:t>
      </w:r>
      <w:r w:rsidRPr="00E04B8C">
        <w:t>.</w:t>
      </w:r>
    </w:p>
    <w:p w14:paraId="4926D636" w14:textId="7AD51FE0" w:rsidR="000E4CDB" w:rsidRDefault="000E4CDB" w:rsidP="00B50486">
      <w:pPr>
        <w:pStyle w:val="BodyText"/>
      </w:pPr>
      <w:r>
        <w:rPr>
          <w:lang w:val="en-US"/>
        </w:rPr>
        <w:t>Two large</w:t>
      </w:r>
      <w:r w:rsidR="00E04B8C">
        <w:rPr>
          <w:lang w:val="en-US"/>
        </w:rPr>
        <w:t>,</w:t>
      </w:r>
      <w:r w:rsidR="00085C86">
        <w:rPr>
          <w:lang w:val="en-US"/>
        </w:rPr>
        <w:t xml:space="preserve"> appropriately adjusted</w:t>
      </w:r>
      <w:r w:rsidR="00E04B8C">
        <w:rPr>
          <w:lang w:val="en-US"/>
        </w:rPr>
        <w:t>,</w:t>
      </w:r>
      <w:r w:rsidR="00085C86">
        <w:rPr>
          <w:lang w:val="en-US"/>
        </w:rPr>
        <w:t xml:space="preserve"> non-randomised studies were </w:t>
      </w:r>
      <w:r w:rsidR="00245DA9">
        <w:rPr>
          <w:lang w:val="en-US"/>
        </w:rPr>
        <w:t>identified from sponsor and stakeholder submissions. Both were</w:t>
      </w:r>
      <w:r>
        <w:rPr>
          <w:lang w:val="en-US"/>
        </w:rPr>
        <w:t xml:space="preserve"> registry studies (Dhruva, 2023; Vu, 2022) </w:t>
      </w:r>
      <w:r w:rsidR="008B5D75">
        <w:rPr>
          <w:lang w:val="en-US"/>
        </w:rPr>
        <w:t xml:space="preserve">that </w:t>
      </w:r>
      <w:r>
        <w:rPr>
          <w:lang w:val="en-US"/>
        </w:rPr>
        <w:t>reported minimal differences in opioid consumption between large propensity matched cohorts (SCS compared to no SCS), none of which were considered clinically significant. Rates of implant removal or revision were 22.1% in Dhruva (2023).</w:t>
      </w:r>
      <w:r w:rsidR="008A1711" w:rsidRPr="008A1711">
        <w:t xml:space="preserve"> </w:t>
      </w:r>
      <w:r w:rsidR="008A1711">
        <w:t>A major criticism of these studies is that patients in the SCS group are, by definition, further along in the treatment algorithm than the</w:t>
      </w:r>
      <w:r w:rsidR="008D026A">
        <w:t xml:space="preserve"> CMM</w:t>
      </w:r>
      <w:r w:rsidR="008A1711">
        <w:t xml:space="preserve"> patients, since they have failed CMM prior to qualifying for SCS.</w:t>
      </w:r>
    </w:p>
    <w:p w14:paraId="7FFE0389" w14:textId="414BFDA2" w:rsidR="008A1711" w:rsidRDefault="008A1711" w:rsidP="00B50486">
      <w:pPr>
        <w:pStyle w:val="BodyText"/>
      </w:pPr>
      <w:r>
        <w:lastRenderedPageBreak/>
        <w:t xml:space="preserve">For many clinical questions, propensity matched cohorts derived from large registry databases can provide powerful insights. However, the lengthy, multi-stepped nature of the clinical management pathway for chronic pain may not lend itself well to registry database analyses, which tend to lack granularity and specificity. However, if propensity matched cohorts are considered inadequate, then appropriate RCTs of high methodology quality will be even more vital to understanding the comparative effectiveness of SCS devices.  </w:t>
      </w:r>
    </w:p>
    <w:p w14:paraId="1764BB77" w14:textId="167B7B8C" w:rsidR="00423E46" w:rsidRDefault="00C67BF8" w:rsidP="008831BB">
      <w:pPr>
        <w:pStyle w:val="ExecSumHeading3"/>
      </w:pPr>
      <w:r>
        <w:t xml:space="preserve">Clinical effectiveness </w:t>
      </w:r>
      <w:r w:rsidR="00423E46">
        <w:t>–</w:t>
      </w:r>
      <w:r>
        <w:t xml:space="preserve"> </w:t>
      </w:r>
      <w:r w:rsidR="00423E46">
        <w:t>ischaemic pain</w:t>
      </w:r>
    </w:p>
    <w:p w14:paraId="3108F760" w14:textId="22C78157" w:rsidR="00FB03FC" w:rsidRDefault="005E20AF" w:rsidP="00D41D76">
      <w:pPr>
        <w:pStyle w:val="BodyText"/>
      </w:pPr>
      <w:r>
        <w:t>The included Cochrane reviews (O’Connell 2021 and Traeger 2023) did not consider patients with ischaemic pain and</w:t>
      </w:r>
      <w:r w:rsidR="00EC3C80">
        <w:t xml:space="preserve"> no evidence </w:t>
      </w:r>
      <w:r w:rsidR="00B718F6">
        <w:t>for this indication was identified in the evidence scan or targeted consultation</w:t>
      </w:r>
      <w:r>
        <w:t xml:space="preserve">. Nevertheless, </w:t>
      </w:r>
      <w:r w:rsidR="000767D1">
        <w:t>some descriptors</w:t>
      </w:r>
      <w:r w:rsidR="00263B52">
        <w:t xml:space="preserve"> for</w:t>
      </w:r>
      <w:r>
        <w:t xml:space="preserve"> </w:t>
      </w:r>
      <w:r w:rsidR="009D2C4A">
        <w:t>Medica</w:t>
      </w:r>
      <w:r w:rsidR="000E4AA9">
        <w:t>re</w:t>
      </w:r>
      <w:r w:rsidR="009D2C4A">
        <w:t xml:space="preserve"> Benefits Schedule (</w:t>
      </w:r>
      <w:r>
        <w:t>MBS</w:t>
      </w:r>
      <w:r w:rsidR="009D2C4A">
        <w:t>)</w:t>
      </w:r>
      <w:r>
        <w:t xml:space="preserve"> items</w:t>
      </w:r>
      <w:r w:rsidR="00B718F6">
        <w:t xml:space="preserve"> </w:t>
      </w:r>
      <w:r w:rsidR="00C7795F">
        <w:t xml:space="preserve">relating to SCS </w:t>
      </w:r>
      <w:r w:rsidR="00917528">
        <w:t xml:space="preserve">implantation </w:t>
      </w:r>
      <w:r w:rsidR="00C7795F">
        <w:t xml:space="preserve">services </w:t>
      </w:r>
      <w:r w:rsidR="00B718F6">
        <w:t xml:space="preserve">refer to ‘pain from refractory angina pectoris’ and therefore </w:t>
      </w:r>
      <w:r w:rsidR="007F4514">
        <w:t xml:space="preserve">a </w:t>
      </w:r>
      <w:r w:rsidR="00D41D76">
        <w:t xml:space="preserve">NICE (2008) </w:t>
      </w:r>
      <w:r w:rsidR="000A4ED2">
        <w:t>SR</w:t>
      </w:r>
      <w:r w:rsidR="00D41D76">
        <w:t xml:space="preserve"> of SCS in people with ischaemic pain </w:t>
      </w:r>
      <w:r w:rsidR="007F4514">
        <w:t xml:space="preserve">was </w:t>
      </w:r>
      <w:r w:rsidR="00D41D76">
        <w:t>included</w:t>
      </w:r>
      <w:r w:rsidR="007F4514">
        <w:t>.</w:t>
      </w:r>
      <w:r w:rsidR="00D41D76">
        <w:t xml:space="preserve"> </w:t>
      </w:r>
    </w:p>
    <w:p w14:paraId="59556DD6" w14:textId="418DB610" w:rsidR="00D41D76" w:rsidRPr="00D41D76" w:rsidRDefault="00FB03FC" w:rsidP="00D41D76">
      <w:pPr>
        <w:pStyle w:val="BodyText"/>
      </w:pPr>
      <w:r>
        <w:t>The review included e</w:t>
      </w:r>
      <w:r w:rsidR="00D41D76">
        <w:t>ight RCT</w:t>
      </w:r>
      <w:r w:rsidR="00344D93">
        <w:t>s</w:t>
      </w:r>
      <w:r w:rsidR="00D41D76">
        <w:t xml:space="preserve"> (four for </w:t>
      </w:r>
      <w:r w:rsidR="00DD513F">
        <w:t xml:space="preserve">critical limb </w:t>
      </w:r>
      <w:proofErr w:type="spellStart"/>
      <w:r w:rsidR="00DD513F">
        <w:t>ischaemia</w:t>
      </w:r>
      <w:proofErr w:type="spellEnd"/>
      <w:r w:rsidR="00EE22D7">
        <w:t xml:space="preserve"> [CLI]</w:t>
      </w:r>
      <w:r w:rsidR="00D41D76">
        <w:t xml:space="preserve"> and four for angina). The findings were equivocal, and NICE did not recommend SCS for these indications.</w:t>
      </w:r>
    </w:p>
    <w:p w14:paraId="6CB6FED7" w14:textId="77777777" w:rsidR="00F75D41" w:rsidRDefault="00F75D41" w:rsidP="008831BB">
      <w:pPr>
        <w:pStyle w:val="ExecSumHeading3"/>
      </w:pPr>
      <w:r>
        <w:t>Cost-effectiveness</w:t>
      </w:r>
    </w:p>
    <w:p w14:paraId="6DF3F012" w14:textId="5AB9BAE6" w:rsidR="00DE3B5D" w:rsidRDefault="00DE3B5D" w:rsidP="00DE3B5D">
      <w:pPr>
        <w:pStyle w:val="BodyText"/>
      </w:pPr>
      <w:r>
        <w:t xml:space="preserve">The available evidence on the comparative cost-effectiveness of SCS was provided by a SR by </w:t>
      </w:r>
      <w:proofErr w:type="spellStart"/>
      <w:r>
        <w:t>Niyomsri</w:t>
      </w:r>
      <w:proofErr w:type="spellEnd"/>
      <w:r>
        <w:t xml:space="preserve"> (2020), with only a single additional study identified in the peer-reviewed literature (Rojo 2021). Across these studies, the findings demonstrate that although initial costs of SCS devices are high, studies with longer time horizons tend to report that SCS is cost</w:t>
      </w:r>
      <w:r w:rsidR="00F420B2">
        <w:t xml:space="preserve"> </w:t>
      </w:r>
      <w:r>
        <w:t xml:space="preserve">effective as the modelled improvement in health outcomes is extrapolated over this timeframe. </w:t>
      </w:r>
      <w:r w:rsidR="003E233E">
        <w:t>T</w:t>
      </w:r>
      <w:r>
        <w:t xml:space="preserve">he models were limited by a lack of long-term clinical data and missing follow-up costs.  </w:t>
      </w:r>
    </w:p>
    <w:p w14:paraId="10433935" w14:textId="01BCC5E0" w:rsidR="00F16D15" w:rsidRDefault="00DE3B5D" w:rsidP="00F16D15">
      <w:pPr>
        <w:pStyle w:val="BodyText"/>
      </w:pPr>
      <w:r>
        <w:t xml:space="preserve">An Australian cost-effectiveness study (commissioned by </w:t>
      </w:r>
      <w:r w:rsidR="007D4628">
        <w:t>Neuromodulation Society of Australia and New Zealand [</w:t>
      </w:r>
      <w:r>
        <w:t>NSANZ</w:t>
      </w:r>
      <w:r w:rsidR="007D4628">
        <w:t>]</w:t>
      </w:r>
      <w:r>
        <w:t>) was also identified (Deloitte 2019).</w:t>
      </w:r>
      <w:r w:rsidR="00F16D15">
        <w:t xml:space="preserve"> A Markov model was used to compare treatments in FBSS and CRPS patients.</w:t>
      </w:r>
      <w:r w:rsidR="00F16D15" w:rsidRPr="001B5928">
        <w:t xml:space="preserve"> </w:t>
      </w:r>
      <w:r w:rsidR="00F16D15">
        <w:t xml:space="preserve">The incremental cost-effectiveness ratio (ICER) was $15,070 per QALY gained for patients with FBSS </w:t>
      </w:r>
      <w:r w:rsidR="00F16D15" w:rsidRPr="00C9426D">
        <w:t>and</w:t>
      </w:r>
      <w:r w:rsidR="00F16D15">
        <w:t xml:space="preserve"> $2,321 per QALY gained for patients with CRPS.</w:t>
      </w:r>
      <w:r w:rsidR="00F16D15" w:rsidRPr="00BC5A43">
        <w:t xml:space="preserve"> </w:t>
      </w:r>
    </w:p>
    <w:p w14:paraId="53FEB85F" w14:textId="4B354D39" w:rsidR="00DE3B5D" w:rsidRPr="00DE3B5D" w:rsidRDefault="00F16D15" w:rsidP="00DE3B5D">
      <w:pPr>
        <w:pStyle w:val="BodyText"/>
      </w:pPr>
      <w:r>
        <w:t xml:space="preserve">The clinical evidence underpinning the Australian economic analysis is the PROCESS trial (Kumar 2007), which is an open-label RCT of SCS versus </w:t>
      </w:r>
      <w:r w:rsidR="00265D93">
        <w:t>CMM</w:t>
      </w:r>
      <w:r>
        <w:t xml:space="preserve"> in 100 patients with FBSS. The trial was included in both Cochrane reviews (O’Connell 2021; Traeger 2023). As these reviews noted, sham-controlled trials generally reported a smaller effect in favour of SCS than open-label trials. Furthermore, although the PROCESS study had follow-up to 2 years, extrapolation to 15 years introduces significant uncertainty with respect to both the durability of treatment effects and ongoing AE rates.</w:t>
      </w:r>
    </w:p>
    <w:p w14:paraId="1A17C1C2" w14:textId="77777777" w:rsidR="00B25954" w:rsidRDefault="00B25954" w:rsidP="008831BB">
      <w:pPr>
        <w:pStyle w:val="ExecSumHeading3"/>
      </w:pPr>
      <w:r>
        <w:t>Patient selection and management</w:t>
      </w:r>
    </w:p>
    <w:p w14:paraId="7DB5B6E1" w14:textId="1C0D6E25" w:rsidR="00146E70" w:rsidRPr="008B2EF9" w:rsidRDefault="008B2EF9" w:rsidP="008B2EF9">
      <w:pPr>
        <w:pStyle w:val="BodyText"/>
      </w:pPr>
      <w:r>
        <w:t>No recent, high quality Australian clinical practice guidelines were identified in the search, although an Australian clinical algorithm was identified (Bates 2019). Most guidelines were consensus-based and the extent to which they would be applicable to Australian clinical practice is uncertain.</w:t>
      </w:r>
    </w:p>
    <w:p w14:paraId="48C836F2" w14:textId="2243F0A8" w:rsidR="00F70D95" w:rsidRDefault="001E0ACD" w:rsidP="00B74C01">
      <w:pPr>
        <w:pStyle w:val="ExecSumHeading2"/>
      </w:pPr>
      <w:bookmarkStart w:id="9" w:name="_Toc165634642"/>
      <w:r>
        <w:t xml:space="preserve">Considerations for </w:t>
      </w:r>
      <w:r w:rsidR="009F3D43">
        <w:t>MDHTAC</w:t>
      </w:r>
      <w:bookmarkEnd w:id="9"/>
      <w:r w:rsidR="00CD0263">
        <w:t xml:space="preserve"> </w:t>
      </w:r>
    </w:p>
    <w:p w14:paraId="3057F147" w14:textId="56E05215" w:rsidR="00E24AA2" w:rsidRDefault="00E24AA2" w:rsidP="00E24AA2">
      <w:pPr>
        <w:pStyle w:val="BodyText"/>
      </w:pPr>
      <w:r>
        <w:t>Although triggered by AE reports (Jones et al. 2022), this PLR has focus</w:t>
      </w:r>
      <w:r w:rsidR="00620AEF">
        <w:t>ed</w:t>
      </w:r>
      <w:r>
        <w:t xml:space="preserve"> on the comparative clinical effectiveness and cost-effectiveness of SCS with the understanding that the TGA is concurrently undertaking a post-market review and will consider safety. </w:t>
      </w:r>
    </w:p>
    <w:p w14:paraId="38D0059D" w14:textId="48824E40" w:rsidR="00E24AA2" w:rsidRDefault="00E24AA2" w:rsidP="00E24AA2">
      <w:pPr>
        <w:pStyle w:val="BodyText"/>
      </w:pPr>
      <w:r>
        <w:t>The evidence base for the comparative clinical effectiveness of SCS compared to standard care is uncertain. Despite the large number of RCTs conducted of the devices, there remains doubt as to the magnitude of their clinical effect and the long-term risk of AEs.</w:t>
      </w:r>
      <w:r w:rsidR="0097486D" w:rsidRPr="0097486D">
        <w:t xml:space="preserve"> </w:t>
      </w:r>
      <w:r w:rsidR="0097486D">
        <w:t>Given the clinical uncertainty, cost-effectiveness analysis to establish a suitable benefit for SCS devices is unlikely to be informative.</w:t>
      </w:r>
    </w:p>
    <w:p w14:paraId="7919032D" w14:textId="5157B524" w:rsidR="00E24AA2" w:rsidRDefault="00E24AA2" w:rsidP="00E24AA2">
      <w:pPr>
        <w:pStyle w:val="BodyText"/>
      </w:pPr>
      <w:r>
        <w:lastRenderedPageBreak/>
        <w:t xml:space="preserve">In light of the uncertainty in the evidence base for SCS, it is recommended that </w:t>
      </w:r>
      <w:r w:rsidR="005515FA">
        <w:t>MDHTAC</w:t>
      </w:r>
      <w:r>
        <w:t xml:space="preserve"> continue to list SCS devices on the PL,</w:t>
      </w:r>
      <w:r w:rsidR="00C32791">
        <w:t xml:space="preserve"> with no further increases</w:t>
      </w:r>
      <w:r w:rsidR="001913EA">
        <w:t xml:space="preserve"> in Benefit</w:t>
      </w:r>
      <w:r w:rsidR="00C32791">
        <w:t>,</w:t>
      </w:r>
      <w:r>
        <w:t xml:space="preserve"> whilst also undertaking further actions. The following actions are considered critical and are in line with the recommendations of the MBS Review Taskforce. To achieve these actions, </w:t>
      </w:r>
      <w:r w:rsidR="005515FA">
        <w:t>MDHTAC</w:t>
      </w:r>
      <w:r>
        <w:t xml:space="preserve"> may need to work with the TGA, MSAC, Australian Commission on Safety and Quality in Health Care (ACSQHC) and other stakeholders.</w:t>
      </w:r>
    </w:p>
    <w:p w14:paraId="585639B1" w14:textId="77777777" w:rsidR="00E24AA2" w:rsidRDefault="00E24AA2" w:rsidP="00E24AA2">
      <w:pPr>
        <w:pStyle w:val="BodyText"/>
        <w:numPr>
          <w:ilvl w:val="0"/>
          <w:numId w:val="14"/>
        </w:numPr>
      </w:pPr>
      <w:r w:rsidRPr="0075081C">
        <w:rPr>
          <w:u w:val="single"/>
        </w:rPr>
        <w:t>Development of high-quality clinical guidelines</w:t>
      </w:r>
    </w:p>
    <w:p w14:paraId="7EF02F96" w14:textId="2CCCF85A" w:rsidR="00E24AA2" w:rsidRDefault="00E24AA2" w:rsidP="00E24AA2">
      <w:pPr>
        <w:pStyle w:val="BodyText"/>
        <w:ind w:left="720"/>
      </w:pPr>
      <w:r>
        <w:t xml:space="preserve">The need for clinical guidelines for SCS devices was clearly articulated in the MBS Review Taskforce recommendations (2019) where it was noted that good outcomes were likely restricted to a very select patient population, and that patient selection and follow-up are critical but are difficult to include in an item descriptor. The development of clinical practice guidelines could bring together stakeholders, patients and clinical experts to fill a critical gap, bridging the uncertainty in the evidence with the need to make the best possible decisions in clinical practice. </w:t>
      </w:r>
      <w:r w:rsidR="005353F6">
        <w:t xml:space="preserve">Furthermore, clinical practice guidelines can take a </w:t>
      </w:r>
      <w:r w:rsidR="00AE4AFF" w:rsidRPr="00AE4AFF">
        <w:t>broader perspective</w:t>
      </w:r>
      <w:r w:rsidR="00885493">
        <w:t xml:space="preserve"> on chronic pain </w:t>
      </w:r>
      <w:r w:rsidR="000F4398">
        <w:t xml:space="preserve">treatment and </w:t>
      </w:r>
      <w:r w:rsidR="00885493">
        <w:t>management</w:t>
      </w:r>
      <w:r w:rsidR="00AE4AFF" w:rsidRPr="00AE4AFF">
        <w:t>, with consideration of multidisciplinary approaches to patient care that address biological, psychological and social factors.</w:t>
      </w:r>
      <w:r w:rsidR="00F31086">
        <w:t xml:space="preserve"> </w:t>
      </w:r>
    </w:p>
    <w:p w14:paraId="49960B29" w14:textId="4E60591B" w:rsidR="00914541" w:rsidRDefault="00E24AA2" w:rsidP="00914541">
      <w:pPr>
        <w:pStyle w:val="BodyText"/>
        <w:ind w:left="720"/>
      </w:pPr>
      <w:r>
        <w:t xml:space="preserve">The development of any clinical guidelines needs to incorporate communication with </w:t>
      </w:r>
      <w:r w:rsidR="005515FA">
        <w:t>MDHTAC</w:t>
      </w:r>
      <w:r>
        <w:t xml:space="preserve"> and MSAC to ensure that listings are kept consistent with recommended clinical practice. For example, no evidence was found to support the use of SCS in refractory angina and this could be removed from MBS item descriptors if usage for this indication is not recommended in clinical guidelines.</w:t>
      </w:r>
    </w:p>
    <w:p w14:paraId="1C36F891" w14:textId="77777777" w:rsidR="00914541" w:rsidRDefault="00914541" w:rsidP="00914541">
      <w:pPr>
        <w:pStyle w:val="BodyText"/>
        <w:numPr>
          <w:ilvl w:val="0"/>
          <w:numId w:val="14"/>
        </w:numPr>
      </w:pPr>
      <w:r w:rsidRPr="00371D13">
        <w:rPr>
          <w:u w:val="single"/>
        </w:rPr>
        <w:t>Improved data monitoring and development of a national registry</w:t>
      </w:r>
    </w:p>
    <w:p w14:paraId="03EA8FE5" w14:textId="76B9C951" w:rsidR="00914541" w:rsidRDefault="00914541" w:rsidP="00914541">
      <w:pPr>
        <w:pStyle w:val="BodyText"/>
        <w:ind w:left="720"/>
      </w:pPr>
      <w:r>
        <w:t>The TGA clinical evidence guidelines on medical devices notes that device registries ‘</w:t>
      </w:r>
      <w:r w:rsidRPr="00734D34">
        <w:t>play a unique and important role in medical device surveillance</w:t>
      </w:r>
      <w:r>
        <w:rPr>
          <w:rStyle w:val="FootnoteReference"/>
        </w:rPr>
        <w:footnoteReference w:id="2"/>
      </w:r>
      <w:r>
        <w:t>’, noting the examples of the Australian Breast Device Registry (ABDR), the Australian Orthopaedic Association National Joint Replacement Registry (AOANJRR) and the Victorian Cardiac Outcomes Registry (VCOR). Given the high</w:t>
      </w:r>
      <w:r w:rsidR="00D25F79">
        <w:t xml:space="preserve"> </w:t>
      </w:r>
      <w:r>
        <w:t xml:space="preserve">cost, invasive nature and ongoing uncertainty regarding SCS, they are good candidates for inclusion within a registry. </w:t>
      </w:r>
    </w:p>
    <w:p w14:paraId="3D370E70" w14:textId="44049E73" w:rsidR="00E04FFC" w:rsidRDefault="00646DBE" w:rsidP="00914541">
      <w:pPr>
        <w:pStyle w:val="BodyText"/>
        <w:ind w:left="720"/>
      </w:pPr>
      <w:r>
        <w:t xml:space="preserve">Another option </w:t>
      </w:r>
      <w:r w:rsidR="006C4B9D">
        <w:t xml:space="preserve">is to consider capturing </w:t>
      </w:r>
      <w:r w:rsidR="008F22E6">
        <w:t xml:space="preserve">SCS outcome data within the existing </w:t>
      </w:r>
      <w:r w:rsidR="00B77D3F">
        <w:t>electronic P</w:t>
      </w:r>
      <w:r w:rsidR="00B77D3F" w:rsidRPr="00B77D3F">
        <w:t>ersistent Pain Outcomes Collaboration (</w:t>
      </w:r>
      <w:proofErr w:type="spellStart"/>
      <w:r w:rsidR="00B77D3F" w:rsidRPr="00B77D3F">
        <w:t>ePPOC</w:t>
      </w:r>
      <w:proofErr w:type="spellEnd"/>
      <w:r w:rsidR="00B77D3F" w:rsidRPr="00B77D3F">
        <w:t>)</w:t>
      </w:r>
      <w:r w:rsidR="009F4D81">
        <w:t xml:space="preserve"> initiative</w:t>
      </w:r>
      <w:r w:rsidR="00120566">
        <w:t xml:space="preserve"> of the Faculty of </w:t>
      </w:r>
      <w:r w:rsidR="00E32180">
        <w:t>Pain Medicine</w:t>
      </w:r>
      <w:r w:rsidR="002B0B1A">
        <w:t>,</w:t>
      </w:r>
      <w:r w:rsidR="00F74E4D">
        <w:rPr>
          <w:rStyle w:val="FootnoteReference"/>
        </w:rPr>
        <w:footnoteReference w:id="3"/>
      </w:r>
      <w:r w:rsidR="00B77D3F">
        <w:t xml:space="preserve"> </w:t>
      </w:r>
      <w:r w:rsidR="002B0B1A">
        <w:t>thereby</w:t>
      </w:r>
      <w:r w:rsidR="00280AF8">
        <w:t xml:space="preserve"> </w:t>
      </w:r>
      <w:r w:rsidR="00B77D3F">
        <w:t>allow</w:t>
      </w:r>
      <w:r w:rsidR="002B0B1A">
        <w:t>ing</w:t>
      </w:r>
      <w:r w:rsidR="00B77D3F">
        <w:t xml:space="preserve"> </w:t>
      </w:r>
      <w:r w:rsidR="00F74E4D">
        <w:t>comparison</w:t>
      </w:r>
      <w:r w:rsidR="00B77D3F">
        <w:t xml:space="preserve"> of outcomes </w:t>
      </w:r>
      <w:r w:rsidR="002B0B1A">
        <w:t xml:space="preserve">from SCS </w:t>
      </w:r>
      <w:r w:rsidR="00F74E4D">
        <w:t>with non-surgical treatments.</w:t>
      </w:r>
    </w:p>
    <w:p w14:paraId="35760CB9" w14:textId="0F103574" w:rsidR="00914541" w:rsidRDefault="00914541" w:rsidP="00914541">
      <w:pPr>
        <w:pStyle w:val="BodyText"/>
        <w:ind w:left="720"/>
      </w:pPr>
      <w:r>
        <w:t>In the absence of a national registry</w:t>
      </w:r>
      <w:r w:rsidR="001314BA">
        <w:t xml:space="preserve"> or extension to </w:t>
      </w:r>
      <w:r w:rsidR="00F04A6F">
        <w:t xml:space="preserve">the </w:t>
      </w:r>
      <w:proofErr w:type="spellStart"/>
      <w:r w:rsidR="001314BA">
        <w:t>ePPOC</w:t>
      </w:r>
      <w:proofErr w:type="spellEnd"/>
      <w:r w:rsidR="00F04A6F">
        <w:t xml:space="preserve"> data collection</w:t>
      </w:r>
      <w:r>
        <w:t xml:space="preserve">, there is valuable information already available for monitoring the use of SCS devices and monitoring should be undertaken proactively. In particular, MBS data could be used to understand current patient profiles and links between insertions and removals (rates and timeframes). Consideration could be given to having a separate MBS item for </w:t>
      </w:r>
      <w:r w:rsidR="00D2339D">
        <w:t>implantable pulse generator (</w:t>
      </w:r>
      <w:r>
        <w:t>IPG</w:t>
      </w:r>
      <w:r w:rsidR="00D2339D">
        <w:t>)</w:t>
      </w:r>
      <w:r>
        <w:t xml:space="preserve"> replacement due to battery end of life to differentiate this from removal due to lack of efficacy or other reasons. A similar MBS item exists for vagal nerve stimulation (item 40708) ‘surgical replacement of battery in electrical pulse generator’.</w:t>
      </w:r>
    </w:p>
    <w:p w14:paraId="0CD2E383" w14:textId="77777777" w:rsidR="00914541" w:rsidRDefault="00914541" w:rsidP="00B670E3">
      <w:pPr>
        <w:pStyle w:val="BodyText"/>
        <w:keepNext/>
        <w:numPr>
          <w:ilvl w:val="0"/>
          <w:numId w:val="14"/>
        </w:numPr>
        <w:ind w:left="714" w:hanging="357"/>
      </w:pPr>
      <w:r w:rsidRPr="00371D13">
        <w:rPr>
          <w:u w:val="single"/>
        </w:rPr>
        <w:t>High-quality research</w:t>
      </w:r>
    </w:p>
    <w:p w14:paraId="116EC4F3" w14:textId="77777777" w:rsidR="00914541" w:rsidRDefault="00914541" w:rsidP="00914541">
      <w:pPr>
        <w:pStyle w:val="BodyText"/>
        <w:ind w:left="720"/>
      </w:pPr>
      <w:r>
        <w:t xml:space="preserve">Conducting further trials of the same design will not resolve the outstanding uncertainty. Sponsors, researchers, and funders should all be encouraged to design studies that are methodologically rigorous, well conducted and reported, and answer priority questions. This may include the use of individual patient data or large registries, but it may also require a double blinded RCT of similar design to Hara (2022) using a different paraesthesia-free treatment arm. </w:t>
      </w:r>
    </w:p>
    <w:p w14:paraId="67F0EF80" w14:textId="0507785A" w:rsidR="00914541" w:rsidRDefault="00914541" w:rsidP="00914541">
      <w:pPr>
        <w:pStyle w:val="BodyText"/>
        <w:ind w:left="720"/>
      </w:pPr>
      <w:r>
        <w:lastRenderedPageBreak/>
        <w:t>There are a number of ongoing clinical trials of SCS</w:t>
      </w:r>
      <w:r w:rsidRPr="00914541">
        <w:t xml:space="preserve"> </w:t>
      </w:r>
      <w:r>
        <w:t xml:space="preserve">and it is recommended that </w:t>
      </w:r>
      <w:r w:rsidR="005515FA">
        <w:t>MDHTAC</w:t>
      </w:r>
      <w:r>
        <w:t xml:space="preserve"> continue to monitor the outcomes of these.</w:t>
      </w:r>
    </w:p>
    <w:p w14:paraId="70C2ABD2" w14:textId="59ED7E3C" w:rsidR="00357D07" w:rsidRDefault="00357D07" w:rsidP="00182437">
      <w:pPr>
        <w:pStyle w:val="BodyText"/>
      </w:pPr>
      <w:r>
        <w:t>These recommendation</w:t>
      </w:r>
      <w:r w:rsidR="005A4F83">
        <w:t>s</w:t>
      </w:r>
      <w:r>
        <w:t xml:space="preserve"> are supported </w:t>
      </w:r>
      <w:r w:rsidRPr="000A3CAC">
        <w:t xml:space="preserve">by Pain Australia, the </w:t>
      </w:r>
      <w:r w:rsidR="000A3CAC" w:rsidRPr="000A3CAC">
        <w:t>national peak body working to improve the quality of life of people living with pain, their families and carers</w:t>
      </w:r>
      <w:r w:rsidR="005A4F83">
        <w:t xml:space="preserve">. Pain Australia </w:t>
      </w:r>
      <w:r w:rsidR="00FB259C">
        <w:t>has</w:t>
      </w:r>
      <w:r w:rsidR="005A4F83">
        <w:t xml:space="preserve"> </w:t>
      </w:r>
      <w:r w:rsidR="00184584">
        <w:t>recently</w:t>
      </w:r>
      <w:r w:rsidR="005A4F83">
        <w:t xml:space="preserve"> </w:t>
      </w:r>
      <w:r w:rsidR="00CE5C7D" w:rsidRPr="00CE5C7D">
        <w:t>undertak</w:t>
      </w:r>
      <w:r w:rsidR="00FB259C">
        <w:t>en</w:t>
      </w:r>
      <w:r w:rsidR="00CE5C7D" w:rsidRPr="00CE5C7D">
        <w:t xml:space="preserve"> a </w:t>
      </w:r>
      <w:r w:rsidR="006F44A9">
        <w:t xml:space="preserve">survey on consumer </w:t>
      </w:r>
      <w:r w:rsidR="00CE5C7D" w:rsidRPr="00CE5C7D">
        <w:t xml:space="preserve">experiences of </w:t>
      </w:r>
      <w:r w:rsidR="00F665EB">
        <w:t>SCS</w:t>
      </w:r>
      <w:r w:rsidR="00CE5C7D" w:rsidRPr="00CE5C7D">
        <w:t xml:space="preserve"> </w:t>
      </w:r>
      <w:r w:rsidR="00FB259C">
        <w:t>that</w:t>
      </w:r>
      <w:r w:rsidR="00CE5C7D">
        <w:t xml:space="preserve"> will be </w:t>
      </w:r>
      <w:r w:rsidR="00941E96">
        <w:t>reported in</w:t>
      </w:r>
      <w:r w:rsidR="00CE5C7D">
        <w:t xml:space="preserve"> late 2023 and should be considered by</w:t>
      </w:r>
      <w:r w:rsidR="005515FA">
        <w:t xml:space="preserve"> MDHTAC </w:t>
      </w:r>
      <w:r w:rsidR="00CE5C7D">
        <w:t>alongside the P</w:t>
      </w:r>
      <w:r w:rsidR="00DB6F6F">
        <w:t>L</w:t>
      </w:r>
      <w:r w:rsidR="00CE5C7D">
        <w:t>R.</w:t>
      </w:r>
    </w:p>
    <w:p w14:paraId="2120EF46" w14:textId="07109CF7" w:rsidR="00914541" w:rsidRDefault="00914541" w:rsidP="00914541">
      <w:pPr>
        <w:pStyle w:val="BodyText"/>
      </w:pPr>
      <w:r>
        <w:t xml:space="preserve">Two PNS devices are currently listed on the PL in the same grouping as SCS. It is therefore recommended that </w:t>
      </w:r>
      <w:r w:rsidR="005515FA">
        <w:t>MDHTAC</w:t>
      </w:r>
      <w:r>
        <w:t>:</w:t>
      </w:r>
    </w:p>
    <w:p w14:paraId="078807E1" w14:textId="2362690D" w:rsidR="00914541" w:rsidRDefault="00914541" w:rsidP="00914541">
      <w:pPr>
        <w:pStyle w:val="BodyText"/>
        <w:numPr>
          <w:ilvl w:val="0"/>
          <w:numId w:val="15"/>
        </w:numPr>
      </w:pPr>
      <w:r>
        <w:t xml:space="preserve">create a separate </w:t>
      </w:r>
      <w:r w:rsidR="00BF2A9F">
        <w:t>G</w:t>
      </w:r>
      <w:r>
        <w:t>roup for PNS devices for chronic pain</w:t>
      </w:r>
    </w:p>
    <w:p w14:paraId="580A1F1D" w14:textId="77777777" w:rsidR="006F7DE2" w:rsidRDefault="00914541" w:rsidP="00914541">
      <w:pPr>
        <w:pStyle w:val="BodyText"/>
        <w:numPr>
          <w:ilvl w:val="0"/>
          <w:numId w:val="15"/>
        </w:numPr>
      </w:pPr>
      <w:r>
        <w:t xml:space="preserve">undertake </w:t>
      </w:r>
      <w:r w:rsidR="00CA6C67">
        <w:t>focussed</w:t>
      </w:r>
      <w:r>
        <w:t xml:space="preserve"> </w:t>
      </w:r>
      <w:r w:rsidR="002C5778">
        <w:t>health technology assessment</w:t>
      </w:r>
      <w:r w:rsidR="00DF2033">
        <w:t xml:space="preserve"> (</w:t>
      </w:r>
      <w:r>
        <w:t>HTA</w:t>
      </w:r>
      <w:r w:rsidR="00DF2033">
        <w:t>)</w:t>
      </w:r>
      <w:r>
        <w:t xml:space="preserve"> of these devices to ensure they are appropriate for ongoing listing on the PL</w:t>
      </w:r>
      <w:r w:rsidR="004F3298">
        <w:t xml:space="preserve"> or refer them to MSAC for assessment</w:t>
      </w:r>
    </w:p>
    <w:p w14:paraId="54E503D5" w14:textId="7BED1D9C" w:rsidR="004F3298" w:rsidRDefault="006F7DE2" w:rsidP="00914541">
      <w:pPr>
        <w:pStyle w:val="BodyText"/>
        <w:numPr>
          <w:ilvl w:val="0"/>
          <w:numId w:val="15"/>
        </w:numPr>
      </w:pPr>
      <w:r>
        <w:t xml:space="preserve">consider the </w:t>
      </w:r>
      <w:r w:rsidR="00345B40">
        <w:t>appropriateness</w:t>
      </w:r>
      <w:r>
        <w:t xml:space="preserve"> of leads with dual </w:t>
      </w:r>
      <w:r w:rsidR="008F05BD">
        <w:t>approval for SCS and PNS indications</w:t>
      </w:r>
      <w:r w:rsidR="00914541">
        <w:t>.</w:t>
      </w:r>
    </w:p>
    <w:p w14:paraId="4DC0A52B" w14:textId="726DFFB9" w:rsidR="00326526" w:rsidRDefault="00326526" w:rsidP="00182437">
      <w:pPr>
        <w:pStyle w:val="ExecSumHeading2"/>
      </w:pPr>
      <w:bookmarkStart w:id="10" w:name="_Toc165634643"/>
      <w:r w:rsidRPr="00326526">
        <w:t xml:space="preserve">Considerations for </w:t>
      </w:r>
      <w:r>
        <w:t>MSAC</w:t>
      </w:r>
      <w:bookmarkEnd w:id="10"/>
      <w:r w:rsidRPr="00326526">
        <w:t xml:space="preserve"> </w:t>
      </w:r>
    </w:p>
    <w:p w14:paraId="2357202F" w14:textId="637140BC" w:rsidR="00A63F58" w:rsidRDefault="00F844FA" w:rsidP="008D522C">
      <w:pPr>
        <w:pStyle w:val="BodyText"/>
      </w:pPr>
      <w:r>
        <w:t xml:space="preserve">The MBS is legally enforceable and </w:t>
      </w:r>
      <w:r w:rsidR="006B70AB">
        <w:t xml:space="preserve">has greater scope than the PL for specifying conditions of </w:t>
      </w:r>
      <w:r w:rsidR="001C4D57">
        <w:t xml:space="preserve">use. The </w:t>
      </w:r>
      <w:r w:rsidR="00964742">
        <w:t>MBS</w:t>
      </w:r>
      <w:r w:rsidR="006F0F95">
        <w:t xml:space="preserve"> Review </w:t>
      </w:r>
      <w:r w:rsidR="007E0ED9">
        <w:t>Taskforce</w:t>
      </w:r>
      <w:r w:rsidR="008E42CD">
        <w:t xml:space="preserve"> </w:t>
      </w:r>
      <w:r w:rsidR="006F0F95">
        <w:t xml:space="preserve">(2019) </w:t>
      </w:r>
      <w:r w:rsidR="00A63F58">
        <w:t>stated that:</w:t>
      </w:r>
    </w:p>
    <w:p w14:paraId="08A3061A" w14:textId="64E2A26F" w:rsidR="00914541" w:rsidRDefault="00A63F58" w:rsidP="0072149D">
      <w:pPr>
        <w:pStyle w:val="BodyText"/>
        <w:ind w:left="720"/>
      </w:pPr>
      <w:r>
        <w:t>“due to the evolving evidence regarding what population groups benefit from these procedures, these item numbers should be reviewed in 2 years to ensure ongoing evidence based applicability”</w:t>
      </w:r>
      <w:r w:rsidR="00914541">
        <w:t xml:space="preserve"> </w:t>
      </w:r>
    </w:p>
    <w:p w14:paraId="72BE8E3F" w14:textId="28390FC2" w:rsidR="0072149D" w:rsidRDefault="00583B1E" w:rsidP="0072149D">
      <w:pPr>
        <w:pStyle w:val="BodyText"/>
      </w:pPr>
      <w:r>
        <w:t>An MBS</w:t>
      </w:r>
      <w:r w:rsidR="0075045E">
        <w:t xml:space="preserve"> review is considered critical and</w:t>
      </w:r>
      <w:r w:rsidR="00C432E3">
        <w:t xml:space="preserve"> is overdue. </w:t>
      </w:r>
      <w:r w:rsidR="00222C47">
        <w:t>The review</w:t>
      </w:r>
      <w:r w:rsidR="0075045E">
        <w:t xml:space="preserve"> could consider the ongoing listing o</w:t>
      </w:r>
      <w:r w:rsidR="0068248B">
        <w:t xml:space="preserve">f SCS </w:t>
      </w:r>
      <w:r w:rsidR="008F60C6">
        <w:t xml:space="preserve">services </w:t>
      </w:r>
      <w:r w:rsidR="0068248B">
        <w:t>on</w:t>
      </w:r>
      <w:r w:rsidR="0075045E">
        <w:t xml:space="preserve"> the </w:t>
      </w:r>
      <w:r w:rsidR="00067D00">
        <w:t xml:space="preserve">MBS broadly </w:t>
      </w:r>
      <w:r w:rsidR="00982B77">
        <w:t>and/</w:t>
      </w:r>
      <w:r w:rsidR="00755411">
        <w:t>or</w:t>
      </w:r>
      <w:r w:rsidR="0068248B">
        <w:t xml:space="preserve"> </w:t>
      </w:r>
      <w:r w:rsidR="00982B77">
        <w:t xml:space="preserve">specific </w:t>
      </w:r>
      <w:r w:rsidR="00D110EC">
        <w:t xml:space="preserve">changes to the MBS items </w:t>
      </w:r>
      <w:r w:rsidR="00D56FBE">
        <w:t>to</w:t>
      </w:r>
      <w:r w:rsidR="00D110EC">
        <w:t xml:space="preserve"> </w:t>
      </w:r>
      <w:r w:rsidR="00FE71AC">
        <w:t xml:space="preserve">improve </w:t>
      </w:r>
      <w:r w:rsidR="00C8150E">
        <w:t>monitoring and</w:t>
      </w:r>
      <w:r w:rsidR="00FE71AC">
        <w:t xml:space="preserve"> target</w:t>
      </w:r>
      <w:r w:rsidR="00C8150E">
        <w:t xml:space="preserve"> appropriate claiming. </w:t>
      </w:r>
      <w:r w:rsidR="009F4CC6">
        <w:t>Possible changes to MBS item</w:t>
      </w:r>
      <w:r w:rsidR="0071611C">
        <w:t>s</w:t>
      </w:r>
      <w:r w:rsidR="009F4CC6">
        <w:t xml:space="preserve"> </w:t>
      </w:r>
      <w:r w:rsidR="00397197">
        <w:t>are outlined below</w:t>
      </w:r>
      <w:r w:rsidR="008745BC">
        <w:t>:</w:t>
      </w:r>
    </w:p>
    <w:p w14:paraId="657E0192" w14:textId="301E5EDE" w:rsidR="008745BC" w:rsidRDefault="00397197" w:rsidP="008745BC">
      <w:pPr>
        <w:pStyle w:val="BodyText"/>
        <w:numPr>
          <w:ilvl w:val="0"/>
          <w:numId w:val="21"/>
        </w:numPr>
      </w:pPr>
      <w:r>
        <w:t>T</w:t>
      </w:r>
      <w:r w:rsidR="006743ED">
        <w:t xml:space="preserve">he introduction of a </w:t>
      </w:r>
      <w:r w:rsidR="00B364C3" w:rsidRPr="00B364C3">
        <w:t>separate MBS item for implantable pulse generator (IPG) replacement due to battery end of life</w:t>
      </w:r>
      <w:r w:rsidR="000E37D4">
        <w:t xml:space="preserve"> (see recommendation 2)</w:t>
      </w:r>
      <w:r>
        <w:t>.</w:t>
      </w:r>
    </w:p>
    <w:p w14:paraId="027B5992" w14:textId="182A4743" w:rsidR="000E37D4" w:rsidRDefault="00397197" w:rsidP="008745BC">
      <w:pPr>
        <w:pStyle w:val="BodyText"/>
        <w:numPr>
          <w:ilvl w:val="0"/>
          <w:numId w:val="21"/>
        </w:numPr>
      </w:pPr>
      <w:r>
        <w:t>C</w:t>
      </w:r>
      <w:r w:rsidR="000E37D4">
        <w:t xml:space="preserve">larification of the </w:t>
      </w:r>
      <w:r w:rsidR="00693CC6">
        <w:t>two MBS items for peripheral lead implantation</w:t>
      </w:r>
    </w:p>
    <w:p w14:paraId="761189FC" w14:textId="5812D051" w:rsidR="008B4FCE" w:rsidRDefault="000030C6" w:rsidP="008B4FCE">
      <w:pPr>
        <w:pStyle w:val="BodyText"/>
        <w:numPr>
          <w:ilvl w:val="1"/>
          <w:numId w:val="21"/>
        </w:numPr>
      </w:pPr>
      <w:r>
        <w:t>S</w:t>
      </w:r>
      <w:r w:rsidR="008B4FCE">
        <w:t xml:space="preserve">urgical lead implantation has </w:t>
      </w:r>
      <w:r w:rsidR="00ED28DF">
        <w:t xml:space="preserve">a higher benefit than </w:t>
      </w:r>
      <w:r w:rsidR="00885198">
        <w:t>per</w:t>
      </w:r>
      <w:r w:rsidR="009A18FD">
        <w:t>cutaneous</w:t>
      </w:r>
      <w:r w:rsidR="00885198">
        <w:t xml:space="preserve"> lead implantation</w:t>
      </w:r>
      <w:r w:rsidR="009A18FD">
        <w:t>. The item number for percutaneous lead implantation (</w:t>
      </w:r>
      <w:r w:rsidR="00EF24CE">
        <w:t xml:space="preserve">39129) was introduced following the </w:t>
      </w:r>
      <w:r w:rsidR="00BF3C4A">
        <w:t>MBS Review Taskforce (2019)</w:t>
      </w:r>
      <w:r w:rsidR="00681F28">
        <w:t>,</w:t>
      </w:r>
      <w:r w:rsidR="00BF3C4A">
        <w:t xml:space="preserve"> which identified </w:t>
      </w:r>
      <w:r w:rsidR="00B8070E">
        <w:t>no item for this purpose</w:t>
      </w:r>
      <w:r w:rsidR="004E506C">
        <w:t>.</w:t>
      </w:r>
      <w:r w:rsidR="00B8070E">
        <w:t xml:space="preserve"> </w:t>
      </w:r>
      <w:r w:rsidR="003859B5">
        <w:t>H</w:t>
      </w:r>
      <w:r w:rsidR="00B8070E">
        <w:t>owever</w:t>
      </w:r>
      <w:r w:rsidR="003859B5">
        <w:t>,</w:t>
      </w:r>
      <w:r w:rsidR="00B8070E">
        <w:t xml:space="preserve"> </w:t>
      </w:r>
      <w:r w:rsidR="00BC2F32">
        <w:t>utilisation is extremely low suggesting the surgical item continues to be claimed</w:t>
      </w:r>
      <w:r w:rsidR="00433E45">
        <w:t xml:space="preserve"> (see </w:t>
      </w:r>
      <w:r w:rsidR="00433E45">
        <w:fldChar w:fldCharType="begin"/>
      </w:r>
      <w:r w:rsidR="00433E45">
        <w:instrText xml:space="preserve"> REF _Ref134466215 \h </w:instrText>
      </w:r>
      <w:r w:rsidR="00433E45">
        <w:fldChar w:fldCharType="separate"/>
      </w:r>
      <w:r w:rsidR="00CE6ACA">
        <w:t xml:space="preserve">Figure </w:t>
      </w:r>
      <w:r w:rsidR="00CE6ACA">
        <w:rPr>
          <w:noProof/>
        </w:rPr>
        <w:t>2</w:t>
      </w:r>
      <w:r w:rsidR="00433E45">
        <w:fldChar w:fldCharType="end"/>
      </w:r>
      <w:r w:rsidR="00433E45">
        <w:t>)</w:t>
      </w:r>
      <w:r w:rsidR="00BC2F32">
        <w:t xml:space="preserve">. </w:t>
      </w:r>
      <w:r w:rsidR="00D02299">
        <w:t>Sponsors have stated that surgical placement is not used for PNS</w:t>
      </w:r>
      <w:r w:rsidR="00BC2F32">
        <w:t>.</w:t>
      </w:r>
      <w:r w:rsidR="00B8070E">
        <w:t xml:space="preserve"> </w:t>
      </w:r>
    </w:p>
    <w:p w14:paraId="702A0AC7" w14:textId="57C3A47A" w:rsidR="009F4CC6" w:rsidRDefault="00397197" w:rsidP="009F4CC6">
      <w:pPr>
        <w:pStyle w:val="BodyText"/>
        <w:numPr>
          <w:ilvl w:val="0"/>
          <w:numId w:val="21"/>
        </w:numPr>
      </w:pPr>
      <w:r>
        <w:t>T</w:t>
      </w:r>
      <w:r w:rsidR="008238EA">
        <w:t>he</w:t>
      </w:r>
      <w:r w:rsidR="009F4CC6">
        <w:t xml:space="preserve"> introduction of, and mandated use of, item numbers </w:t>
      </w:r>
      <w:r w:rsidR="00EC4BDE">
        <w:t>for</w:t>
      </w:r>
      <w:r w:rsidR="009F4CC6">
        <w:t xml:space="preserve"> trial </w:t>
      </w:r>
      <w:r w:rsidR="00EC4BDE">
        <w:t>stimulation</w:t>
      </w:r>
      <w:r w:rsidR="0015659A">
        <w:t xml:space="preserve"> including the specification that trial leads be used</w:t>
      </w:r>
      <w:r>
        <w:t>.</w:t>
      </w:r>
    </w:p>
    <w:p w14:paraId="0C4A8811" w14:textId="0F699EB2" w:rsidR="0093325D" w:rsidRDefault="005E7788" w:rsidP="0093325D">
      <w:pPr>
        <w:pStyle w:val="BodyText"/>
        <w:numPr>
          <w:ilvl w:val="0"/>
          <w:numId w:val="21"/>
        </w:numPr>
      </w:pPr>
      <w:r>
        <w:t>Removal</w:t>
      </w:r>
      <w:r w:rsidR="00AD119E">
        <w:t xml:space="preserve"> of </w:t>
      </w:r>
      <w:r w:rsidR="005877C5">
        <w:t xml:space="preserve">refractory angina </w:t>
      </w:r>
      <w:r>
        <w:t>as an indication for SCS, given</w:t>
      </w:r>
      <w:r w:rsidR="005877C5">
        <w:t xml:space="preserve"> the absence of evidence to support this indication</w:t>
      </w:r>
      <w:r>
        <w:t>.</w:t>
      </w:r>
      <w:r w:rsidR="005877C5">
        <w:t xml:space="preserve"> </w:t>
      </w:r>
      <w:r>
        <w:t>Alternately</w:t>
      </w:r>
      <w:r w:rsidR="00B9048E">
        <w:t>,</w:t>
      </w:r>
      <w:r w:rsidR="005877C5">
        <w:t xml:space="preserve"> </w:t>
      </w:r>
      <w:r>
        <w:t>creation of</w:t>
      </w:r>
      <w:r w:rsidR="005877C5">
        <w:t xml:space="preserve"> separate item numbers to monitor this indication.</w:t>
      </w:r>
    </w:p>
    <w:p w14:paraId="30C4FED4" w14:textId="760F2657" w:rsidR="005877C5" w:rsidRDefault="005E7788">
      <w:pPr>
        <w:pStyle w:val="BodyText"/>
        <w:numPr>
          <w:ilvl w:val="0"/>
          <w:numId w:val="21"/>
        </w:numPr>
      </w:pPr>
      <w:r>
        <w:t>A</w:t>
      </w:r>
      <w:r w:rsidR="00BC025D">
        <w:t xml:space="preserve"> restriction to once per lifetime for initial implantation of an SCS device</w:t>
      </w:r>
      <w:r w:rsidR="007B5FD3">
        <w:t>.</w:t>
      </w:r>
    </w:p>
    <w:p w14:paraId="4F850E94" w14:textId="12A101B8" w:rsidR="00E21FD5" w:rsidRDefault="00CB5264" w:rsidP="00182437">
      <w:pPr>
        <w:pStyle w:val="BodyText"/>
        <w:numPr>
          <w:ilvl w:val="0"/>
          <w:numId w:val="21"/>
        </w:numPr>
      </w:pPr>
      <w:r>
        <w:t>A requirem</w:t>
      </w:r>
      <w:r w:rsidR="00A15BFA">
        <w:t>ent for a multidisciplinary team conference prior to initial implantation of an SCS device</w:t>
      </w:r>
      <w:r w:rsidR="00CD332C">
        <w:t xml:space="preserve"> to </w:t>
      </w:r>
      <w:r w:rsidR="002C14F2">
        <w:t>discuss</w:t>
      </w:r>
      <w:r w:rsidR="00CD332C">
        <w:t xml:space="preserve"> patient </w:t>
      </w:r>
      <w:r w:rsidR="0052290A">
        <w:t>suitability</w:t>
      </w:r>
      <w:r w:rsidR="00D26C0A">
        <w:t xml:space="preserve"> for the intervention</w:t>
      </w:r>
      <w:r w:rsidR="00A15BFA">
        <w:t>.</w:t>
      </w:r>
    </w:p>
    <w:p w14:paraId="75E58DC0" w14:textId="54FEEE43" w:rsidR="008C3478" w:rsidRPr="00A21EC3" w:rsidRDefault="00D141B1" w:rsidP="008C3478">
      <w:pPr>
        <w:pStyle w:val="Heading1"/>
      </w:pPr>
      <w:bookmarkStart w:id="11" w:name="_Toc126153501"/>
      <w:bookmarkStart w:id="12" w:name="_Ref134438893"/>
      <w:bookmarkStart w:id="13" w:name="_Ref134438896"/>
      <w:bookmarkStart w:id="14" w:name="_Ref134438900"/>
      <w:bookmarkStart w:id="15" w:name="_Ref134438902"/>
      <w:bookmarkStart w:id="16" w:name="_Toc165634644"/>
      <w:r>
        <w:lastRenderedPageBreak/>
        <w:t>Background</w:t>
      </w:r>
      <w:bookmarkEnd w:id="11"/>
      <w:bookmarkEnd w:id="12"/>
      <w:bookmarkEnd w:id="13"/>
      <w:bookmarkEnd w:id="14"/>
      <w:bookmarkEnd w:id="15"/>
      <w:bookmarkEnd w:id="16"/>
    </w:p>
    <w:p w14:paraId="027C009B" w14:textId="55F59A06" w:rsidR="00985E9F" w:rsidRPr="00A21EC3" w:rsidRDefault="00D141B1" w:rsidP="00985E9F">
      <w:pPr>
        <w:pStyle w:val="Heading2"/>
      </w:pPr>
      <w:bookmarkStart w:id="17" w:name="_Toc126153502"/>
      <w:bookmarkStart w:id="18" w:name="_Toc165634645"/>
      <w:r>
        <w:t xml:space="preserve">Context for the </w:t>
      </w:r>
      <w:r w:rsidR="00350C28">
        <w:t>r</w:t>
      </w:r>
      <w:r>
        <w:t>eview</w:t>
      </w:r>
      <w:bookmarkEnd w:id="17"/>
      <w:bookmarkEnd w:id="18"/>
    </w:p>
    <w:p w14:paraId="6A2FFC78" w14:textId="371A21BF" w:rsidR="00DE642A" w:rsidRDefault="00D141B1" w:rsidP="00457044">
      <w:pPr>
        <w:pStyle w:val="Heading3"/>
      </w:pPr>
      <w:bookmarkStart w:id="19" w:name="_Toc126153503"/>
      <w:bookmarkStart w:id="20" w:name="_Toc165634646"/>
      <w:r>
        <w:t xml:space="preserve">Prostheses List </w:t>
      </w:r>
      <w:r w:rsidR="00762D78">
        <w:t>P</w:t>
      </w:r>
      <w:r>
        <w:t>ost-</w:t>
      </w:r>
      <w:r w:rsidR="00762D78">
        <w:t>L</w:t>
      </w:r>
      <w:r>
        <w:t xml:space="preserve">isting </w:t>
      </w:r>
      <w:r w:rsidR="00762D78">
        <w:t>R</w:t>
      </w:r>
      <w:r>
        <w:t xml:space="preserve">eview </w:t>
      </w:r>
      <w:r w:rsidR="00762D78">
        <w:t>F</w:t>
      </w:r>
      <w:r>
        <w:t>ramework</w:t>
      </w:r>
      <w:bookmarkEnd w:id="19"/>
      <w:bookmarkEnd w:id="20"/>
    </w:p>
    <w:p w14:paraId="01D013D6" w14:textId="31EA14B8" w:rsidR="00D141B1" w:rsidRDefault="00D141B1" w:rsidP="00D141B1">
      <w:pPr>
        <w:pStyle w:val="BodyText"/>
      </w:pPr>
      <w:r>
        <w:t>The Department of Health and Age</w:t>
      </w:r>
      <w:r w:rsidR="00E148FA">
        <w:t>d Care</w:t>
      </w:r>
      <w:r>
        <w:t xml:space="preserve"> (</w:t>
      </w:r>
      <w:proofErr w:type="spellStart"/>
      <w:r>
        <w:t>DoHA</w:t>
      </w:r>
      <w:r w:rsidR="00E148FA">
        <w:t>C</w:t>
      </w:r>
      <w:proofErr w:type="spellEnd"/>
      <w:r>
        <w:t xml:space="preserve">) has developed a working </w:t>
      </w:r>
      <w:r w:rsidR="009C28F5">
        <w:t>Post-Listing Review Framework</w:t>
      </w:r>
      <w:r w:rsidR="009C28F5">
        <w:rPr>
          <w:rStyle w:val="FootnoteReference"/>
        </w:rPr>
        <w:footnoteReference w:id="4"/>
      </w:r>
      <w:r>
        <w:t xml:space="preserve"> with the objective of addressing post-listing issues as required. This review is one of four trial reviews being conducted according to the framework with the outcomes to inform its further development.</w:t>
      </w:r>
    </w:p>
    <w:p w14:paraId="7FB2D2AF" w14:textId="6E34745D" w:rsidR="001D3C87" w:rsidRDefault="001D3C87" w:rsidP="001D3C87">
      <w:pPr>
        <w:pStyle w:val="Heading2"/>
      </w:pPr>
      <w:bookmarkStart w:id="21" w:name="_Toc126153504"/>
      <w:bookmarkStart w:id="22" w:name="_Toc165634647"/>
      <w:r>
        <w:t xml:space="preserve">About the </w:t>
      </w:r>
      <w:r w:rsidR="00350C28">
        <w:t>s</w:t>
      </w:r>
      <w:r>
        <w:t xml:space="preserve">pinal </w:t>
      </w:r>
      <w:r w:rsidR="00350C28">
        <w:t>c</w:t>
      </w:r>
      <w:r>
        <w:t xml:space="preserve">ord </w:t>
      </w:r>
      <w:r w:rsidR="00350C28">
        <w:t>s</w:t>
      </w:r>
      <w:r>
        <w:t xml:space="preserve">timulators </w:t>
      </w:r>
      <w:r w:rsidR="00350C28">
        <w:t>p</w:t>
      </w:r>
      <w:r>
        <w:t>ost-</w:t>
      </w:r>
      <w:r w:rsidR="00350C28">
        <w:t>l</w:t>
      </w:r>
      <w:r>
        <w:t xml:space="preserve">isting </w:t>
      </w:r>
      <w:r w:rsidR="00350C28">
        <w:t>r</w:t>
      </w:r>
      <w:r>
        <w:t>eview</w:t>
      </w:r>
      <w:bookmarkEnd w:id="21"/>
      <w:bookmarkEnd w:id="22"/>
    </w:p>
    <w:p w14:paraId="1DFA8F4F" w14:textId="3A67D594" w:rsidR="001D3C87" w:rsidRDefault="001D3C87" w:rsidP="001D3C87">
      <w:pPr>
        <w:pStyle w:val="BodyText"/>
        <w:rPr>
          <w:rFonts w:ascii="CIDFont+F1" w:eastAsia="Calibri" w:hAnsi="CIDFont+F1" w:cs="CIDFont+F1"/>
          <w:lang w:eastAsia="en-AU"/>
        </w:rPr>
      </w:pPr>
      <w:r>
        <w:rPr>
          <w:rFonts w:ascii="CIDFont+F1" w:eastAsia="Calibri" w:hAnsi="CIDFont+F1" w:cs="CIDFont+F1"/>
          <w:lang w:eastAsia="en-AU"/>
        </w:rPr>
        <w:t xml:space="preserve">Spinal </w:t>
      </w:r>
      <w:r w:rsidR="00675D74">
        <w:rPr>
          <w:rFonts w:ascii="CIDFont+F1" w:eastAsia="Calibri" w:hAnsi="CIDFont+F1" w:cs="CIDFont+F1"/>
          <w:lang w:eastAsia="en-AU"/>
        </w:rPr>
        <w:t>c</w:t>
      </w:r>
      <w:r>
        <w:rPr>
          <w:rFonts w:ascii="CIDFont+F1" w:eastAsia="Calibri" w:hAnsi="CIDFont+F1" w:cs="CIDFont+F1"/>
          <w:lang w:eastAsia="en-AU"/>
        </w:rPr>
        <w:t>ord</w:t>
      </w:r>
      <w:r w:rsidR="00675D74">
        <w:rPr>
          <w:rFonts w:ascii="CIDFont+F1" w:eastAsia="Calibri" w:hAnsi="CIDFont+F1" w:cs="CIDFont+F1"/>
          <w:lang w:eastAsia="en-AU"/>
        </w:rPr>
        <w:t xml:space="preserve"> s</w:t>
      </w:r>
      <w:r>
        <w:rPr>
          <w:rFonts w:ascii="CIDFont+F1" w:eastAsia="Calibri" w:hAnsi="CIDFont+F1" w:cs="CIDFont+F1"/>
          <w:lang w:eastAsia="en-AU"/>
        </w:rPr>
        <w:t>timulators (SCS) are contained in Pr</w:t>
      </w:r>
      <w:r w:rsidR="002F7650">
        <w:rPr>
          <w:rFonts w:ascii="CIDFont+F1" w:eastAsia="Calibri" w:hAnsi="CIDFont+F1" w:cs="CIDFont+F1"/>
          <w:lang w:eastAsia="en-AU"/>
        </w:rPr>
        <w:t>escribed</w:t>
      </w:r>
      <w:r>
        <w:rPr>
          <w:rFonts w:ascii="CIDFont+F1" w:eastAsia="Calibri" w:hAnsi="CIDFont+F1" w:cs="CIDFont+F1"/>
          <w:lang w:eastAsia="en-AU"/>
        </w:rPr>
        <w:t xml:space="preserve"> List (PL) </w:t>
      </w:r>
      <w:r w:rsidR="00762D78">
        <w:rPr>
          <w:rFonts w:ascii="CIDFont+F1" w:eastAsia="Calibri" w:hAnsi="CIDFont+F1" w:cs="CIDFont+F1"/>
          <w:lang w:eastAsia="en-AU"/>
        </w:rPr>
        <w:t>S</w:t>
      </w:r>
      <w:r w:rsidR="00063C74">
        <w:rPr>
          <w:rFonts w:ascii="CIDFont+F1" w:eastAsia="Calibri" w:hAnsi="CIDFont+F1" w:cs="CIDFont+F1"/>
          <w:lang w:eastAsia="en-AU"/>
        </w:rPr>
        <w:t>ubcategory</w:t>
      </w:r>
      <w:r>
        <w:rPr>
          <w:rFonts w:ascii="CIDFont+F1" w:eastAsia="Calibri" w:hAnsi="CIDFont+F1" w:cs="CIDFont+F1"/>
          <w:lang w:eastAsia="en-AU"/>
        </w:rPr>
        <w:t xml:space="preserve"> </w:t>
      </w:r>
      <w:r w:rsidR="00E748D0" w:rsidRPr="00E748D0">
        <w:rPr>
          <w:rFonts w:ascii="CIDFont+F1" w:eastAsia="Calibri" w:hAnsi="CIDFont+F1" w:cs="CIDFont+F1"/>
          <w:lang w:eastAsia="en-AU"/>
        </w:rPr>
        <w:t>04.05 Neurostimulation therapies for pain management</w:t>
      </w:r>
      <w:r>
        <w:rPr>
          <w:rFonts w:ascii="CIDFont+F1" w:eastAsia="Calibri" w:hAnsi="CIDFont+F1" w:cs="CIDFont+F1"/>
          <w:lang w:eastAsia="en-AU"/>
        </w:rPr>
        <w:t xml:space="preserve">. </w:t>
      </w:r>
      <w:r w:rsidRPr="00673DF3">
        <w:rPr>
          <w:rFonts w:ascii="CIDFont+F1" w:eastAsia="Calibri" w:hAnsi="CIDFont+F1" w:cs="CIDFont+F1"/>
          <w:lang w:eastAsia="en-AU"/>
        </w:rPr>
        <w:t xml:space="preserve">There </w:t>
      </w:r>
      <w:r w:rsidR="00EC1217" w:rsidRPr="00673DF3">
        <w:rPr>
          <w:rFonts w:ascii="CIDFont+F1" w:eastAsia="Calibri" w:hAnsi="CIDFont+F1" w:cs="CIDFont+F1"/>
          <w:lang w:eastAsia="en-AU"/>
        </w:rPr>
        <w:t>have</w:t>
      </w:r>
      <w:r w:rsidRPr="00673DF3">
        <w:rPr>
          <w:rFonts w:ascii="CIDFont+F1" w:eastAsia="Calibri" w:hAnsi="CIDFont+F1" w:cs="CIDFont+F1"/>
          <w:lang w:eastAsia="en-AU"/>
        </w:rPr>
        <w:t xml:space="preserve"> been no </w:t>
      </w:r>
      <w:r w:rsidR="003244C1">
        <w:rPr>
          <w:rFonts w:ascii="CIDFont+F1" w:eastAsia="Calibri" w:hAnsi="CIDFont+F1" w:cs="CIDFont+F1"/>
          <w:lang w:eastAsia="en-AU"/>
        </w:rPr>
        <w:t>h</w:t>
      </w:r>
      <w:r w:rsidRPr="00673DF3">
        <w:rPr>
          <w:rFonts w:ascii="CIDFont+F1" w:eastAsia="Calibri" w:hAnsi="CIDFont+F1" w:cs="CIDFont+F1"/>
          <w:lang w:eastAsia="en-AU"/>
        </w:rPr>
        <w:t xml:space="preserve">ealth </w:t>
      </w:r>
      <w:r w:rsidR="003244C1">
        <w:rPr>
          <w:rFonts w:ascii="CIDFont+F1" w:eastAsia="Calibri" w:hAnsi="CIDFont+F1" w:cs="CIDFont+F1"/>
          <w:lang w:eastAsia="en-AU"/>
        </w:rPr>
        <w:t>t</w:t>
      </w:r>
      <w:r w:rsidRPr="00673DF3">
        <w:rPr>
          <w:rFonts w:ascii="CIDFont+F1" w:eastAsia="Calibri" w:hAnsi="CIDFont+F1" w:cs="CIDFont+F1"/>
          <w:lang w:eastAsia="en-AU"/>
        </w:rPr>
        <w:t xml:space="preserve">echnology </w:t>
      </w:r>
      <w:r w:rsidR="003244C1">
        <w:rPr>
          <w:rFonts w:ascii="CIDFont+F1" w:eastAsia="Calibri" w:hAnsi="CIDFont+F1" w:cs="CIDFont+F1"/>
          <w:lang w:eastAsia="en-AU"/>
        </w:rPr>
        <w:t>a</w:t>
      </w:r>
      <w:r w:rsidRPr="00673DF3">
        <w:rPr>
          <w:rFonts w:ascii="CIDFont+F1" w:eastAsia="Calibri" w:hAnsi="CIDFont+F1" w:cs="CIDFont+F1"/>
          <w:lang w:eastAsia="en-AU"/>
        </w:rPr>
        <w:t>ssessment</w:t>
      </w:r>
      <w:r w:rsidR="00781B51">
        <w:rPr>
          <w:rFonts w:ascii="CIDFont+F1" w:eastAsia="Calibri" w:hAnsi="CIDFont+F1" w:cs="CIDFont+F1"/>
          <w:lang w:eastAsia="en-AU"/>
        </w:rPr>
        <w:t xml:space="preserve">s </w:t>
      </w:r>
      <w:r w:rsidRPr="00673DF3">
        <w:rPr>
          <w:rFonts w:ascii="CIDFont+F1" w:eastAsia="Calibri" w:hAnsi="CIDFont+F1" w:cs="CIDFont+F1"/>
          <w:lang w:eastAsia="en-AU"/>
        </w:rPr>
        <w:t xml:space="preserve">(HTA) conducted on </w:t>
      </w:r>
      <w:r>
        <w:rPr>
          <w:rFonts w:ascii="CIDFont+F1" w:eastAsia="Calibri" w:hAnsi="CIDFont+F1" w:cs="CIDFont+F1"/>
          <w:lang w:eastAsia="en-AU"/>
        </w:rPr>
        <w:t>SCS</w:t>
      </w:r>
      <w:r w:rsidRPr="00673DF3">
        <w:rPr>
          <w:rFonts w:ascii="CIDFont+F1" w:eastAsia="Calibri" w:hAnsi="CIDFont+F1" w:cs="CIDFont+F1"/>
          <w:lang w:eastAsia="en-AU"/>
        </w:rPr>
        <w:t>, with</w:t>
      </w:r>
      <w:r>
        <w:rPr>
          <w:rFonts w:ascii="CIDFont+F1" w:eastAsia="Calibri" w:hAnsi="CIDFont+F1" w:cs="CIDFont+F1"/>
          <w:lang w:eastAsia="en-AU"/>
        </w:rPr>
        <w:t xml:space="preserve"> </w:t>
      </w:r>
      <w:r w:rsidRPr="00673DF3">
        <w:rPr>
          <w:rFonts w:ascii="CIDFont+F1" w:eastAsia="Calibri" w:hAnsi="CIDFont+F1" w:cs="CIDFont+F1"/>
          <w:lang w:eastAsia="en-AU"/>
        </w:rPr>
        <w:t xml:space="preserve">listing of </w:t>
      </w:r>
      <w:r w:rsidR="000E4AA9">
        <w:rPr>
          <w:rFonts w:ascii="CIDFont+F1" w:eastAsia="Calibri" w:hAnsi="CIDFont+F1" w:cs="CIDFont+F1"/>
          <w:lang w:eastAsia="en-AU"/>
        </w:rPr>
        <w:t>Medicare Benefits Schedule (</w:t>
      </w:r>
      <w:r w:rsidRPr="00673DF3">
        <w:rPr>
          <w:rFonts w:ascii="CIDFont+F1" w:eastAsia="Calibri" w:hAnsi="CIDFont+F1" w:cs="CIDFont+F1"/>
          <w:lang w:eastAsia="en-AU"/>
        </w:rPr>
        <w:t>MBS</w:t>
      </w:r>
      <w:r w:rsidR="000E4AA9">
        <w:rPr>
          <w:rFonts w:ascii="CIDFont+F1" w:eastAsia="Calibri" w:hAnsi="CIDFont+F1" w:cs="CIDFont+F1"/>
          <w:lang w:eastAsia="en-AU"/>
        </w:rPr>
        <w:t>)</w:t>
      </w:r>
      <w:r w:rsidRPr="00673DF3">
        <w:rPr>
          <w:rFonts w:ascii="CIDFont+F1" w:eastAsia="Calibri" w:hAnsi="CIDFont+F1" w:cs="CIDFont+F1"/>
          <w:lang w:eastAsia="en-AU"/>
        </w:rPr>
        <w:t xml:space="preserve"> items </w:t>
      </w:r>
      <w:r w:rsidR="00AE34B7">
        <w:rPr>
          <w:rFonts w:ascii="CIDFont+F1" w:eastAsia="Calibri" w:hAnsi="CIDFont+F1" w:cs="CIDFont+F1"/>
          <w:lang w:eastAsia="en-AU"/>
        </w:rPr>
        <w:t>relating to</w:t>
      </w:r>
      <w:r w:rsidR="00AE34B7" w:rsidRPr="00673DF3">
        <w:rPr>
          <w:rFonts w:ascii="CIDFont+F1" w:eastAsia="Calibri" w:hAnsi="CIDFont+F1" w:cs="CIDFont+F1"/>
          <w:lang w:eastAsia="en-AU"/>
        </w:rPr>
        <w:t xml:space="preserve"> </w:t>
      </w:r>
      <w:r w:rsidRPr="00673DF3">
        <w:rPr>
          <w:rFonts w:ascii="CIDFont+F1" w:eastAsia="Calibri" w:hAnsi="CIDFont+F1" w:cs="CIDFont+F1"/>
          <w:lang w:eastAsia="en-AU"/>
        </w:rPr>
        <w:t>leads (insertion, repositioning, removal) and neurostimulators</w:t>
      </w:r>
      <w:r>
        <w:rPr>
          <w:rFonts w:ascii="CIDFont+F1" w:eastAsia="Calibri" w:hAnsi="CIDFont+F1" w:cs="CIDFont+F1"/>
          <w:lang w:eastAsia="en-AU"/>
        </w:rPr>
        <w:t xml:space="preserve"> </w:t>
      </w:r>
      <w:r w:rsidRPr="00673DF3">
        <w:rPr>
          <w:rFonts w:ascii="CIDFont+F1" w:eastAsia="Calibri" w:hAnsi="CIDFont+F1" w:cs="CIDFont+F1"/>
          <w:lang w:eastAsia="en-AU"/>
        </w:rPr>
        <w:t xml:space="preserve">(placement and removal) occurring prior to the inception of </w:t>
      </w:r>
      <w:r w:rsidR="00FB3D3A" w:rsidRPr="00CB347D">
        <w:t>Medical Services Advisory Committee</w:t>
      </w:r>
      <w:r w:rsidR="00FB3D3A" w:rsidRPr="00673DF3">
        <w:rPr>
          <w:rFonts w:ascii="CIDFont+F1" w:eastAsia="Calibri" w:hAnsi="CIDFont+F1" w:cs="CIDFont+F1"/>
          <w:lang w:eastAsia="en-AU"/>
        </w:rPr>
        <w:t xml:space="preserve"> </w:t>
      </w:r>
      <w:r w:rsidR="00FB3D3A">
        <w:rPr>
          <w:rFonts w:ascii="CIDFont+F1" w:eastAsia="Calibri" w:hAnsi="CIDFont+F1" w:cs="CIDFont+F1"/>
          <w:lang w:eastAsia="en-AU"/>
        </w:rPr>
        <w:t>(</w:t>
      </w:r>
      <w:r w:rsidRPr="00673DF3">
        <w:rPr>
          <w:rFonts w:ascii="CIDFont+F1" w:eastAsia="Calibri" w:hAnsi="CIDFont+F1" w:cs="CIDFont+F1"/>
          <w:lang w:eastAsia="en-AU"/>
        </w:rPr>
        <w:t>MSAC</w:t>
      </w:r>
      <w:r w:rsidR="00FB3D3A">
        <w:rPr>
          <w:rFonts w:ascii="CIDFont+F1" w:eastAsia="Calibri" w:hAnsi="CIDFont+F1" w:cs="CIDFont+F1"/>
          <w:lang w:eastAsia="en-AU"/>
        </w:rPr>
        <w:t>)</w:t>
      </w:r>
      <w:r w:rsidRPr="00673DF3">
        <w:rPr>
          <w:rFonts w:ascii="CIDFont+F1" w:eastAsia="Calibri" w:hAnsi="CIDFont+F1" w:cs="CIDFont+F1"/>
          <w:lang w:eastAsia="en-AU"/>
        </w:rPr>
        <w:t xml:space="preserve"> (</w:t>
      </w:r>
      <w:r>
        <w:rPr>
          <w:rFonts w:ascii="CIDFont+F1" w:eastAsia="Calibri" w:hAnsi="CIDFont+F1" w:cs="CIDFont+F1"/>
          <w:lang w:eastAsia="en-AU"/>
        </w:rPr>
        <w:t>e.g.,</w:t>
      </w:r>
      <w:r w:rsidRPr="00673DF3">
        <w:rPr>
          <w:rFonts w:ascii="CIDFont+F1" w:eastAsia="Calibri" w:hAnsi="CIDFont+F1" w:cs="CIDFont+F1"/>
          <w:lang w:eastAsia="en-AU"/>
        </w:rPr>
        <w:t xml:space="preserve"> Item 39134 for</w:t>
      </w:r>
      <w:r>
        <w:rPr>
          <w:rFonts w:ascii="CIDFont+F1" w:eastAsia="Calibri" w:hAnsi="CIDFont+F1" w:cs="CIDFont+F1"/>
          <w:lang w:eastAsia="en-AU"/>
        </w:rPr>
        <w:t xml:space="preserve"> </w:t>
      </w:r>
      <w:r w:rsidRPr="00673DF3">
        <w:rPr>
          <w:rFonts w:ascii="CIDFont+F1" w:eastAsia="Calibri" w:hAnsi="CIDFont+F1" w:cs="CIDFont+F1"/>
          <w:lang w:eastAsia="en-AU"/>
        </w:rPr>
        <w:t>neurostimulator placement was listed in 1993). These items, and the</w:t>
      </w:r>
      <w:r>
        <w:rPr>
          <w:rFonts w:ascii="CIDFont+F1" w:eastAsia="Calibri" w:hAnsi="CIDFont+F1" w:cs="CIDFont+F1"/>
          <w:lang w:eastAsia="en-AU"/>
        </w:rPr>
        <w:t xml:space="preserve"> PL</w:t>
      </w:r>
      <w:r w:rsidRPr="00673DF3">
        <w:rPr>
          <w:rFonts w:ascii="CIDFont+F1" w:eastAsia="Calibri" w:hAnsi="CIDFont+F1" w:cs="CIDFont+F1"/>
          <w:lang w:eastAsia="en-AU"/>
        </w:rPr>
        <w:t xml:space="preserve"> listings,</w:t>
      </w:r>
      <w:r>
        <w:rPr>
          <w:rFonts w:ascii="CIDFont+F1" w:eastAsia="Calibri" w:hAnsi="CIDFont+F1" w:cs="CIDFont+F1"/>
          <w:lang w:eastAsia="en-AU"/>
        </w:rPr>
        <w:t xml:space="preserve"> </w:t>
      </w:r>
      <w:r w:rsidRPr="00673DF3">
        <w:rPr>
          <w:rFonts w:ascii="CIDFont+F1" w:eastAsia="Calibri" w:hAnsi="CIDFont+F1" w:cs="CIDFont+F1"/>
          <w:lang w:eastAsia="en-AU"/>
        </w:rPr>
        <w:t>cover both peripheral nerve stimulation</w:t>
      </w:r>
      <w:r>
        <w:rPr>
          <w:rFonts w:ascii="CIDFont+F1" w:eastAsia="Calibri" w:hAnsi="CIDFont+F1" w:cs="CIDFont+F1"/>
          <w:lang w:eastAsia="en-AU"/>
        </w:rPr>
        <w:t xml:space="preserve"> (PNS)</w:t>
      </w:r>
      <w:r w:rsidRPr="00673DF3">
        <w:rPr>
          <w:rFonts w:ascii="CIDFont+F1" w:eastAsia="Calibri" w:hAnsi="CIDFont+F1" w:cs="CIDFont+F1"/>
          <w:lang w:eastAsia="en-AU"/>
        </w:rPr>
        <w:t xml:space="preserve"> (via peripheral nerve lead placement, Item</w:t>
      </w:r>
      <w:r w:rsidR="00CA4E17">
        <w:rPr>
          <w:rFonts w:ascii="CIDFont+F1" w:eastAsia="Calibri" w:hAnsi="CIDFont+F1" w:cs="CIDFont+F1"/>
          <w:lang w:eastAsia="en-AU"/>
        </w:rPr>
        <w:t>s 3912</w:t>
      </w:r>
      <w:r w:rsidR="003B10B2">
        <w:rPr>
          <w:rFonts w:ascii="CIDFont+F1" w:eastAsia="Calibri" w:hAnsi="CIDFont+F1" w:cs="CIDFont+F1"/>
          <w:lang w:eastAsia="en-AU"/>
        </w:rPr>
        <w:t>9</w:t>
      </w:r>
      <w:r w:rsidR="00CA4E17">
        <w:rPr>
          <w:rFonts w:ascii="CIDFont+F1" w:eastAsia="Calibri" w:hAnsi="CIDFont+F1" w:cs="CIDFont+F1"/>
          <w:lang w:eastAsia="en-AU"/>
        </w:rPr>
        <w:t xml:space="preserve"> and</w:t>
      </w:r>
      <w:r w:rsidRPr="00673DF3">
        <w:rPr>
          <w:rFonts w:ascii="CIDFont+F1" w:eastAsia="Calibri" w:hAnsi="CIDFont+F1" w:cs="CIDFont+F1"/>
          <w:lang w:eastAsia="en-AU"/>
        </w:rPr>
        <w:t xml:space="preserve"> 39138) and</w:t>
      </w:r>
      <w:r>
        <w:rPr>
          <w:rFonts w:ascii="CIDFont+F1" w:eastAsia="Calibri" w:hAnsi="CIDFont+F1" w:cs="CIDFont+F1"/>
          <w:lang w:eastAsia="en-AU"/>
        </w:rPr>
        <w:t xml:space="preserve"> </w:t>
      </w:r>
      <w:r w:rsidR="00583A5C">
        <w:rPr>
          <w:rFonts w:ascii="CIDFont+F1" w:eastAsia="Calibri" w:hAnsi="CIDFont+F1" w:cs="CIDFont+F1"/>
          <w:lang w:eastAsia="en-AU"/>
        </w:rPr>
        <w:t>SCS</w:t>
      </w:r>
      <w:r w:rsidRPr="00673DF3">
        <w:rPr>
          <w:rFonts w:ascii="CIDFont+F1" w:eastAsia="Calibri" w:hAnsi="CIDFont+F1" w:cs="CIDFont+F1"/>
          <w:lang w:eastAsia="en-AU"/>
        </w:rPr>
        <w:t xml:space="preserve"> (via epidural lead placement, Item</w:t>
      </w:r>
      <w:r w:rsidR="00A84C76">
        <w:rPr>
          <w:rFonts w:ascii="CIDFont+F1" w:eastAsia="Calibri" w:hAnsi="CIDFont+F1" w:cs="CIDFont+F1"/>
          <w:lang w:eastAsia="en-AU"/>
        </w:rPr>
        <w:t>s</w:t>
      </w:r>
      <w:r w:rsidRPr="00673DF3">
        <w:rPr>
          <w:rFonts w:ascii="CIDFont+F1" w:eastAsia="Calibri" w:hAnsi="CIDFont+F1" w:cs="CIDFont+F1"/>
          <w:lang w:eastAsia="en-AU"/>
        </w:rPr>
        <w:t xml:space="preserve"> 39139</w:t>
      </w:r>
      <w:r w:rsidR="00A84C76">
        <w:rPr>
          <w:rFonts w:ascii="CIDFont+F1" w:eastAsia="Calibri" w:hAnsi="CIDFont+F1" w:cs="CIDFont+F1"/>
          <w:lang w:eastAsia="en-AU"/>
        </w:rPr>
        <w:t xml:space="preserve"> and </w:t>
      </w:r>
      <w:r w:rsidR="00082FF7">
        <w:rPr>
          <w:rFonts w:ascii="CIDFont+F1" w:eastAsia="Calibri" w:hAnsi="CIDFont+F1" w:cs="CIDFont+F1"/>
          <w:lang w:eastAsia="en-AU"/>
        </w:rPr>
        <w:t>39130</w:t>
      </w:r>
      <w:r w:rsidRPr="00673DF3">
        <w:rPr>
          <w:rFonts w:ascii="CIDFont+F1" w:eastAsia="Calibri" w:hAnsi="CIDFont+F1" w:cs="CIDFont+F1"/>
          <w:lang w:eastAsia="en-AU"/>
        </w:rPr>
        <w:t>).</w:t>
      </w:r>
    </w:p>
    <w:p w14:paraId="3BA74FF4" w14:textId="115D55D7" w:rsidR="001D3C87" w:rsidRDefault="001D3C87" w:rsidP="001D3C87">
      <w:pPr>
        <w:pStyle w:val="Heading3"/>
      </w:pPr>
      <w:bookmarkStart w:id="23" w:name="_Toc126153505"/>
      <w:bookmarkStart w:id="24" w:name="_Ref134643744"/>
      <w:bookmarkStart w:id="25" w:name="_Ref134643750"/>
      <w:bookmarkStart w:id="26" w:name="_Ref134797668"/>
      <w:bookmarkStart w:id="27" w:name="_Toc165634648"/>
      <w:r>
        <w:t>Wh</w:t>
      </w:r>
      <w:r w:rsidR="00350C28">
        <w:t>y review spinal cord stimulators</w:t>
      </w:r>
      <w:r>
        <w:t>?</w:t>
      </w:r>
      <w:bookmarkEnd w:id="23"/>
      <w:bookmarkEnd w:id="24"/>
      <w:bookmarkEnd w:id="25"/>
      <w:bookmarkEnd w:id="26"/>
      <w:bookmarkEnd w:id="27"/>
    </w:p>
    <w:p w14:paraId="25E6F6FD" w14:textId="3C58DFA2" w:rsidR="00184AED" w:rsidRPr="001D3C87" w:rsidRDefault="001D3C87" w:rsidP="00110962">
      <w:pPr>
        <w:pStyle w:val="BodyText"/>
      </w:pPr>
      <w:r>
        <w:t>A review based on analysis of Therapeutic Goods Association (TGA) adverse events (AEs) data raised concerns about long</w:t>
      </w:r>
      <w:r w:rsidR="00343C1A">
        <w:t>-</w:t>
      </w:r>
      <w:r>
        <w:t>term safety and effectiveness</w:t>
      </w:r>
      <w:r w:rsidR="000C02C4">
        <w:t xml:space="preserve"> (Jones </w:t>
      </w:r>
      <w:r w:rsidR="001B6544">
        <w:t xml:space="preserve">et al. </w:t>
      </w:r>
      <w:r w:rsidR="000C02C4">
        <w:t>2022)</w:t>
      </w:r>
      <w:r>
        <w:t>. Whilst expenditure on SCS pulse generators (04.05.01 Pulse Generators) has been relatively stable since 2016 (~$30 million per year), they are a large expense in the Neurosurgical Category of the PL, with a total annual expenditure of ~$55-60 million.</w:t>
      </w:r>
    </w:p>
    <w:p w14:paraId="7F7C2F39" w14:textId="65FE9F4F" w:rsidR="001D3C87" w:rsidRDefault="00697099" w:rsidP="00697099">
      <w:pPr>
        <w:pStyle w:val="Heading3"/>
      </w:pPr>
      <w:bookmarkStart w:id="28" w:name="_Toc126153507"/>
      <w:bookmarkStart w:id="29" w:name="_Toc165634649"/>
      <w:r>
        <w:t xml:space="preserve">Undertaking </w:t>
      </w:r>
      <w:r w:rsidR="006B7CF8">
        <w:t>the post-listing review</w:t>
      </w:r>
      <w:bookmarkEnd w:id="28"/>
      <w:bookmarkEnd w:id="29"/>
    </w:p>
    <w:p w14:paraId="4AD5311C" w14:textId="055726D6" w:rsidR="00697099" w:rsidRDefault="00697099" w:rsidP="00DD260A">
      <w:pPr>
        <w:pStyle w:val="Heading4"/>
      </w:pPr>
      <w:r>
        <w:t>Analysis and evaluation of scientific literature, utilisation data</w:t>
      </w:r>
      <w:r w:rsidR="00E86ECE">
        <w:t>,</w:t>
      </w:r>
      <w:r>
        <w:t xml:space="preserve"> and additional relevant information</w:t>
      </w:r>
    </w:p>
    <w:p w14:paraId="4204B3A0" w14:textId="57F8696D" w:rsidR="00697099" w:rsidRDefault="00697099" w:rsidP="00697099">
      <w:pPr>
        <w:pStyle w:val="BodyText"/>
      </w:pPr>
      <w:r>
        <w:t>Health Research Consulting (</w:t>
      </w:r>
      <w:proofErr w:type="spellStart"/>
      <w:r>
        <w:t>hereco</w:t>
      </w:r>
      <w:proofErr w:type="spellEnd"/>
      <w:r>
        <w:t xml:space="preserve">) was contracted by </w:t>
      </w:r>
      <w:proofErr w:type="spellStart"/>
      <w:r w:rsidR="00350C28">
        <w:t>DoHAC</w:t>
      </w:r>
      <w:proofErr w:type="spellEnd"/>
      <w:r>
        <w:t xml:space="preserve"> to undertake the analysis and evaluation of the evidence. This review has been undertaken, in accordance with the ‘</w:t>
      </w:r>
      <w:r w:rsidRPr="00645027">
        <w:t xml:space="preserve">PL Guide to </w:t>
      </w:r>
      <w:r>
        <w:t>L</w:t>
      </w:r>
      <w:r w:rsidRPr="00645027">
        <w:t xml:space="preserve">isting and </w:t>
      </w:r>
      <w:r>
        <w:t>S</w:t>
      </w:r>
      <w:r w:rsidRPr="00645027">
        <w:t xml:space="preserve">etting </w:t>
      </w:r>
      <w:r>
        <w:t>B</w:t>
      </w:r>
      <w:r w:rsidRPr="00645027">
        <w:t xml:space="preserve">enefits for </w:t>
      </w:r>
      <w:r>
        <w:t>P</w:t>
      </w:r>
      <w:r w:rsidRPr="00645027">
        <w:t>rostheses</w:t>
      </w:r>
      <w:r>
        <w:t>’, to assess the comparative clinical effectiveness and cost</w:t>
      </w:r>
      <w:r w:rsidR="00643CD1">
        <w:t>-</w:t>
      </w:r>
      <w:r>
        <w:t xml:space="preserve">effectiveness of SCS, to review clinical practice guidelines for patient selection and management, and to advise the </w:t>
      </w:r>
      <w:proofErr w:type="spellStart"/>
      <w:r>
        <w:t>DoHAC</w:t>
      </w:r>
      <w:proofErr w:type="spellEnd"/>
      <w:r>
        <w:t xml:space="preserve"> on appropriate policy considerations for the continued investment of SCS listed on the PL.</w:t>
      </w:r>
    </w:p>
    <w:p w14:paraId="496BE17C" w14:textId="4E9499C8" w:rsidR="00697099" w:rsidRDefault="00697099" w:rsidP="00697099">
      <w:pPr>
        <w:pStyle w:val="BodyText"/>
      </w:pPr>
      <w:r>
        <w:t>The included services of this</w:t>
      </w:r>
      <w:r w:rsidR="00A677C6">
        <w:t xml:space="preserve"> review can be found in </w:t>
      </w:r>
      <w:r w:rsidR="00AA3C83">
        <w:fldChar w:fldCharType="begin"/>
      </w:r>
      <w:r w:rsidR="00AA3C83">
        <w:instrText xml:space="preserve"> REF _Ref134643641 \h </w:instrText>
      </w:r>
      <w:r w:rsidR="00AA3C83">
        <w:fldChar w:fldCharType="separate"/>
      </w:r>
      <w:r w:rsidR="00CE6ACA">
        <w:t xml:space="preserve">Table </w:t>
      </w:r>
      <w:r w:rsidR="00CE6ACA">
        <w:rPr>
          <w:noProof/>
        </w:rPr>
        <w:t>1</w:t>
      </w:r>
      <w:r w:rsidR="00AA3C83">
        <w:fldChar w:fldCharType="end"/>
      </w:r>
      <w:r w:rsidR="00A677C6">
        <w:t>.</w:t>
      </w:r>
    </w:p>
    <w:p w14:paraId="60561D32" w14:textId="21FF7B1C" w:rsidR="00A677C6" w:rsidRPr="005C345D" w:rsidRDefault="00740A30" w:rsidP="00740A30">
      <w:pPr>
        <w:pStyle w:val="Caption"/>
      </w:pPr>
      <w:bookmarkStart w:id="30" w:name="_Ref134643641"/>
      <w:r>
        <w:t>Table</w:t>
      </w:r>
      <w:r w:rsidR="00A677C6">
        <w:t xml:space="preserve"> </w:t>
      </w:r>
      <w:r>
        <w:fldChar w:fldCharType="begin"/>
      </w:r>
      <w:r>
        <w:instrText>SEQ Table \* ARABIC</w:instrText>
      </w:r>
      <w:r>
        <w:fldChar w:fldCharType="separate"/>
      </w:r>
      <w:r w:rsidR="00CE6ACA">
        <w:rPr>
          <w:noProof/>
        </w:rPr>
        <w:t>1</w:t>
      </w:r>
      <w:r>
        <w:fldChar w:fldCharType="end"/>
      </w:r>
      <w:bookmarkEnd w:id="30"/>
      <w:r w:rsidR="00A677C6">
        <w:tab/>
        <w:t xml:space="preserve">Services to be provided in this </w:t>
      </w:r>
      <w:r w:rsidR="009D7D0A">
        <w:t>PLR</w:t>
      </w:r>
    </w:p>
    <w:tbl>
      <w:tblPr>
        <w:tblStyle w:val="TableGrid"/>
        <w:tblW w:w="0" w:type="auto"/>
        <w:tblLook w:val="04A0" w:firstRow="1" w:lastRow="0" w:firstColumn="1" w:lastColumn="0" w:noHBand="0" w:noVBand="1"/>
        <w:tblCaption w:val="Services to be provided for this post listing review"/>
        <w:tblDescription w:val="Table shows the six services to be provided in this post listing review"/>
      </w:tblPr>
      <w:tblGrid>
        <w:gridCol w:w="846"/>
        <w:gridCol w:w="8782"/>
      </w:tblGrid>
      <w:tr w:rsidR="003B4EF3" w:rsidRPr="004B64DB" w14:paraId="4BB9D33D" w14:textId="77777777">
        <w:trPr>
          <w:cnfStyle w:val="100000000000" w:firstRow="1" w:lastRow="0" w:firstColumn="0" w:lastColumn="0" w:oddVBand="0" w:evenVBand="0" w:oddHBand="0" w:evenHBand="0" w:firstRowFirstColumn="0" w:firstRowLastColumn="0" w:lastRowFirstColumn="0" w:lastRowLastColumn="0"/>
        </w:trPr>
        <w:tc>
          <w:tcPr>
            <w:tcW w:w="846" w:type="dxa"/>
          </w:tcPr>
          <w:p w14:paraId="38C9EE79" w14:textId="77777777" w:rsidR="003B4EF3" w:rsidRPr="004B64DB" w:rsidRDefault="003B4EF3" w:rsidP="006206EA">
            <w:pPr>
              <w:pStyle w:val="011TableHeading8pt"/>
              <w:rPr>
                <w:sz w:val="18"/>
                <w:szCs w:val="18"/>
                <w:lang w:eastAsia="zh-CN" w:bidi="th-TH"/>
              </w:rPr>
            </w:pPr>
            <w:r w:rsidRPr="004B64DB">
              <w:rPr>
                <w:sz w:val="18"/>
                <w:szCs w:val="18"/>
                <w:lang w:eastAsia="zh-CN" w:bidi="th-TH"/>
              </w:rPr>
              <w:t xml:space="preserve">Service </w:t>
            </w:r>
          </w:p>
        </w:tc>
        <w:tc>
          <w:tcPr>
            <w:tcW w:w="8782" w:type="dxa"/>
          </w:tcPr>
          <w:p w14:paraId="35CE7060" w14:textId="77777777" w:rsidR="003B4EF3" w:rsidRPr="004B64DB" w:rsidRDefault="003B4EF3" w:rsidP="006206EA">
            <w:pPr>
              <w:pStyle w:val="011TableHeading8pt"/>
              <w:rPr>
                <w:sz w:val="18"/>
                <w:szCs w:val="18"/>
                <w:lang w:eastAsia="zh-CN" w:bidi="th-TH"/>
              </w:rPr>
            </w:pPr>
            <w:r w:rsidRPr="004B64DB">
              <w:rPr>
                <w:sz w:val="18"/>
                <w:szCs w:val="18"/>
                <w:lang w:eastAsia="zh-CN" w:bidi="th-TH"/>
              </w:rPr>
              <w:t xml:space="preserve">Description </w:t>
            </w:r>
          </w:p>
        </w:tc>
      </w:tr>
      <w:tr w:rsidR="003B4EF3" w:rsidRPr="004B64DB" w14:paraId="35E3A23C" w14:textId="77777777">
        <w:tc>
          <w:tcPr>
            <w:tcW w:w="846" w:type="dxa"/>
          </w:tcPr>
          <w:p w14:paraId="32E9A620" w14:textId="77777777" w:rsidR="003B4EF3" w:rsidRPr="004B64DB" w:rsidRDefault="003B4EF3" w:rsidP="005A0F5C">
            <w:pPr>
              <w:pStyle w:val="051Tabletext2210pt"/>
              <w:rPr>
                <w:sz w:val="18"/>
                <w:szCs w:val="18"/>
                <w:lang w:eastAsia="zh-CN" w:bidi="th-TH"/>
              </w:rPr>
            </w:pPr>
            <w:r w:rsidRPr="004B64DB">
              <w:rPr>
                <w:sz w:val="18"/>
                <w:szCs w:val="18"/>
                <w:lang w:eastAsia="zh-CN" w:bidi="th-TH"/>
              </w:rPr>
              <w:t>1.</w:t>
            </w:r>
          </w:p>
        </w:tc>
        <w:tc>
          <w:tcPr>
            <w:tcW w:w="8782" w:type="dxa"/>
          </w:tcPr>
          <w:p w14:paraId="4896E0BB" w14:textId="77777777" w:rsidR="003B4EF3" w:rsidRPr="004B64DB" w:rsidRDefault="003B4EF3" w:rsidP="005A0F5C">
            <w:pPr>
              <w:pStyle w:val="051Tabletext2210pt"/>
              <w:rPr>
                <w:rFonts w:eastAsia="Batang"/>
                <w:sz w:val="18"/>
                <w:szCs w:val="18"/>
                <w:lang w:eastAsia="en-AU"/>
              </w:rPr>
            </w:pPr>
            <w:r w:rsidRPr="004B64DB">
              <w:rPr>
                <w:rFonts w:eastAsia="Batang"/>
                <w:sz w:val="18"/>
                <w:szCs w:val="18"/>
                <w:lang w:eastAsia="en-AU"/>
              </w:rPr>
              <w:t>Determine which devices are in scope:</w:t>
            </w:r>
          </w:p>
          <w:p w14:paraId="5F384E3B" w14:textId="1C4DB64C" w:rsidR="003B4EF3" w:rsidRPr="004B64DB" w:rsidRDefault="003B4EF3" w:rsidP="005A0F5C">
            <w:pPr>
              <w:pStyle w:val="071Tablebullet8pt"/>
              <w:rPr>
                <w:rFonts w:eastAsia="Batang"/>
                <w:sz w:val="18"/>
                <w:szCs w:val="18"/>
                <w:lang w:eastAsia="en-AU"/>
              </w:rPr>
            </w:pPr>
            <w:r w:rsidRPr="004B64DB">
              <w:rPr>
                <w:rFonts w:eastAsia="Batang"/>
                <w:sz w:val="18"/>
                <w:szCs w:val="18"/>
                <w:lang w:eastAsia="en-AU"/>
              </w:rPr>
              <w:t xml:space="preserve">Review the devices listed in the PL </w:t>
            </w:r>
            <w:r w:rsidR="00762D78">
              <w:rPr>
                <w:rFonts w:eastAsia="Batang"/>
                <w:sz w:val="18"/>
                <w:szCs w:val="18"/>
                <w:lang w:eastAsia="en-AU"/>
              </w:rPr>
              <w:t>S</w:t>
            </w:r>
            <w:r w:rsidRPr="004B64DB">
              <w:rPr>
                <w:rFonts w:eastAsia="Batang"/>
                <w:sz w:val="18"/>
                <w:szCs w:val="18"/>
                <w:lang w:eastAsia="en-AU"/>
              </w:rPr>
              <w:t xml:space="preserve">ubcategory - </w:t>
            </w:r>
            <w:r w:rsidRPr="004B64DB">
              <w:rPr>
                <w:rFonts w:eastAsia="Batang"/>
                <w:i/>
                <w:sz w:val="18"/>
                <w:szCs w:val="18"/>
                <w:lang w:eastAsia="en-AU"/>
              </w:rPr>
              <w:t>04.05 Neurostimulation therapies for pain management</w:t>
            </w:r>
            <w:r w:rsidRPr="004B64DB">
              <w:rPr>
                <w:rFonts w:eastAsia="Batang"/>
                <w:sz w:val="18"/>
                <w:szCs w:val="18"/>
                <w:lang w:eastAsia="en-AU"/>
              </w:rPr>
              <w:t xml:space="preserve"> to identify those that are used or can be used for spinal cord stimulation and excluding peripheral, sacral and vagal nerve stimulators</w:t>
            </w:r>
          </w:p>
          <w:p w14:paraId="0E1E27A5" w14:textId="77777777" w:rsidR="003B4EF3" w:rsidRPr="004B64DB" w:rsidRDefault="003B4EF3" w:rsidP="005A0F5C">
            <w:pPr>
              <w:pStyle w:val="071Tablebullet8pt"/>
              <w:rPr>
                <w:rFonts w:eastAsia="Batang"/>
                <w:sz w:val="18"/>
                <w:szCs w:val="18"/>
                <w:lang w:eastAsia="en-AU"/>
              </w:rPr>
            </w:pPr>
            <w:r w:rsidRPr="004B64DB">
              <w:rPr>
                <w:rFonts w:eastAsia="Batang"/>
                <w:sz w:val="18"/>
                <w:szCs w:val="18"/>
                <w:lang w:eastAsia="en-AU"/>
              </w:rPr>
              <w:t>Review the PLRT Utilisation Review of Spinal Cord Stimulators (incorporates Case Mix and MBS data) and accompanying agenda item provided to May 2022 PLAC and a copy of the PLAC advice</w:t>
            </w:r>
          </w:p>
        </w:tc>
      </w:tr>
      <w:tr w:rsidR="003B4EF3" w:rsidRPr="004B64DB" w14:paraId="15F07861" w14:textId="77777777">
        <w:tc>
          <w:tcPr>
            <w:tcW w:w="846" w:type="dxa"/>
          </w:tcPr>
          <w:p w14:paraId="78D3A199" w14:textId="77777777" w:rsidR="003B4EF3" w:rsidRPr="004B64DB" w:rsidRDefault="003B4EF3" w:rsidP="005A0F5C">
            <w:pPr>
              <w:pStyle w:val="051Tabletext2210pt"/>
              <w:rPr>
                <w:sz w:val="18"/>
                <w:szCs w:val="18"/>
                <w:lang w:eastAsia="zh-CN" w:bidi="th-TH"/>
              </w:rPr>
            </w:pPr>
            <w:r w:rsidRPr="004B64DB">
              <w:rPr>
                <w:sz w:val="18"/>
                <w:szCs w:val="18"/>
                <w:lang w:eastAsia="zh-CN" w:bidi="th-TH"/>
              </w:rPr>
              <w:lastRenderedPageBreak/>
              <w:t xml:space="preserve">2. </w:t>
            </w:r>
          </w:p>
        </w:tc>
        <w:tc>
          <w:tcPr>
            <w:tcW w:w="8782" w:type="dxa"/>
          </w:tcPr>
          <w:p w14:paraId="69EB678F" w14:textId="00742654" w:rsidR="003B4EF3" w:rsidRPr="004B64DB" w:rsidRDefault="003B4EF3" w:rsidP="006206EA">
            <w:pPr>
              <w:pStyle w:val="051Tabletext228pt"/>
              <w:rPr>
                <w:sz w:val="18"/>
                <w:szCs w:val="18"/>
                <w:lang w:eastAsia="zh-CN" w:bidi="th-TH"/>
              </w:rPr>
            </w:pPr>
            <w:r w:rsidRPr="004B64DB">
              <w:rPr>
                <w:sz w:val="18"/>
                <w:szCs w:val="18"/>
                <w:lang w:eastAsia="zh-CN" w:bidi="th-TH"/>
              </w:rPr>
              <w:t xml:space="preserve">Assess the comparative clinical effectiveness of </w:t>
            </w:r>
            <w:r w:rsidR="00D75127">
              <w:rPr>
                <w:sz w:val="18"/>
                <w:szCs w:val="18"/>
                <w:lang w:eastAsia="zh-CN" w:bidi="th-TH"/>
              </w:rPr>
              <w:t>SCS</w:t>
            </w:r>
            <w:r w:rsidRPr="004B64DB">
              <w:rPr>
                <w:sz w:val="18"/>
                <w:szCs w:val="18"/>
                <w:lang w:eastAsia="zh-CN" w:bidi="th-TH"/>
              </w:rPr>
              <w:t xml:space="preserve"> compared to standard care, or alternative therapeutic approaches:</w:t>
            </w:r>
          </w:p>
          <w:p w14:paraId="06F0D842" w14:textId="6C57480A" w:rsidR="003B4EF3" w:rsidRPr="004B64DB" w:rsidRDefault="003B4EF3" w:rsidP="00305BF0">
            <w:pPr>
              <w:pStyle w:val="071Tablebullet8pt"/>
              <w:rPr>
                <w:sz w:val="18"/>
                <w:szCs w:val="18"/>
                <w:lang w:eastAsia="zh-CN" w:bidi="th-TH"/>
              </w:rPr>
            </w:pPr>
            <w:r w:rsidRPr="004B64DB">
              <w:rPr>
                <w:sz w:val="18"/>
                <w:szCs w:val="18"/>
                <w:lang w:eastAsia="zh-CN" w:bidi="th-TH"/>
              </w:rPr>
              <w:t xml:space="preserve">Review the following key documents provided by </w:t>
            </w:r>
            <w:proofErr w:type="spellStart"/>
            <w:r w:rsidRPr="004B64DB">
              <w:rPr>
                <w:sz w:val="18"/>
                <w:szCs w:val="18"/>
                <w:lang w:eastAsia="zh-CN" w:bidi="th-TH"/>
              </w:rPr>
              <w:t>D</w:t>
            </w:r>
            <w:r w:rsidR="00E821B4">
              <w:rPr>
                <w:sz w:val="18"/>
                <w:szCs w:val="18"/>
                <w:lang w:eastAsia="zh-CN" w:bidi="th-TH"/>
              </w:rPr>
              <w:t>o</w:t>
            </w:r>
            <w:r w:rsidRPr="004B64DB">
              <w:rPr>
                <w:sz w:val="18"/>
                <w:szCs w:val="18"/>
                <w:lang w:eastAsia="zh-CN" w:bidi="th-TH"/>
              </w:rPr>
              <w:t>HAC</w:t>
            </w:r>
            <w:proofErr w:type="spellEnd"/>
            <w:r w:rsidRPr="004B64DB">
              <w:rPr>
                <w:sz w:val="18"/>
                <w:szCs w:val="18"/>
                <w:lang w:eastAsia="zh-CN" w:bidi="th-TH"/>
              </w:rPr>
              <w:t>:</w:t>
            </w:r>
          </w:p>
          <w:p w14:paraId="60A50064" w14:textId="77777777" w:rsidR="003B4EF3" w:rsidRPr="004B64DB" w:rsidRDefault="003B4EF3" w:rsidP="00A26096">
            <w:pPr>
              <w:pStyle w:val="071Tablebullet8pt"/>
              <w:numPr>
                <w:ilvl w:val="1"/>
                <w:numId w:val="3"/>
              </w:numPr>
              <w:rPr>
                <w:rFonts w:eastAsia="Batang"/>
                <w:sz w:val="18"/>
                <w:szCs w:val="18"/>
                <w:lang w:eastAsia="en-AU"/>
              </w:rPr>
            </w:pPr>
            <w:r w:rsidRPr="004B64DB">
              <w:rPr>
                <w:rFonts w:eastAsia="Batang"/>
                <w:sz w:val="18"/>
                <w:szCs w:val="18"/>
                <w:lang w:eastAsia="en-AU"/>
              </w:rPr>
              <w:t>Information and submissions from sponsors</w:t>
            </w:r>
          </w:p>
          <w:p w14:paraId="350CE0CF" w14:textId="77777777" w:rsidR="003B4EF3" w:rsidRPr="004B64DB" w:rsidRDefault="003B4EF3" w:rsidP="00A26096">
            <w:pPr>
              <w:pStyle w:val="071Tablebullet8pt"/>
              <w:numPr>
                <w:ilvl w:val="1"/>
                <w:numId w:val="3"/>
              </w:numPr>
              <w:rPr>
                <w:rFonts w:eastAsia="Batang"/>
                <w:sz w:val="18"/>
                <w:szCs w:val="18"/>
                <w:lang w:eastAsia="en-AU"/>
              </w:rPr>
            </w:pPr>
            <w:r w:rsidRPr="004B64DB">
              <w:rPr>
                <w:rFonts w:eastAsia="Batang"/>
                <w:sz w:val="18"/>
                <w:szCs w:val="18"/>
                <w:lang w:eastAsia="en-AU"/>
              </w:rPr>
              <w:t>Information and submissions from stakeholders (including relevant clinical guidelines)</w:t>
            </w:r>
          </w:p>
          <w:p w14:paraId="4A192EEE" w14:textId="50524F29" w:rsidR="003B4EF3" w:rsidRPr="004B64DB" w:rsidRDefault="003B4EF3" w:rsidP="00A26096">
            <w:pPr>
              <w:pStyle w:val="071Tablebullet8pt"/>
              <w:numPr>
                <w:ilvl w:val="1"/>
                <w:numId w:val="3"/>
              </w:numPr>
              <w:rPr>
                <w:rFonts w:eastAsia="Batang"/>
                <w:sz w:val="18"/>
                <w:szCs w:val="18"/>
                <w:lang w:eastAsia="en-AU"/>
              </w:rPr>
            </w:pPr>
            <w:r w:rsidRPr="004B64DB">
              <w:rPr>
                <w:rFonts w:eastAsia="Batang"/>
                <w:sz w:val="18"/>
                <w:szCs w:val="18"/>
                <w:lang w:eastAsia="en-AU"/>
              </w:rPr>
              <w:t>The T</w:t>
            </w:r>
            <w:r w:rsidR="00D75127">
              <w:rPr>
                <w:rFonts w:eastAsia="Batang"/>
                <w:sz w:val="18"/>
                <w:szCs w:val="18"/>
                <w:lang w:eastAsia="en-AU"/>
              </w:rPr>
              <w:t>GA</w:t>
            </w:r>
            <w:r w:rsidRPr="004B64DB">
              <w:rPr>
                <w:rFonts w:eastAsia="Batang"/>
                <w:sz w:val="18"/>
                <w:szCs w:val="18"/>
                <w:lang w:eastAsia="en-AU"/>
              </w:rPr>
              <w:t xml:space="preserve"> literature review that forms part of the TGA’s post</w:t>
            </w:r>
            <w:r w:rsidR="004026AB">
              <w:rPr>
                <w:rFonts w:eastAsia="Batang"/>
                <w:sz w:val="18"/>
                <w:szCs w:val="18"/>
                <w:lang w:eastAsia="en-AU"/>
              </w:rPr>
              <w:t>-</w:t>
            </w:r>
            <w:r w:rsidRPr="004B64DB">
              <w:rPr>
                <w:rFonts w:eastAsia="Batang"/>
                <w:sz w:val="18"/>
                <w:szCs w:val="18"/>
                <w:lang w:eastAsia="en-AU"/>
              </w:rPr>
              <w:t xml:space="preserve">market review of </w:t>
            </w:r>
            <w:r w:rsidR="00D75127">
              <w:rPr>
                <w:rFonts w:eastAsia="Batang"/>
                <w:sz w:val="18"/>
                <w:szCs w:val="18"/>
                <w:lang w:eastAsia="en-AU"/>
              </w:rPr>
              <w:t>SCS</w:t>
            </w:r>
            <w:r w:rsidRPr="004B64DB">
              <w:rPr>
                <w:rFonts w:eastAsia="Batang"/>
                <w:sz w:val="18"/>
                <w:szCs w:val="18"/>
                <w:lang w:eastAsia="en-AU"/>
              </w:rPr>
              <w:t xml:space="preserve"> (which incorporates key literature including the 2021 Cochrane review: </w:t>
            </w:r>
            <w:hyperlink r:id="rId15" w:history="1">
              <w:r w:rsidRPr="004B64DB">
                <w:rPr>
                  <w:rStyle w:val="051Tabletext228ptChar"/>
                  <w:rFonts w:eastAsia="Batang"/>
                  <w:sz w:val="18"/>
                  <w:szCs w:val="18"/>
                </w:rPr>
                <w:t>Implanted spinal neuromodulation interventions for chronic pain in adults</w:t>
              </w:r>
            </w:hyperlink>
            <w:r w:rsidRPr="004B64DB">
              <w:rPr>
                <w:rFonts w:eastAsia="Batang"/>
                <w:sz w:val="18"/>
                <w:szCs w:val="18"/>
                <w:lang w:eastAsia="en-AU"/>
              </w:rPr>
              <w:t>) and further TGA updates as available</w:t>
            </w:r>
          </w:p>
          <w:p w14:paraId="432A301C" w14:textId="097F81EB" w:rsidR="003B4EF3" w:rsidRPr="004B64DB" w:rsidRDefault="003B4EF3" w:rsidP="00A26096">
            <w:pPr>
              <w:pStyle w:val="071Tablebullet8pt"/>
              <w:numPr>
                <w:ilvl w:val="1"/>
                <w:numId w:val="3"/>
              </w:numPr>
              <w:rPr>
                <w:rFonts w:eastAsia="Batang"/>
                <w:sz w:val="18"/>
                <w:szCs w:val="18"/>
                <w:lang w:eastAsia="en-AU"/>
              </w:rPr>
            </w:pPr>
            <w:r w:rsidRPr="004B64DB">
              <w:rPr>
                <w:rFonts w:eastAsia="Batang"/>
                <w:sz w:val="18"/>
                <w:szCs w:val="18"/>
                <w:lang w:eastAsia="en-AU"/>
              </w:rPr>
              <w:t xml:space="preserve">The 2022 Cochrane review: </w:t>
            </w:r>
            <w:hyperlink r:id="rId16" w:history="1">
              <w:r w:rsidRPr="004B64DB">
                <w:rPr>
                  <w:rStyle w:val="051Tabletext228ptChar"/>
                  <w:rFonts w:eastAsia="Batang"/>
                  <w:sz w:val="18"/>
                  <w:szCs w:val="18"/>
                </w:rPr>
                <w:t>Spinal cord stimulation for low back pain</w:t>
              </w:r>
            </w:hyperlink>
            <w:r w:rsidRPr="004B64DB">
              <w:rPr>
                <w:rFonts w:eastAsia="Batang"/>
                <w:sz w:val="18"/>
                <w:szCs w:val="18"/>
                <w:lang w:eastAsia="en-AU"/>
              </w:rPr>
              <w:t xml:space="preserve"> if/when it becomes available</w:t>
            </w:r>
          </w:p>
          <w:p w14:paraId="44847F3C" w14:textId="77777777" w:rsidR="003B4EF3" w:rsidRPr="004B64DB" w:rsidRDefault="003B4EF3" w:rsidP="00305BF0">
            <w:pPr>
              <w:pStyle w:val="071Tablebullet8pt"/>
              <w:rPr>
                <w:rFonts w:eastAsia="Batang"/>
                <w:sz w:val="18"/>
                <w:szCs w:val="18"/>
                <w:lang w:eastAsia="en-AU"/>
              </w:rPr>
            </w:pPr>
            <w:r w:rsidRPr="004B64DB">
              <w:rPr>
                <w:rFonts w:eastAsia="Batang"/>
                <w:sz w:val="18"/>
                <w:szCs w:val="18"/>
                <w:lang w:eastAsia="en-AU"/>
              </w:rPr>
              <w:t>Undertake a search of key clinical trials registries (ANZCTR, Clinicaltrials.gov) for ongoing clinical trials which may provide relevant evidence in the short to medium term</w:t>
            </w:r>
          </w:p>
          <w:p w14:paraId="2A11EB34" w14:textId="6F19AE5C" w:rsidR="003B4EF3" w:rsidRPr="004B64DB" w:rsidRDefault="003B4EF3" w:rsidP="00305BF0">
            <w:pPr>
              <w:pStyle w:val="071Tablebullet8pt"/>
              <w:rPr>
                <w:rFonts w:eastAsia="Batang"/>
                <w:sz w:val="18"/>
                <w:szCs w:val="18"/>
                <w:lang w:eastAsia="en-AU"/>
              </w:rPr>
            </w:pPr>
            <w:r w:rsidRPr="004B64DB">
              <w:rPr>
                <w:rFonts w:eastAsia="Batang"/>
                <w:sz w:val="18"/>
                <w:szCs w:val="18"/>
                <w:lang w:eastAsia="en-AU"/>
              </w:rPr>
              <w:t>Undertake a search of H</w:t>
            </w:r>
            <w:r w:rsidR="001B1BEE">
              <w:rPr>
                <w:rFonts w:eastAsia="Batang"/>
                <w:sz w:val="18"/>
                <w:szCs w:val="18"/>
                <w:lang w:eastAsia="en-AU"/>
              </w:rPr>
              <w:t>TA</w:t>
            </w:r>
            <w:r w:rsidRPr="004B64DB">
              <w:rPr>
                <w:rFonts w:eastAsia="Batang"/>
                <w:sz w:val="18"/>
                <w:szCs w:val="18"/>
                <w:lang w:eastAsia="en-AU"/>
              </w:rPr>
              <w:t xml:space="preserve"> agencies for reviews of the comparative clinical effectiveness of </w:t>
            </w:r>
            <w:r w:rsidR="001B1BEE">
              <w:rPr>
                <w:rFonts w:eastAsia="Batang"/>
                <w:sz w:val="18"/>
                <w:szCs w:val="18"/>
                <w:lang w:eastAsia="en-AU"/>
              </w:rPr>
              <w:t>SCS</w:t>
            </w:r>
          </w:p>
          <w:p w14:paraId="0C78EB88" w14:textId="77777777" w:rsidR="003B4EF3" w:rsidRPr="004B64DB" w:rsidRDefault="003B4EF3" w:rsidP="00305BF0">
            <w:pPr>
              <w:pStyle w:val="071Tablebullet8pt"/>
              <w:rPr>
                <w:rFonts w:eastAsia="Batang"/>
                <w:sz w:val="18"/>
                <w:szCs w:val="18"/>
                <w:lang w:eastAsia="en-AU"/>
              </w:rPr>
            </w:pPr>
            <w:r w:rsidRPr="004B64DB">
              <w:rPr>
                <w:rFonts w:eastAsia="Batang"/>
                <w:sz w:val="18"/>
                <w:szCs w:val="18"/>
                <w:lang w:eastAsia="en-AU"/>
              </w:rPr>
              <w:t>Undertake a highly targeted evidence scan for any pivotal clinical evidence not captured through the above sources</w:t>
            </w:r>
          </w:p>
        </w:tc>
      </w:tr>
      <w:tr w:rsidR="003B4EF3" w:rsidRPr="004B64DB" w14:paraId="50FC2E20" w14:textId="77777777">
        <w:tc>
          <w:tcPr>
            <w:tcW w:w="846" w:type="dxa"/>
          </w:tcPr>
          <w:p w14:paraId="4546EF04" w14:textId="77777777" w:rsidR="003B4EF3" w:rsidRPr="004B64DB" w:rsidRDefault="003B4EF3" w:rsidP="005A0F5C">
            <w:pPr>
              <w:pStyle w:val="051Tabletext2210pt"/>
              <w:rPr>
                <w:sz w:val="18"/>
                <w:szCs w:val="18"/>
                <w:lang w:eastAsia="zh-CN" w:bidi="th-TH"/>
              </w:rPr>
            </w:pPr>
            <w:r w:rsidRPr="004B64DB">
              <w:rPr>
                <w:sz w:val="18"/>
                <w:szCs w:val="18"/>
                <w:lang w:eastAsia="zh-CN" w:bidi="th-TH"/>
              </w:rPr>
              <w:t>3.</w:t>
            </w:r>
          </w:p>
        </w:tc>
        <w:tc>
          <w:tcPr>
            <w:tcW w:w="8782" w:type="dxa"/>
          </w:tcPr>
          <w:p w14:paraId="4D4C34C2" w14:textId="1419A59A" w:rsidR="003B4EF3" w:rsidRPr="004B64DB" w:rsidDel="00E72FDC" w:rsidRDefault="003B4EF3" w:rsidP="00FF626A">
            <w:pPr>
              <w:pStyle w:val="051Tabletext228pt"/>
              <w:rPr>
                <w:sz w:val="18"/>
                <w:szCs w:val="18"/>
                <w:lang w:eastAsia="zh-CN" w:bidi="th-TH"/>
              </w:rPr>
            </w:pPr>
            <w:r w:rsidRPr="004B64DB">
              <w:rPr>
                <w:sz w:val="18"/>
                <w:szCs w:val="18"/>
                <w:lang w:eastAsia="zh-CN" w:bidi="th-TH"/>
              </w:rPr>
              <w:t xml:space="preserve">Review the evidence base for the comparative cost-effectiveness of </w:t>
            </w:r>
            <w:r w:rsidR="00C42245">
              <w:rPr>
                <w:sz w:val="18"/>
                <w:szCs w:val="18"/>
                <w:lang w:eastAsia="zh-CN" w:bidi="th-TH"/>
              </w:rPr>
              <w:t>SCS</w:t>
            </w:r>
            <w:r w:rsidRPr="004B64DB">
              <w:rPr>
                <w:sz w:val="18"/>
                <w:szCs w:val="18"/>
                <w:lang w:eastAsia="zh-CN" w:bidi="th-TH"/>
              </w:rPr>
              <w:t>:</w:t>
            </w:r>
          </w:p>
          <w:p w14:paraId="7F90DB2D" w14:textId="6EB1C1C0" w:rsidR="003B4EF3" w:rsidRPr="004B64DB" w:rsidRDefault="003B4EF3" w:rsidP="00FF626A">
            <w:pPr>
              <w:pStyle w:val="071Tablebullet8pt"/>
              <w:rPr>
                <w:sz w:val="18"/>
                <w:szCs w:val="18"/>
                <w:lang w:eastAsia="zh-CN" w:bidi="th-TH"/>
              </w:rPr>
            </w:pPr>
            <w:r w:rsidRPr="004B64DB">
              <w:rPr>
                <w:sz w:val="18"/>
                <w:szCs w:val="18"/>
                <w:lang w:eastAsia="zh-CN" w:bidi="th-TH"/>
              </w:rPr>
              <w:t xml:space="preserve">Review the following key documents provided by </w:t>
            </w:r>
            <w:proofErr w:type="spellStart"/>
            <w:r w:rsidRPr="004B64DB">
              <w:rPr>
                <w:sz w:val="18"/>
                <w:szCs w:val="18"/>
                <w:lang w:eastAsia="zh-CN" w:bidi="th-TH"/>
              </w:rPr>
              <w:t>D</w:t>
            </w:r>
            <w:r w:rsidR="001B1BEE">
              <w:rPr>
                <w:sz w:val="18"/>
                <w:szCs w:val="18"/>
                <w:lang w:eastAsia="zh-CN" w:bidi="th-TH"/>
              </w:rPr>
              <w:t>o</w:t>
            </w:r>
            <w:r w:rsidRPr="004B64DB">
              <w:rPr>
                <w:sz w:val="18"/>
                <w:szCs w:val="18"/>
                <w:lang w:eastAsia="zh-CN" w:bidi="th-TH"/>
              </w:rPr>
              <w:t>HAC</w:t>
            </w:r>
            <w:proofErr w:type="spellEnd"/>
            <w:r w:rsidRPr="004B64DB">
              <w:rPr>
                <w:sz w:val="18"/>
                <w:szCs w:val="18"/>
                <w:lang w:eastAsia="zh-CN" w:bidi="th-TH"/>
              </w:rPr>
              <w:t>:</w:t>
            </w:r>
          </w:p>
          <w:p w14:paraId="73355258" w14:textId="77777777" w:rsidR="003B4EF3" w:rsidRPr="004B64DB" w:rsidRDefault="003B4EF3" w:rsidP="00A26096">
            <w:pPr>
              <w:pStyle w:val="071Tablebullet8pt"/>
              <w:numPr>
                <w:ilvl w:val="1"/>
                <w:numId w:val="3"/>
              </w:numPr>
              <w:rPr>
                <w:sz w:val="18"/>
                <w:szCs w:val="18"/>
                <w:lang w:eastAsia="zh-CN" w:bidi="th-TH"/>
              </w:rPr>
            </w:pPr>
            <w:r w:rsidRPr="004B64DB">
              <w:rPr>
                <w:sz w:val="18"/>
                <w:szCs w:val="18"/>
                <w:lang w:eastAsia="zh-CN" w:bidi="th-TH"/>
              </w:rPr>
              <w:t>Information and submissions from sponsors</w:t>
            </w:r>
          </w:p>
          <w:p w14:paraId="5FA4E3B1" w14:textId="77777777" w:rsidR="003B4EF3" w:rsidRPr="004B64DB" w:rsidRDefault="003B4EF3" w:rsidP="00A26096">
            <w:pPr>
              <w:pStyle w:val="071Tablebullet8pt"/>
              <w:numPr>
                <w:ilvl w:val="1"/>
                <w:numId w:val="3"/>
              </w:numPr>
              <w:rPr>
                <w:sz w:val="18"/>
                <w:szCs w:val="18"/>
                <w:lang w:eastAsia="zh-CN" w:bidi="th-TH"/>
              </w:rPr>
            </w:pPr>
            <w:r w:rsidRPr="004B64DB">
              <w:rPr>
                <w:sz w:val="18"/>
                <w:szCs w:val="18"/>
                <w:lang w:eastAsia="zh-CN" w:bidi="th-TH"/>
              </w:rPr>
              <w:t>Information and submissions from stakeholders (including relevant clinical guidelines)</w:t>
            </w:r>
          </w:p>
          <w:p w14:paraId="53BFE287" w14:textId="77777777" w:rsidR="003B4EF3" w:rsidRPr="004B64DB" w:rsidRDefault="003B4EF3" w:rsidP="00A26096">
            <w:pPr>
              <w:pStyle w:val="071Tablebullet8pt"/>
              <w:numPr>
                <w:ilvl w:val="1"/>
                <w:numId w:val="3"/>
              </w:numPr>
              <w:rPr>
                <w:sz w:val="18"/>
                <w:szCs w:val="18"/>
                <w:lang w:eastAsia="zh-CN" w:bidi="th-TH"/>
              </w:rPr>
            </w:pPr>
            <w:r w:rsidRPr="004B64DB">
              <w:rPr>
                <w:sz w:val="18"/>
                <w:szCs w:val="18"/>
                <w:lang w:eastAsia="zh-CN" w:bidi="th-TH"/>
              </w:rPr>
              <w:t>The 2019 Deloitte report ‘Cost effectiveness of pain devices’ written for the ‘Neuromodulation Society of Australia and New Zealand’ and a complete budget impact model provided by Nevro Medical with consent to share</w:t>
            </w:r>
          </w:p>
          <w:p w14:paraId="03623E19" w14:textId="4D7F1F8F" w:rsidR="003B4EF3" w:rsidRPr="004B64DB" w:rsidRDefault="003B4EF3" w:rsidP="00FF626A">
            <w:pPr>
              <w:pStyle w:val="071Tablebullet8pt"/>
              <w:rPr>
                <w:sz w:val="18"/>
                <w:szCs w:val="18"/>
                <w:lang w:eastAsia="zh-CN" w:bidi="th-TH"/>
              </w:rPr>
            </w:pPr>
            <w:r w:rsidRPr="004B64DB">
              <w:rPr>
                <w:sz w:val="18"/>
                <w:szCs w:val="18"/>
                <w:lang w:eastAsia="zh-CN" w:bidi="th-TH"/>
              </w:rPr>
              <w:t>Conduct a targeted, systematic literature review of the evidence regarding cost</w:t>
            </w:r>
            <w:r w:rsidR="00AD29EE">
              <w:rPr>
                <w:sz w:val="18"/>
                <w:szCs w:val="18"/>
                <w:lang w:eastAsia="zh-CN" w:bidi="th-TH"/>
              </w:rPr>
              <w:t>-</w:t>
            </w:r>
            <w:r w:rsidRPr="004B64DB">
              <w:rPr>
                <w:sz w:val="18"/>
                <w:szCs w:val="18"/>
                <w:lang w:eastAsia="zh-CN" w:bidi="th-TH"/>
              </w:rPr>
              <w:t>effectiveness of spinal cord stimulators</w:t>
            </w:r>
          </w:p>
          <w:p w14:paraId="6AF4EB85" w14:textId="4ACE6C50" w:rsidR="003B4EF3" w:rsidRPr="004B64DB" w:rsidRDefault="003B4EF3" w:rsidP="00FF626A">
            <w:pPr>
              <w:pStyle w:val="071Tablebullet8pt"/>
              <w:rPr>
                <w:sz w:val="18"/>
                <w:szCs w:val="18"/>
                <w:lang w:eastAsia="zh-CN" w:bidi="th-TH"/>
              </w:rPr>
            </w:pPr>
            <w:r w:rsidRPr="004B64DB">
              <w:rPr>
                <w:sz w:val="18"/>
                <w:szCs w:val="18"/>
                <w:lang w:eastAsia="zh-CN" w:bidi="th-TH"/>
              </w:rPr>
              <w:t>Undertake a search of HTA agencies for reviews of the comparative clinical effectiveness of spinal cord stimulators</w:t>
            </w:r>
          </w:p>
        </w:tc>
      </w:tr>
      <w:tr w:rsidR="003B4EF3" w:rsidRPr="004B64DB" w14:paraId="42626264" w14:textId="77777777">
        <w:tc>
          <w:tcPr>
            <w:tcW w:w="846" w:type="dxa"/>
          </w:tcPr>
          <w:p w14:paraId="75824F2C" w14:textId="77777777" w:rsidR="003B4EF3" w:rsidRPr="004B64DB" w:rsidRDefault="003B4EF3" w:rsidP="005A0F5C">
            <w:pPr>
              <w:pStyle w:val="051Tabletext2210pt"/>
              <w:rPr>
                <w:sz w:val="18"/>
                <w:szCs w:val="18"/>
                <w:lang w:eastAsia="zh-CN" w:bidi="th-TH"/>
              </w:rPr>
            </w:pPr>
            <w:r w:rsidRPr="004B64DB">
              <w:rPr>
                <w:sz w:val="18"/>
                <w:szCs w:val="18"/>
                <w:lang w:eastAsia="zh-CN" w:bidi="th-TH"/>
              </w:rPr>
              <w:t>4.</w:t>
            </w:r>
          </w:p>
        </w:tc>
        <w:tc>
          <w:tcPr>
            <w:tcW w:w="8782" w:type="dxa"/>
          </w:tcPr>
          <w:p w14:paraId="23244B1D" w14:textId="3751D836" w:rsidR="003B4EF3" w:rsidRPr="004B64DB" w:rsidRDefault="003B4EF3" w:rsidP="004B64DB">
            <w:pPr>
              <w:pStyle w:val="051Tabletext228pt"/>
              <w:rPr>
                <w:sz w:val="18"/>
                <w:szCs w:val="18"/>
                <w:lang w:eastAsia="zh-CN" w:bidi="th-TH"/>
              </w:rPr>
            </w:pPr>
            <w:r w:rsidRPr="004B64DB">
              <w:rPr>
                <w:sz w:val="18"/>
                <w:szCs w:val="18"/>
                <w:lang w:eastAsia="zh-CN" w:bidi="th-TH"/>
              </w:rPr>
              <w:t xml:space="preserve">Review current </w:t>
            </w:r>
            <w:r w:rsidR="00C42245">
              <w:rPr>
                <w:sz w:val="18"/>
                <w:szCs w:val="18"/>
                <w:lang w:eastAsia="zh-CN" w:bidi="th-TH"/>
              </w:rPr>
              <w:t>CPGs</w:t>
            </w:r>
            <w:r w:rsidRPr="004B64DB">
              <w:rPr>
                <w:sz w:val="18"/>
                <w:szCs w:val="18"/>
                <w:lang w:eastAsia="zh-CN" w:bidi="th-TH"/>
              </w:rPr>
              <w:t xml:space="preserve"> for patient selection and management of </w:t>
            </w:r>
            <w:r w:rsidR="00C42245">
              <w:rPr>
                <w:sz w:val="18"/>
                <w:szCs w:val="18"/>
                <w:lang w:eastAsia="zh-CN" w:bidi="th-TH"/>
              </w:rPr>
              <w:t>SCS</w:t>
            </w:r>
            <w:r w:rsidRPr="004B64DB">
              <w:rPr>
                <w:sz w:val="18"/>
                <w:szCs w:val="18"/>
                <w:lang w:eastAsia="zh-CN" w:bidi="th-TH"/>
              </w:rPr>
              <w:t xml:space="preserve"> to treat chronic pain.</w:t>
            </w:r>
          </w:p>
        </w:tc>
      </w:tr>
      <w:tr w:rsidR="003B4EF3" w:rsidRPr="004B64DB" w14:paraId="6237FBBA" w14:textId="77777777">
        <w:tc>
          <w:tcPr>
            <w:tcW w:w="846" w:type="dxa"/>
          </w:tcPr>
          <w:p w14:paraId="53655B69" w14:textId="77777777" w:rsidR="003B4EF3" w:rsidRPr="004B64DB" w:rsidRDefault="003B4EF3" w:rsidP="005A0F5C">
            <w:pPr>
              <w:pStyle w:val="051Tabletext2210pt"/>
              <w:rPr>
                <w:sz w:val="18"/>
                <w:szCs w:val="18"/>
                <w:lang w:eastAsia="zh-CN" w:bidi="th-TH"/>
              </w:rPr>
            </w:pPr>
            <w:r w:rsidRPr="004B64DB">
              <w:rPr>
                <w:sz w:val="18"/>
                <w:szCs w:val="18"/>
                <w:lang w:eastAsia="zh-CN" w:bidi="th-TH"/>
              </w:rPr>
              <w:t>5.</w:t>
            </w:r>
          </w:p>
        </w:tc>
        <w:tc>
          <w:tcPr>
            <w:tcW w:w="8782" w:type="dxa"/>
          </w:tcPr>
          <w:p w14:paraId="7270B71D" w14:textId="77777777" w:rsidR="003B4EF3" w:rsidRPr="004B64DB" w:rsidRDefault="003B4EF3" w:rsidP="004B64DB">
            <w:pPr>
              <w:pStyle w:val="051Tabletext228pt"/>
              <w:rPr>
                <w:sz w:val="18"/>
                <w:szCs w:val="18"/>
                <w:lang w:eastAsia="zh-CN" w:bidi="th-TH"/>
              </w:rPr>
            </w:pPr>
            <w:r w:rsidRPr="004B64DB">
              <w:rPr>
                <w:sz w:val="18"/>
                <w:szCs w:val="18"/>
                <w:lang w:eastAsia="zh-CN" w:bidi="th-TH"/>
              </w:rPr>
              <w:t>Summarise the knowledge/evidence base to address the following questions:</w:t>
            </w:r>
          </w:p>
          <w:p w14:paraId="692DC9EB" w14:textId="2D274DE5" w:rsidR="003B4EF3" w:rsidRPr="004B64DB" w:rsidRDefault="003B4EF3" w:rsidP="004B64DB">
            <w:pPr>
              <w:pStyle w:val="071Tablebullet8pt"/>
              <w:rPr>
                <w:rFonts w:eastAsia="Batang"/>
                <w:sz w:val="18"/>
                <w:szCs w:val="18"/>
                <w:lang w:eastAsia="en-AU"/>
              </w:rPr>
            </w:pPr>
            <w:r w:rsidRPr="004B64DB">
              <w:rPr>
                <w:rFonts w:eastAsia="Batang"/>
                <w:sz w:val="18"/>
                <w:szCs w:val="18"/>
                <w:lang w:eastAsia="en-AU"/>
              </w:rPr>
              <w:t xml:space="preserve">What is the clinical effectiveness of </w:t>
            </w:r>
            <w:r w:rsidR="00B9151E">
              <w:rPr>
                <w:rFonts w:eastAsia="Batang"/>
                <w:sz w:val="18"/>
                <w:szCs w:val="18"/>
                <w:lang w:eastAsia="en-AU"/>
              </w:rPr>
              <w:t>SCS</w:t>
            </w:r>
            <w:r w:rsidRPr="004B64DB">
              <w:rPr>
                <w:rFonts w:eastAsia="Batang"/>
                <w:sz w:val="18"/>
                <w:szCs w:val="18"/>
                <w:lang w:eastAsia="en-AU"/>
              </w:rPr>
              <w:t xml:space="preserve"> for the treatment of chronic pain compared to standard care or other therapeutic approaches?</w:t>
            </w:r>
          </w:p>
          <w:p w14:paraId="1CA83C47" w14:textId="0BEB1DDC" w:rsidR="003B4EF3" w:rsidRPr="004B64DB" w:rsidRDefault="003B4EF3" w:rsidP="004B64DB">
            <w:pPr>
              <w:pStyle w:val="071Tablebullet8pt"/>
              <w:rPr>
                <w:rFonts w:eastAsia="Batang"/>
                <w:sz w:val="18"/>
                <w:szCs w:val="18"/>
                <w:lang w:eastAsia="en-AU"/>
              </w:rPr>
            </w:pPr>
            <w:r w:rsidRPr="004B64DB">
              <w:rPr>
                <w:rFonts w:eastAsia="Batang"/>
                <w:sz w:val="18"/>
                <w:szCs w:val="18"/>
                <w:lang w:eastAsia="en-AU"/>
              </w:rPr>
              <w:t xml:space="preserve">What evidence is available on the comparative cost-effectiveness of </w:t>
            </w:r>
            <w:r w:rsidR="00A443A4">
              <w:rPr>
                <w:rFonts w:eastAsia="Batang"/>
                <w:sz w:val="18"/>
                <w:szCs w:val="18"/>
                <w:lang w:eastAsia="en-AU"/>
              </w:rPr>
              <w:t>SCS</w:t>
            </w:r>
            <w:r w:rsidRPr="004B64DB">
              <w:rPr>
                <w:rFonts w:eastAsia="Batang"/>
                <w:sz w:val="18"/>
                <w:szCs w:val="18"/>
                <w:lang w:eastAsia="en-AU"/>
              </w:rPr>
              <w:t xml:space="preserve"> for the treatment of chronic pain compared to standard care or other therapeutic approaches? Can any conclusions be drawn from the evidence base?</w:t>
            </w:r>
          </w:p>
          <w:p w14:paraId="7D1D2597" w14:textId="556A7039" w:rsidR="003B4EF3" w:rsidRPr="004B64DB" w:rsidRDefault="003B4EF3" w:rsidP="004B64DB">
            <w:pPr>
              <w:pStyle w:val="071Tablebullet8pt"/>
              <w:rPr>
                <w:rFonts w:eastAsia="Batang"/>
                <w:sz w:val="18"/>
                <w:szCs w:val="18"/>
                <w:lang w:eastAsia="en-AU"/>
              </w:rPr>
            </w:pPr>
            <w:r w:rsidRPr="004B64DB">
              <w:rPr>
                <w:rFonts w:eastAsia="Batang"/>
                <w:sz w:val="18"/>
                <w:szCs w:val="18"/>
                <w:lang w:eastAsia="en-AU"/>
              </w:rPr>
              <w:t xml:space="preserve">What evidence-based </w:t>
            </w:r>
            <w:r w:rsidR="00A443A4">
              <w:rPr>
                <w:rFonts w:eastAsia="Batang"/>
                <w:sz w:val="18"/>
                <w:szCs w:val="18"/>
                <w:lang w:eastAsia="en-AU"/>
              </w:rPr>
              <w:t>CPGs</w:t>
            </w:r>
            <w:r w:rsidRPr="004B64DB">
              <w:rPr>
                <w:rFonts w:eastAsia="Batang"/>
                <w:sz w:val="18"/>
                <w:szCs w:val="18"/>
                <w:lang w:eastAsia="en-AU"/>
              </w:rPr>
              <w:t xml:space="preserve"> are available for patient selection and management of </w:t>
            </w:r>
            <w:r w:rsidR="00A443A4">
              <w:rPr>
                <w:rFonts w:eastAsia="Batang"/>
                <w:sz w:val="18"/>
                <w:szCs w:val="18"/>
                <w:lang w:eastAsia="en-AU"/>
              </w:rPr>
              <w:t>SCS</w:t>
            </w:r>
            <w:r w:rsidRPr="004B64DB">
              <w:rPr>
                <w:rFonts w:eastAsia="Batang"/>
                <w:sz w:val="18"/>
                <w:szCs w:val="18"/>
                <w:lang w:eastAsia="en-AU"/>
              </w:rPr>
              <w:t>? If key guidelines are identified, what recommendations do they make?</w:t>
            </w:r>
          </w:p>
        </w:tc>
      </w:tr>
      <w:tr w:rsidR="003B4EF3" w:rsidRPr="004B64DB" w14:paraId="3D2F5B5C" w14:textId="77777777">
        <w:tc>
          <w:tcPr>
            <w:tcW w:w="846" w:type="dxa"/>
          </w:tcPr>
          <w:p w14:paraId="18C101BD" w14:textId="77777777" w:rsidR="003B4EF3" w:rsidRPr="004B64DB" w:rsidRDefault="003B4EF3" w:rsidP="005A0F5C">
            <w:pPr>
              <w:pStyle w:val="051Tabletext2210pt"/>
              <w:rPr>
                <w:sz w:val="18"/>
                <w:szCs w:val="18"/>
                <w:lang w:eastAsia="zh-CN" w:bidi="th-TH"/>
              </w:rPr>
            </w:pPr>
            <w:r w:rsidRPr="004B64DB">
              <w:rPr>
                <w:sz w:val="18"/>
                <w:szCs w:val="18"/>
                <w:lang w:eastAsia="zh-CN" w:bidi="th-TH"/>
              </w:rPr>
              <w:t>6.</w:t>
            </w:r>
          </w:p>
        </w:tc>
        <w:tc>
          <w:tcPr>
            <w:tcW w:w="8782" w:type="dxa"/>
          </w:tcPr>
          <w:p w14:paraId="3F6C6A1B" w14:textId="20EA9847" w:rsidR="003B4EF3" w:rsidRPr="004B64DB" w:rsidRDefault="003B4EF3" w:rsidP="004B64DB">
            <w:pPr>
              <w:pStyle w:val="051Tabletext228pt"/>
              <w:rPr>
                <w:sz w:val="18"/>
                <w:szCs w:val="18"/>
                <w:lang w:eastAsia="zh-CN" w:bidi="th-TH"/>
              </w:rPr>
            </w:pPr>
            <w:r w:rsidRPr="004B64DB">
              <w:rPr>
                <w:sz w:val="18"/>
                <w:szCs w:val="18"/>
                <w:lang w:eastAsia="zh-CN" w:bidi="th-TH"/>
              </w:rPr>
              <w:t>Guided by the PL Post</w:t>
            </w:r>
            <w:r w:rsidR="004026AB">
              <w:rPr>
                <w:sz w:val="18"/>
                <w:szCs w:val="18"/>
                <w:lang w:eastAsia="zh-CN" w:bidi="th-TH"/>
              </w:rPr>
              <w:t>-</w:t>
            </w:r>
            <w:r w:rsidRPr="004B64DB">
              <w:rPr>
                <w:sz w:val="18"/>
                <w:szCs w:val="18"/>
                <w:lang w:eastAsia="zh-CN" w:bidi="th-TH"/>
              </w:rPr>
              <w:t xml:space="preserve">Listing Review Framework, present the information and evidence from services 1 to 5 in a report to support the Department to assess what actions or policy initiatives should be considered with regards to devices used for </w:t>
            </w:r>
            <w:r w:rsidR="00372B72">
              <w:rPr>
                <w:sz w:val="18"/>
                <w:szCs w:val="18"/>
                <w:lang w:eastAsia="zh-CN" w:bidi="th-TH"/>
              </w:rPr>
              <w:t>SCS</w:t>
            </w:r>
            <w:r w:rsidRPr="004B64DB">
              <w:rPr>
                <w:sz w:val="18"/>
                <w:szCs w:val="18"/>
                <w:lang w:eastAsia="zh-CN" w:bidi="th-TH"/>
              </w:rPr>
              <w:t xml:space="preserve"> for chronic pain.</w:t>
            </w:r>
          </w:p>
        </w:tc>
      </w:tr>
    </w:tbl>
    <w:p w14:paraId="7D0FF1AB" w14:textId="24AAC121" w:rsidR="00A677C6" w:rsidRDefault="001F3741" w:rsidP="00781B51">
      <w:pPr>
        <w:pStyle w:val="111Tablefootnoteslast-nostick8pt"/>
      </w:pPr>
      <w:r>
        <w:t xml:space="preserve">Abbreviations: </w:t>
      </w:r>
      <w:r w:rsidR="00D36480">
        <w:t>ANZCTR</w:t>
      </w:r>
      <w:r w:rsidR="008B550E">
        <w:t xml:space="preserve">, Australian New Zealand Clinical Trials Registry; </w:t>
      </w:r>
      <w:r w:rsidR="00781B51">
        <w:t xml:space="preserve">CPGs, </w:t>
      </w:r>
      <w:r w:rsidR="00F8142C">
        <w:t>c</w:t>
      </w:r>
      <w:r w:rsidR="00781B51">
        <w:t xml:space="preserve">linical practice guidelines; </w:t>
      </w:r>
      <w:proofErr w:type="spellStart"/>
      <w:r w:rsidR="00781B51">
        <w:t>DoHAC</w:t>
      </w:r>
      <w:proofErr w:type="spellEnd"/>
      <w:r w:rsidR="00781B51">
        <w:t xml:space="preserve">, Department of Health and Aged Care; HTA, health technology assessment, PL, Prostheses </w:t>
      </w:r>
      <w:r w:rsidR="00781B51" w:rsidRPr="002F3E50">
        <w:t>List; PLAC, Prostheses List Advisory Committee;</w:t>
      </w:r>
      <w:r w:rsidR="009D7D0A">
        <w:t xml:space="preserve"> PLR, post-listing review;</w:t>
      </w:r>
      <w:r w:rsidR="00781B51" w:rsidRPr="002F3E50">
        <w:t xml:space="preserve"> </w:t>
      </w:r>
      <w:r w:rsidR="004B3DBE" w:rsidRPr="002F3E50">
        <w:t xml:space="preserve">PLRT, </w:t>
      </w:r>
      <w:r w:rsidR="002F3E50" w:rsidRPr="002F3E50">
        <w:t>Prostheses List Reform Taskforce</w:t>
      </w:r>
      <w:r w:rsidR="004B3DBE" w:rsidRPr="002F3E50">
        <w:t xml:space="preserve">; </w:t>
      </w:r>
      <w:r w:rsidR="00781B51" w:rsidRPr="002F3E50">
        <w:t xml:space="preserve">SCS, </w:t>
      </w:r>
      <w:r w:rsidR="0017132D">
        <w:t>s</w:t>
      </w:r>
      <w:r w:rsidR="00781B51" w:rsidRPr="002F3E50">
        <w:t xml:space="preserve">pinal </w:t>
      </w:r>
      <w:r w:rsidR="0017132D">
        <w:t>c</w:t>
      </w:r>
      <w:r w:rsidR="00781B51" w:rsidRPr="002F3E50">
        <w:t xml:space="preserve">ord </w:t>
      </w:r>
      <w:r w:rsidR="0017132D">
        <w:t>s</w:t>
      </w:r>
      <w:r w:rsidR="00781B51" w:rsidRPr="002F3E50">
        <w:t>timulat</w:t>
      </w:r>
      <w:r w:rsidR="00DC776D">
        <w:t>ion</w:t>
      </w:r>
      <w:r w:rsidR="00781B51" w:rsidRPr="002F3E50">
        <w:t>; TGA, Therapeutic Goods</w:t>
      </w:r>
      <w:r w:rsidR="00781B51">
        <w:t xml:space="preserve"> Administration</w:t>
      </w:r>
    </w:p>
    <w:p w14:paraId="700491E5" w14:textId="3D2982F2" w:rsidR="00697099" w:rsidRDefault="005F56E6" w:rsidP="00DD260A">
      <w:pPr>
        <w:pStyle w:val="Heading4"/>
      </w:pPr>
      <w:r>
        <w:t>Targeted</w:t>
      </w:r>
      <w:r w:rsidR="00F74BFC">
        <w:t xml:space="preserve"> </w:t>
      </w:r>
      <w:r w:rsidR="001E4421">
        <w:t>c</w:t>
      </w:r>
      <w:r w:rsidR="00F74BFC">
        <w:t>onsultation</w:t>
      </w:r>
    </w:p>
    <w:p w14:paraId="5A9C9A33" w14:textId="7DF7B060" w:rsidR="00EB0E41" w:rsidRDefault="00EB0E41" w:rsidP="00F74BFC">
      <w:pPr>
        <w:pStyle w:val="BodyText"/>
      </w:pPr>
      <w:r>
        <w:t xml:space="preserve">Sponsors and stakeholders were invited to submit information </w:t>
      </w:r>
      <w:r w:rsidR="005F56E6">
        <w:t xml:space="preserve">for the </w:t>
      </w:r>
      <w:r w:rsidR="007F5C11">
        <w:t>post-listing review (</w:t>
      </w:r>
      <w:r w:rsidR="005F56E6">
        <w:t>PLR</w:t>
      </w:r>
      <w:r w:rsidR="007F5C11">
        <w:t>)</w:t>
      </w:r>
      <w:r w:rsidR="005F56E6">
        <w:t xml:space="preserve"> on the following questions:</w:t>
      </w:r>
    </w:p>
    <w:p w14:paraId="36EA4A1C" w14:textId="05B369BB" w:rsidR="005F56E6" w:rsidRPr="005F56E6" w:rsidRDefault="005F56E6" w:rsidP="00A26096">
      <w:pPr>
        <w:numPr>
          <w:ilvl w:val="0"/>
          <w:numId w:val="4"/>
        </w:numPr>
      </w:pPr>
      <w:r w:rsidRPr="005F56E6">
        <w:t xml:space="preserve">The </w:t>
      </w:r>
      <w:r w:rsidR="00A01C52">
        <w:t>PLR</w:t>
      </w:r>
      <w:r w:rsidRPr="005F56E6">
        <w:t xml:space="preserve"> is considering </w:t>
      </w:r>
      <w:r w:rsidR="00A01C52">
        <w:t>SCS</w:t>
      </w:r>
      <w:r w:rsidRPr="005F56E6">
        <w:t xml:space="preserve">, which treat chronic pain by delivering electrical impulses via leads placed in the epidural space. The following devices are outside scope of this review: </w:t>
      </w:r>
      <w:r w:rsidR="00D053FB">
        <w:t>PNS</w:t>
      </w:r>
      <w:r w:rsidRPr="005F56E6">
        <w:t>, sacral nerve stimulators</w:t>
      </w:r>
      <w:r w:rsidR="00D053FB">
        <w:t xml:space="preserve"> (SNS)</w:t>
      </w:r>
      <w:r w:rsidRPr="005F56E6">
        <w:t xml:space="preserve"> and vagal nerve stimulators</w:t>
      </w:r>
      <w:r w:rsidR="00D053FB">
        <w:t xml:space="preserve"> (VNS)</w:t>
      </w:r>
      <w:r w:rsidRPr="005F56E6">
        <w:t>. Do you have any comments on the scope of the review? If you are a sponsor, which of your devices are within scope for the review?</w:t>
      </w:r>
    </w:p>
    <w:p w14:paraId="1F9E06F3" w14:textId="049D597F" w:rsidR="005F56E6" w:rsidRPr="005F56E6" w:rsidRDefault="005F56E6" w:rsidP="00A26096">
      <w:pPr>
        <w:numPr>
          <w:ilvl w:val="0"/>
          <w:numId w:val="4"/>
        </w:numPr>
      </w:pPr>
      <w:r w:rsidRPr="005F56E6">
        <w:t xml:space="preserve">The </w:t>
      </w:r>
      <w:r w:rsidR="00D24E86">
        <w:t>PLR</w:t>
      </w:r>
      <w:r w:rsidRPr="005F56E6">
        <w:t xml:space="preserve"> will consider the evidence from the 2021 Cochrane Review (O’Connell</w:t>
      </w:r>
      <w:r w:rsidR="00EF4132">
        <w:t xml:space="preserve"> et al.</w:t>
      </w:r>
      <w:r w:rsidRPr="005F56E6">
        <w:t xml:space="preserve">). Is there additional evidence on the comparative clinical effectiveness of </w:t>
      </w:r>
      <w:r w:rsidR="004D409F">
        <w:t>SCS</w:t>
      </w:r>
      <w:r w:rsidRPr="005F56E6">
        <w:t xml:space="preserve"> compared to standard care, or alternative therapeutic approaches? Studies must be comparative (randomised or appropriately </w:t>
      </w:r>
      <w:r w:rsidRPr="005F56E6">
        <w:lastRenderedPageBreak/>
        <w:t>adjusted) include patient-relevant outcomes and have at least medium (4-8 months) and preferably, long</w:t>
      </w:r>
      <w:r w:rsidR="00201FD5">
        <w:t>-</w:t>
      </w:r>
      <w:r w:rsidRPr="005F56E6">
        <w:t xml:space="preserve">term (≥12 months) follow-up. </w:t>
      </w:r>
    </w:p>
    <w:p w14:paraId="4BE09ACB" w14:textId="5EB9147E" w:rsidR="005F56E6" w:rsidRPr="005F56E6" w:rsidRDefault="005F56E6" w:rsidP="00A26096">
      <w:pPr>
        <w:numPr>
          <w:ilvl w:val="0"/>
          <w:numId w:val="4"/>
        </w:numPr>
      </w:pPr>
      <w:r w:rsidRPr="005F56E6">
        <w:t xml:space="preserve">Is there evidence for the comparative cost-effectiveness of </w:t>
      </w:r>
      <w:r w:rsidR="0030520B">
        <w:t>SCS</w:t>
      </w:r>
      <w:r w:rsidRPr="005F56E6">
        <w:t xml:space="preserve">? </w:t>
      </w:r>
    </w:p>
    <w:p w14:paraId="4A13AA7B" w14:textId="41E72DDF" w:rsidR="005F56E6" w:rsidRPr="005F56E6" w:rsidRDefault="005F56E6" w:rsidP="00A26096">
      <w:pPr>
        <w:numPr>
          <w:ilvl w:val="0"/>
          <w:numId w:val="4"/>
        </w:numPr>
      </w:pPr>
      <w:r w:rsidRPr="005F56E6">
        <w:t xml:space="preserve">Are there any ongoing trials which may impact the findings of the </w:t>
      </w:r>
      <w:r w:rsidR="0030520B">
        <w:t>PLR</w:t>
      </w:r>
      <w:r w:rsidRPr="005F56E6">
        <w:t>?</w:t>
      </w:r>
    </w:p>
    <w:p w14:paraId="358ED970" w14:textId="732779ED" w:rsidR="005F56E6" w:rsidRDefault="005F56E6" w:rsidP="00A26096">
      <w:pPr>
        <w:numPr>
          <w:ilvl w:val="0"/>
          <w:numId w:val="4"/>
        </w:numPr>
      </w:pPr>
      <w:r w:rsidRPr="005F56E6">
        <w:t xml:space="preserve">What guidelines are available to guide patient selection and the management of </w:t>
      </w:r>
      <w:r w:rsidR="0030520B">
        <w:t>SCS</w:t>
      </w:r>
      <w:r w:rsidRPr="005F56E6">
        <w:t xml:space="preserve"> to treat chronic pain? </w:t>
      </w:r>
    </w:p>
    <w:p w14:paraId="48DF20F0" w14:textId="1E1A0DE6" w:rsidR="00F74BFC" w:rsidRDefault="00A46227" w:rsidP="00F74BFC">
      <w:pPr>
        <w:pStyle w:val="BodyText"/>
      </w:pPr>
      <w:r>
        <w:t xml:space="preserve">In addition to these questions, </w:t>
      </w:r>
      <w:r w:rsidR="00F74BFC">
        <w:t xml:space="preserve">the review scope </w:t>
      </w:r>
      <w:r>
        <w:t xml:space="preserve">was also </w:t>
      </w:r>
      <w:r w:rsidR="00F74BFC">
        <w:t>circulated to</w:t>
      </w:r>
      <w:r>
        <w:t xml:space="preserve"> sponsors and</w:t>
      </w:r>
      <w:r w:rsidR="00F74BFC">
        <w:t xml:space="preserve"> stakeholders on </w:t>
      </w:r>
      <w:r w:rsidR="003E0936">
        <w:t>16</w:t>
      </w:r>
      <w:r w:rsidR="003E0936" w:rsidRPr="003E0936">
        <w:rPr>
          <w:vertAlign w:val="superscript"/>
        </w:rPr>
        <w:t>th</w:t>
      </w:r>
      <w:r w:rsidR="003E0936">
        <w:t xml:space="preserve"> </w:t>
      </w:r>
      <w:r w:rsidR="001F532F">
        <w:t>December</w:t>
      </w:r>
      <w:r w:rsidR="003E0936">
        <w:t xml:space="preserve"> 2022</w:t>
      </w:r>
      <w:r>
        <w:t xml:space="preserve">, with </w:t>
      </w:r>
      <w:r w:rsidR="00F74BFC">
        <w:t>submission due on 15</w:t>
      </w:r>
      <w:r w:rsidR="00F74BFC" w:rsidRPr="00AB2040">
        <w:rPr>
          <w:vertAlign w:val="superscript"/>
        </w:rPr>
        <w:t>th</w:t>
      </w:r>
      <w:r w:rsidR="00F74BFC">
        <w:t xml:space="preserve"> </w:t>
      </w:r>
      <w:r w:rsidR="001F532F">
        <w:t>February</w:t>
      </w:r>
      <w:r w:rsidR="00F74BFC">
        <w:t xml:space="preserve"> 2023.</w:t>
      </w:r>
    </w:p>
    <w:p w14:paraId="5EBD90AE" w14:textId="0FB698B5" w:rsidR="00F74BFC" w:rsidRDefault="00F74BFC" w:rsidP="00F74BFC">
      <w:pPr>
        <w:pStyle w:val="Heading2"/>
      </w:pPr>
      <w:bookmarkStart w:id="31" w:name="_Toc126153508"/>
      <w:bookmarkStart w:id="32" w:name="_Toc165634650"/>
      <w:r>
        <w:t xml:space="preserve">Spinal </w:t>
      </w:r>
      <w:r w:rsidR="001E4421">
        <w:t>cord stimulators for chronic pain</w:t>
      </w:r>
      <w:bookmarkEnd w:id="31"/>
      <w:bookmarkEnd w:id="32"/>
    </w:p>
    <w:p w14:paraId="3A0BB241" w14:textId="58F097B5" w:rsidR="00F74BFC" w:rsidRDefault="00F74BFC" w:rsidP="00F74BFC">
      <w:pPr>
        <w:pStyle w:val="Heading3"/>
      </w:pPr>
      <w:bookmarkStart w:id="33" w:name="_Toc126153509"/>
      <w:bookmarkStart w:id="34" w:name="_Toc165634651"/>
      <w:r>
        <w:t xml:space="preserve">Description of the </w:t>
      </w:r>
      <w:r w:rsidR="00EB0E41">
        <w:t>c</w:t>
      </w:r>
      <w:r>
        <w:t>ondition</w:t>
      </w:r>
      <w:bookmarkEnd w:id="33"/>
      <w:bookmarkEnd w:id="34"/>
    </w:p>
    <w:p w14:paraId="3DD2CF3C" w14:textId="4D41DBF2" w:rsidR="00F74BFC" w:rsidRDefault="00F74BFC" w:rsidP="00F74BFC">
      <w:pPr>
        <w:pStyle w:val="BodyText"/>
      </w:pPr>
      <w:r>
        <w:t>Chronic pain is classified as pain that persists for more than three months or extends beyond the period of disease or the expected recovery time</w:t>
      </w:r>
      <w:r w:rsidR="00497164">
        <w:t xml:space="preserve"> (</w:t>
      </w:r>
      <w:r w:rsidR="001338FD">
        <w:t>Deloitte</w:t>
      </w:r>
      <w:r w:rsidR="00C132F2">
        <w:t xml:space="preserve"> 2019; NICE 2008)</w:t>
      </w:r>
      <w:r>
        <w:t xml:space="preserve">. </w:t>
      </w:r>
      <w:r w:rsidR="00A455CB">
        <w:t>T</w:t>
      </w:r>
      <w:r w:rsidR="00281021">
        <w:t>he 2008</w:t>
      </w:r>
      <w:r w:rsidR="0085195E">
        <w:t xml:space="preserve"> NICE guideline (TA159)</w:t>
      </w:r>
      <w:r w:rsidR="00A455CB">
        <w:t xml:space="preserve"> states that</w:t>
      </w:r>
      <w:r w:rsidR="0085195E">
        <w:t xml:space="preserve"> </w:t>
      </w:r>
      <w:r w:rsidR="006E31D1">
        <w:t xml:space="preserve">“chronic pain is accompanied by physiological and psychological changes such as sleep disturbances, irritability, medication dependence and frequent absence </w:t>
      </w:r>
      <w:r w:rsidR="00C132F2">
        <w:t>from work”</w:t>
      </w:r>
      <w:r>
        <w:t>. Chronic pain affects 3.2</w:t>
      </w:r>
      <w:r w:rsidR="00F470C1">
        <w:t>4</w:t>
      </w:r>
      <w:r>
        <w:t xml:space="preserve"> million Australians</w:t>
      </w:r>
      <w:r w:rsidR="00E0720E">
        <w:rPr>
          <w:rStyle w:val="FootnoteReference"/>
        </w:rPr>
        <w:footnoteReference w:id="5"/>
      </w:r>
      <w:r>
        <w:t xml:space="preserve"> and was estimated to cost $73.2 billion in 2018, including health system costs and productivity losses (Deloitte 2019). Additionally, Australians living with chronic pain experience a substantial reduction in quality of life, with adverse effects on their physical and mental wellbeing (O’Connell </w:t>
      </w:r>
      <w:r w:rsidR="0081684D">
        <w:t xml:space="preserve">et al. </w:t>
      </w:r>
      <w:r>
        <w:t>202</w:t>
      </w:r>
      <w:r w:rsidR="00B779E2">
        <w:t>1</w:t>
      </w:r>
      <w:r>
        <w:t>).</w:t>
      </w:r>
    </w:p>
    <w:p w14:paraId="5B64F8E0" w14:textId="79D77050" w:rsidR="00F74BFC" w:rsidRDefault="00F74BFC" w:rsidP="00F74BFC">
      <w:pPr>
        <w:pStyle w:val="BodyText"/>
      </w:pPr>
      <w:r>
        <w:t xml:space="preserve">The development of chronic pain is heterogenous, with a variety of causes including clearly identifiable nociceptive pain conditions, such as rheumatoid arthritis, and neuropathic pain as a result of nerve trauma. In other cases, such as chronic low back pain and fibromyalgia, the causes behind chronic pain remain unclear and could be attributed to a variety of pathological mechanisms (O’Connell </w:t>
      </w:r>
      <w:r w:rsidR="00C23E85">
        <w:t xml:space="preserve">et al. </w:t>
      </w:r>
      <w:r>
        <w:t>20</w:t>
      </w:r>
      <w:r w:rsidR="00B779E2">
        <w:t>21</w:t>
      </w:r>
      <w:r>
        <w:t>). The latest revision of the World Health Organi</w:t>
      </w:r>
      <w:r w:rsidR="00620AEF">
        <w:t>s</w:t>
      </w:r>
      <w:r>
        <w:t xml:space="preserve">ation’s (WHO) International Classification of Diseases (ICD), the ICD-11 (2022), has recognised chronic pain as </w:t>
      </w:r>
      <w:r w:rsidR="00C76230">
        <w:t xml:space="preserve">a </w:t>
      </w:r>
      <w:r>
        <w:t>standalone health condition that is characterised by disability and distress, in addition to classification as a secondary symptom to other underlying health conditions</w:t>
      </w:r>
      <w:r>
        <w:rPr>
          <w:rStyle w:val="FootnoteReference"/>
        </w:rPr>
        <w:footnoteReference w:id="6"/>
      </w:r>
      <w:r w:rsidR="005B1B8A">
        <w:t xml:space="preserve"> (O’Connell et al. 2021)</w:t>
      </w:r>
      <w:r>
        <w:t>.</w:t>
      </w:r>
    </w:p>
    <w:p w14:paraId="37D47D9E" w14:textId="0A5BCBB2" w:rsidR="00F74BFC" w:rsidRDefault="0014419B" w:rsidP="0014419B">
      <w:pPr>
        <w:pStyle w:val="Heading3"/>
      </w:pPr>
      <w:bookmarkStart w:id="35" w:name="_Toc126153510"/>
      <w:bookmarkStart w:id="36" w:name="_Ref134530523"/>
      <w:bookmarkStart w:id="37" w:name="_Toc165634652"/>
      <w:r>
        <w:t xml:space="preserve">Description of the </w:t>
      </w:r>
      <w:r w:rsidR="00EB0E41">
        <w:t>i</w:t>
      </w:r>
      <w:r>
        <w:t>ntervention</w:t>
      </w:r>
      <w:bookmarkEnd w:id="35"/>
      <w:bookmarkEnd w:id="36"/>
      <w:bookmarkEnd w:id="37"/>
    </w:p>
    <w:p w14:paraId="1A6A4F66" w14:textId="2C97397E" w:rsidR="0014419B" w:rsidRPr="0014419B" w:rsidRDefault="0014419B" w:rsidP="00DD260A">
      <w:pPr>
        <w:pStyle w:val="Heading4"/>
      </w:pPr>
      <w:r>
        <w:t xml:space="preserve">Neurostimulation </w:t>
      </w:r>
      <w:r w:rsidR="00EB0E41">
        <w:t>t</w:t>
      </w:r>
      <w:r>
        <w:t>herapies</w:t>
      </w:r>
    </w:p>
    <w:p w14:paraId="4F4CD626" w14:textId="34F25F0E" w:rsidR="0014419B" w:rsidRDefault="009E3EF6" w:rsidP="0014419B">
      <w:pPr>
        <w:pStyle w:val="BodyText"/>
      </w:pPr>
      <w:r>
        <w:t>Neurostimulation</w:t>
      </w:r>
      <w:r w:rsidR="0014419B">
        <w:t xml:space="preserve"> therapies are used to alleviate a number of health conditions and symptoms, including seizures, movement disorders and chronic pain, by targeting the signals sent to the brain or nervous system. </w:t>
      </w:r>
      <w:r w:rsidR="0014419B" w:rsidRPr="001E01EF">
        <w:t xml:space="preserve">These devices work by delivering electrical stimulation to various </w:t>
      </w:r>
      <w:r w:rsidR="001E01EF" w:rsidRPr="001E01EF">
        <w:t>neural targets and</w:t>
      </w:r>
      <w:r w:rsidR="0014419B" w:rsidRPr="001E01EF">
        <w:t xml:space="preserve"> are often a last line treatment after other therapies have failed due to their invasive nature</w:t>
      </w:r>
      <w:r w:rsidR="0014419B">
        <w:t>. Neurostimulation therapies currently available in Australia includ</w:t>
      </w:r>
      <w:r w:rsidR="00C91AF8">
        <w:t>e</w:t>
      </w:r>
      <w:r w:rsidR="0014419B">
        <w:t xml:space="preserve"> </w:t>
      </w:r>
      <w:r w:rsidR="009E3E6A">
        <w:t xml:space="preserve">deep brain stimulation </w:t>
      </w:r>
      <w:r w:rsidR="0014419B">
        <w:t xml:space="preserve">(DBS), </w:t>
      </w:r>
      <w:r w:rsidR="009E3E6A">
        <w:t>SCS,</w:t>
      </w:r>
      <w:r w:rsidR="00F30D04">
        <w:t xml:space="preserve"> </w:t>
      </w:r>
      <w:r w:rsidR="009E3E6A">
        <w:t>SNS</w:t>
      </w:r>
      <w:r w:rsidR="0014419B">
        <w:t xml:space="preserve"> and VNS.</w:t>
      </w:r>
    </w:p>
    <w:p w14:paraId="0CD31CEA" w14:textId="22FF7319" w:rsidR="0014419B" w:rsidRDefault="0014419B" w:rsidP="0014419B">
      <w:pPr>
        <w:pStyle w:val="BodyText"/>
      </w:pPr>
      <w:r>
        <w:t>All neuromodulation therapy devices comprise of three main components – a pulse generator, a patient programmer, and leads with integrated electrodes.</w:t>
      </w:r>
    </w:p>
    <w:p w14:paraId="3CEF3CA1" w14:textId="31F7632F" w:rsidR="0014419B" w:rsidRDefault="0014419B" w:rsidP="00DD260A">
      <w:pPr>
        <w:pStyle w:val="Heading4"/>
      </w:pPr>
      <w:r>
        <w:lastRenderedPageBreak/>
        <w:t xml:space="preserve">Spinal </w:t>
      </w:r>
      <w:r w:rsidR="009B5CA6">
        <w:t>cord stimulators</w:t>
      </w:r>
    </w:p>
    <w:p w14:paraId="44E3B5D2" w14:textId="7A9EF1AE" w:rsidR="001E01EF" w:rsidRPr="001E01EF" w:rsidRDefault="001E01EF" w:rsidP="001E01EF">
      <w:pPr>
        <w:pStyle w:val="Heading5"/>
      </w:pPr>
      <w:r>
        <w:t xml:space="preserve">Pulse </w:t>
      </w:r>
      <w:r w:rsidR="009B5CA6">
        <w:t>generators</w:t>
      </w:r>
    </w:p>
    <w:p w14:paraId="77D768CE" w14:textId="1150A443" w:rsidR="000961F3" w:rsidRDefault="009E3EF6" w:rsidP="001F2CC3">
      <w:pPr>
        <w:pStyle w:val="BodyText"/>
      </w:pPr>
      <w:r>
        <w:t xml:space="preserve">There are currently </w:t>
      </w:r>
      <w:r w:rsidR="000375D9">
        <w:t>18</w:t>
      </w:r>
      <w:r>
        <w:t xml:space="preserve"> pulse generators listed on the PL</w:t>
      </w:r>
      <w:r w:rsidR="003C7C93">
        <w:t xml:space="preserve"> (November 2022)</w:t>
      </w:r>
      <w:r w:rsidR="0073522A">
        <w:t xml:space="preserve"> (</w:t>
      </w:r>
      <w:r w:rsidR="004B415C">
        <w:fldChar w:fldCharType="begin"/>
      </w:r>
      <w:r w:rsidR="004B415C">
        <w:instrText xml:space="preserve"> REF _Ref126140255 \h </w:instrText>
      </w:r>
      <w:r w:rsidR="004B415C">
        <w:fldChar w:fldCharType="separate"/>
      </w:r>
      <w:r w:rsidR="00CE6ACA">
        <w:t xml:space="preserve">Table </w:t>
      </w:r>
      <w:r w:rsidR="00CE6ACA">
        <w:rPr>
          <w:noProof/>
        </w:rPr>
        <w:t>2</w:t>
      </w:r>
      <w:r w:rsidR="004B415C">
        <w:fldChar w:fldCharType="end"/>
      </w:r>
      <w:r w:rsidR="0073522A">
        <w:t>)</w:t>
      </w:r>
      <w:r w:rsidR="00A838D1">
        <w:t xml:space="preserve"> in Group 04.05.01 Pulse Generators under the ‘Neurostimulation Therapies for Pain’ Subcategory. The Group includes a heterogeneous list of devices </w:t>
      </w:r>
      <w:r w:rsidR="001F2CC3">
        <w:t xml:space="preserve">that are not restricted to SCS. These devices, however, are all </w:t>
      </w:r>
      <w:r w:rsidR="0014419B">
        <w:t xml:space="preserve">broadly used for the treatment of chronic pain although there are differences in both their mode of action and the specific types of </w:t>
      </w:r>
      <w:r w:rsidR="001F2CC3">
        <w:t xml:space="preserve">chronic </w:t>
      </w:r>
      <w:r w:rsidR="0014419B">
        <w:t>pain they are used to treat.</w:t>
      </w:r>
    </w:p>
    <w:p w14:paraId="23623184" w14:textId="3DACD7D9" w:rsidR="00E35245" w:rsidRDefault="00E35245" w:rsidP="00E35245">
      <w:pPr>
        <w:pStyle w:val="Caption"/>
      </w:pPr>
      <w:bookmarkStart w:id="38" w:name="_Ref126140255"/>
      <w:r>
        <w:t xml:space="preserve">Table </w:t>
      </w:r>
      <w:r>
        <w:fldChar w:fldCharType="begin"/>
      </w:r>
      <w:r>
        <w:instrText>SEQ Table \* ARABIC</w:instrText>
      </w:r>
      <w:r>
        <w:fldChar w:fldCharType="separate"/>
      </w:r>
      <w:r w:rsidR="00CE6ACA">
        <w:rPr>
          <w:noProof/>
        </w:rPr>
        <w:t>2</w:t>
      </w:r>
      <w:r>
        <w:fldChar w:fldCharType="end"/>
      </w:r>
      <w:bookmarkEnd w:id="38"/>
      <w:r>
        <w:tab/>
      </w:r>
      <w:r w:rsidR="00EA43EC">
        <w:t>P</w:t>
      </w:r>
      <w:r>
        <w:t xml:space="preserve">ulse generators listed </w:t>
      </w:r>
      <w:r w:rsidR="00EA43EC">
        <w:t xml:space="preserve">in Group 04.05.01 of the Neurosurgical Category in the </w:t>
      </w:r>
      <w:r>
        <w:t>PL (November 2022)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Pulse generators listed in Group 04.05.01 of the Neurosurgical Category in the PL (November 2022)"/>
        <w:tblDescription w:val="A list of the pulse generators and their ARTG number, GMDN code, Billing Code and Benefit as per the November 2022 Prostheses List"/>
      </w:tblPr>
      <w:tblGrid>
        <w:gridCol w:w="740"/>
        <w:gridCol w:w="1629"/>
        <w:gridCol w:w="1288"/>
        <w:gridCol w:w="1440"/>
        <w:gridCol w:w="2415"/>
        <w:gridCol w:w="1226"/>
        <w:gridCol w:w="900"/>
      </w:tblGrid>
      <w:tr w:rsidR="00085230" w:rsidRPr="00DF6688" w14:paraId="34D09942" w14:textId="16474308" w:rsidTr="00DF6688">
        <w:trPr>
          <w:cantSplit/>
          <w:tblHeader/>
        </w:trPr>
        <w:tc>
          <w:tcPr>
            <w:tcW w:w="384" w:type="pct"/>
            <w:shd w:val="clear" w:color="auto" w:fill="BFBFBF"/>
          </w:tcPr>
          <w:p w14:paraId="55FE0DDE" w14:textId="218A7BAB" w:rsidR="00334A8B" w:rsidRPr="00DF6688" w:rsidRDefault="00334A8B" w:rsidP="00334A8B">
            <w:pPr>
              <w:pStyle w:val="011TableHeading10pt"/>
              <w:rPr>
                <w:sz w:val="18"/>
                <w:szCs w:val="18"/>
              </w:rPr>
            </w:pPr>
            <w:r w:rsidRPr="00DF6688">
              <w:rPr>
                <w:sz w:val="18"/>
                <w:szCs w:val="18"/>
              </w:rPr>
              <w:t>Type</w:t>
            </w:r>
          </w:p>
        </w:tc>
        <w:tc>
          <w:tcPr>
            <w:tcW w:w="845" w:type="pct"/>
            <w:shd w:val="clear" w:color="auto" w:fill="BFBFBF"/>
          </w:tcPr>
          <w:p w14:paraId="151A4A0E" w14:textId="39A1B14E" w:rsidR="00334A8B" w:rsidRPr="00DF6688" w:rsidRDefault="00334A8B" w:rsidP="00334A8B">
            <w:pPr>
              <w:pStyle w:val="011TableHeading10pt"/>
              <w:rPr>
                <w:sz w:val="18"/>
                <w:szCs w:val="18"/>
              </w:rPr>
            </w:pPr>
            <w:r w:rsidRPr="00DF6688">
              <w:rPr>
                <w:sz w:val="18"/>
                <w:szCs w:val="18"/>
              </w:rPr>
              <w:t xml:space="preserve">Device </w:t>
            </w:r>
          </w:p>
        </w:tc>
        <w:tc>
          <w:tcPr>
            <w:tcW w:w="668" w:type="pct"/>
            <w:shd w:val="clear" w:color="auto" w:fill="BFBFBF"/>
          </w:tcPr>
          <w:p w14:paraId="2C97ACC4" w14:textId="0B1BD9E0" w:rsidR="00334A8B" w:rsidRPr="00DF6688" w:rsidRDefault="00334A8B" w:rsidP="00334A8B">
            <w:pPr>
              <w:pStyle w:val="011TableHeading10pt"/>
              <w:rPr>
                <w:sz w:val="18"/>
                <w:szCs w:val="18"/>
              </w:rPr>
            </w:pPr>
            <w:r w:rsidRPr="00DF6688">
              <w:rPr>
                <w:sz w:val="18"/>
                <w:szCs w:val="18"/>
              </w:rPr>
              <w:t>Sponsor</w:t>
            </w:r>
          </w:p>
        </w:tc>
        <w:tc>
          <w:tcPr>
            <w:tcW w:w="747" w:type="pct"/>
            <w:shd w:val="clear" w:color="auto" w:fill="BFBFBF"/>
          </w:tcPr>
          <w:p w14:paraId="09124C1B" w14:textId="70CA1F29" w:rsidR="00334A8B" w:rsidRPr="00DF6688" w:rsidRDefault="00334A8B" w:rsidP="00334A8B">
            <w:pPr>
              <w:pStyle w:val="011TableHeading10pt"/>
              <w:rPr>
                <w:sz w:val="18"/>
                <w:szCs w:val="18"/>
              </w:rPr>
            </w:pPr>
            <w:r w:rsidRPr="00DF6688">
              <w:rPr>
                <w:sz w:val="18"/>
                <w:szCs w:val="18"/>
              </w:rPr>
              <w:t>ARTG Number</w:t>
            </w:r>
          </w:p>
        </w:tc>
        <w:tc>
          <w:tcPr>
            <w:tcW w:w="1253" w:type="pct"/>
            <w:shd w:val="clear" w:color="auto" w:fill="BFBFBF"/>
          </w:tcPr>
          <w:p w14:paraId="1DFE4F4C" w14:textId="77777777" w:rsidR="00334A8B" w:rsidRPr="00DF6688" w:rsidRDefault="00334A8B" w:rsidP="00334A8B">
            <w:pPr>
              <w:pStyle w:val="011TableHeading10pt"/>
              <w:rPr>
                <w:sz w:val="18"/>
                <w:szCs w:val="18"/>
              </w:rPr>
            </w:pPr>
            <w:r w:rsidRPr="00DF6688">
              <w:rPr>
                <w:sz w:val="18"/>
                <w:szCs w:val="18"/>
              </w:rPr>
              <w:t>GMDN Code</w:t>
            </w:r>
          </w:p>
        </w:tc>
        <w:tc>
          <w:tcPr>
            <w:tcW w:w="636" w:type="pct"/>
            <w:shd w:val="clear" w:color="auto" w:fill="BFBFBF"/>
          </w:tcPr>
          <w:p w14:paraId="07DE580B" w14:textId="7A49784C" w:rsidR="00334A8B" w:rsidRPr="00DF6688" w:rsidRDefault="00334A8B" w:rsidP="00334A8B">
            <w:pPr>
              <w:pStyle w:val="011TableHeading10pt"/>
              <w:rPr>
                <w:sz w:val="18"/>
                <w:szCs w:val="18"/>
              </w:rPr>
            </w:pPr>
            <w:r w:rsidRPr="00DF6688">
              <w:rPr>
                <w:sz w:val="18"/>
                <w:szCs w:val="18"/>
              </w:rPr>
              <w:t>Billing Code</w:t>
            </w:r>
          </w:p>
        </w:tc>
        <w:tc>
          <w:tcPr>
            <w:tcW w:w="467" w:type="pct"/>
            <w:shd w:val="clear" w:color="auto" w:fill="BFBFBF"/>
          </w:tcPr>
          <w:p w14:paraId="3CEEEB95" w14:textId="3B1DF8CB" w:rsidR="00334A8B" w:rsidRPr="00DF6688" w:rsidRDefault="00334A8B" w:rsidP="00334A8B">
            <w:pPr>
              <w:pStyle w:val="011TableHeading10pt"/>
              <w:rPr>
                <w:sz w:val="18"/>
                <w:szCs w:val="18"/>
              </w:rPr>
            </w:pPr>
            <w:r w:rsidRPr="00DF6688">
              <w:rPr>
                <w:sz w:val="18"/>
                <w:szCs w:val="18"/>
              </w:rPr>
              <w:t>Benefit</w:t>
            </w:r>
          </w:p>
        </w:tc>
      </w:tr>
      <w:tr w:rsidR="00085230" w:rsidRPr="00DF6688" w14:paraId="7CDD65CB" w14:textId="2C55DA13" w:rsidTr="00DF6688">
        <w:trPr>
          <w:cantSplit/>
        </w:trPr>
        <w:tc>
          <w:tcPr>
            <w:tcW w:w="384" w:type="pct"/>
            <w:shd w:val="clear" w:color="auto" w:fill="auto"/>
          </w:tcPr>
          <w:p w14:paraId="6700CF66" w14:textId="43BFAC32"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0A519168" w14:textId="4682265D" w:rsidR="00334A8B" w:rsidRPr="00DF6688" w:rsidRDefault="00334A8B" w:rsidP="00334A8B">
            <w:pPr>
              <w:pStyle w:val="051Tabletext2210pt"/>
              <w:rPr>
                <w:sz w:val="18"/>
                <w:szCs w:val="18"/>
              </w:rPr>
            </w:pPr>
            <w:r w:rsidRPr="00DF6688">
              <w:rPr>
                <w:sz w:val="18"/>
                <w:szCs w:val="18"/>
              </w:rPr>
              <w:t>Precision Novi IPG</w:t>
            </w:r>
          </w:p>
        </w:tc>
        <w:tc>
          <w:tcPr>
            <w:tcW w:w="668" w:type="pct"/>
            <w:shd w:val="clear" w:color="auto" w:fill="auto"/>
          </w:tcPr>
          <w:p w14:paraId="76440A8F" w14:textId="0A069C46" w:rsidR="00334A8B" w:rsidRPr="00DF6688" w:rsidRDefault="00334A8B" w:rsidP="00334A8B">
            <w:pPr>
              <w:pStyle w:val="051Tabletext2210pt"/>
              <w:rPr>
                <w:sz w:val="18"/>
                <w:szCs w:val="18"/>
              </w:rPr>
            </w:pPr>
            <w:r w:rsidRPr="00DF6688">
              <w:rPr>
                <w:sz w:val="18"/>
                <w:szCs w:val="18"/>
              </w:rPr>
              <w:t>Boston Scientific</w:t>
            </w:r>
          </w:p>
        </w:tc>
        <w:tc>
          <w:tcPr>
            <w:tcW w:w="747" w:type="pct"/>
            <w:shd w:val="clear" w:color="auto" w:fill="auto"/>
          </w:tcPr>
          <w:p w14:paraId="4194428E" w14:textId="070C9F8D" w:rsidR="00334A8B" w:rsidRPr="00DF6688" w:rsidRDefault="00334A8B" w:rsidP="00334A8B">
            <w:pPr>
              <w:pStyle w:val="051Tabletext2210pt"/>
              <w:rPr>
                <w:sz w:val="18"/>
                <w:szCs w:val="18"/>
              </w:rPr>
            </w:pPr>
            <w:r w:rsidRPr="00DF6688">
              <w:rPr>
                <w:sz w:val="18"/>
                <w:szCs w:val="18"/>
              </w:rPr>
              <w:t>283692</w:t>
            </w:r>
          </w:p>
        </w:tc>
        <w:tc>
          <w:tcPr>
            <w:tcW w:w="1253" w:type="pct"/>
            <w:shd w:val="clear" w:color="auto" w:fill="auto"/>
          </w:tcPr>
          <w:p w14:paraId="6FCA29A9"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27CAAEBA" w14:textId="1F255043" w:rsidR="00334A8B" w:rsidRPr="00DF6688" w:rsidRDefault="00DC713E" w:rsidP="00334A8B">
            <w:pPr>
              <w:pStyle w:val="051Tabletext2210pt"/>
              <w:rPr>
                <w:sz w:val="18"/>
                <w:szCs w:val="18"/>
              </w:rPr>
            </w:pPr>
            <w:r w:rsidRPr="00DF6688">
              <w:rPr>
                <w:sz w:val="18"/>
                <w:szCs w:val="18"/>
              </w:rPr>
              <w:t>BS322</w:t>
            </w:r>
          </w:p>
        </w:tc>
        <w:tc>
          <w:tcPr>
            <w:tcW w:w="467" w:type="pct"/>
            <w:shd w:val="clear" w:color="auto" w:fill="auto"/>
          </w:tcPr>
          <w:p w14:paraId="14077342" w14:textId="6D351099" w:rsidR="00334A8B" w:rsidRPr="00DF6688" w:rsidRDefault="00334A8B" w:rsidP="00334A8B">
            <w:pPr>
              <w:pStyle w:val="051Tabletext2210pt"/>
              <w:rPr>
                <w:sz w:val="18"/>
                <w:szCs w:val="18"/>
              </w:rPr>
            </w:pPr>
            <w:r w:rsidRPr="00DF6688">
              <w:rPr>
                <w:sz w:val="18"/>
                <w:szCs w:val="18"/>
              </w:rPr>
              <w:t>$21,660</w:t>
            </w:r>
          </w:p>
        </w:tc>
      </w:tr>
      <w:tr w:rsidR="00085230" w:rsidRPr="00DF6688" w14:paraId="5A6510B6" w14:textId="6405D4EE" w:rsidTr="00DF6688">
        <w:trPr>
          <w:cantSplit/>
        </w:trPr>
        <w:tc>
          <w:tcPr>
            <w:tcW w:w="384" w:type="pct"/>
            <w:shd w:val="clear" w:color="auto" w:fill="auto"/>
          </w:tcPr>
          <w:p w14:paraId="469ED1FA" w14:textId="3E5E042F"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11AF4F79" w14:textId="3AA5DEC7" w:rsidR="00334A8B" w:rsidRPr="00DF6688" w:rsidRDefault="00334A8B" w:rsidP="00334A8B">
            <w:pPr>
              <w:pStyle w:val="051Tabletext2210pt"/>
              <w:rPr>
                <w:sz w:val="18"/>
                <w:szCs w:val="18"/>
              </w:rPr>
            </w:pPr>
            <w:proofErr w:type="spellStart"/>
            <w:r w:rsidRPr="00DF6688">
              <w:rPr>
                <w:sz w:val="18"/>
                <w:szCs w:val="18"/>
              </w:rPr>
              <w:t>WaveWriter</w:t>
            </w:r>
            <w:proofErr w:type="spellEnd"/>
            <w:r w:rsidRPr="00DF6688">
              <w:rPr>
                <w:sz w:val="18"/>
                <w:szCs w:val="18"/>
              </w:rPr>
              <w:t xml:space="preserve"> Alpha</w:t>
            </w:r>
          </w:p>
        </w:tc>
        <w:tc>
          <w:tcPr>
            <w:tcW w:w="668" w:type="pct"/>
            <w:shd w:val="clear" w:color="auto" w:fill="auto"/>
          </w:tcPr>
          <w:p w14:paraId="0D888BF5" w14:textId="08605EB9" w:rsidR="00334A8B" w:rsidRPr="00DF6688" w:rsidRDefault="00334A8B" w:rsidP="00334A8B">
            <w:pPr>
              <w:pStyle w:val="051Tabletext2210pt"/>
              <w:rPr>
                <w:sz w:val="18"/>
                <w:szCs w:val="18"/>
              </w:rPr>
            </w:pPr>
            <w:r w:rsidRPr="00DF6688">
              <w:rPr>
                <w:sz w:val="18"/>
                <w:szCs w:val="18"/>
              </w:rPr>
              <w:t>Boston Scientific</w:t>
            </w:r>
          </w:p>
        </w:tc>
        <w:tc>
          <w:tcPr>
            <w:tcW w:w="747" w:type="pct"/>
            <w:shd w:val="clear" w:color="auto" w:fill="auto"/>
          </w:tcPr>
          <w:p w14:paraId="54970D23" w14:textId="4C1661B6" w:rsidR="00334A8B" w:rsidRPr="00DF6688" w:rsidRDefault="00334A8B" w:rsidP="00334A8B">
            <w:pPr>
              <w:pStyle w:val="051Tabletext2210pt"/>
              <w:rPr>
                <w:sz w:val="18"/>
                <w:szCs w:val="18"/>
              </w:rPr>
            </w:pPr>
            <w:r w:rsidRPr="00DF6688">
              <w:rPr>
                <w:sz w:val="18"/>
                <w:szCs w:val="18"/>
              </w:rPr>
              <w:t>362970; 362971</w:t>
            </w:r>
          </w:p>
        </w:tc>
        <w:tc>
          <w:tcPr>
            <w:tcW w:w="1253" w:type="pct"/>
            <w:shd w:val="clear" w:color="auto" w:fill="auto"/>
          </w:tcPr>
          <w:p w14:paraId="41DFE33D"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7724A608" w14:textId="5437873C" w:rsidR="00334A8B" w:rsidRPr="00DF6688" w:rsidRDefault="00DC713E" w:rsidP="00334A8B">
            <w:pPr>
              <w:pStyle w:val="051Tabletext2210pt"/>
              <w:rPr>
                <w:sz w:val="18"/>
                <w:szCs w:val="18"/>
              </w:rPr>
            </w:pPr>
            <w:r w:rsidRPr="00DF6688">
              <w:rPr>
                <w:sz w:val="18"/>
                <w:szCs w:val="18"/>
              </w:rPr>
              <w:t>BS383</w:t>
            </w:r>
          </w:p>
        </w:tc>
        <w:tc>
          <w:tcPr>
            <w:tcW w:w="467" w:type="pct"/>
            <w:shd w:val="clear" w:color="auto" w:fill="auto"/>
          </w:tcPr>
          <w:p w14:paraId="65A73339" w14:textId="1FB4D38E" w:rsidR="00334A8B" w:rsidRPr="00DF6688" w:rsidRDefault="00334A8B" w:rsidP="00334A8B">
            <w:pPr>
              <w:pStyle w:val="051Tabletext2210pt"/>
              <w:rPr>
                <w:sz w:val="18"/>
                <w:szCs w:val="18"/>
              </w:rPr>
            </w:pPr>
            <w:r w:rsidRPr="00DF6688">
              <w:rPr>
                <w:sz w:val="18"/>
                <w:szCs w:val="18"/>
              </w:rPr>
              <w:t>$21,660</w:t>
            </w:r>
          </w:p>
        </w:tc>
      </w:tr>
      <w:tr w:rsidR="00085230" w:rsidRPr="00DF6688" w14:paraId="5892CF9F" w14:textId="17EA7682" w:rsidTr="00DF6688">
        <w:trPr>
          <w:cantSplit/>
        </w:trPr>
        <w:tc>
          <w:tcPr>
            <w:tcW w:w="384" w:type="pct"/>
            <w:shd w:val="clear" w:color="auto" w:fill="auto"/>
          </w:tcPr>
          <w:p w14:paraId="4C1C6882" w14:textId="7D98A341"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0097E4BE" w14:textId="741E9E4B" w:rsidR="00334A8B" w:rsidRPr="00DF6688" w:rsidRDefault="00334A8B" w:rsidP="00334A8B">
            <w:pPr>
              <w:pStyle w:val="051Tabletext2210pt"/>
              <w:rPr>
                <w:sz w:val="18"/>
                <w:szCs w:val="18"/>
              </w:rPr>
            </w:pPr>
            <w:r w:rsidRPr="00DF6688">
              <w:rPr>
                <w:sz w:val="18"/>
                <w:szCs w:val="18"/>
              </w:rPr>
              <w:t>Proclaim IPG</w:t>
            </w:r>
          </w:p>
        </w:tc>
        <w:tc>
          <w:tcPr>
            <w:tcW w:w="668" w:type="pct"/>
            <w:shd w:val="clear" w:color="auto" w:fill="auto"/>
          </w:tcPr>
          <w:p w14:paraId="5E2EF03D" w14:textId="55ABA133" w:rsidR="00334A8B" w:rsidRPr="00DF6688" w:rsidRDefault="00334A8B" w:rsidP="00334A8B">
            <w:pPr>
              <w:pStyle w:val="051Tabletext2210pt"/>
              <w:rPr>
                <w:sz w:val="18"/>
                <w:szCs w:val="18"/>
              </w:rPr>
            </w:pPr>
            <w:r w:rsidRPr="00DF6688">
              <w:rPr>
                <w:sz w:val="18"/>
                <w:szCs w:val="18"/>
              </w:rPr>
              <w:t>Abbott Medical</w:t>
            </w:r>
          </w:p>
        </w:tc>
        <w:tc>
          <w:tcPr>
            <w:tcW w:w="747" w:type="pct"/>
            <w:shd w:val="clear" w:color="auto" w:fill="auto"/>
          </w:tcPr>
          <w:p w14:paraId="723EEB62" w14:textId="06EE574D" w:rsidR="00334A8B" w:rsidRPr="00DF6688" w:rsidRDefault="00334A8B" w:rsidP="00334A8B">
            <w:pPr>
              <w:pStyle w:val="051Tabletext2210pt"/>
              <w:rPr>
                <w:sz w:val="18"/>
                <w:szCs w:val="18"/>
              </w:rPr>
            </w:pPr>
            <w:r w:rsidRPr="00DF6688">
              <w:rPr>
                <w:sz w:val="18"/>
                <w:szCs w:val="18"/>
              </w:rPr>
              <w:t>279015; 279016</w:t>
            </w:r>
          </w:p>
        </w:tc>
        <w:tc>
          <w:tcPr>
            <w:tcW w:w="1253" w:type="pct"/>
            <w:shd w:val="clear" w:color="auto" w:fill="auto"/>
          </w:tcPr>
          <w:p w14:paraId="72D90390"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3A040E5C" w14:textId="3705D707" w:rsidR="00334A8B" w:rsidRPr="00DF6688" w:rsidRDefault="00DC713E" w:rsidP="00334A8B">
            <w:pPr>
              <w:pStyle w:val="051Tabletext2210pt"/>
              <w:rPr>
                <w:sz w:val="18"/>
                <w:szCs w:val="18"/>
              </w:rPr>
            </w:pPr>
            <w:r w:rsidRPr="00DF6688">
              <w:rPr>
                <w:sz w:val="18"/>
                <w:szCs w:val="18"/>
              </w:rPr>
              <w:t>SJ379</w:t>
            </w:r>
          </w:p>
        </w:tc>
        <w:tc>
          <w:tcPr>
            <w:tcW w:w="467" w:type="pct"/>
            <w:shd w:val="clear" w:color="auto" w:fill="auto"/>
          </w:tcPr>
          <w:p w14:paraId="0357C0F9" w14:textId="4A806088" w:rsidR="00334A8B" w:rsidRPr="00DF6688" w:rsidRDefault="00334A8B" w:rsidP="00334A8B">
            <w:pPr>
              <w:pStyle w:val="051Tabletext2210pt"/>
              <w:rPr>
                <w:sz w:val="18"/>
                <w:szCs w:val="18"/>
              </w:rPr>
            </w:pPr>
            <w:r w:rsidRPr="00DF6688">
              <w:rPr>
                <w:sz w:val="18"/>
                <w:szCs w:val="18"/>
              </w:rPr>
              <w:t>$21,660</w:t>
            </w:r>
          </w:p>
        </w:tc>
      </w:tr>
      <w:tr w:rsidR="00085230" w:rsidRPr="00DF6688" w14:paraId="512D528D" w14:textId="33F3A4E3" w:rsidTr="00DF6688">
        <w:trPr>
          <w:cantSplit/>
        </w:trPr>
        <w:tc>
          <w:tcPr>
            <w:tcW w:w="384" w:type="pct"/>
            <w:shd w:val="clear" w:color="auto" w:fill="auto"/>
          </w:tcPr>
          <w:p w14:paraId="75E049E8" w14:textId="63BBE0CF"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07A5F167" w14:textId="34540868" w:rsidR="00334A8B" w:rsidRPr="00DF6688" w:rsidRDefault="00334A8B" w:rsidP="00334A8B">
            <w:pPr>
              <w:pStyle w:val="051Tabletext2210pt"/>
              <w:rPr>
                <w:sz w:val="18"/>
                <w:szCs w:val="18"/>
              </w:rPr>
            </w:pPr>
            <w:r w:rsidRPr="00DF6688">
              <w:rPr>
                <w:sz w:val="18"/>
                <w:szCs w:val="18"/>
              </w:rPr>
              <w:t>Proclaim XR IPG</w:t>
            </w:r>
          </w:p>
        </w:tc>
        <w:tc>
          <w:tcPr>
            <w:tcW w:w="668" w:type="pct"/>
            <w:shd w:val="clear" w:color="auto" w:fill="auto"/>
          </w:tcPr>
          <w:p w14:paraId="042AA3D6" w14:textId="16D34052" w:rsidR="00334A8B" w:rsidRPr="00DF6688" w:rsidRDefault="00334A8B" w:rsidP="00334A8B">
            <w:pPr>
              <w:pStyle w:val="051Tabletext2210pt"/>
              <w:rPr>
                <w:sz w:val="18"/>
                <w:szCs w:val="18"/>
              </w:rPr>
            </w:pPr>
            <w:r w:rsidRPr="00DF6688">
              <w:rPr>
                <w:sz w:val="18"/>
                <w:szCs w:val="18"/>
              </w:rPr>
              <w:t>Abbott Medical</w:t>
            </w:r>
          </w:p>
        </w:tc>
        <w:tc>
          <w:tcPr>
            <w:tcW w:w="747" w:type="pct"/>
            <w:shd w:val="clear" w:color="auto" w:fill="auto"/>
          </w:tcPr>
          <w:p w14:paraId="1333E553" w14:textId="05040E51" w:rsidR="00334A8B" w:rsidRPr="00DF6688" w:rsidRDefault="00334A8B" w:rsidP="00334A8B">
            <w:pPr>
              <w:pStyle w:val="051Tabletext2210pt"/>
              <w:rPr>
                <w:sz w:val="18"/>
                <w:szCs w:val="18"/>
              </w:rPr>
            </w:pPr>
            <w:r w:rsidRPr="00DF6688">
              <w:rPr>
                <w:sz w:val="18"/>
                <w:szCs w:val="18"/>
              </w:rPr>
              <w:t>351631; 351632</w:t>
            </w:r>
          </w:p>
        </w:tc>
        <w:tc>
          <w:tcPr>
            <w:tcW w:w="1253" w:type="pct"/>
            <w:shd w:val="clear" w:color="auto" w:fill="auto"/>
          </w:tcPr>
          <w:p w14:paraId="48F15D78"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1FF432AB" w14:textId="3251A15C" w:rsidR="00334A8B" w:rsidRPr="00DF6688" w:rsidRDefault="00DC713E" w:rsidP="00334A8B">
            <w:pPr>
              <w:pStyle w:val="051Tabletext2210pt"/>
              <w:rPr>
                <w:sz w:val="18"/>
                <w:szCs w:val="18"/>
              </w:rPr>
            </w:pPr>
            <w:r w:rsidRPr="00DF6688">
              <w:rPr>
                <w:sz w:val="18"/>
                <w:szCs w:val="18"/>
              </w:rPr>
              <w:t>SJ432</w:t>
            </w:r>
          </w:p>
        </w:tc>
        <w:tc>
          <w:tcPr>
            <w:tcW w:w="467" w:type="pct"/>
            <w:shd w:val="clear" w:color="auto" w:fill="auto"/>
          </w:tcPr>
          <w:p w14:paraId="1EE1A2C0" w14:textId="5F3218F4" w:rsidR="00334A8B" w:rsidRPr="00DF6688" w:rsidRDefault="00334A8B" w:rsidP="00334A8B">
            <w:pPr>
              <w:pStyle w:val="051Tabletext2210pt"/>
              <w:rPr>
                <w:sz w:val="18"/>
                <w:szCs w:val="18"/>
              </w:rPr>
            </w:pPr>
            <w:r w:rsidRPr="00DF6688">
              <w:rPr>
                <w:sz w:val="18"/>
                <w:szCs w:val="18"/>
              </w:rPr>
              <w:t>$21,660</w:t>
            </w:r>
          </w:p>
        </w:tc>
      </w:tr>
      <w:tr w:rsidR="00085230" w:rsidRPr="00DF6688" w14:paraId="0E468786" w14:textId="7A9EEA67" w:rsidTr="00DF6688">
        <w:trPr>
          <w:cantSplit/>
        </w:trPr>
        <w:tc>
          <w:tcPr>
            <w:tcW w:w="384" w:type="pct"/>
            <w:shd w:val="clear" w:color="auto" w:fill="auto"/>
          </w:tcPr>
          <w:p w14:paraId="2BD61887" w14:textId="39AC55AB"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6FEB9952" w14:textId="415748A7" w:rsidR="00334A8B" w:rsidRPr="00DF6688" w:rsidRDefault="00334A8B" w:rsidP="00334A8B">
            <w:pPr>
              <w:pStyle w:val="051Tabletext2210pt"/>
              <w:rPr>
                <w:sz w:val="18"/>
                <w:szCs w:val="18"/>
              </w:rPr>
            </w:pPr>
            <w:proofErr w:type="spellStart"/>
            <w:r w:rsidRPr="00DF6688">
              <w:rPr>
                <w:sz w:val="18"/>
                <w:szCs w:val="18"/>
              </w:rPr>
              <w:t>PrimeAdvanced</w:t>
            </w:r>
            <w:proofErr w:type="spellEnd"/>
            <w:r w:rsidRPr="00DF6688">
              <w:rPr>
                <w:sz w:val="18"/>
                <w:szCs w:val="18"/>
              </w:rPr>
              <w:t xml:space="preserve"> </w:t>
            </w:r>
            <w:proofErr w:type="spellStart"/>
            <w:r w:rsidRPr="00DF6688">
              <w:rPr>
                <w:sz w:val="18"/>
                <w:szCs w:val="18"/>
              </w:rPr>
              <w:t>Surescan</w:t>
            </w:r>
            <w:proofErr w:type="spellEnd"/>
            <w:r w:rsidRPr="00DF6688">
              <w:rPr>
                <w:sz w:val="18"/>
                <w:szCs w:val="18"/>
              </w:rPr>
              <w:t xml:space="preserve"> MRI Neurostimulator</w:t>
            </w:r>
          </w:p>
        </w:tc>
        <w:tc>
          <w:tcPr>
            <w:tcW w:w="668" w:type="pct"/>
            <w:shd w:val="clear" w:color="auto" w:fill="auto"/>
          </w:tcPr>
          <w:p w14:paraId="3C65C3F1" w14:textId="4C8B17B8" w:rsidR="00334A8B" w:rsidRPr="00DF6688" w:rsidRDefault="00334A8B" w:rsidP="00334A8B">
            <w:pPr>
              <w:pStyle w:val="051Tabletext2210pt"/>
              <w:rPr>
                <w:sz w:val="18"/>
                <w:szCs w:val="18"/>
              </w:rPr>
            </w:pPr>
            <w:r w:rsidRPr="00DF6688">
              <w:rPr>
                <w:sz w:val="18"/>
                <w:szCs w:val="18"/>
              </w:rPr>
              <w:t xml:space="preserve">Medtronic </w:t>
            </w:r>
          </w:p>
        </w:tc>
        <w:tc>
          <w:tcPr>
            <w:tcW w:w="747" w:type="pct"/>
            <w:shd w:val="clear" w:color="auto" w:fill="auto"/>
          </w:tcPr>
          <w:p w14:paraId="52C4CAE8" w14:textId="672E226D" w:rsidR="00334A8B" w:rsidRPr="00DF6688" w:rsidRDefault="00334A8B" w:rsidP="00334A8B">
            <w:pPr>
              <w:pStyle w:val="051Tabletext2210pt"/>
              <w:rPr>
                <w:sz w:val="18"/>
                <w:szCs w:val="18"/>
              </w:rPr>
            </w:pPr>
            <w:r w:rsidRPr="00DF6688">
              <w:rPr>
                <w:sz w:val="18"/>
                <w:szCs w:val="18"/>
              </w:rPr>
              <w:t>215751</w:t>
            </w:r>
          </w:p>
        </w:tc>
        <w:tc>
          <w:tcPr>
            <w:tcW w:w="1253" w:type="pct"/>
            <w:shd w:val="clear" w:color="auto" w:fill="auto"/>
          </w:tcPr>
          <w:p w14:paraId="62A8FE65"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1D1C89B1" w14:textId="472B0577" w:rsidR="00334A8B" w:rsidRPr="00DF6688" w:rsidRDefault="00DC713E" w:rsidP="00334A8B">
            <w:pPr>
              <w:pStyle w:val="051Tabletext2210pt"/>
              <w:rPr>
                <w:sz w:val="18"/>
                <w:szCs w:val="18"/>
              </w:rPr>
            </w:pPr>
            <w:r w:rsidRPr="00DF6688">
              <w:rPr>
                <w:sz w:val="18"/>
                <w:szCs w:val="18"/>
              </w:rPr>
              <w:t>MI135</w:t>
            </w:r>
          </w:p>
        </w:tc>
        <w:tc>
          <w:tcPr>
            <w:tcW w:w="467" w:type="pct"/>
            <w:shd w:val="clear" w:color="auto" w:fill="auto"/>
          </w:tcPr>
          <w:p w14:paraId="0D443F8C" w14:textId="28A6ABE0" w:rsidR="00334A8B" w:rsidRPr="00DF6688" w:rsidRDefault="00334A8B" w:rsidP="00334A8B">
            <w:pPr>
              <w:pStyle w:val="051Tabletext2210pt"/>
              <w:rPr>
                <w:sz w:val="18"/>
                <w:szCs w:val="18"/>
              </w:rPr>
            </w:pPr>
            <w:r w:rsidRPr="00DF6688">
              <w:rPr>
                <w:sz w:val="18"/>
                <w:szCs w:val="18"/>
              </w:rPr>
              <w:t>$17,283</w:t>
            </w:r>
          </w:p>
        </w:tc>
      </w:tr>
      <w:tr w:rsidR="00085230" w:rsidRPr="00DF6688" w14:paraId="74DCC568" w14:textId="33785FE0" w:rsidTr="00DF6688">
        <w:trPr>
          <w:cantSplit/>
        </w:trPr>
        <w:tc>
          <w:tcPr>
            <w:tcW w:w="384" w:type="pct"/>
            <w:shd w:val="clear" w:color="auto" w:fill="auto"/>
          </w:tcPr>
          <w:p w14:paraId="1BA5A780" w14:textId="235F4D40"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48C07A43" w14:textId="0F19BAA6" w:rsidR="00334A8B" w:rsidRPr="00DF6688" w:rsidRDefault="00334A8B" w:rsidP="00334A8B">
            <w:pPr>
              <w:pStyle w:val="051Tabletext2210pt"/>
              <w:rPr>
                <w:sz w:val="18"/>
                <w:szCs w:val="18"/>
              </w:rPr>
            </w:pPr>
            <w:proofErr w:type="spellStart"/>
            <w:r w:rsidRPr="00DF6688">
              <w:rPr>
                <w:sz w:val="18"/>
                <w:szCs w:val="18"/>
              </w:rPr>
              <w:t>Intellis</w:t>
            </w:r>
            <w:proofErr w:type="spellEnd"/>
            <w:r w:rsidRPr="00DF6688">
              <w:rPr>
                <w:sz w:val="18"/>
                <w:szCs w:val="18"/>
              </w:rPr>
              <w:t xml:space="preserve"> </w:t>
            </w:r>
            <w:proofErr w:type="spellStart"/>
            <w:r w:rsidRPr="00DF6688">
              <w:rPr>
                <w:sz w:val="18"/>
                <w:szCs w:val="18"/>
              </w:rPr>
              <w:t>AdaptiveStim</w:t>
            </w:r>
            <w:proofErr w:type="spellEnd"/>
            <w:r w:rsidRPr="00DF6688">
              <w:rPr>
                <w:sz w:val="18"/>
                <w:szCs w:val="18"/>
              </w:rPr>
              <w:t xml:space="preserve"> Neurostimulator</w:t>
            </w:r>
          </w:p>
        </w:tc>
        <w:tc>
          <w:tcPr>
            <w:tcW w:w="668" w:type="pct"/>
            <w:shd w:val="clear" w:color="auto" w:fill="auto"/>
          </w:tcPr>
          <w:p w14:paraId="1B1F43AB" w14:textId="691A2CBF" w:rsidR="00334A8B" w:rsidRPr="00DF6688" w:rsidRDefault="00334A8B" w:rsidP="00334A8B">
            <w:pPr>
              <w:pStyle w:val="051Tabletext2210pt"/>
              <w:rPr>
                <w:sz w:val="18"/>
                <w:szCs w:val="18"/>
              </w:rPr>
            </w:pPr>
            <w:r w:rsidRPr="00DF6688">
              <w:rPr>
                <w:sz w:val="18"/>
                <w:szCs w:val="18"/>
              </w:rPr>
              <w:t xml:space="preserve">Medtronic </w:t>
            </w:r>
          </w:p>
        </w:tc>
        <w:tc>
          <w:tcPr>
            <w:tcW w:w="747" w:type="pct"/>
            <w:shd w:val="clear" w:color="auto" w:fill="auto"/>
          </w:tcPr>
          <w:p w14:paraId="42C9D2DB" w14:textId="03AAC126" w:rsidR="00334A8B" w:rsidRPr="00DF6688" w:rsidRDefault="00334A8B" w:rsidP="00334A8B">
            <w:pPr>
              <w:pStyle w:val="051Tabletext2210pt"/>
              <w:rPr>
                <w:sz w:val="18"/>
                <w:szCs w:val="18"/>
              </w:rPr>
            </w:pPr>
            <w:r w:rsidRPr="00DF6688">
              <w:rPr>
                <w:sz w:val="18"/>
                <w:szCs w:val="18"/>
              </w:rPr>
              <w:t>298746</w:t>
            </w:r>
          </w:p>
        </w:tc>
        <w:tc>
          <w:tcPr>
            <w:tcW w:w="1253" w:type="pct"/>
            <w:shd w:val="clear" w:color="auto" w:fill="auto"/>
          </w:tcPr>
          <w:p w14:paraId="53AAF7B8"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3C3D22D6" w14:textId="1EE51C62" w:rsidR="00334A8B" w:rsidRPr="00DF6688" w:rsidRDefault="00DC713E" w:rsidP="00334A8B">
            <w:pPr>
              <w:pStyle w:val="051Tabletext2210pt"/>
              <w:rPr>
                <w:sz w:val="18"/>
                <w:szCs w:val="18"/>
              </w:rPr>
            </w:pPr>
            <w:r w:rsidRPr="00DF6688">
              <w:rPr>
                <w:sz w:val="18"/>
                <w:szCs w:val="18"/>
              </w:rPr>
              <w:t>MI274</w:t>
            </w:r>
          </w:p>
        </w:tc>
        <w:tc>
          <w:tcPr>
            <w:tcW w:w="467" w:type="pct"/>
            <w:shd w:val="clear" w:color="auto" w:fill="auto"/>
          </w:tcPr>
          <w:p w14:paraId="798B6CE0" w14:textId="1BF5B568" w:rsidR="00334A8B" w:rsidRPr="00DF6688" w:rsidRDefault="00334A8B" w:rsidP="00334A8B">
            <w:pPr>
              <w:pStyle w:val="051Tabletext2210pt"/>
              <w:rPr>
                <w:sz w:val="18"/>
                <w:szCs w:val="18"/>
              </w:rPr>
            </w:pPr>
            <w:r w:rsidRPr="00DF6688">
              <w:rPr>
                <w:sz w:val="18"/>
                <w:szCs w:val="18"/>
              </w:rPr>
              <w:t>$23,465</w:t>
            </w:r>
          </w:p>
        </w:tc>
      </w:tr>
      <w:tr w:rsidR="00085230" w:rsidRPr="00DF6688" w14:paraId="46769BB2" w14:textId="100B0DAF" w:rsidTr="00DF6688">
        <w:trPr>
          <w:cantSplit/>
        </w:trPr>
        <w:tc>
          <w:tcPr>
            <w:tcW w:w="384" w:type="pct"/>
            <w:shd w:val="clear" w:color="auto" w:fill="auto"/>
          </w:tcPr>
          <w:p w14:paraId="0921C6DD" w14:textId="7F73F2D0"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29737AAC" w14:textId="2C338F4D" w:rsidR="00334A8B" w:rsidRPr="00DF6688" w:rsidRDefault="00334A8B" w:rsidP="00334A8B">
            <w:pPr>
              <w:pStyle w:val="051Tabletext2210pt"/>
              <w:rPr>
                <w:sz w:val="18"/>
                <w:szCs w:val="18"/>
              </w:rPr>
            </w:pPr>
            <w:r w:rsidRPr="00DF6688">
              <w:rPr>
                <w:sz w:val="18"/>
                <w:szCs w:val="18"/>
              </w:rPr>
              <w:t xml:space="preserve">Evoke Closed Loop Stimulator (CLS)  </w:t>
            </w:r>
          </w:p>
        </w:tc>
        <w:tc>
          <w:tcPr>
            <w:tcW w:w="668" w:type="pct"/>
            <w:shd w:val="clear" w:color="auto" w:fill="auto"/>
          </w:tcPr>
          <w:p w14:paraId="4E35F0C0" w14:textId="510D56BC" w:rsidR="00334A8B" w:rsidRPr="00DF6688" w:rsidRDefault="00334A8B" w:rsidP="00334A8B">
            <w:pPr>
              <w:pStyle w:val="051Tabletext2210pt"/>
              <w:rPr>
                <w:sz w:val="18"/>
                <w:szCs w:val="18"/>
              </w:rPr>
            </w:pPr>
            <w:r w:rsidRPr="00DF6688">
              <w:rPr>
                <w:sz w:val="18"/>
                <w:szCs w:val="18"/>
              </w:rPr>
              <w:t>Saluda Medical</w:t>
            </w:r>
          </w:p>
        </w:tc>
        <w:tc>
          <w:tcPr>
            <w:tcW w:w="747" w:type="pct"/>
            <w:shd w:val="clear" w:color="auto" w:fill="auto"/>
          </w:tcPr>
          <w:p w14:paraId="548E26AF" w14:textId="61AF9EFF" w:rsidR="00334A8B" w:rsidRPr="00DF6688" w:rsidRDefault="00334A8B" w:rsidP="00334A8B">
            <w:pPr>
              <w:pStyle w:val="051Tabletext2210pt"/>
              <w:rPr>
                <w:sz w:val="18"/>
                <w:szCs w:val="18"/>
              </w:rPr>
            </w:pPr>
            <w:r w:rsidRPr="00DF6688">
              <w:rPr>
                <w:sz w:val="18"/>
                <w:szCs w:val="18"/>
              </w:rPr>
              <w:t>336330</w:t>
            </w:r>
          </w:p>
        </w:tc>
        <w:tc>
          <w:tcPr>
            <w:tcW w:w="1253" w:type="pct"/>
            <w:shd w:val="clear" w:color="auto" w:fill="auto"/>
          </w:tcPr>
          <w:p w14:paraId="6C6EE3CF" w14:textId="77777777" w:rsidR="00334A8B" w:rsidRPr="00DF6688" w:rsidRDefault="00334A8B" w:rsidP="00334A8B">
            <w:pPr>
              <w:pStyle w:val="051Tabletext2210pt"/>
              <w:rPr>
                <w:sz w:val="18"/>
                <w:szCs w:val="18"/>
              </w:rPr>
            </w:pPr>
            <w:r w:rsidRPr="00DF6688">
              <w:rPr>
                <w:sz w:val="18"/>
                <w:szCs w:val="18"/>
              </w:rPr>
              <w:t>64970 Analgesic spinal cord electrical stimulation system pulse generator implantable</w:t>
            </w:r>
          </w:p>
        </w:tc>
        <w:tc>
          <w:tcPr>
            <w:tcW w:w="636" w:type="pct"/>
            <w:shd w:val="clear" w:color="auto" w:fill="auto"/>
          </w:tcPr>
          <w:p w14:paraId="749E2D9C" w14:textId="4413D545" w:rsidR="00334A8B" w:rsidRPr="00DF6688" w:rsidRDefault="00DC713E" w:rsidP="00334A8B">
            <w:pPr>
              <w:pStyle w:val="051Tabletext2210pt"/>
              <w:rPr>
                <w:sz w:val="18"/>
                <w:szCs w:val="18"/>
              </w:rPr>
            </w:pPr>
            <w:r w:rsidRPr="00DF6688">
              <w:rPr>
                <w:sz w:val="18"/>
                <w:szCs w:val="18"/>
              </w:rPr>
              <w:t>UY003</w:t>
            </w:r>
          </w:p>
        </w:tc>
        <w:tc>
          <w:tcPr>
            <w:tcW w:w="467" w:type="pct"/>
            <w:shd w:val="clear" w:color="auto" w:fill="auto"/>
          </w:tcPr>
          <w:p w14:paraId="406038FA" w14:textId="798EC165" w:rsidR="00334A8B" w:rsidRPr="00DF6688" w:rsidRDefault="00334A8B" w:rsidP="00334A8B">
            <w:pPr>
              <w:pStyle w:val="051Tabletext2210pt"/>
              <w:rPr>
                <w:sz w:val="18"/>
                <w:szCs w:val="18"/>
              </w:rPr>
            </w:pPr>
            <w:r w:rsidRPr="00DF6688">
              <w:rPr>
                <w:sz w:val="18"/>
                <w:szCs w:val="18"/>
              </w:rPr>
              <w:t>$23,465</w:t>
            </w:r>
          </w:p>
        </w:tc>
      </w:tr>
      <w:tr w:rsidR="00085230" w:rsidRPr="00DF6688" w14:paraId="1539F608" w14:textId="5A6F18EA" w:rsidTr="00DF6688">
        <w:trPr>
          <w:cantSplit/>
        </w:trPr>
        <w:tc>
          <w:tcPr>
            <w:tcW w:w="384" w:type="pct"/>
            <w:shd w:val="clear" w:color="auto" w:fill="auto"/>
          </w:tcPr>
          <w:p w14:paraId="702EF0B6" w14:textId="590EE408"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5F8CDEC9" w14:textId="07C55B5E" w:rsidR="00334A8B" w:rsidRPr="00DF6688" w:rsidRDefault="00334A8B" w:rsidP="00334A8B">
            <w:pPr>
              <w:pStyle w:val="051Tabletext2210pt"/>
              <w:rPr>
                <w:sz w:val="18"/>
                <w:szCs w:val="18"/>
              </w:rPr>
            </w:pPr>
            <w:r w:rsidRPr="00DF6688">
              <w:rPr>
                <w:sz w:val="18"/>
                <w:szCs w:val="18"/>
              </w:rPr>
              <w:t>Precision Spectra IPG</w:t>
            </w:r>
          </w:p>
        </w:tc>
        <w:tc>
          <w:tcPr>
            <w:tcW w:w="668" w:type="pct"/>
            <w:shd w:val="clear" w:color="auto" w:fill="auto"/>
          </w:tcPr>
          <w:p w14:paraId="3A4BA2AE" w14:textId="394EDC4C" w:rsidR="00334A8B" w:rsidRPr="00DF6688" w:rsidRDefault="00334A8B" w:rsidP="00334A8B">
            <w:pPr>
              <w:pStyle w:val="051Tabletext2210pt"/>
              <w:rPr>
                <w:sz w:val="18"/>
                <w:szCs w:val="18"/>
              </w:rPr>
            </w:pPr>
            <w:r w:rsidRPr="00DF6688">
              <w:rPr>
                <w:sz w:val="18"/>
                <w:szCs w:val="18"/>
              </w:rPr>
              <w:t xml:space="preserve">Boston Scientific </w:t>
            </w:r>
          </w:p>
        </w:tc>
        <w:tc>
          <w:tcPr>
            <w:tcW w:w="747" w:type="pct"/>
            <w:shd w:val="clear" w:color="auto" w:fill="auto"/>
          </w:tcPr>
          <w:p w14:paraId="4F3FE370" w14:textId="5BB23AF6" w:rsidR="00334A8B" w:rsidRPr="00DF6688" w:rsidRDefault="00334A8B" w:rsidP="00334A8B">
            <w:pPr>
              <w:pStyle w:val="051Tabletext2210pt"/>
              <w:rPr>
                <w:sz w:val="18"/>
                <w:szCs w:val="18"/>
              </w:rPr>
            </w:pPr>
            <w:r w:rsidRPr="00DF6688">
              <w:rPr>
                <w:sz w:val="18"/>
                <w:szCs w:val="18"/>
              </w:rPr>
              <w:t>205793</w:t>
            </w:r>
          </w:p>
        </w:tc>
        <w:tc>
          <w:tcPr>
            <w:tcW w:w="1253" w:type="pct"/>
            <w:shd w:val="clear" w:color="auto" w:fill="auto"/>
          </w:tcPr>
          <w:p w14:paraId="61052F7B"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08A3EF96" w14:textId="0EF07B55" w:rsidR="00334A8B" w:rsidRPr="00DF6688" w:rsidRDefault="00DC713E" w:rsidP="00334A8B">
            <w:pPr>
              <w:pStyle w:val="051Tabletext2210pt"/>
              <w:rPr>
                <w:sz w:val="18"/>
                <w:szCs w:val="18"/>
              </w:rPr>
            </w:pPr>
            <w:r w:rsidRPr="00DF6688">
              <w:rPr>
                <w:sz w:val="18"/>
                <w:szCs w:val="18"/>
              </w:rPr>
              <w:t>BS254</w:t>
            </w:r>
          </w:p>
        </w:tc>
        <w:tc>
          <w:tcPr>
            <w:tcW w:w="467" w:type="pct"/>
            <w:shd w:val="clear" w:color="auto" w:fill="auto"/>
          </w:tcPr>
          <w:p w14:paraId="5BD4FEA5" w14:textId="6E7B3B6E" w:rsidR="00334A8B" w:rsidRPr="00DF6688" w:rsidRDefault="00334A8B" w:rsidP="00334A8B">
            <w:pPr>
              <w:pStyle w:val="051Tabletext2210pt"/>
              <w:rPr>
                <w:sz w:val="18"/>
                <w:szCs w:val="18"/>
              </w:rPr>
            </w:pPr>
            <w:r w:rsidRPr="00DF6688">
              <w:rPr>
                <w:sz w:val="18"/>
                <w:szCs w:val="18"/>
              </w:rPr>
              <w:t>$23,465</w:t>
            </w:r>
          </w:p>
        </w:tc>
      </w:tr>
      <w:tr w:rsidR="00085230" w:rsidRPr="00DF6688" w14:paraId="7AC1D14D" w14:textId="112E99CE" w:rsidTr="00DF6688">
        <w:trPr>
          <w:cantSplit/>
        </w:trPr>
        <w:tc>
          <w:tcPr>
            <w:tcW w:w="384" w:type="pct"/>
            <w:shd w:val="clear" w:color="auto" w:fill="auto"/>
          </w:tcPr>
          <w:p w14:paraId="43ED7197" w14:textId="2B4EDD4D"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60868321" w14:textId="21661D76" w:rsidR="00334A8B" w:rsidRPr="00DF6688" w:rsidRDefault="00334A8B" w:rsidP="00334A8B">
            <w:pPr>
              <w:pStyle w:val="051Tabletext2210pt"/>
              <w:rPr>
                <w:sz w:val="18"/>
                <w:szCs w:val="18"/>
              </w:rPr>
            </w:pPr>
            <w:r w:rsidRPr="00DF6688">
              <w:rPr>
                <w:sz w:val="18"/>
                <w:szCs w:val="18"/>
              </w:rPr>
              <w:t xml:space="preserve">Precision Spectra </w:t>
            </w:r>
            <w:proofErr w:type="spellStart"/>
            <w:r w:rsidRPr="00DF6688">
              <w:rPr>
                <w:sz w:val="18"/>
                <w:szCs w:val="18"/>
              </w:rPr>
              <w:t>WaveWriter</w:t>
            </w:r>
            <w:proofErr w:type="spellEnd"/>
            <w:r w:rsidRPr="00DF6688">
              <w:rPr>
                <w:sz w:val="18"/>
                <w:szCs w:val="18"/>
              </w:rPr>
              <w:t xml:space="preserve"> IPG</w:t>
            </w:r>
          </w:p>
        </w:tc>
        <w:tc>
          <w:tcPr>
            <w:tcW w:w="668" w:type="pct"/>
            <w:shd w:val="clear" w:color="auto" w:fill="auto"/>
          </w:tcPr>
          <w:p w14:paraId="23616347" w14:textId="65850724" w:rsidR="00334A8B" w:rsidRPr="00DF6688" w:rsidRDefault="00334A8B" w:rsidP="00334A8B">
            <w:pPr>
              <w:pStyle w:val="051Tabletext2210pt"/>
              <w:rPr>
                <w:sz w:val="18"/>
                <w:szCs w:val="18"/>
              </w:rPr>
            </w:pPr>
            <w:r w:rsidRPr="00DF6688">
              <w:rPr>
                <w:sz w:val="18"/>
                <w:szCs w:val="18"/>
              </w:rPr>
              <w:t xml:space="preserve">Boston Scientific </w:t>
            </w:r>
          </w:p>
        </w:tc>
        <w:tc>
          <w:tcPr>
            <w:tcW w:w="747" w:type="pct"/>
            <w:shd w:val="clear" w:color="auto" w:fill="auto"/>
          </w:tcPr>
          <w:p w14:paraId="6BA04E92" w14:textId="754B303D" w:rsidR="00334A8B" w:rsidRPr="00DF6688" w:rsidRDefault="00334A8B" w:rsidP="00334A8B">
            <w:pPr>
              <w:pStyle w:val="051Tabletext2210pt"/>
              <w:rPr>
                <w:sz w:val="18"/>
                <w:szCs w:val="18"/>
              </w:rPr>
            </w:pPr>
            <w:r w:rsidRPr="00DF6688">
              <w:rPr>
                <w:sz w:val="18"/>
                <w:szCs w:val="18"/>
              </w:rPr>
              <w:t>318260</w:t>
            </w:r>
          </w:p>
        </w:tc>
        <w:tc>
          <w:tcPr>
            <w:tcW w:w="1253" w:type="pct"/>
            <w:shd w:val="clear" w:color="auto" w:fill="auto"/>
          </w:tcPr>
          <w:p w14:paraId="7FF323AE"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19AF752A" w14:textId="23ACEE04" w:rsidR="00334A8B" w:rsidRPr="00DF6688" w:rsidRDefault="00DC713E" w:rsidP="00334A8B">
            <w:pPr>
              <w:pStyle w:val="051Tabletext2210pt"/>
              <w:rPr>
                <w:sz w:val="18"/>
                <w:szCs w:val="18"/>
              </w:rPr>
            </w:pPr>
            <w:r w:rsidRPr="00DF6688">
              <w:rPr>
                <w:sz w:val="18"/>
                <w:szCs w:val="18"/>
              </w:rPr>
              <w:t>BS362</w:t>
            </w:r>
          </w:p>
        </w:tc>
        <w:tc>
          <w:tcPr>
            <w:tcW w:w="467" w:type="pct"/>
            <w:shd w:val="clear" w:color="auto" w:fill="auto"/>
          </w:tcPr>
          <w:p w14:paraId="48F1AE8A" w14:textId="7BDAF329" w:rsidR="00334A8B" w:rsidRPr="00DF6688" w:rsidRDefault="00334A8B" w:rsidP="00334A8B">
            <w:pPr>
              <w:pStyle w:val="051Tabletext2210pt"/>
              <w:rPr>
                <w:sz w:val="18"/>
                <w:szCs w:val="18"/>
              </w:rPr>
            </w:pPr>
            <w:r w:rsidRPr="00DF6688">
              <w:rPr>
                <w:sz w:val="18"/>
                <w:szCs w:val="18"/>
              </w:rPr>
              <w:t>$23,465</w:t>
            </w:r>
          </w:p>
        </w:tc>
      </w:tr>
      <w:tr w:rsidR="00085230" w:rsidRPr="00DF6688" w14:paraId="2DF24782" w14:textId="58F86B30" w:rsidTr="00DF6688">
        <w:trPr>
          <w:cantSplit/>
        </w:trPr>
        <w:tc>
          <w:tcPr>
            <w:tcW w:w="384" w:type="pct"/>
            <w:shd w:val="clear" w:color="auto" w:fill="auto"/>
          </w:tcPr>
          <w:p w14:paraId="667D5DD1" w14:textId="0B8C9703"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7DDE5623" w14:textId="3B6FD0A9" w:rsidR="00334A8B" w:rsidRPr="00DF6688" w:rsidRDefault="00334A8B" w:rsidP="00334A8B">
            <w:pPr>
              <w:pStyle w:val="051Tabletext2210pt"/>
              <w:rPr>
                <w:sz w:val="18"/>
                <w:szCs w:val="18"/>
              </w:rPr>
            </w:pPr>
            <w:proofErr w:type="spellStart"/>
            <w:r w:rsidRPr="00DF6688">
              <w:rPr>
                <w:sz w:val="18"/>
                <w:szCs w:val="18"/>
              </w:rPr>
              <w:t>WaveWriter</w:t>
            </w:r>
            <w:proofErr w:type="spellEnd"/>
            <w:r w:rsidRPr="00DF6688">
              <w:rPr>
                <w:sz w:val="18"/>
                <w:szCs w:val="18"/>
              </w:rPr>
              <w:t xml:space="preserve"> Alpha</w:t>
            </w:r>
          </w:p>
        </w:tc>
        <w:tc>
          <w:tcPr>
            <w:tcW w:w="668" w:type="pct"/>
            <w:shd w:val="clear" w:color="auto" w:fill="auto"/>
          </w:tcPr>
          <w:p w14:paraId="559B7473" w14:textId="4BA4C267" w:rsidR="00334A8B" w:rsidRPr="00DF6688" w:rsidRDefault="00334A8B" w:rsidP="00334A8B">
            <w:pPr>
              <w:pStyle w:val="051Tabletext2210pt"/>
              <w:rPr>
                <w:sz w:val="18"/>
                <w:szCs w:val="18"/>
              </w:rPr>
            </w:pPr>
            <w:r w:rsidRPr="00DF6688">
              <w:rPr>
                <w:sz w:val="18"/>
                <w:szCs w:val="18"/>
              </w:rPr>
              <w:t xml:space="preserve">Boston Scientific </w:t>
            </w:r>
          </w:p>
        </w:tc>
        <w:tc>
          <w:tcPr>
            <w:tcW w:w="747" w:type="pct"/>
            <w:shd w:val="clear" w:color="auto" w:fill="auto"/>
          </w:tcPr>
          <w:p w14:paraId="788769C2" w14:textId="6A12C4C4" w:rsidR="00334A8B" w:rsidRPr="00DF6688" w:rsidRDefault="00334A8B" w:rsidP="00334A8B">
            <w:pPr>
              <w:pStyle w:val="051Tabletext2210pt"/>
              <w:rPr>
                <w:sz w:val="18"/>
                <w:szCs w:val="18"/>
              </w:rPr>
            </w:pPr>
            <w:r w:rsidRPr="00DF6688">
              <w:rPr>
                <w:sz w:val="18"/>
                <w:szCs w:val="18"/>
              </w:rPr>
              <w:t>362972</w:t>
            </w:r>
            <w:r w:rsidR="00104FCC" w:rsidRPr="00DF6688">
              <w:rPr>
                <w:sz w:val="18"/>
                <w:szCs w:val="18"/>
              </w:rPr>
              <w:t xml:space="preserve">; </w:t>
            </w:r>
            <w:r w:rsidRPr="00DF6688">
              <w:rPr>
                <w:sz w:val="18"/>
                <w:szCs w:val="18"/>
              </w:rPr>
              <w:t>362973</w:t>
            </w:r>
          </w:p>
        </w:tc>
        <w:tc>
          <w:tcPr>
            <w:tcW w:w="1253" w:type="pct"/>
            <w:shd w:val="clear" w:color="auto" w:fill="auto"/>
          </w:tcPr>
          <w:p w14:paraId="7DF1422A"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36B52980" w14:textId="0282F5EC" w:rsidR="00334A8B" w:rsidRPr="00DF6688" w:rsidRDefault="00DC713E" w:rsidP="00334A8B">
            <w:pPr>
              <w:pStyle w:val="051Tabletext2210pt"/>
              <w:rPr>
                <w:sz w:val="18"/>
                <w:szCs w:val="18"/>
              </w:rPr>
            </w:pPr>
            <w:r w:rsidRPr="00DF6688">
              <w:rPr>
                <w:sz w:val="18"/>
                <w:szCs w:val="18"/>
              </w:rPr>
              <w:t>BS389</w:t>
            </w:r>
          </w:p>
        </w:tc>
        <w:tc>
          <w:tcPr>
            <w:tcW w:w="467" w:type="pct"/>
            <w:shd w:val="clear" w:color="auto" w:fill="auto"/>
          </w:tcPr>
          <w:p w14:paraId="07D26827" w14:textId="36BAC8C6" w:rsidR="00334A8B" w:rsidRPr="00DF6688" w:rsidRDefault="00334A8B" w:rsidP="00334A8B">
            <w:pPr>
              <w:pStyle w:val="051Tabletext2210pt"/>
              <w:rPr>
                <w:sz w:val="18"/>
                <w:szCs w:val="18"/>
              </w:rPr>
            </w:pPr>
            <w:r w:rsidRPr="00DF6688">
              <w:rPr>
                <w:sz w:val="18"/>
                <w:szCs w:val="18"/>
              </w:rPr>
              <w:t>$23,465</w:t>
            </w:r>
          </w:p>
        </w:tc>
      </w:tr>
      <w:tr w:rsidR="00085230" w:rsidRPr="00DF6688" w14:paraId="1A0AAA57" w14:textId="2AFF6830" w:rsidTr="00DF6688">
        <w:trPr>
          <w:cantSplit/>
        </w:trPr>
        <w:tc>
          <w:tcPr>
            <w:tcW w:w="384" w:type="pct"/>
            <w:shd w:val="clear" w:color="auto" w:fill="auto"/>
          </w:tcPr>
          <w:p w14:paraId="121BED92" w14:textId="2B89FEDF"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48016756" w14:textId="0AC2CF8C" w:rsidR="00334A8B" w:rsidRPr="00DF6688" w:rsidRDefault="00334A8B" w:rsidP="00334A8B">
            <w:pPr>
              <w:pStyle w:val="051Tabletext2210pt"/>
              <w:rPr>
                <w:sz w:val="18"/>
                <w:szCs w:val="18"/>
              </w:rPr>
            </w:pPr>
            <w:r w:rsidRPr="00DF6688">
              <w:rPr>
                <w:sz w:val="18"/>
                <w:szCs w:val="18"/>
              </w:rPr>
              <w:t>Precision Montage MRI IPG</w:t>
            </w:r>
          </w:p>
        </w:tc>
        <w:tc>
          <w:tcPr>
            <w:tcW w:w="668" w:type="pct"/>
            <w:shd w:val="clear" w:color="auto" w:fill="auto"/>
          </w:tcPr>
          <w:p w14:paraId="78E634BE" w14:textId="6EA0F770" w:rsidR="00334A8B" w:rsidRPr="00DF6688" w:rsidRDefault="00334A8B" w:rsidP="00334A8B">
            <w:pPr>
              <w:pStyle w:val="051Tabletext2210pt"/>
              <w:rPr>
                <w:sz w:val="18"/>
                <w:szCs w:val="18"/>
              </w:rPr>
            </w:pPr>
            <w:r w:rsidRPr="00DF6688">
              <w:rPr>
                <w:sz w:val="18"/>
                <w:szCs w:val="18"/>
              </w:rPr>
              <w:t xml:space="preserve">Boston Scientific </w:t>
            </w:r>
          </w:p>
        </w:tc>
        <w:tc>
          <w:tcPr>
            <w:tcW w:w="747" w:type="pct"/>
            <w:shd w:val="clear" w:color="auto" w:fill="auto"/>
          </w:tcPr>
          <w:p w14:paraId="42AE0790" w14:textId="5D5CB10F" w:rsidR="00334A8B" w:rsidRPr="00DF6688" w:rsidRDefault="00334A8B" w:rsidP="00334A8B">
            <w:pPr>
              <w:pStyle w:val="051Tabletext2210pt"/>
              <w:rPr>
                <w:sz w:val="18"/>
                <w:szCs w:val="18"/>
              </w:rPr>
            </w:pPr>
            <w:r w:rsidRPr="00DF6688">
              <w:rPr>
                <w:sz w:val="18"/>
                <w:szCs w:val="18"/>
              </w:rPr>
              <w:t>286709</w:t>
            </w:r>
          </w:p>
        </w:tc>
        <w:tc>
          <w:tcPr>
            <w:tcW w:w="1253" w:type="pct"/>
            <w:shd w:val="clear" w:color="auto" w:fill="auto"/>
          </w:tcPr>
          <w:p w14:paraId="29650824"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48F8FB92" w14:textId="1ADBFF97" w:rsidR="00334A8B" w:rsidRPr="00DF6688" w:rsidRDefault="00DC713E" w:rsidP="00334A8B">
            <w:pPr>
              <w:pStyle w:val="051Tabletext2210pt"/>
              <w:rPr>
                <w:sz w:val="18"/>
                <w:szCs w:val="18"/>
              </w:rPr>
            </w:pPr>
            <w:r w:rsidRPr="00DF6688">
              <w:rPr>
                <w:sz w:val="18"/>
                <w:szCs w:val="18"/>
              </w:rPr>
              <w:t>BS330</w:t>
            </w:r>
          </w:p>
        </w:tc>
        <w:tc>
          <w:tcPr>
            <w:tcW w:w="467" w:type="pct"/>
            <w:shd w:val="clear" w:color="auto" w:fill="auto"/>
          </w:tcPr>
          <w:p w14:paraId="4A9039EA" w14:textId="2CDA2CE4" w:rsidR="00334A8B" w:rsidRPr="00DF6688" w:rsidRDefault="00334A8B" w:rsidP="00334A8B">
            <w:pPr>
              <w:pStyle w:val="051Tabletext2210pt"/>
              <w:rPr>
                <w:sz w:val="18"/>
                <w:szCs w:val="18"/>
              </w:rPr>
            </w:pPr>
            <w:r w:rsidRPr="00DF6688">
              <w:rPr>
                <w:sz w:val="18"/>
                <w:szCs w:val="18"/>
              </w:rPr>
              <w:t>$23,465</w:t>
            </w:r>
          </w:p>
        </w:tc>
      </w:tr>
      <w:tr w:rsidR="00085230" w:rsidRPr="00DF6688" w14:paraId="1FD30A10" w14:textId="1736EDDF" w:rsidTr="00DF6688">
        <w:trPr>
          <w:cantSplit/>
        </w:trPr>
        <w:tc>
          <w:tcPr>
            <w:tcW w:w="384" w:type="pct"/>
            <w:shd w:val="clear" w:color="auto" w:fill="auto"/>
          </w:tcPr>
          <w:p w14:paraId="054704E6" w14:textId="68036E00"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41F01218" w14:textId="30416BC4" w:rsidR="00334A8B" w:rsidRPr="00DF6688" w:rsidRDefault="00334A8B" w:rsidP="00334A8B">
            <w:pPr>
              <w:pStyle w:val="051Tabletext2210pt"/>
              <w:rPr>
                <w:sz w:val="18"/>
                <w:szCs w:val="18"/>
              </w:rPr>
            </w:pPr>
            <w:r w:rsidRPr="00DF6688">
              <w:rPr>
                <w:sz w:val="18"/>
                <w:szCs w:val="18"/>
              </w:rPr>
              <w:t>Prodigy IPG</w:t>
            </w:r>
          </w:p>
        </w:tc>
        <w:tc>
          <w:tcPr>
            <w:tcW w:w="668" w:type="pct"/>
            <w:shd w:val="clear" w:color="auto" w:fill="auto"/>
          </w:tcPr>
          <w:p w14:paraId="31F2F7D7" w14:textId="58CFFD37" w:rsidR="00334A8B" w:rsidRPr="00DF6688" w:rsidRDefault="00334A8B" w:rsidP="00334A8B">
            <w:pPr>
              <w:pStyle w:val="051Tabletext2210pt"/>
              <w:rPr>
                <w:sz w:val="18"/>
                <w:szCs w:val="18"/>
              </w:rPr>
            </w:pPr>
            <w:r w:rsidRPr="00DF6688">
              <w:rPr>
                <w:sz w:val="18"/>
                <w:szCs w:val="18"/>
              </w:rPr>
              <w:t>Abbott Medical</w:t>
            </w:r>
          </w:p>
        </w:tc>
        <w:tc>
          <w:tcPr>
            <w:tcW w:w="747" w:type="pct"/>
            <w:shd w:val="clear" w:color="auto" w:fill="auto"/>
          </w:tcPr>
          <w:p w14:paraId="26358766" w14:textId="34AF3E26" w:rsidR="00334A8B" w:rsidRPr="00DF6688" w:rsidRDefault="00334A8B" w:rsidP="00334A8B">
            <w:pPr>
              <w:pStyle w:val="051Tabletext2210pt"/>
              <w:rPr>
                <w:sz w:val="18"/>
                <w:szCs w:val="18"/>
              </w:rPr>
            </w:pPr>
            <w:r w:rsidRPr="00DF6688">
              <w:rPr>
                <w:sz w:val="18"/>
                <w:szCs w:val="18"/>
              </w:rPr>
              <w:t>230721; 279911</w:t>
            </w:r>
          </w:p>
        </w:tc>
        <w:tc>
          <w:tcPr>
            <w:tcW w:w="1253" w:type="pct"/>
            <w:shd w:val="clear" w:color="auto" w:fill="auto"/>
          </w:tcPr>
          <w:p w14:paraId="6E982BF1"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13097238" w14:textId="19B626A5" w:rsidR="00334A8B" w:rsidRPr="00DF6688" w:rsidRDefault="00DC713E" w:rsidP="00334A8B">
            <w:pPr>
              <w:pStyle w:val="051Tabletext2210pt"/>
              <w:rPr>
                <w:sz w:val="18"/>
                <w:szCs w:val="18"/>
              </w:rPr>
            </w:pPr>
            <w:r w:rsidRPr="00DF6688">
              <w:rPr>
                <w:sz w:val="18"/>
                <w:szCs w:val="18"/>
              </w:rPr>
              <w:t>SJ374</w:t>
            </w:r>
          </w:p>
        </w:tc>
        <w:tc>
          <w:tcPr>
            <w:tcW w:w="467" w:type="pct"/>
            <w:shd w:val="clear" w:color="auto" w:fill="auto"/>
          </w:tcPr>
          <w:p w14:paraId="1CFFE3CE" w14:textId="7C3B8926" w:rsidR="00334A8B" w:rsidRPr="00DF6688" w:rsidRDefault="00334A8B" w:rsidP="00334A8B">
            <w:pPr>
              <w:pStyle w:val="051Tabletext2210pt"/>
              <w:rPr>
                <w:sz w:val="18"/>
                <w:szCs w:val="18"/>
              </w:rPr>
            </w:pPr>
            <w:r w:rsidRPr="00DF6688">
              <w:rPr>
                <w:sz w:val="18"/>
                <w:szCs w:val="18"/>
              </w:rPr>
              <w:t>$23,465</w:t>
            </w:r>
          </w:p>
        </w:tc>
      </w:tr>
      <w:tr w:rsidR="00085230" w:rsidRPr="00DF6688" w14:paraId="15F22CB3" w14:textId="576D6DC3" w:rsidTr="00DF6688">
        <w:trPr>
          <w:cantSplit/>
        </w:trPr>
        <w:tc>
          <w:tcPr>
            <w:tcW w:w="384" w:type="pct"/>
            <w:shd w:val="clear" w:color="auto" w:fill="auto"/>
          </w:tcPr>
          <w:p w14:paraId="0786C8EF" w14:textId="669FF0A8"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4B1D0832" w14:textId="3E321DF8" w:rsidR="00334A8B" w:rsidRPr="00DF6688" w:rsidRDefault="00334A8B" w:rsidP="00334A8B">
            <w:pPr>
              <w:pStyle w:val="051Tabletext2210pt"/>
              <w:rPr>
                <w:sz w:val="18"/>
                <w:szCs w:val="18"/>
              </w:rPr>
            </w:pPr>
            <w:r w:rsidRPr="00DF6688">
              <w:rPr>
                <w:sz w:val="18"/>
                <w:szCs w:val="18"/>
              </w:rPr>
              <w:t>Senza II IPG Kit</w:t>
            </w:r>
          </w:p>
        </w:tc>
        <w:tc>
          <w:tcPr>
            <w:tcW w:w="668" w:type="pct"/>
            <w:shd w:val="clear" w:color="auto" w:fill="auto"/>
          </w:tcPr>
          <w:p w14:paraId="33D05249" w14:textId="23B477A8" w:rsidR="00334A8B" w:rsidRPr="00DF6688" w:rsidRDefault="00334A8B" w:rsidP="00334A8B">
            <w:pPr>
              <w:pStyle w:val="051Tabletext2210pt"/>
              <w:rPr>
                <w:sz w:val="18"/>
                <w:szCs w:val="18"/>
              </w:rPr>
            </w:pPr>
            <w:r w:rsidRPr="00DF6688">
              <w:rPr>
                <w:sz w:val="18"/>
                <w:szCs w:val="18"/>
              </w:rPr>
              <w:t xml:space="preserve">Emergo Asia </w:t>
            </w:r>
          </w:p>
        </w:tc>
        <w:tc>
          <w:tcPr>
            <w:tcW w:w="747" w:type="pct"/>
            <w:shd w:val="clear" w:color="auto" w:fill="auto"/>
          </w:tcPr>
          <w:p w14:paraId="7E35D270" w14:textId="3351259F" w:rsidR="00334A8B" w:rsidRPr="00DF6688" w:rsidRDefault="00334A8B" w:rsidP="00334A8B">
            <w:pPr>
              <w:pStyle w:val="051Tabletext2210pt"/>
              <w:rPr>
                <w:sz w:val="18"/>
                <w:szCs w:val="18"/>
              </w:rPr>
            </w:pPr>
            <w:r w:rsidRPr="00DF6688">
              <w:rPr>
                <w:sz w:val="18"/>
                <w:szCs w:val="18"/>
              </w:rPr>
              <w:t>186043</w:t>
            </w:r>
          </w:p>
        </w:tc>
        <w:tc>
          <w:tcPr>
            <w:tcW w:w="1253" w:type="pct"/>
            <w:shd w:val="clear" w:color="auto" w:fill="auto"/>
          </w:tcPr>
          <w:p w14:paraId="71D70F97" w14:textId="77777777"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577E9BF7" w14:textId="6932645C" w:rsidR="00334A8B" w:rsidRPr="00DF6688" w:rsidRDefault="00DC713E" w:rsidP="00334A8B">
            <w:pPr>
              <w:pStyle w:val="051Tabletext2210pt"/>
              <w:rPr>
                <w:sz w:val="18"/>
                <w:szCs w:val="18"/>
              </w:rPr>
            </w:pPr>
            <w:r w:rsidRPr="00DF6688">
              <w:rPr>
                <w:sz w:val="18"/>
                <w:szCs w:val="18"/>
              </w:rPr>
              <w:t>ER496</w:t>
            </w:r>
          </w:p>
        </w:tc>
        <w:tc>
          <w:tcPr>
            <w:tcW w:w="467" w:type="pct"/>
            <w:shd w:val="clear" w:color="auto" w:fill="auto"/>
          </w:tcPr>
          <w:p w14:paraId="353A3AE5" w14:textId="34590E19" w:rsidR="00334A8B" w:rsidRPr="00DF6688" w:rsidRDefault="00334A8B" w:rsidP="00334A8B">
            <w:pPr>
              <w:pStyle w:val="051Tabletext2210pt"/>
              <w:rPr>
                <w:sz w:val="18"/>
                <w:szCs w:val="18"/>
              </w:rPr>
            </w:pPr>
            <w:r w:rsidRPr="00DF6688">
              <w:rPr>
                <w:sz w:val="18"/>
                <w:szCs w:val="18"/>
              </w:rPr>
              <w:t>$23,465</w:t>
            </w:r>
          </w:p>
        </w:tc>
      </w:tr>
      <w:tr w:rsidR="00085230" w:rsidRPr="00DF6688" w14:paraId="678DDC5A" w14:textId="08A3A19E" w:rsidTr="00DF6688">
        <w:trPr>
          <w:cantSplit/>
        </w:trPr>
        <w:tc>
          <w:tcPr>
            <w:tcW w:w="384" w:type="pct"/>
            <w:shd w:val="clear" w:color="auto" w:fill="auto"/>
          </w:tcPr>
          <w:p w14:paraId="4C490871" w14:textId="20E04423"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21063C8D" w14:textId="5D5F2339" w:rsidR="00334A8B" w:rsidRPr="00DF6688" w:rsidRDefault="00334A8B" w:rsidP="00334A8B">
            <w:pPr>
              <w:pStyle w:val="051Tabletext2210pt"/>
              <w:rPr>
                <w:sz w:val="18"/>
                <w:szCs w:val="18"/>
              </w:rPr>
            </w:pPr>
            <w:r w:rsidRPr="00DF6688">
              <w:rPr>
                <w:sz w:val="18"/>
                <w:szCs w:val="18"/>
              </w:rPr>
              <w:t>Senza Omnia IPG Kit</w:t>
            </w:r>
          </w:p>
        </w:tc>
        <w:tc>
          <w:tcPr>
            <w:tcW w:w="668" w:type="pct"/>
            <w:shd w:val="clear" w:color="auto" w:fill="auto"/>
          </w:tcPr>
          <w:p w14:paraId="074DB72E" w14:textId="25D72E94" w:rsidR="00334A8B" w:rsidRPr="00DF6688" w:rsidRDefault="00334A8B" w:rsidP="00334A8B">
            <w:pPr>
              <w:pStyle w:val="051Tabletext2210pt"/>
              <w:rPr>
                <w:sz w:val="18"/>
                <w:szCs w:val="18"/>
              </w:rPr>
            </w:pPr>
            <w:r w:rsidRPr="00DF6688">
              <w:rPr>
                <w:sz w:val="18"/>
                <w:szCs w:val="18"/>
              </w:rPr>
              <w:t>Emergo Asia</w:t>
            </w:r>
          </w:p>
        </w:tc>
        <w:tc>
          <w:tcPr>
            <w:tcW w:w="747" w:type="pct"/>
            <w:shd w:val="clear" w:color="auto" w:fill="auto"/>
          </w:tcPr>
          <w:p w14:paraId="06A989C6" w14:textId="7CCEB517" w:rsidR="00334A8B" w:rsidRPr="00DF6688" w:rsidRDefault="00334A8B" w:rsidP="00334A8B">
            <w:pPr>
              <w:pStyle w:val="051Tabletext2210pt"/>
              <w:rPr>
                <w:sz w:val="18"/>
                <w:szCs w:val="18"/>
              </w:rPr>
            </w:pPr>
            <w:r w:rsidRPr="00DF6688">
              <w:rPr>
                <w:sz w:val="18"/>
                <w:szCs w:val="18"/>
              </w:rPr>
              <w:t>330704</w:t>
            </w:r>
          </w:p>
        </w:tc>
        <w:tc>
          <w:tcPr>
            <w:tcW w:w="1253" w:type="pct"/>
            <w:shd w:val="clear" w:color="auto" w:fill="auto"/>
          </w:tcPr>
          <w:p w14:paraId="311733FE" w14:textId="77777777" w:rsidR="00334A8B" w:rsidRPr="00DF6688" w:rsidRDefault="00334A8B" w:rsidP="00334A8B">
            <w:pPr>
              <w:pStyle w:val="051Tabletext2210pt"/>
              <w:rPr>
                <w:sz w:val="18"/>
                <w:szCs w:val="18"/>
              </w:rPr>
            </w:pPr>
            <w:r w:rsidRPr="00DF6688">
              <w:rPr>
                <w:sz w:val="18"/>
                <w:szCs w:val="18"/>
              </w:rPr>
              <w:t>36008 Stimulator, electrical, analgesic, spinal cord</w:t>
            </w:r>
          </w:p>
        </w:tc>
        <w:tc>
          <w:tcPr>
            <w:tcW w:w="636" w:type="pct"/>
            <w:shd w:val="clear" w:color="auto" w:fill="auto"/>
          </w:tcPr>
          <w:p w14:paraId="6DAD3903" w14:textId="1109F585" w:rsidR="00334A8B" w:rsidRPr="00DF6688" w:rsidRDefault="00DC713E" w:rsidP="00334A8B">
            <w:pPr>
              <w:pStyle w:val="051Tabletext2210pt"/>
              <w:rPr>
                <w:sz w:val="18"/>
                <w:szCs w:val="18"/>
              </w:rPr>
            </w:pPr>
            <w:r w:rsidRPr="00DF6688">
              <w:rPr>
                <w:sz w:val="18"/>
                <w:szCs w:val="18"/>
              </w:rPr>
              <w:t>ER535</w:t>
            </w:r>
          </w:p>
        </w:tc>
        <w:tc>
          <w:tcPr>
            <w:tcW w:w="467" w:type="pct"/>
            <w:shd w:val="clear" w:color="auto" w:fill="auto"/>
          </w:tcPr>
          <w:p w14:paraId="6FCB5BCE" w14:textId="7E67C2E8" w:rsidR="00334A8B" w:rsidRPr="00DF6688" w:rsidRDefault="00334A8B" w:rsidP="00334A8B">
            <w:pPr>
              <w:pStyle w:val="051Tabletext2210pt"/>
              <w:rPr>
                <w:sz w:val="18"/>
                <w:szCs w:val="18"/>
              </w:rPr>
            </w:pPr>
            <w:r w:rsidRPr="00DF6688">
              <w:rPr>
                <w:sz w:val="18"/>
                <w:szCs w:val="18"/>
              </w:rPr>
              <w:t>$23,465</w:t>
            </w:r>
          </w:p>
        </w:tc>
      </w:tr>
      <w:tr w:rsidR="00085230" w:rsidRPr="00DF6688" w14:paraId="0E8E85AE" w14:textId="0D38EFBE" w:rsidTr="00DF6688">
        <w:trPr>
          <w:cantSplit/>
        </w:trPr>
        <w:tc>
          <w:tcPr>
            <w:tcW w:w="384" w:type="pct"/>
            <w:shd w:val="clear" w:color="auto" w:fill="auto"/>
          </w:tcPr>
          <w:p w14:paraId="67A39DCD" w14:textId="56A2A3CB" w:rsidR="00334A8B" w:rsidRPr="00DF6688" w:rsidRDefault="00334A8B" w:rsidP="00334A8B">
            <w:pPr>
              <w:pStyle w:val="051Tabletext2210pt"/>
              <w:rPr>
                <w:sz w:val="18"/>
                <w:szCs w:val="18"/>
              </w:rPr>
            </w:pPr>
            <w:r w:rsidRPr="00DF6688">
              <w:rPr>
                <w:sz w:val="18"/>
                <w:szCs w:val="18"/>
              </w:rPr>
              <w:t>SCS</w:t>
            </w:r>
          </w:p>
        </w:tc>
        <w:tc>
          <w:tcPr>
            <w:tcW w:w="845" w:type="pct"/>
            <w:shd w:val="clear" w:color="auto" w:fill="auto"/>
          </w:tcPr>
          <w:p w14:paraId="4EB8E889" w14:textId="4B22BAAF" w:rsidR="00334A8B" w:rsidRPr="00DF6688" w:rsidRDefault="00334A8B" w:rsidP="00334A8B">
            <w:pPr>
              <w:pStyle w:val="051Tabletext2210pt"/>
              <w:rPr>
                <w:sz w:val="18"/>
                <w:szCs w:val="18"/>
              </w:rPr>
            </w:pPr>
            <w:proofErr w:type="spellStart"/>
            <w:r w:rsidRPr="00DF6688">
              <w:rPr>
                <w:sz w:val="18"/>
                <w:szCs w:val="18"/>
              </w:rPr>
              <w:t>Vanta</w:t>
            </w:r>
            <w:proofErr w:type="spellEnd"/>
            <w:r w:rsidRPr="00DF6688">
              <w:rPr>
                <w:sz w:val="18"/>
                <w:szCs w:val="18"/>
              </w:rPr>
              <w:t xml:space="preserve">™ Recharge-Free Neurostimulator </w:t>
            </w:r>
          </w:p>
        </w:tc>
        <w:tc>
          <w:tcPr>
            <w:tcW w:w="668" w:type="pct"/>
            <w:shd w:val="clear" w:color="auto" w:fill="auto"/>
          </w:tcPr>
          <w:p w14:paraId="26BDA21E" w14:textId="0E609A07" w:rsidR="00334A8B" w:rsidRPr="00DF6688" w:rsidRDefault="00334A8B" w:rsidP="00334A8B">
            <w:pPr>
              <w:pStyle w:val="051Tabletext2210pt"/>
              <w:rPr>
                <w:sz w:val="18"/>
                <w:szCs w:val="18"/>
              </w:rPr>
            </w:pPr>
            <w:r w:rsidRPr="00DF6688">
              <w:rPr>
                <w:sz w:val="18"/>
                <w:szCs w:val="18"/>
              </w:rPr>
              <w:t>Medtronic</w:t>
            </w:r>
          </w:p>
        </w:tc>
        <w:tc>
          <w:tcPr>
            <w:tcW w:w="747" w:type="pct"/>
            <w:shd w:val="clear" w:color="auto" w:fill="auto"/>
          </w:tcPr>
          <w:p w14:paraId="484B65E6" w14:textId="553433ED" w:rsidR="00334A8B" w:rsidRPr="00DF6688" w:rsidRDefault="00334A8B" w:rsidP="00334A8B">
            <w:pPr>
              <w:pStyle w:val="051Tabletext2210pt"/>
              <w:rPr>
                <w:sz w:val="18"/>
                <w:szCs w:val="18"/>
              </w:rPr>
            </w:pPr>
            <w:r w:rsidRPr="00DF6688">
              <w:rPr>
                <w:sz w:val="18"/>
                <w:szCs w:val="18"/>
              </w:rPr>
              <w:t>386887</w:t>
            </w:r>
          </w:p>
        </w:tc>
        <w:tc>
          <w:tcPr>
            <w:tcW w:w="1253" w:type="pct"/>
            <w:shd w:val="clear" w:color="auto" w:fill="auto"/>
          </w:tcPr>
          <w:p w14:paraId="0F911667" w14:textId="77777777" w:rsidR="00334A8B" w:rsidRPr="00DF6688" w:rsidRDefault="00334A8B" w:rsidP="00334A8B">
            <w:pPr>
              <w:pStyle w:val="051Tabletext2210pt"/>
              <w:rPr>
                <w:sz w:val="18"/>
                <w:szCs w:val="18"/>
              </w:rPr>
            </w:pPr>
            <w:r w:rsidRPr="00DF6688">
              <w:rPr>
                <w:sz w:val="18"/>
                <w:szCs w:val="18"/>
              </w:rPr>
              <w:t>64970 Analgesic spinal cord electrical stimulation system pulse generator implantable</w:t>
            </w:r>
          </w:p>
        </w:tc>
        <w:tc>
          <w:tcPr>
            <w:tcW w:w="636" w:type="pct"/>
            <w:shd w:val="clear" w:color="auto" w:fill="auto"/>
          </w:tcPr>
          <w:p w14:paraId="1D69D672" w14:textId="3D39C7C0" w:rsidR="00334A8B" w:rsidRPr="00DF6688" w:rsidRDefault="00DC713E" w:rsidP="00334A8B">
            <w:pPr>
              <w:pStyle w:val="051Tabletext2210pt"/>
              <w:rPr>
                <w:sz w:val="18"/>
                <w:szCs w:val="18"/>
              </w:rPr>
            </w:pPr>
            <w:r w:rsidRPr="00DF6688">
              <w:rPr>
                <w:sz w:val="18"/>
                <w:szCs w:val="18"/>
              </w:rPr>
              <w:t>MI495</w:t>
            </w:r>
          </w:p>
        </w:tc>
        <w:tc>
          <w:tcPr>
            <w:tcW w:w="467" w:type="pct"/>
            <w:shd w:val="clear" w:color="auto" w:fill="auto"/>
          </w:tcPr>
          <w:p w14:paraId="13B7D5B7" w14:textId="0F6128E0" w:rsidR="00334A8B" w:rsidRPr="00DF6688" w:rsidRDefault="00334A8B" w:rsidP="00334A8B">
            <w:pPr>
              <w:pStyle w:val="051Tabletext2210pt"/>
              <w:rPr>
                <w:sz w:val="18"/>
                <w:szCs w:val="18"/>
              </w:rPr>
            </w:pPr>
            <w:r w:rsidRPr="00DF6688">
              <w:rPr>
                <w:sz w:val="18"/>
                <w:szCs w:val="18"/>
              </w:rPr>
              <w:t>$19,088</w:t>
            </w:r>
          </w:p>
        </w:tc>
      </w:tr>
      <w:tr w:rsidR="00085230" w:rsidRPr="00DF6688" w14:paraId="626C20CB" w14:textId="295D1652" w:rsidTr="00DF6688">
        <w:trPr>
          <w:cantSplit/>
        </w:trPr>
        <w:tc>
          <w:tcPr>
            <w:tcW w:w="384" w:type="pct"/>
            <w:shd w:val="clear" w:color="auto" w:fill="auto"/>
          </w:tcPr>
          <w:p w14:paraId="378B4108" w14:textId="7B8570CA" w:rsidR="00334A8B" w:rsidRPr="00DF6688" w:rsidRDefault="00334A8B" w:rsidP="00334A8B">
            <w:pPr>
              <w:pStyle w:val="051Tabletext2210pt"/>
              <w:rPr>
                <w:sz w:val="18"/>
                <w:szCs w:val="18"/>
              </w:rPr>
            </w:pPr>
            <w:r w:rsidRPr="00DF6688">
              <w:rPr>
                <w:sz w:val="18"/>
                <w:szCs w:val="18"/>
              </w:rPr>
              <w:t>DRG</w:t>
            </w:r>
            <w:r w:rsidR="0054374E" w:rsidRPr="00DF6688">
              <w:rPr>
                <w:sz w:val="18"/>
                <w:szCs w:val="18"/>
              </w:rPr>
              <w:t>S</w:t>
            </w:r>
          </w:p>
        </w:tc>
        <w:tc>
          <w:tcPr>
            <w:tcW w:w="845" w:type="pct"/>
            <w:shd w:val="clear" w:color="auto" w:fill="auto"/>
          </w:tcPr>
          <w:p w14:paraId="1B156A29" w14:textId="2B01B8D7" w:rsidR="00334A8B" w:rsidRPr="00DF6688" w:rsidRDefault="00334A8B" w:rsidP="00334A8B">
            <w:pPr>
              <w:pStyle w:val="051Tabletext2210pt"/>
              <w:rPr>
                <w:sz w:val="18"/>
                <w:szCs w:val="18"/>
              </w:rPr>
            </w:pPr>
            <w:r w:rsidRPr="00DF6688">
              <w:rPr>
                <w:sz w:val="18"/>
                <w:szCs w:val="18"/>
              </w:rPr>
              <w:t>Proclaim DRG</w:t>
            </w:r>
          </w:p>
        </w:tc>
        <w:tc>
          <w:tcPr>
            <w:tcW w:w="668" w:type="pct"/>
            <w:shd w:val="clear" w:color="auto" w:fill="auto"/>
          </w:tcPr>
          <w:p w14:paraId="1F9667C9" w14:textId="7C1CCFB7" w:rsidR="00334A8B" w:rsidRPr="00DF6688" w:rsidRDefault="00334A8B" w:rsidP="00334A8B">
            <w:pPr>
              <w:pStyle w:val="051Tabletext2210pt"/>
              <w:rPr>
                <w:sz w:val="18"/>
                <w:szCs w:val="18"/>
              </w:rPr>
            </w:pPr>
            <w:r w:rsidRPr="00DF6688">
              <w:rPr>
                <w:sz w:val="18"/>
                <w:szCs w:val="18"/>
              </w:rPr>
              <w:t>Abbott Medical</w:t>
            </w:r>
          </w:p>
        </w:tc>
        <w:tc>
          <w:tcPr>
            <w:tcW w:w="747" w:type="pct"/>
            <w:shd w:val="clear" w:color="auto" w:fill="auto"/>
          </w:tcPr>
          <w:p w14:paraId="4E2AE880" w14:textId="16281760" w:rsidR="00334A8B" w:rsidRPr="00DF6688" w:rsidRDefault="00334A8B" w:rsidP="00334A8B">
            <w:pPr>
              <w:pStyle w:val="051Tabletext2210pt"/>
              <w:rPr>
                <w:sz w:val="18"/>
                <w:szCs w:val="18"/>
              </w:rPr>
            </w:pPr>
            <w:r w:rsidRPr="00DF6688">
              <w:rPr>
                <w:sz w:val="18"/>
                <w:szCs w:val="18"/>
              </w:rPr>
              <w:t>289235; 333461</w:t>
            </w:r>
          </w:p>
        </w:tc>
        <w:tc>
          <w:tcPr>
            <w:tcW w:w="1253" w:type="pct"/>
            <w:shd w:val="clear" w:color="auto" w:fill="auto"/>
          </w:tcPr>
          <w:p w14:paraId="5F2666E4" w14:textId="5DD72355" w:rsidR="00334A8B" w:rsidRPr="00DF6688" w:rsidRDefault="00334A8B" w:rsidP="00334A8B">
            <w:pPr>
              <w:pStyle w:val="051Tabletext2210pt"/>
              <w:rPr>
                <w:sz w:val="18"/>
                <w:szCs w:val="18"/>
              </w:rPr>
            </w:pPr>
            <w:r w:rsidRPr="00DF6688">
              <w:rPr>
                <w:sz w:val="18"/>
                <w:szCs w:val="18"/>
              </w:rPr>
              <w:t>36007 Stimulator, electrical, analgesic, spinal cord</w:t>
            </w:r>
          </w:p>
        </w:tc>
        <w:tc>
          <w:tcPr>
            <w:tcW w:w="636" w:type="pct"/>
            <w:shd w:val="clear" w:color="auto" w:fill="auto"/>
          </w:tcPr>
          <w:p w14:paraId="7DCC004A" w14:textId="556AA196" w:rsidR="00334A8B" w:rsidRPr="00DF6688" w:rsidRDefault="004A190D" w:rsidP="00334A8B">
            <w:pPr>
              <w:pStyle w:val="051Tabletext2210pt"/>
              <w:rPr>
                <w:sz w:val="18"/>
                <w:szCs w:val="18"/>
              </w:rPr>
            </w:pPr>
            <w:r w:rsidRPr="00DF6688">
              <w:rPr>
                <w:sz w:val="18"/>
                <w:szCs w:val="18"/>
              </w:rPr>
              <w:t>SJ389</w:t>
            </w:r>
          </w:p>
        </w:tc>
        <w:tc>
          <w:tcPr>
            <w:tcW w:w="467" w:type="pct"/>
            <w:shd w:val="clear" w:color="auto" w:fill="auto"/>
          </w:tcPr>
          <w:p w14:paraId="4D201255" w14:textId="471EA5D0" w:rsidR="00334A8B" w:rsidRPr="00DF6688" w:rsidRDefault="00334A8B" w:rsidP="00334A8B">
            <w:pPr>
              <w:pStyle w:val="051Tabletext2210pt"/>
              <w:rPr>
                <w:sz w:val="18"/>
                <w:szCs w:val="18"/>
              </w:rPr>
            </w:pPr>
            <w:r w:rsidRPr="00DF6688">
              <w:rPr>
                <w:sz w:val="18"/>
                <w:szCs w:val="18"/>
              </w:rPr>
              <w:t>$21,660</w:t>
            </w:r>
          </w:p>
        </w:tc>
      </w:tr>
      <w:tr w:rsidR="00085230" w:rsidRPr="00DF6688" w14:paraId="15B2D393" w14:textId="77777777" w:rsidTr="00DF6688">
        <w:trPr>
          <w:cantSplit/>
        </w:trPr>
        <w:tc>
          <w:tcPr>
            <w:tcW w:w="384" w:type="pct"/>
            <w:shd w:val="clear" w:color="auto" w:fill="auto"/>
          </w:tcPr>
          <w:p w14:paraId="3217F74D" w14:textId="76685BF3" w:rsidR="001914E8" w:rsidRPr="00DF6688" w:rsidRDefault="001914E8" w:rsidP="001914E8">
            <w:pPr>
              <w:pStyle w:val="051Tabletext2210pt"/>
              <w:rPr>
                <w:sz w:val="18"/>
                <w:szCs w:val="18"/>
              </w:rPr>
            </w:pPr>
            <w:r w:rsidRPr="00DF6688">
              <w:rPr>
                <w:sz w:val="18"/>
                <w:szCs w:val="18"/>
              </w:rPr>
              <w:t>MBNS</w:t>
            </w:r>
          </w:p>
        </w:tc>
        <w:tc>
          <w:tcPr>
            <w:tcW w:w="845" w:type="pct"/>
            <w:shd w:val="clear" w:color="auto" w:fill="auto"/>
          </w:tcPr>
          <w:p w14:paraId="5C770423" w14:textId="4C439C0D" w:rsidR="001914E8" w:rsidRPr="00DF6688" w:rsidRDefault="001914E8" w:rsidP="001914E8">
            <w:pPr>
              <w:pStyle w:val="051Tabletext2210pt"/>
              <w:rPr>
                <w:sz w:val="18"/>
                <w:szCs w:val="18"/>
              </w:rPr>
            </w:pPr>
            <w:r w:rsidRPr="00DF6688">
              <w:rPr>
                <w:sz w:val="18"/>
                <w:szCs w:val="18"/>
              </w:rPr>
              <w:t>Reactiv8 Implantable Pulse Generator</w:t>
            </w:r>
          </w:p>
        </w:tc>
        <w:tc>
          <w:tcPr>
            <w:tcW w:w="668" w:type="pct"/>
            <w:shd w:val="clear" w:color="auto" w:fill="auto"/>
          </w:tcPr>
          <w:p w14:paraId="5CE69146" w14:textId="58C67856" w:rsidR="001914E8" w:rsidRPr="00DF6688" w:rsidRDefault="001914E8" w:rsidP="001914E8">
            <w:pPr>
              <w:pStyle w:val="051Tabletext2210pt"/>
              <w:rPr>
                <w:sz w:val="18"/>
                <w:szCs w:val="18"/>
              </w:rPr>
            </w:pPr>
            <w:r w:rsidRPr="00DF6688">
              <w:rPr>
                <w:sz w:val="18"/>
                <w:szCs w:val="18"/>
              </w:rPr>
              <w:t>Mainstay Medical</w:t>
            </w:r>
          </w:p>
        </w:tc>
        <w:tc>
          <w:tcPr>
            <w:tcW w:w="747" w:type="pct"/>
            <w:shd w:val="clear" w:color="auto" w:fill="auto"/>
          </w:tcPr>
          <w:p w14:paraId="14600D1D" w14:textId="3AB874F0" w:rsidR="001914E8" w:rsidRPr="00DF6688" w:rsidRDefault="001914E8" w:rsidP="001914E8">
            <w:pPr>
              <w:pStyle w:val="051Tabletext2210pt"/>
              <w:rPr>
                <w:sz w:val="18"/>
                <w:szCs w:val="18"/>
              </w:rPr>
            </w:pPr>
            <w:r w:rsidRPr="00DF6688">
              <w:rPr>
                <w:sz w:val="18"/>
                <w:szCs w:val="18"/>
              </w:rPr>
              <w:t>327089</w:t>
            </w:r>
          </w:p>
        </w:tc>
        <w:tc>
          <w:tcPr>
            <w:tcW w:w="1253" w:type="pct"/>
            <w:shd w:val="clear" w:color="auto" w:fill="auto"/>
          </w:tcPr>
          <w:p w14:paraId="43E3CD7A" w14:textId="01392D63" w:rsidR="001914E8" w:rsidRPr="00DF6688" w:rsidRDefault="001914E8" w:rsidP="001914E8">
            <w:pPr>
              <w:pStyle w:val="051Tabletext2210pt"/>
              <w:rPr>
                <w:sz w:val="18"/>
                <w:szCs w:val="18"/>
              </w:rPr>
            </w:pPr>
            <w:r w:rsidRPr="00DF6688">
              <w:rPr>
                <w:sz w:val="18"/>
                <w:szCs w:val="18"/>
              </w:rPr>
              <w:t>62422 Implantable lumbar neuromuscular electrical stimulation system pulse generator</w:t>
            </w:r>
          </w:p>
        </w:tc>
        <w:tc>
          <w:tcPr>
            <w:tcW w:w="636" w:type="pct"/>
            <w:shd w:val="clear" w:color="auto" w:fill="auto"/>
          </w:tcPr>
          <w:p w14:paraId="154EA727" w14:textId="6965ABA6" w:rsidR="001914E8" w:rsidRPr="00DF6688" w:rsidRDefault="004A190D" w:rsidP="001914E8">
            <w:pPr>
              <w:pStyle w:val="051Tabletext2210pt"/>
              <w:rPr>
                <w:sz w:val="18"/>
                <w:szCs w:val="18"/>
              </w:rPr>
            </w:pPr>
            <w:r w:rsidRPr="00DF6688">
              <w:rPr>
                <w:sz w:val="18"/>
                <w:szCs w:val="18"/>
              </w:rPr>
              <w:t>PQ004</w:t>
            </w:r>
          </w:p>
        </w:tc>
        <w:tc>
          <w:tcPr>
            <w:tcW w:w="467" w:type="pct"/>
            <w:shd w:val="clear" w:color="auto" w:fill="auto"/>
          </w:tcPr>
          <w:p w14:paraId="056F30E1" w14:textId="43062E1F" w:rsidR="001914E8" w:rsidRPr="00DF6688" w:rsidRDefault="001914E8" w:rsidP="001914E8">
            <w:pPr>
              <w:pStyle w:val="051Tabletext2210pt"/>
              <w:rPr>
                <w:sz w:val="18"/>
                <w:szCs w:val="18"/>
              </w:rPr>
            </w:pPr>
            <w:r w:rsidRPr="00DF6688">
              <w:rPr>
                <w:sz w:val="18"/>
                <w:szCs w:val="18"/>
              </w:rPr>
              <w:t>$17,283</w:t>
            </w:r>
          </w:p>
        </w:tc>
      </w:tr>
      <w:tr w:rsidR="00085230" w:rsidRPr="00DF6688" w14:paraId="60E95CE9" w14:textId="77777777" w:rsidTr="00DF6688">
        <w:trPr>
          <w:cantSplit/>
        </w:trPr>
        <w:tc>
          <w:tcPr>
            <w:tcW w:w="384" w:type="pct"/>
            <w:shd w:val="clear" w:color="auto" w:fill="auto"/>
          </w:tcPr>
          <w:p w14:paraId="29E4CAD7" w14:textId="11C563C9" w:rsidR="001914E8" w:rsidRPr="00DF6688" w:rsidRDefault="00832244" w:rsidP="001914E8">
            <w:pPr>
              <w:pStyle w:val="051Tabletext2210pt"/>
              <w:rPr>
                <w:sz w:val="18"/>
                <w:szCs w:val="18"/>
              </w:rPr>
            </w:pPr>
            <w:r w:rsidRPr="00DF6688">
              <w:rPr>
                <w:sz w:val="18"/>
                <w:szCs w:val="18"/>
              </w:rPr>
              <w:t>PNS</w:t>
            </w:r>
          </w:p>
        </w:tc>
        <w:tc>
          <w:tcPr>
            <w:tcW w:w="845" w:type="pct"/>
            <w:shd w:val="clear" w:color="auto" w:fill="auto"/>
          </w:tcPr>
          <w:p w14:paraId="49466568" w14:textId="1AE47587" w:rsidR="001914E8" w:rsidRPr="00DF6688" w:rsidRDefault="001914E8" w:rsidP="001914E8">
            <w:pPr>
              <w:pStyle w:val="051Tabletext2210pt"/>
              <w:rPr>
                <w:sz w:val="18"/>
                <w:szCs w:val="18"/>
              </w:rPr>
            </w:pPr>
            <w:proofErr w:type="spellStart"/>
            <w:r w:rsidRPr="00DF6688">
              <w:rPr>
                <w:sz w:val="18"/>
                <w:szCs w:val="18"/>
              </w:rPr>
              <w:t>StimRouter</w:t>
            </w:r>
            <w:proofErr w:type="spellEnd"/>
            <w:r w:rsidRPr="00DF6688">
              <w:rPr>
                <w:sz w:val="18"/>
                <w:szCs w:val="18"/>
              </w:rPr>
              <w:t xml:space="preserve"> Neuromodulation System Kit</w:t>
            </w:r>
          </w:p>
        </w:tc>
        <w:tc>
          <w:tcPr>
            <w:tcW w:w="668" w:type="pct"/>
            <w:shd w:val="clear" w:color="auto" w:fill="auto"/>
          </w:tcPr>
          <w:p w14:paraId="2CAD35AD" w14:textId="497D7D3B" w:rsidR="001914E8" w:rsidRPr="00DF6688" w:rsidRDefault="001914E8" w:rsidP="001914E8">
            <w:pPr>
              <w:pStyle w:val="051Tabletext2210pt"/>
              <w:rPr>
                <w:sz w:val="18"/>
                <w:szCs w:val="18"/>
              </w:rPr>
            </w:pPr>
            <w:proofErr w:type="spellStart"/>
            <w:r w:rsidRPr="00DF6688">
              <w:rPr>
                <w:sz w:val="18"/>
                <w:szCs w:val="18"/>
              </w:rPr>
              <w:t>Algostim</w:t>
            </w:r>
            <w:proofErr w:type="spellEnd"/>
            <w:r w:rsidRPr="00DF6688">
              <w:rPr>
                <w:sz w:val="18"/>
                <w:szCs w:val="18"/>
              </w:rPr>
              <w:t xml:space="preserve"> Research and Development</w:t>
            </w:r>
          </w:p>
        </w:tc>
        <w:tc>
          <w:tcPr>
            <w:tcW w:w="747" w:type="pct"/>
            <w:shd w:val="clear" w:color="auto" w:fill="auto"/>
          </w:tcPr>
          <w:p w14:paraId="0BF10119" w14:textId="6B0E1A57" w:rsidR="001914E8" w:rsidRPr="00DF6688" w:rsidRDefault="001914E8" w:rsidP="001914E8">
            <w:pPr>
              <w:pStyle w:val="051Tabletext2210pt"/>
              <w:rPr>
                <w:sz w:val="18"/>
                <w:szCs w:val="18"/>
              </w:rPr>
            </w:pPr>
            <w:r w:rsidRPr="00DF6688">
              <w:rPr>
                <w:sz w:val="18"/>
                <w:szCs w:val="18"/>
              </w:rPr>
              <w:t>313344</w:t>
            </w:r>
          </w:p>
        </w:tc>
        <w:tc>
          <w:tcPr>
            <w:tcW w:w="1253" w:type="pct"/>
            <w:shd w:val="clear" w:color="auto" w:fill="auto"/>
          </w:tcPr>
          <w:p w14:paraId="37C3C7FE" w14:textId="17156CAD" w:rsidR="001914E8" w:rsidRPr="00DF6688" w:rsidRDefault="001914E8" w:rsidP="001914E8">
            <w:pPr>
              <w:pStyle w:val="051Tabletext2210pt"/>
              <w:rPr>
                <w:sz w:val="18"/>
                <w:szCs w:val="18"/>
              </w:rPr>
            </w:pPr>
            <w:r w:rsidRPr="00DF6688">
              <w:rPr>
                <w:sz w:val="18"/>
                <w:szCs w:val="18"/>
              </w:rPr>
              <w:t>38474 Stimulator, electrical, analgesic, peripheral nerve, implantable</w:t>
            </w:r>
          </w:p>
        </w:tc>
        <w:tc>
          <w:tcPr>
            <w:tcW w:w="636" w:type="pct"/>
            <w:shd w:val="clear" w:color="auto" w:fill="auto"/>
          </w:tcPr>
          <w:p w14:paraId="6CDC1FAE" w14:textId="0E141DA3" w:rsidR="001914E8" w:rsidRPr="00DF6688" w:rsidRDefault="004A190D" w:rsidP="001914E8">
            <w:pPr>
              <w:pStyle w:val="051Tabletext2210pt"/>
              <w:rPr>
                <w:sz w:val="18"/>
                <w:szCs w:val="18"/>
              </w:rPr>
            </w:pPr>
            <w:r w:rsidRPr="00DF6688">
              <w:rPr>
                <w:sz w:val="18"/>
                <w:szCs w:val="18"/>
              </w:rPr>
              <w:t>FP001</w:t>
            </w:r>
          </w:p>
        </w:tc>
        <w:tc>
          <w:tcPr>
            <w:tcW w:w="467" w:type="pct"/>
            <w:shd w:val="clear" w:color="auto" w:fill="auto"/>
          </w:tcPr>
          <w:p w14:paraId="53B85031" w14:textId="1E1C62B3" w:rsidR="001914E8" w:rsidRPr="00DF6688" w:rsidRDefault="001914E8" w:rsidP="001914E8">
            <w:pPr>
              <w:pStyle w:val="051Tabletext2210pt"/>
              <w:rPr>
                <w:sz w:val="18"/>
                <w:szCs w:val="18"/>
              </w:rPr>
            </w:pPr>
            <w:r w:rsidRPr="00DF6688">
              <w:rPr>
                <w:sz w:val="18"/>
                <w:szCs w:val="18"/>
              </w:rPr>
              <w:t>$18,032</w:t>
            </w:r>
          </w:p>
        </w:tc>
      </w:tr>
    </w:tbl>
    <w:p w14:paraId="10603AA0" w14:textId="03A423DD" w:rsidR="005A6510" w:rsidRPr="005A6510" w:rsidRDefault="009323F7" w:rsidP="005A6510">
      <w:pPr>
        <w:pStyle w:val="111Tablefootnoteslast-nostick8pt"/>
      </w:pPr>
      <w:r>
        <w:lastRenderedPageBreak/>
        <w:t>Abbreviations</w:t>
      </w:r>
      <w:r w:rsidR="00BD0806">
        <w:t xml:space="preserve">: </w:t>
      </w:r>
      <w:bookmarkStart w:id="39" w:name="_Hlk134533045"/>
      <w:r w:rsidR="00536874">
        <w:t>ARTG, Australian Registry of Therapeutic Goods; DRG</w:t>
      </w:r>
      <w:r w:rsidR="0054374E">
        <w:t>S</w:t>
      </w:r>
      <w:r w:rsidR="00536874">
        <w:t xml:space="preserve">, dorsal root ganglion stimulation; GMDN, Global Medical Device Nomenclature; MBNS, medial branch nerve stimulation; </w:t>
      </w:r>
      <w:r w:rsidR="00DD1C4B">
        <w:t xml:space="preserve">PL, Prostheses List; </w:t>
      </w:r>
      <w:r w:rsidR="00536874">
        <w:t>PNS, peripheral nerve stimulation; SCS, spinal cord stimulat</w:t>
      </w:r>
      <w:r w:rsidR="006A0EF8">
        <w:t>i</w:t>
      </w:r>
      <w:r w:rsidR="00E9256D">
        <w:t>on</w:t>
      </w:r>
      <w:r w:rsidR="0082637B">
        <w:t>.</w:t>
      </w:r>
      <w:r w:rsidR="005A6510">
        <w:br/>
        <w:t>Note: ARTG number</w:t>
      </w:r>
      <w:r w:rsidR="00420798">
        <w:t xml:space="preserve">s </w:t>
      </w:r>
      <w:r w:rsidR="00177D2E">
        <w:t>are current according to</w:t>
      </w:r>
      <w:r w:rsidR="00420798">
        <w:t xml:space="preserve"> </w:t>
      </w:r>
      <w:r w:rsidR="00802150">
        <w:t>Public Summary Documents</w:t>
      </w:r>
      <w:r w:rsidR="00D41ACC">
        <w:t xml:space="preserve"> (TGA)</w:t>
      </w:r>
      <w:bookmarkEnd w:id="39"/>
    </w:p>
    <w:p w14:paraId="4AEB3CBA" w14:textId="003829B7" w:rsidR="001F2CC3" w:rsidRDefault="00A838D1" w:rsidP="0014419B">
      <w:pPr>
        <w:pStyle w:val="BodyText"/>
      </w:pPr>
      <w:r>
        <w:t>Fifteen</w:t>
      </w:r>
      <w:r w:rsidR="009E3EF6">
        <w:t xml:space="preserve"> of </w:t>
      </w:r>
      <w:r w:rsidR="000961F3">
        <w:t xml:space="preserve">the </w:t>
      </w:r>
      <w:r w:rsidR="00DC390F">
        <w:t>18</w:t>
      </w:r>
      <w:r w:rsidR="000961F3">
        <w:t xml:space="preserve"> pulse generators</w:t>
      </w:r>
      <w:r w:rsidR="001F2CC3">
        <w:t xml:space="preserve"> </w:t>
      </w:r>
      <w:r w:rsidR="0014419B">
        <w:t xml:space="preserve">are true </w:t>
      </w:r>
      <w:r w:rsidR="001F2CC3">
        <w:t>SCS</w:t>
      </w:r>
      <w:r w:rsidR="0014419B">
        <w:t xml:space="preserve"> </w:t>
      </w:r>
      <w:r w:rsidR="00527F6E">
        <w:t xml:space="preserve">that </w:t>
      </w:r>
      <w:r w:rsidR="0073522A">
        <w:t xml:space="preserve">target the </w:t>
      </w:r>
      <w:r w:rsidR="001F2CC3">
        <w:t>nerves</w:t>
      </w:r>
      <w:r w:rsidR="0073522A">
        <w:t xml:space="preserve"> </w:t>
      </w:r>
      <w:r w:rsidR="001F2CC3">
        <w:t>in the epidural spaces along the spinal column</w:t>
      </w:r>
      <w:r w:rsidR="0073522A">
        <w:t xml:space="preserve">. </w:t>
      </w:r>
      <w:r w:rsidR="001F2CC3">
        <w:t xml:space="preserve">The targets for SCS vary along the spinal column and are dependent on the source of the pain. For example, in order to alleviate pain caused by failed back surgery syndrome (FBSS), the target for electrical stimulation would generally be the lower thoracic spine (Moore </w:t>
      </w:r>
      <w:r w:rsidR="00632A69">
        <w:t xml:space="preserve">et al. </w:t>
      </w:r>
      <w:r w:rsidR="001F2CC3">
        <w:t xml:space="preserve">2016). </w:t>
      </w:r>
    </w:p>
    <w:p w14:paraId="7231F180" w14:textId="2E0F69DE" w:rsidR="00B51FB6" w:rsidRDefault="00B51FB6" w:rsidP="00B51FB6">
      <w:pPr>
        <w:pStyle w:val="BodyText"/>
      </w:pPr>
      <w:r>
        <w:t xml:space="preserve">One of the </w:t>
      </w:r>
      <w:r w:rsidR="00DC390F">
        <w:t>other three</w:t>
      </w:r>
      <w:r>
        <w:t xml:space="preserve"> </w:t>
      </w:r>
      <w:r w:rsidR="008E3B51">
        <w:t xml:space="preserve">pulse generators </w:t>
      </w:r>
      <w:r w:rsidR="00573CD7">
        <w:t xml:space="preserve">on the PL </w:t>
      </w:r>
      <w:r w:rsidR="00334A8B">
        <w:t xml:space="preserve">is </w:t>
      </w:r>
      <w:r w:rsidR="008E3B51">
        <w:t>the</w:t>
      </w:r>
      <w:r w:rsidR="00334A8B">
        <w:t xml:space="preserve"> Proclaim DRG </w:t>
      </w:r>
      <w:r w:rsidR="00617D62">
        <w:t>(Abbott Medical), which</w:t>
      </w:r>
      <w:r w:rsidR="00334A8B">
        <w:t xml:space="preserve"> </w:t>
      </w:r>
      <w:r>
        <w:t xml:space="preserve">is a </w:t>
      </w:r>
      <w:r w:rsidR="00156DBE">
        <w:t xml:space="preserve">dorsal root ganglion stimulator </w:t>
      </w:r>
      <w:r>
        <w:t>(DRG</w:t>
      </w:r>
      <w:r w:rsidR="0054374E">
        <w:t>S</w:t>
      </w:r>
      <w:r>
        <w:t>)</w:t>
      </w:r>
      <w:r w:rsidR="00334A8B">
        <w:t xml:space="preserve">. </w:t>
      </w:r>
      <w:r w:rsidR="001A3E65">
        <w:t>This device</w:t>
      </w:r>
      <w:r w:rsidR="00334A8B">
        <w:t xml:space="preserve"> </w:t>
      </w:r>
      <w:r>
        <w:t>stimulates the dorsal root ganglion structures that are located under the vertebral pedicle at the thoracic and lumbar levels (</w:t>
      </w:r>
      <w:proofErr w:type="spellStart"/>
      <w:r>
        <w:t>Ahimsadasan</w:t>
      </w:r>
      <w:proofErr w:type="spellEnd"/>
      <w:r>
        <w:t xml:space="preserve"> </w:t>
      </w:r>
      <w:r w:rsidR="00B04763">
        <w:t xml:space="preserve">et al. </w:t>
      </w:r>
      <w:r>
        <w:t xml:space="preserve">2022). The dorsal root ganglion is an accessible bundle of sensory nerves in the epidural space where each nerve transmits sensory messages from a defined target in the body, such as the hand, foot, </w:t>
      </w:r>
      <w:r w:rsidR="00D90342">
        <w:t>knee,</w:t>
      </w:r>
      <w:r>
        <w:t xml:space="preserve"> or chest. Due to its easy accessibility and ability to target a specific part of the body, DRG</w:t>
      </w:r>
      <w:r w:rsidR="0054374E">
        <w:t>S</w:t>
      </w:r>
      <w:r>
        <w:t xml:space="preserve"> systems are often used in areas that are hard to treat using SCS systems (Deer </w:t>
      </w:r>
      <w:r w:rsidR="00E3624A">
        <w:t xml:space="preserve">et al. </w:t>
      </w:r>
      <w:r>
        <w:t>201</w:t>
      </w:r>
      <w:r w:rsidR="008C032C">
        <w:t>9</w:t>
      </w:r>
      <w:r>
        <w:t xml:space="preserve">). </w:t>
      </w:r>
    </w:p>
    <w:p w14:paraId="0238A4AD" w14:textId="04BC7932" w:rsidR="00334A8B" w:rsidRDefault="00334A8B" w:rsidP="00334A8B">
      <w:pPr>
        <w:pStyle w:val="BodyText"/>
      </w:pPr>
      <w:r>
        <w:t xml:space="preserve">Another of the listed devices is </w:t>
      </w:r>
      <w:r w:rsidR="001C1BD2">
        <w:t xml:space="preserve">a medial branch nerve stimulator </w:t>
      </w:r>
      <w:r>
        <w:t>(MBNS) by Mainstay Medical called Reactiv8. Reactiv8 targets the peripheral nerves in the multifidus muscle for the treatment of axial chronic low back pain.</w:t>
      </w:r>
      <w:r w:rsidR="00EA43EC">
        <w:t xml:space="preserve"> In order to alleviate pain, Reactiv8 uses implanted leads and an </w:t>
      </w:r>
      <w:r w:rsidR="00D747B0">
        <w:t>IPG</w:t>
      </w:r>
      <w:r w:rsidR="00EA43EC">
        <w:t xml:space="preserve"> to deliver electrical stimulation to the dorsal ramus nerve to induce contraction of the </w:t>
      </w:r>
      <w:r w:rsidR="00620627">
        <w:t>multifidus</w:t>
      </w:r>
      <w:r w:rsidR="00EA43EC">
        <w:t xml:space="preserve"> muscle</w:t>
      </w:r>
      <w:r w:rsidR="001914E8">
        <w:t xml:space="preserve"> (Mainstay Medical 2022)</w:t>
      </w:r>
      <w:r w:rsidR="00145216">
        <w:rPr>
          <w:rStyle w:val="FootnoteReference"/>
        </w:rPr>
        <w:footnoteReference w:id="7"/>
      </w:r>
      <w:r w:rsidR="001914E8">
        <w:t>.</w:t>
      </w:r>
    </w:p>
    <w:p w14:paraId="29F57D07" w14:textId="1D651CA6" w:rsidR="001E01EF" w:rsidRDefault="00334A8B" w:rsidP="0014419B">
      <w:pPr>
        <w:pStyle w:val="BodyText"/>
      </w:pPr>
      <w:r>
        <w:t xml:space="preserve">The remaining device is </w:t>
      </w:r>
      <w:r w:rsidR="00A26859">
        <w:t xml:space="preserve">the </w:t>
      </w:r>
      <w:proofErr w:type="spellStart"/>
      <w:r w:rsidR="00832244">
        <w:t>StimRouter</w:t>
      </w:r>
      <w:proofErr w:type="spellEnd"/>
      <w:r w:rsidR="00832244">
        <w:t xml:space="preserve"> Neuromodulation System </w:t>
      </w:r>
      <w:r w:rsidR="00A26859">
        <w:t>(</w:t>
      </w:r>
      <w:proofErr w:type="spellStart"/>
      <w:r w:rsidR="00A26859">
        <w:t>Algostim</w:t>
      </w:r>
      <w:proofErr w:type="spellEnd"/>
      <w:r w:rsidR="00A26859">
        <w:t xml:space="preserve">), </w:t>
      </w:r>
      <w:r w:rsidR="00832244">
        <w:t>which stimulates peripheral nerve</w:t>
      </w:r>
      <w:r w:rsidR="004E2C70">
        <w:t>s</w:t>
      </w:r>
      <w:r w:rsidR="00832244">
        <w:t xml:space="preserve"> in multiple locations around the body. Unlike the</w:t>
      </w:r>
      <w:r w:rsidR="00BA75A5">
        <w:t xml:space="preserve"> other</w:t>
      </w:r>
      <w:r w:rsidR="00832244">
        <w:t xml:space="preserve"> devices in this Subcategory, the </w:t>
      </w:r>
      <w:proofErr w:type="spellStart"/>
      <w:r w:rsidR="00832244">
        <w:t>StimRouter</w:t>
      </w:r>
      <w:proofErr w:type="spellEnd"/>
      <w:r w:rsidR="00832244">
        <w:t xml:space="preserve"> Neuromodulation System has an external pulse transmitter (EPT) which sits outside the body </w:t>
      </w:r>
      <w:r w:rsidR="00C27398">
        <w:t xml:space="preserve">(not implanted) </w:t>
      </w:r>
      <w:r w:rsidR="00832244">
        <w:t xml:space="preserve">and is synonymous with </w:t>
      </w:r>
      <w:r w:rsidR="00E71D4C">
        <w:t>the IPG</w:t>
      </w:r>
      <w:r w:rsidR="00832244">
        <w:t xml:space="preserve"> from the other neurostimulation systems.</w:t>
      </w:r>
    </w:p>
    <w:p w14:paraId="6D6061CB" w14:textId="38B01BE2" w:rsidR="001E01EF" w:rsidRDefault="001E01EF" w:rsidP="001E01EF">
      <w:pPr>
        <w:pStyle w:val="Heading5"/>
      </w:pPr>
      <w:r>
        <w:t xml:space="preserve">Leads, </w:t>
      </w:r>
      <w:r w:rsidR="009B5CA6">
        <w:t>external components and accessories</w:t>
      </w:r>
    </w:p>
    <w:p w14:paraId="3F517464" w14:textId="214244C9" w:rsidR="00BC76D1" w:rsidRDefault="00C611C0" w:rsidP="0014419B">
      <w:pPr>
        <w:pStyle w:val="BodyText"/>
      </w:pPr>
      <w:r>
        <w:t xml:space="preserve">The remaining components of these systems are listed in separate </w:t>
      </w:r>
      <w:r w:rsidR="002E7D2D">
        <w:t>G</w:t>
      </w:r>
      <w:r>
        <w:t>roups</w:t>
      </w:r>
      <w:r w:rsidR="00BC76D1">
        <w:t xml:space="preserve"> in the PL</w:t>
      </w:r>
      <w:r w:rsidR="00B13073">
        <w:t xml:space="preserve">, except for </w:t>
      </w:r>
      <w:proofErr w:type="spellStart"/>
      <w:r w:rsidR="00B13073">
        <w:t>Algostim’s</w:t>
      </w:r>
      <w:proofErr w:type="spellEnd"/>
      <w:r w:rsidR="00B13073">
        <w:t xml:space="preserve"> </w:t>
      </w:r>
      <w:proofErr w:type="spellStart"/>
      <w:r w:rsidR="00B13073">
        <w:t>Stimrouter</w:t>
      </w:r>
      <w:proofErr w:type="spellEnd"/>
      <w:r w:rsidR="00B13073">
        <w:t xml:space="preserve"> Neuromodulation System which is listed as a kit</w:t>
      </w:r>
      <w:r w:rsidR="00BC76D1">
        <w:t>.</w:t>
      </w:r>
      <w:r w:rsidR="009B5CA6">
        <w:t xml:space="preserve"> Th</w:t>
      </w:r>
      <w:r w:rsidR="00C04720">
        <w:t xml:space="preserve">e list of components can be found in </w:t>
      </w:r>
      <w:r w:rsidR="00C26E3A">
        <w:fldChar w:fldCharType="begin"/>
      </w:r>
      <w:r w:rsidR="00C26E3A">
        <w:instrText xml:space="preserve"> REF _Ref134811746 \n \h </w:instrText>
      </w:r>
      <w:r w:rsidR="00C26E3A">
        <w:fldChar w:fldCharType="separate"/>
      </w:r>
      <w:r w:rsidR="00CE6ACA">
        <w:t>Appendix A</w:t>
      </w:r>
      <w:r w:rsidR="00C26E3A">
        <w:fldChar w:fldCharType="end"/>
      </w:r>
      <w:r w:rsidR="00C26E3A">
        <w:t xml:space="preserve">, </w:t>
      </w:r>
      <w:r w:rsidR="00C26E3A">
        <w:fldChar w:fldCharType="begin"/>
      </w:r>
      <w:r w:rsidR="00C26E3A">
        <w:instrText xml:space="preserve"> REF _Ref134811768 \h </w:instrText>
      </w:r>
      <w:r w:rsidR="00C26E3A">
        <w:fldChar w:fldCharType="separate"/>
      </w:r>
      <w:r w:rsidR="00CE6ACA">
        <w:t xml:space="preserve">Table App </w:t>
      </w:r>
      <w:r w:rsidR="00CE6ACA">
        <w:rPr>
          <w:noProof/>
        </w:rPr>
        <w:t>1</w:t>
      </w:r>
      <w:r w:rsidR="00C26E3A">
        <w:fldChar w:fldCharType="end"/>
      </w:r>
      <w:r w:rsidR="00C26E3A">
        <w:t xml:space="preserve">. </w:t>
      </w:r>
      <w:r w:rsidR="00BC76D1">
        <w:t xml:space="preserve">There are </w:t>
      </w:r>
      <w:r w:rsidR="002D7DCF">
        <w:t>45</w:t>
      </w:r>
      <w:r w:rsidR="00BC76D1">
        <w:t xml:space="preserve"> leads and lead extensions listed in Groups 04.05.03 (Leads) and 04.05.04 (Lead Extension). Amongst these, </w:t>
      </w:r>
      <w:r w:rsidR="00B13073">
        <w:t>there are three leads pertaining to Abbott’s DRG system</w:t>
      </w:r>
      <w:r w:rsidR="002D7DCF">
        <w:t>;</w:t>
      </w:r>
      <w:r w:rsidR="00B13073">
        <w:t xml:space="preserve"> however, two are attributed to the de-listed Axium Neurostimulator. There is also one lead for the Reactiv8 MBNS system.</w:t>
      </w:r>
    </w:p>
    <w:p w14:paraId="71ED2421" w14:textId="7AC59568" w:rsidR="004201B7" w:rsidRDefault="00E35245" w:rsidP="0014419B">
      <w:pPr>
        <w:pStyle w:val="BodyText"/>
      </w:pPr>
      <w:r>
        <w:t>Eleven external component devices, including the patient programmer and rechargers, are listed in Group 04.05.02 (External Components). Two of these devices pertain to the Reactiv8 MBNS system, and one is for the delisted DRG</w:t>
      </w:r>
      <w:r w:rsidR="0054374E">
        <w:t>S</w:t>
      </w:r>
      <w:r>
        <w:t xml:space="preserve"> Axium Neurostimulator. The patient programmer for Abbott’s Prodigy DRG is the same as for the SCS systems. Lastly, there are </w:t>
      </w:r>
      <w:r w:rsidR="00686D4F">
        <w:t>71</w:t>
      </w:r>
      <w:r>
        <w:t xml:space="preserve"> devices listed in Group 04.05.05 (Accessories)</w:t>
      </w:r>
      <w:r w:rsidR="00184F90">
        <w:t>;</w:t>
      </w:r>
      <w:r w:rsidR="00CF0CFA">
        <w:t xml:space="preserve"> these</w:t>
      </w:r>
      <w:r>
        <w:t xml:space="preserve"> are additional components to the SCS, DRG</w:t>
      </w:r>
      <w:r w:rsidR="0054374E">
        <w:t>S</w:t>
      </w:r>
      <w:r w:rsidR="00C5467A">
        <w:t>, PNS,</w:t>
      </w:r>
      <w:r>
        <w:t xml:space="preserve"> and MBNS systems, including revision kits and intraoperative accessories. </w:t>
      </w:r>
    </w:p>
    <w:p w14:paraId="798AF1CB" w14:textId="6C0236C9" w:rsidR="00E35245" w:rsidRDefault="005A70DC" w:rsidP="0014419B">
      <w:pPr>
        <w:pStyle w:val="BodyText"/>
      </w:pPr>
      <w:r>
        <w:fldChar w:fldCharType="begin"/>
      </w:r>
      <w:r>
        <w:instrText xml:space="preserve"> REF _Ref134466119 \h </w:instrText>
      </w:r>
      <w:r>
        <w:fldChar w:fldCharType="separate"/>
      </w:r>
      <w:r w:rsidR="00CE6ACA">
        <w:t xml:space="preserve">Figure </w:t>
      </w:r>
      <w:r w:rsidR="00CE6ACA">
        <w:rPr>
          <w:noProof/>
        </w:rPr>
        <w:t>1</w:t>
      </w:r>
      <w:r>
        <w:fldChar w:fldCharType="end"/>
      </w:r>
      <w:r>
        <w:t xml:space="preserve"> </w:t>
      </w:r>
      <w:r w:rsidR="00D230A1">
        <w:t>shows the organisation of neuromodulation systems on the</w:t>
      </w:r>
      <w:r w:rsidR="003D5AEE">
        <w:t xml:space="preserve"> November 2021 </w:t>
      </w:r>
      <w:r w:rsidR="00D230A1">
        <w:t>PL.</w:t>
      </w:r>
    </w:p>
    <w:p w14:paraId="58D29368" w14:textId="0867D346" w:rsidR="001062F9" w:rsidRPr="00A21EC3" w:rsidRDefault="005A70DC" w:rsidP="005A70DC">
      <w:pPr>
        <w:pStyle w:val="Caption"/>
      </w:pPr>
      <w:bookmarkStart w:id="40" w:name="_Ref134466119"/>
      <w:r>
        <w:lastRenderedPageBreak/>
        <w:t xml:space="preserve">Figure </w:t>
      </w:r>
      <w:r>
        <w:fldChar w:fldCharType="begin"/>
      </w:r>
      <w:r>
        <w:instrText>SEQ Figure \* ARABIC</w:instrText>
      </w:r>
      <w:r>
        <w:fldChar w:fldCharType="separate"/>
      </w:r>
      <w:r w:rsidR="00CE6ACA">
        <w:rPr>
          <w:noProof/>
        </w:rPr>
        <w:t>1</w:t>
      </w:r>
      <w:r>
        <w:fldChar w:fldCharType="end"/>
      </w:r>
      <w:bookmarkEnd w:id="40"/>
      <w:r w:rsidR="001062F9" w:rsidRPr="00A21EC3">
        <w:tab/>
      </w:r>
      <w:r w:rsidR="00177A7E">
        <w:t>P</w:t>
      </w:r>
      <w:r w:rsidR="00BD352E">
        <w:t>L</w:t>
      </w:r>
      <w:r w:rsidR="00C44E47">
        <w:t xml:space="preserve"> organisation of </w:t>
      </w:r>
      <w:r w:rsidR="00600E50">
        <w:t xml:space="preserve">SCS, DRGS, </w:t>
      </w:r>
      <w:r w:rsidR="00C5467A">
        <w:t xml:space="preserve">MBNS, </w:t>
      </w:r>
      <w:r w:rsidR="00600E50">
        <w:t xml:space="preserve">and </w:t>
      </w:r>
      <w:r w:rsidR="00BD352E">
        <w:t>PNS systems (November 2021)</w:t>
      </w:r>
    </w:p>
    <w:p w14:paraId="216DF4BE" w14:textId="536E6BC4" w:rsidR="001062F9" w:rsidRDefault="00800E9F" w:rsidP="001062F9">
      <w:pPr>
        <w:pStyle w:val="FigureorPicture"/>
      </w:pPr>
      <w:r>
        <w:rPr>
          <w:noProof/>
        </w:rPr>
        <w:drawing>
          <wp:inline distT="0" distB="0" distL="0" distR="0" wp14:anchorId="4E290E60" wp14:editId="29D856A1">
            <wp:extent cx="4773454" cy="4213226"/>
            <wp:effectExtent l="0" t="0" r="8255" b="0"/>
            <wp:docPr id="3" name="Picture 3" descr="This figure shows the organisation of SCS, DRGS, MBNS, and PNS systems in the November 2022 Prosthese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igure shows the organisation of SCS, DRGS, MBNS, and PNS systems in the November 2022 Prostheses List"/>
                    <pic:cNvPicPr/>
                  </pic:nvPicPr>
                  <pic:blipFill rotWithShape="1">
                    <a:blip r:embed="rId17" cstate="print">
                      <a:extLst>
                        <a:ext uri="{28A0092B-C50C-407E-A947-70E740481C1C}">
                          <a14:useLocalDpi xmlns:a14="http://schemas.microsoft.com/office/drawing/2010/main" val="0"/>
                        </a:ext>
                      </a:extLst>
                    </a:blip>
                    <a:srcRect t="2421" b="2402"/>
                    <a:stretch/>
                  </pic:blipFill>
                  <pic:spPr bwMode="auto">
                    <a:xfrm>
                      <a:off x="0" y="0"/>
                      <a:ext cx="4788220" cy="4226259"/>
                    </a:xfrm>
                    <a:prstGeom prst="rect">
                      <a:avLst/>
                    </a:prstGeom>
                    <a:ln>
                      <a:noFill/>
                    </a:ln>
                    <a:extLst>
                      <a:ext uri="{53640926-AAD7-44D8-BBD7-CCE9431645EC}">
                        <a14:shadowObscured xmlns:a14="http://schemas.microsoft.com/office/drawing/2010/main"/>
                      </a:ext>
                    </a:extLst>
                  </pic:spPr>
                </pic:pic>
              </a:graphicData>
            </a:graphic>
          </wp:inline>
        </w:drawing>
      </w:r>
    </w:p>
    <w:p w14:paraId="2C1EB267" w14:textId="77777777" w:rsidR="00C01D6E" w:rsidRPr="00C01D6E" w:rsidRDefault="00C01D6E" w:rsidP="00C01D6E">
      <w:pPr>
        <w:pStyle w:val="BodyText"/>
      </w:pPr>
    </w:p>
    <w:p w14:paraId="6D17ED11" w14:textId="761C6CF5" w:rsidR="001E01EF" w:rsidRDefault="001E01EF" w:rsidP="001E01EF">
      <w:pPr>
        <w:pStyle w:val="Heading5"/>
      </w:pPr>
      <w:r>
        <w:t>Devices for</w:t>
      </w:r>
      <w:r w:rsidR="00C84790">
        <w:t xml:space="preserve"> review</w:t>
      </w:r>
    </w:p>
    <w:p w14:paraId="3B5D9A6F" w14:textId="15427B84" w:rsidR="00BC76D1" w:rsidRDefault="001E01EF" w:rsidP="0014419B">
      <w:pPr>
        <w:pStyle w:val="BodyText"/>
      </w:pPr>
      <w:r>
        <w:t xml:space="preserve">Given the heterogeneity of the devices in the Groups within the Neurostimulation Therapies for Pain Management Subcategory, the devices </w:t>
      </w:r>
      <w:r w:rsidR="00E35245" w:rsidRPr="00E35245">
        <w:t xml:space="preserve">to be formally included in </w:t>
      </w:r>
      <w:r>
        <w:t>this PLR</w:t>
      </w:r>
      <w:r w:rsidR="00E35245" w:rsidRPr="00E35245">
        <w:t xml:space="preserve"> </w:t>
      </w:r>
      <w:r w:rsidR="001D7609">
        <w:t>are</w:t>
      </w:r>
      <w:r w:rsidR="00E35245" w:rsidRPr="00E35245">
        <w:t xml:space="preserve"> identified and discussed in </w:t>
      </w:r>
      <w:r w:rsidR="00E8061C">
        <w:t xml:space="preserve">Section </w:t>
      </w:r>
      <w:r w:rsidR="00E8061C">
        <w:fldChar w:fldCharType="begin"/>
      </w:r>
      <w:r w:rsidR="00E8061C">
        <w:instrText xml:space="preserve"> REF _Ref134440694 \n \h </w:instrText>
      </w:r>
      <w:r w:rsidR="00E8061C">
        <w:fldChar w:fldCharType="separate"/>
      </w:r>
      <w:r w:rsidR="00CE6ACA">
        <w:t>2</w:t>
      </w:r>
      <w:r w:rsidR="00E8061C">
        <w:fldChar w:fldCharType="end"/>
      </w:r>
      <w:r w:rsidR="00E8061C">
        <w:t xml:space="preserve">. </w:t>
      </w:r>
      <w:r>
        <w:t>The decisions</w:t>
      </w:r>
      <w:r w:rsidDel="00000E20">
        <w:t xml:space="preserve"> </w:t>
      </w:r>
      <w:r w:rsidR="00000E20">
        <w:t>regarding</w:t>
      </w:r>
      <w:r>
        <w:t xml:space="preserve"> device inclusion are</w:t>
      </w:r>
      <w:r w:rsidR="00E35245" w:rsidRPr="00E35245">
        <w:t xml:space="preserve"> based on stakeholder feedback and consideration of existing documentation.</w:t>
      </w:r>
    </w:p>
    <w:p w14:paraId="1985C4C6" w14:textId="4F1D1E4C" w:rsidR="005B4B80" w:rsidRDefault="00EB0E41" w:rsidP="0000795B">
      <w:pPr>
        <w:pStyle w:val="Heading1"/>
      </w:pPr>
      <w:bookmarkStart w:id="41" w:name="_Ref134440694"/>
      <w:bookmarkStart w:id="42" w:name="_Ref134440697"/>
      <w:bookmarkStart w:id="43" w:name="_Ref134440704"/>
      <w:bookmarkStart w:id="44" w:name="_Ref134440713"/>
      <w:bookmarkStart w:id="45" w:name="_Ref134440724"/>
      <w:bookmarkStart w:id="46" w:name="_Ref134440727"/>
      <w:bookmarkStart w:id="47" w:name="_Ref134440732"/>
      <w:bookmarkStart w:id="48" w:name="_Toc165634653"/>
      <w:r>
        <w:lastRenderedPageBreak/>
        <w:t>Devices within scope</w:t>
      </w:r>
      <w:bookmarkEnd w:id="41"/>
      <w:bookmarkEnd w:id="42"/>
      <w:bookmarkEnd w:id="43"/>
      <w:bookmarkEnd w:id="44"/>
      <w:bookmarkEnd w:id="45"/>
      <w:bookmarkEnd w:id="46"/>
      <w:bookmarkEnd w:id="47"/>
      <w:bookmarkEnd w:id="48"/>
    </w:p>
    <w:p w14:paraId="11638561" w14:textId="7BF931E9" w:rsidR="00201208" w:rsidRDefault="00201208" w:rsidP="009D0F36">
      <w:pPr>
        <w:pStyle w:val="BodyText"/>
      </w:pPr>
      <w:r>
        <w:t xml:space="preserve">The research </w:t>
      </w:r>
      <w:r w:rsidR="00C775D9">
        <w:t>question to focus the review is:</w:t>
      </w:r>
    </w:p>
    <w:p w14:paraId="73741C33" w14:textId="6DF7D93F" w:rsidR="00C775D9" w:rsidRDefault="00920285" w:rsidP="00E7677A">
      <w:pPr>
        <w:pStyle w:val="Boxeditalictext"/>
      </w:pPr>
      <w:r>
        <w:rPr>
          <w:rFonts w:eastAsia="Batang" w:cs="Arial"/>
          <w:lang w:eastAsia="en-AU"/>
        </w:rPr>
        <w:t xml:space="preserve">Review the devices listed in the PL </w:t>
      </w:r>
      <w:r w:rsidR="00762D78">
        <w:rPr>
          <w:rFonts w:eastAsia="Batang" w:cs="Arial"/>
          <w:lang w:eastAsia="en-AU"/>
        </w:rPr>
        <w:t>S</w:t>
      </w:r>
      <w:r>
        <w:rPr>
          <w:rFonts w:eastAsia="Batang" w:cs="Arial"/>
          <w:lang w:eastAsia="en-AU"/>
        </w:rPr>
        <w:t xml:space="preserve">ubcategory - 04.05 Neurostimulation therapies for pain management </w:t>
      </w:r>
      <w:r w:rsidR="001F378C">
        <w:rPr>
          <w:rFonts w:eastAsia="Batang" w:cs="Arial"/>
          <w:lang w:eastAsia="en-AU"/>
        </w:rPr>
        <w:t xml:space="preserve">- </w:t>
      </w:r>
      <w:r>
        <w:rPr>
          <w:rFonts w:eastAsia="Batang" w:cs="Arial"/>
          <w:lang w:eastAsia="en-AU"/>
        </w:rPr>
        <w:t>to identify</w:t>
      </w:r>
      <w:r w:rsidR="002E5D84">
        <w:rPr>
          <w:rFonts w:eastAsia="Batang"/>
        </w:rPr>
        <w:t xml:space="preserve"> </w:t>
      </w:r>
      <w:r w:rsidR="005E7D14" w:rsidRPr="005E7D14">
        <w:t>those that are used or can be used for spinal cord stimulation</w:t>
      </w:r>
      <w:r w:rsidR="0006045D">
        <w:t>,</w:t>
      </w:r>
      <w:r w:rsidR="005E7D14" w:rsidRPr="005E7D14">
        <w:t xml:space="preserve"> and excluding peripheral, sacral and vagal nerve stimulators</w:t>
      </w:r>
      <w:r>
        <w:t>.</w:t>
      </w:r>
    </w:p>
    <w:p w14:paraId="2BAE50E5" w14:textId="37FB39B1" w:rsidR="009D0F36" w:rsidRDefault="009D0F36" w:rsidP="00BF34C9">
      <w:pPr>
        <w:pStyle w:val="BodyText"/>
      </w:pPr>
      <w:r>
        <w:t>The approach taken to identify the</w:t>
      </w:r>
      <w:r w:rsidR="005C55DA">
        <w:t xml:space="preserve"> devices in scope</w:t>
      </w:r>
      <w:r>
        <w:t xml:space="preserve"> </w:t>
      </w:r>
      <w:r w:rsidR="00BF28E3">
        <w:t xml:space="preserve">for this </w:t>
      </w:r>
      <w:r w:rsidR="007A13D0">
        <w:t>PLR</w:t>
      </w:r>
      <w:r>
        <w:t xml:space="preserve"> </w:t>
      </w:r>
      <w:r w:rsidR="00F533AA">
        <w:t>involved a</w:t>
      </w:r>
      <w:r>
        <w:t xml:space="preserve"> review</w:t>
      </w:r>
      <w:r w:rsidR="00F533AA">
        <w:t xml:space="preserve"> of the</w:t>
      </w:r>
      <w:r>
        <w:t xml:space="preserve"> literature provided by </w:t>
      </w:r>
      <w:proofErr w:type="spellStart"/>
      <w:r>
        <w:t>DoHAC</w:t>
      </w:r>
      <w:proofErr w:type="spellEnd"/>
      <w:r w:rsidR="005C55DA">
        <w:t>, consider</w:t>
      </w:r>
      <w:r w:rsidR="00F533AA">
        <w:t>ation of</w:t>
      </w:r>
      <w:r w:rsidR="005C55DA">
        <w:t xml:space="preserve"> </w:t>
      </w:r>
      <w:r w:rsidR="00970751">
        <w:t xml:space="preserve">sponsor and </w:t>
      </w:r>
      <w:r w:rsidR="005C55DA">
        <w:t xml:space="preserve">stakeholder feedback, </w:t>
      </w:r>
      <w:r w:rsidR="00AC7582">
        <w:t xml:space="preserve">while </w:t>
      </w:r>
      <w:r w:rsidR="005C55DA">
        <w:t xml:space="preserve">ensuring consistency with TGA activities and </w:t>
      </w:r>
      <w:r w:rsidR="004D2755">
        <w:t>Prostheses List Advisory Committee (</w:t>
      </w:r>
      <w:r w:rsidR="005C55DA">
        <w:t>PLAC</w:t>
      </w:r>
      <w:r w:rsidR="004D2755">
        <w:t>)</w:t>
      </w:r>
      <w:r w:rsidR="005C55DA">
        <w:t xml:space="preserve"> advice.</w:t>
      </w:r>
      <w:r w:rsidR="00970751">
        <w:t xml:space="preserve"> </w:t>
      </w:r>
    </w:p>
    <w:p w14:paraId="4DE67FA1" w14:textId="5265F6AC" w:rsidR="00BF28E3" w:rsidRDefault="00852263" w:rsidP="00D50874">
      <w:pPr>
        <w:pStyle w:val="Heading2"/>
      </w:pPr>
      <w:bookmarkStart w:id="49" w:name="_Toc165634654"/>
      <w:r>
        <w:t>Stakeholder and sponsor feedback</w:t>
      </w:r>
      <w:bookmarkEnd w:id="49"/>
    </w:p>
    <w:p w14:paraId="377C1D17" w14:textId="5AC8E86F" w:rsidR="00852263" w:rsidRPr="00852263" w:rsidRDefault="00852263" w:rsidP="00852263">
      <w:pPr>
        <w:pStyle w:val="Heading3"/>
      </w:pPr>
      <w:bookmarkStart w:id="50" w:name="_Toc165634655"/>
      <w:r>
        <w:t>S</w:t>
      </w:r>
      <w:r w:rsidR="00F21A5F">
        <w:t>ponsors</w:t>
      </w:r>
      <w:bookmarkEnd w:id="50"/>
    </w:p>
    <w:p w14:paraId="3935FC3E" w14:textId="1E47E9FB" w:rsidR="00BD3989" w:rsidRDefault="00E01F31" w:rsidP="009D0F36">
      <w:pPr>
        <w:pStyle w:val="BodyText"/>
      </w:pPr>
      <w:r>
        <w:t xml:space="preserve">All devices listed in Group </w:t>
      </w:r>
      <w:r w:rsidR="008F555B">
        <w:t>‘</w:t>
      </w:r>
      <w:r>
        <w:t>04.05.01 Pulse Generators</w:t>
      </w:r>
      <w:r w:rsidR="008F555B">
        <w:t>’</w:t>
      </w:r>
      <w:r>
        <w:t xml:space="preserve"> </w:t>
      </w:r>
      <w:r w:rsidR="009E5F54">
        <w:t xml:space="preserve">(November 2022) </w:t>
      </w:r>
      <w:r>
        <w:t xml:space="preserve">under the </w:t>
      </w:r>
      <w:r w:rsidR="00762D78">
        <w:t>S</w:t>
      </w:r>
      <w:r w:rsidR="00C032E8">
        <w:t xml:space="preserve">ubcategory </w:t>
      </w:r>
      <w:r>
        <w:t xml:space="preserve">‘Neurostimulation Therapies for Pain’ </w:t>
      </w:r>
      <w:r w:rsidR="008F555B">
        <w:t xml:space="preserve">are listed in </w:t>
      </w:r>
      <w:r w:rsidR="008F555B">
        <w:fldChar w:fldCharType="begin"/>
      </w:r>
      <w:r w:rsidR="008F555B">
        <w:instrText xml:space="preserve"> REF _Ref129592198 \h </w:instrText>
      </w:r>
      <w:r w:rsidR="008F555B">
        <w:fldChar w:fldCharType="separate"/>
      </w:r>
      <w:r w:rsidR="00CE6ACA">
        <w:t xml:space="preserve">Table </w:t>
      </w:r>
      <w:r w:rsidR="00CE6ACA">
        <w:rPr>
          <w:noProof/>
        </w:rPr>
        <w:t>3</w:t>
      </w:r>
      <w:r w:rsidR="008F555B">
        <w:fldChar w:fldCharType="end"/>
      </w:r>
      <w:r w:rsidR="00EB7E48">
        <w:t>. Sponsors were requested to</w:t>
      </w:r>
      <w:r w:rsidR="00576D46">
        <w:t xml:space="preserve"> confirm which of their devices they considered to be within scope of this review.</w:t>
      </w:r>
      <w:r w:rsidR="00AA5C7D">
        <w:t xml:space="preserve"> </w:t>
      </w:r>
      <w:r w:rsidR="00FC5909">
        <w:t>The responses are tabula</w:t>
      </w:r>
      <w:r w:rsidR="00612A69">
        <w:t xml:space="preserve">ted below and </w:t>
      </w:r>
      <w:r w:rsidR="00681A95">
        <w:t xml:space="preserve">devices that are </w:t>
      </w:r>
      <w:r w:rsidR="00F9212F">
        <w:t>green a</w:t>
      </w:r>
      <w:r w:rsidR="00FE395E">
        <w:t>re</w:t>
      </w:r>
      <w:r w:rsidR="00F9212F">
        <w:t xml:space="preserve"> </w:t>
      </w:r>
      <w:r w:rsidR="002E1742">
        <w:t>true SCS devices and clearly in scope for the review.</w:t>
      </w:r>
    </w:p>
    <w:p w14:paraId="79DE9900" w14:textId="2B087C23" w:rsidR="002E1742" w:rsidRDefault="002E1742" w:rsidP="009D0F36">
      <w:pPr>
        <w:pStyle w:val="BodyText"/>
      </w:pPr>
      <w:r>
        <w:t xml:space="preserve">Three devices </w:t>
      </w:r>
      <w:r w:rsidR="003E4791">
        <w:t xml:space="preserve">(all described in Section </w:t>
      </w:r>
      <w:r w:rsidR="003E4791">
        <w:fldChar w:fldCharType="begin"/>
      </w:r>
      <w:r w:rsidR="003E4791">
        <w:instrText xml:space="preserve"> REF _Ref134530523 \r \h </w:instrText>
      </w:r>
      <w:r w:rsidR="003E4791">
        <w:fldChar w:fldCharType="separate"/>
      </w:r>
      <w:r w:rsidR="00CE6ACA">
        <w:t>1.3.2</w:t>
      </w:r>
      <w:r w:rsidR="003E4791">
        <w:fldChar w:fldCharType="end"/>
      </w:r>
      <w:r w:rsidR="003E4791">
        <w:t xml:space="preserve">) </w:t>
      </w:r>
      <w:r w:rsidR="00F442F0">
        <w:t xml:space="preserve">required </w:t>
      </w:r>
      <w:r w:rsidR="000421CA">
        <w:t>further</w:t>
      </w:r>
      <w:r w:rsidR="00F442F0">
        <w:t xml:space="preserve"> consideration</w:t>
      </w:r>
      <w:r w:rsidR="00FD2EE2">
        <w:t>:</w:t>
      </w:r>
      <w:r w:rsidR="00C56F72">
        <w:t xml:space="preserve"> a DRGS (</w:t>
      </w:r>
      <w:r w:rsidR="00FD2EE2">
        <w:t xml:space="preserve">shown in </w:t>
      </w:r>
      <w:r w:rsidR="00C56F72">
        <w:t xml:space="preserve">yellow) and two </w:t>
      </w:r>
      <w:r w:rsidR="00D37B42">
        <w:t>PNS</w:t>
      </w:r>
      <w:r w:rsidR="00C56F72">
        <w:t xml:space="preserve"> devices (orange). </w:t>
      </w:r>
      <w:r w:rsidR="0021751E">
        <w:t xml:space="preserve">Sponsors for </w:t>
      </w:r>
      <w:r w:rsidR="003825E3">
        <w:t>the two PNS devices consider their devices out of scope</w:t>
      </w:r>
      <w:r w:rsidR="002379BA">
        <w:t>.</w:t>
      </w:r>
    </w:p>
    <w:p w14:paraId="16B48E9F" w14:textId="16B29741" w:rsidR="00E675EB" w:rsidRDefault="00E675EB" w:rsidP="00E675EB">
      <w:pPr>
        <w:pStyle w:val="Caption"/>
      </w:pPr>
      <w:bookmarkStart w:id="51" w:name="_Ref129592198"/>
      <w:r>
        <w:t xml:space="preserve">Table </w:t>
      </w:r>
      <w:r>
        <w:fldChar w:fldCharType="begin"/>
      </w:r>
      <w:r>
        <w:instrText>SEQ Table \* ARABIC</w:instrText>
      </w:r>
      <w:r>
        <w:fldChar w:fldCharType="separate"/>
      </w:r>
      <w:r w:rsidR="00CE6ACA">
        <w:rPr>
          <w:noProof/>
        </w:rPr>
        <w:t>3</w:t>
      </w:r>
      <w:r>
        <w:fldChar w:fldCharType="end"/>
      </w:r>
      <w:bookmarkEnd w:id="51"/>
      <w:r>
        <w:tab/>
        <w:t>Pulse generators listed in Group 04.05.01 of the Neurosurgical Category in the PL (November 2022)</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Pulse generators listed in Group 04.05.01 of the Neurosurgical Category in the PL (November 2022)"/>
        <w:tblDescription w:val="Table showing SCS devices in green and DRGS devices in yellow which are within scope of this review. The PNS and MBNS devices which are in orange are out of scope."/>
      </w:tblPr>
      <w:tblGrid>
        <w:gridCol w:w="667"/>
        <w:gridCol w:w="3302"/>
        <w:gridCol w:w="2410"/>
        <w:gridCol w:w="1276"/>
        <w:gridCol w:w="1983"/>
      </w:tblGrid>
      <w:tr w:rsidR="000C4CE5" w:rsidRPr="00785889" w14:paraId="51B988E6" w14:textId="77777777" w:rsidTr="00C638F8">
        <w:trPr>
          <w:cantSplit/>
          <w:tblHeader/>
        </w:trPr>
        <w:tc>
          <w:tcPr>
            <w:tcW w:w="0" w:type="auto"/>
            <w:shd w:val="clear" w:color="auto" w:fill="BFBFBF"/>
          </w:tcPr>
          <w:p w14:paraId="27D03345" w14:textId="77777777" w:rsidR="00F82C6C" w:rsidRPr="00785889" w:rsidRDefault="00F82C6C" w:rsidP="00045158">
            <w:pPr>
              <w:pStyle w:val="011TableHeading8pt"/>
              <w:rPr>
                <w:sz w:val="18"/>
                <w:szCs w:val="18"/>
              </w:rPr>
            </w:pPr>
            <w:r w:rsidRPr="00785889">
              <w:rPr>
                <w:sz w:val="18"/>
                <w:szCs w:val="18"/>
              </w:rPr>
              <w:t>Type</w:t>
            </w:r>
          </w:p>
        </w:tc>
        <w:tc>
          <w:tcPr>
            <w:tcW w:w="3302" w:type="dxa"/>
            <w:shd w:val="clear" w:color="auto" w:fill="BFBFBF"/>
          </w:tcPr>
          <w:p w14:paraId="794B98CF" w14:textId="77777777" w:rsidR="00F82C6C" w:rsidRPr="00785889" w:rsidRDefault="00F82C6C" w:rsidP="00045158">
            <w:pPr>
              <w:pStyle w:val="011TableHeading8pt"/>
              <w:rPr>
                <w:sz w:val="18"/>
                <w:szCs w:val="18"/>
              </w:rPr>
            </w:pPr>
            <w:r w:rsidRPr="00785889">
              <w:rPr>
                <w:sz w:val="18"/>
                <w:szCs w:val="18"/>
              </w:rPr>
              <w:t xml:space="preserve">Device </w:t>
            </w:r>
          </w:p>
        </w:tc>
        <w:tc>
          <w:tcPr>
            <w:tcW w:w="2410" w:type="dxa"/>
            <w:shd w:val="clear" w:color="auto" w:fill="BFBFBF"/>
          </w:tcPr>
          <w:p w14:paraId="6432269F" w14:textId="77777777" w:rsidR="00F82C6C" w:rsidRPr="00785889" w:rsidRDefault="00F82C6C" w:rsidP="00045158">
            <w:pPr>
              <w:pStyle w:val="011TableHeading8pt"/>
              <w:rPr>
                <w:sz w:val="18"/>
                <w:szCs w:val="18"/>
              </w:rPr>
            </w:pPr>
            <w:r w:rsidRPr="00785889">
              <w:rPr>
                <w:sz w:val="18"/>
                <w:szCs w:val="18"/>
              </w:rPr>
              <w:t>Sponsor</w:t>
            </w:r>
          </w:p>
        </w:tc>
        <w:tc>
          <w:tcPr>
            <w:tcW w:w="1276" w:type="dxa"/>
            <w:shd w:val="clear" w:color="auto" w:fill="BFBFBF"/>
          </w:tcPr>
          <w:p w14:paraId="7EAD1302" w14:textId="77777777" w:rsidR="00F82C6C" w:rsidRPr="00785889" w:rsidRDefault="00F82C6C" w:rsidP="00045158">
            <w:pPr>
              <w:pStyle w:val="011TableHeading8pt"/>
              <w:rPr>
                <w:sz w:val="18"/>
                <w:szCs w:val="18"/>
              </w:rPr>
            </w:pPr>
            <w:r w:rsidRPr="00785889">
              <w:rPr>
                <w:sz w:val="18"/>
                <w:szCs w:val="18"/>
              </w:rPr>
              <w:t>Billing Code</w:t>
            </w:r>
          </w:p>
        </w:tc>
        <w:tc>
          <w:tcPr>
            <w:tcW w:w="1983" w:type="dxa"/>
            <w:shd w:val="clear" w:color="auto" w:fill="BFBFBF"/>
          </w:tcPr>
          <w:p w14:paraId="50BF30A2" w14:textId="6DFE00CC" w:rsidR="00F82C6C" w:rsidRPr="00785889" w:rsidRDefault="00D60D8C" w:rsidP="00045158">
            <w:pPr>
              <w:pStyle w:val="011TableHeading8pt"/>
              <w:rPr>
                <w:sz w:val="18"/>
                <w:szCs w:val="18"/>
              </w:rPr>
            </w:pPr>
            <w:r w:rsidRPr="00785889">
              <w:rPr>
                <w:sz w:val="18"/>
                <w:szCs w:val="18"/>
              </w:rPr>
              <w:t xml:space="preserve">Sponsor confirmed </w:t>
            </w:r>
            <w:r w:rsidR="00FF6571" w:rsidRPr="00785889">
              <w:rPr>
                <w:sz w:val="18"/>
                <w:szCs w:val="18"/>
              </w:rPr>
              <w:t>device as</w:t>
            </w:r>
            <w:r w:rsidRPr="00785889">
              <w:rPr>
                <w:sz w:val="18"/>
                <w:szCs w:val="18"/>
              </w:rPr>
              <w:t xml:space="preserve"> </w:t>
            </w:r>
            <w:r w:rsidR="00FF6571" w:rsidRPr="00785889">
              <w:rPr>
                <w:sz w:val="18"/>
                <w:szCs w:val="18"/>
              </w:rPr>
              <w:t>‘</w:t>
            </w:r>
            <w:r w:rsidRPr="00785889">
              <w:rPr>
                <w:sz w:val="18"/>
                <w:szCs w:val="18"/>
              </w:rPr>
              <w:t>i</w:t>
            </w:r>
            <w:r w:rsidR="00F82C6C" w:rsidRPr="00785889">
              <w:rPr>
                <w:sz w:val="18"/>
                <w:szCs w:val="18"/>
              </w:rPr>
              <w:t>n scope</w:t>
            </w:r>
            <w:r w:rsidR="00FF6571" w:rsidRPr="00785889">
              <w:rPr>
                <w:sz w:val="18"/>
                <w:szCs w:val="18"/>
              </w:rPr>
              <w:t>’</w:t>
            </w:r>
            <w:r w:rsidRPr="00785889">
              <w:rPr>
                <w:sz w:val="18"/>
                <w:szCs w:val="18"/>
              </w:rPr>
              <w:t>?</w:t>
            </w:r>
          </w:p>
        </w:tc>
      </w:tr>
      <w:tr w:rsidR="000C4CE5" w:rsidRPr="00785889" w14:paraId="3C9FC0C4" w14:textId="77777777" w:rsidTr="00C638F8">
        <w:trPr>
          <w:cantSplit/>
        </w:trPr>
        <w:tc>
          <w:tcPr>
            <w:tcW w:w="0" w:type="auto"/>
            <w:shd w:val="clear" w:color="auto" w:fill="E2EFD9" w:themeFill="accent6" w:themeFillTint="33"/>
          </w:tcPr>
          <w:p w14:paraId="55C5B56C"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1CCDD038" w14:textId="77777777" w:rsidR="00F82C6C" w:rsidRPr="00785889" w:rsidRDefault="00F82C6C" w:rsidP="00045158">
            <w:pPr>
              <w:pStyle w:val="051Tabletext228pt"/>
              <w:rPr>
                <w:sz w:val="18"/>
                <w:szCs w:val="18"/>
              </w:rPr>
            </w:pPr>
            <w:r w:rsidRPr="00785889">
              <w:rPr>
                <w:sz w:val="18"/>
                <w:szCs w:val="18"/>
              </w:rPr>
              <w:t>Precision Novi IPG</w:t>
            </w:r>
          </w:p>
        </w:tc>
        <w:tc>
          <w:tcPr>
            <w:tcW w:w="2410" w:type="dxa"/>
            <w:shd w:val="clear" w:color="auto" w:fill="E2EFD9" w:themeFill="accent6" w:themeFillTint="33"/>
          </w:tcPr>
          <w:p w14:paraId="1EB9C1F9" w14:textId="77777777" w:rsidR="00F82C6C" w:rsidRPr="00785889" w:rsidRDefault="00F82C6C" w:rsidP="00045158">
            <w:pPr>
              <w:pStyle w:val="051Tabletext228pt"/>
              <w:rPr>
                <w:sz w:val="18"/>
                <w:szCs w:val="18"/>
              </w:rPr>
            </w:pPr>
            <w:r w:rsidRPr="00785889">
              <w:rPr>
                <w:sz w:val="18"/>
                <w:szCs w:val="18"/>
              </w:rPr>
              <w:t>Boston Scientific</w:t>
            </w:r>
          </w:p>
        </w:tc>
        <w:tc>
          <w:tcPr>
            <w:tcW w:w="1276" w:type="dxa"/>
            <w:shd w:val="clear" w:color="auto" w:fill="E2EFD9" w:themeFill="accent6" w:themeFillTint="33"/>
          </w:tcPr>
          <w:p w14:paraId="2408E978" w14:textId="77777777" w:rsidR="00F82C6C" w:rsidRPr="00785889" w:rsidRDefault="00F82C6C" w:rsidP="00045158">
            <w:pPr>
              <w:pStyle w:val="051Tabletext228pt"/>
              <w:rPr>
                <w:sz w:val="18"/>
                <w:szCs w:val="18"/>
              </w:rPr>
            </w:pPr>
            <w:r w:rsidRPr="00785889">
              <w:rPr>
                <w:sz w:val="18"/>
                <w:szCs w:val="18"/>
              </w:rPr>
              <w:t>BS322</w:t>
            </w:r>
          </w:p>
        </w:tc>
        <w:tc>
          <w:tcPr>
            <w:tcW w:w="1983" w:type="dxa"/>
            <w:shd w:val="clear" w:color="auto" w:fill="E2EFD9" w:themeFill="accent6" w:themeFillTint="33"/>
          </w:tcPr>
          <w:p w14:paraId="04F16AED" w14:textId="1B417E6C" w:rsidR="00F82C6C" w:rsidRPr="00785889" w:rsidRDefault="004A25FF" w:rsidP="00045158">
            <w:pPr>
              <w:pStyle w:val="051Tabletext228pt"/>
              <w:rPr>
                <w:sz w:val="18"/>
                <w:szCs w:val="18"/>
              </w:rPr>
            </w:pPr>
            <w:r w:rsidRPr="00785889">
              <w:rPr>
                <w:sz w:val="18"/>
                <w:szCs w:val="18"/>
              </w:rPr>
              <w:t>NR</w:t>
            </w:r>
          </w:p>
        </w:tc>
      </w:tr>
      <w:tr w:rsidR="000C4CE5" w:rsidRPr="00785889" w14:paraId="4703AE77" w14:textId="77777777" w:rsidTr="00C638F8">
        <w:trPr>
          <w:cantSplit/>
        </w:trPr>
        <w:tc>
          <w:tcPr>
            <w:tcW w:w="0" w:type="auto"/>
            <w:shd w:val="clear" w:color="auto" w:fill="E2EFD9" w:themeFill="accent6" w:themeFillTint="33"/>
          </w:tcPr>
          <w:p w14:paraId="57B301A8"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09537DCD" w14:textId="77777777" w:rsidR="00F82C6C" w:rsidRPr="00785889" w:rsidRDefault="00F82C6C" w:rsidP="00045158">
            <w:pPr>
              <w:pStyle w:val="051Tabletext228pt"/>
              <w:rPr>
                <w:sz w:val="18"/>
                <w:szCs w:val="18"/>
              </w:rPr>
            </w:pPr>
            <w:proofErr w:type="spellStart"/>
            <w:r w:rsidRPr="00785889">
              <w:rPr>
                <w:sz w:val="18"/>
                <w:szCs w:val="18"/>
              </w:rPr>
              <w:t>WaveWriter</w:t>
            </w:r>
            <w:proofErr w:type="spellEnd"/>
            <w:r w:rsidRPr="00785889">
              <w:rPr>
                <w:sz w:val="18"/>
                <w:szCs w:val="18"/>
              </w:rPr>
              <w:t xml:space="preserve"> Alpha</w:t>
            </w:r>
          </w:p>
        </w:tc>
        <w:tc>
          <w:tcPr>
            <w:tcW w:w="2410" w:type="dxa"/>
            <w:shd w:val="clear" w:color="auto" w:fill="E2EFD9" w:themeFill="accent6" w:themeFillTint="33"/>
          </w:tcPr>
          <w:p w14:paraId="630DC6EF" w14:textId="77777777" w:rsidR="00F82C6C" w:rsidRPr="00785889" w:rsidRDefault="00F82C6C" w:rsidP="00045158">
            <w:pPr>
              <w:pStyle w:val="051Tabletext228pt"/>
              <w:rPr>
                <w:sz w:val="18"/>
                <w:szCs w:val="18"/>
              </w:rPr>
            </w:pPr>
            <w:r w:rsidRPr="00785889">
              <w:rPr>
                <w:sz w:val="18"/>
                <w:szCs w:val="18"/>
              </w:rPr>
              <w:t>Boston Scientific</w:t>
            </w:r>
          </w:p>
        </w:tc>
        <w:tc>
          <w:tcPr>
            <w:tcW w:w="1276" w:type="dxa"/>
            <w:shd w:val="clear" w:color="auto" w:fill="E2EFD9" w:themeFill="accent6" w:themeFillTint="33"/>
          </w:tcPr>
          <w:p w14:paraId="135AA66F" w14:textId="77777777" w:rsidR="00F82C6C" w:rsidRPr="00785889" w:rsidRDefault="00F82C6C" w:rsidP="00045158">
            <w:pPr>
              <w:pStyle w:val="051Tabletext228pt"/>
              <w:rPr>
                <w:sz w:val="18"/>
                <w:szCs w:val="18"/>
              </w:rPr>
            </w:pPr>
            <w:r w:rsidRPr="00785889">
              <w:rPr>
                <w:sz w:val="18"/>
                <w:szCs w:val="18"/>
              </w:rPr>
              <w:t>BS383</w:t>
            </w:r>
          </w:p>
        </w:tc>
        <w:tc>
          <w:tcPr>
            <w:tcW w:w="1983" w:type="dxa"/>
            <w:shd w:val="clear" w:color="auto" w:fill="E2EFD9" w:themeFill="accent6" w:themeFillTint="33"/>
          </w:tcPr>
          <w:p w14:paraId="17AF9C16" w14:textId="02700B1A" w:rsidR="00F82C6C" w:rsidRPr="00785889" w:rsidRDefault="004A25FF" w:rsidP="00045158">
            <w:pPr>
              <w:pStyle w:val="051Tabletext228pt"/>
              <w:rPr>
                <w:sz w:val="18"/>
                <w:szCs w:val="18"/>
              </w:rPr>
            </w:pPr>
            <w:r w:rsidRPr="00785889">
              <w:rPr>
                <w:sz w:val="18"/>
                <w:szCs w:val="18"/>
              </w:rPr>
              <w:t>NR</w:t>
            </w:r>
          </w:p>
        </w:tc>
      </w:tr>
      <w:tr w:rsidR="000C4CE5" w:rsidRPr="00785889" w14:paraId="6BA905B6" w14:textId="77777777" w:rsidTr="00C638F8">
        <w:trPr>
          <w:cantSplit/>
        </w:trPr>
        <w:tc>
          <w:tcPr>
            <w:tcW w:w="0" w:type="auto"/>
            <w:shd w:val="clear" w:color="auto" w:fill="E2EFD9" w:themeFill="accent6" w:themeFillTint="33"/>
          </w:tcPr>
          <w:p w14:paraId="7348E717"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4ED651B8" w14:textId="77777777" w:rsidR="00F82C6C" w:rsidRPr="00785889" w:rsidRDefault="00F82C6C" w:rsidP="00045158">
            <w:pPr>
              <w:pStyle w:val="051Tabletext228pt"/>
              <w:rPr>
                <w:sz w:val="18"/>
                <w:szCs w:val="18"/>
              </w:rPr>
            </w:pPr>
            <w:r w:rsidRPr="00785889">
              <w:rPr>
                <w:sz w:val="18"/>
                <w:szCs w:val="18"/>
              </w:rPr>
              <w:t>Proclaim IPG</w:t>
            </w:r>
          </w:p>
        </w:tc>
        <w:tc>
          <w:tcPr>
            <w:tcW w:w="2410" w:type="dxa"/>
            <w:shd w:val="clear" w:color="auto" w:fill="E2EFD9" w:themeFill="accent6" w:themeFillTint="33"/>
          </w:tcPr>
          <w:p w14:paraId="0F09DD22" w14:textId="77777777" w:rsidR="00F82C6C" w:rsidRPr="00785889" w:rsidRDefault="00F82C6C" w:rsidP="00045158">
            <w:pPr>
              <w:pStyle w:val="051Tabletext228pt"/>
              <w:rPr>
                <w:sz w:val="18"/>
                <w:szCs w:val="18"/>
              </w:rPr>
            </w:pPr>
            <w:r w:rsidRPr="00785889">
              <w:rPr>
                <w:sz w:val="18"/>
                <w:szCs w:val="18"/>
              </w:rPr>
              <w:t>Abbott Medical</w:t>
            </w:r>
          </w:p>
        </w:tc>
        <w:tc>
          <w:tcPr>
            <w:tcW w:w="1276" w:type="dxa"/>
            <w:shd w:val="clear" w:color="auto" w:fill="E2EFD9" w:themeFill="accent6" w:themeFillTint="33"/>
          </w:tcPr>
          <w:p w14:paraId="0A629D59" w14:textId="77777777" w:rsidR="00F82C6C" w:rsidRPr="00785889" w:rsidRDefault="00F82C6C" w:rsidP="00045158">
            <w:pPr>
              <w:pStyle w:val="051Tabletext228pt"/>
              <w:rPr>
                <w:sz w:val="18"/>
                <w:szCs w:val="18"/>
              </w:rPr>
            </w:pPr>
            <w:r w:rsidRPr="00785889">
              <w:rPr>
                <w:sz w:val="18"/>
                <w:szCs w:val="18"/>
              </w:rPr>
              <w:t>SJ379</w:t>
            </w:r>
          </w:p>
        </w:tc>
        <w:tc>
          <w:tcPr>
            <w:tcW w:w="1983" w:type="dxa"/>
            <w:shd w:val="clear" w:color="auto" w:fill="E2EFD9" w:themeFill="accent6" w:themeFillTint="33"/>
          </w:tcPr>
          <w:p w14:paraId="043B228C" w14:textId="3CB9D79A" w:rsidR="00F82C6C" w:rsidRPr="00785889" w:rsidRDefault="004A25FF" w:rsidP="00045158">
            <w:pPr>
              <w:pStyle w:val="051Tabletext228pt"/>
              <w:rPr>
                <w:sz w:val="18"/>
                <w:szCs w:val="18"/>
              </w:rPr>
            </w:pPr>
            <w:r w:rsidRPr="00785889">
              <w:rPr>
                <w:sz w:val="18"/>
                <w:szCs w:val="18"/>
              </w:rPr>
              <w:t>NR</w:t>
            </w:r>
          </w:p>
        </w:tc>
      </w:tr>
      <w:tr w:rsidR="000C4CE5" w:rsidRPr="00785889" w14:paraId="4936E6C2" w14:textId="77777777" w:rsidTr="00C638F8">
        <w:trPr>
          <w:cantSplit/>
        </w:trPr>
        <w:tc>
          <w:tcPr>
            <w:tcW w:w="0" w:type="auto"/>
            <w:shd w:val="clear" w:color="auto" w:fill="E2EFD9" w:themeFill="accent6" w:themeFillTint="33"/>
          </w:tcPr>
          <w:p w14:paraId="4E4D0171"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7B3D1C4C" w14:textId="77777777" w:rsidR="00F82C6C" w:rsidRPr="00785889" w:rsidRDefault="00F82C6C" w:rsidP="00045158">
            <w:pPr>
              <w:pStyle w:val="051Tabletext228pt"/>
              <w:rPr>
                <w:sz w:val="18"/>
                <w:szCs w:val="18"/>
              </w:rPr>
            </w:pPr>
            <w:r w:rsidRPr="00785889">
              <w:rPr>
                <w:sz w:val="18"/>
                <w:szCs w:val="18"/>
              </w:rPr>
              <w:t>Proclaim XR IPG</w:t>
            </w:r>
          </w:p>
        </w:tc>
        <w:tc>
          <w:tcPr>
            <w:tcW w:w="2410" w:type="dxa"/>
            <w:shd w:val="clear" w:color="auto" w:fill="E2EFD9" w:themeFill="accent6" w:themeFillTint="33"/>
          </w:tcPr>
          <w:p w14:paraId="72737E0D" w14:textId="77777777" w:rsidR="00F82C6C" w:rsidRPr="00785889" w:rsidRDefault="00F82C6C" w:rsidP="00045158">
            <w:pPr>
              <w:pStyle w:val="051Tabletext228pt"/>
              <w:rPr>
                <w:sz w:val="18"/>
                <w:szCs w:val="18"/>
              </w:rPr>
            </w:pPr>
            <w:r w:rsidRPr="00785889">
              <w:rPr>
                <w:sz w:val="18"/>
                <w:szCs w:val="18"/>
              </w:rPr>
              <w:t>Abbott Medical</w:t>
            </w:r>
          </w:p>
        </w:tc>
        <w:tc>
          <w:tcPr>
            <w:tcW w:w="1276" w:type="dxa"/>
            <w:shd w:val="clear" w:color="auto" w:fill="E2EFD9" w:themeFill="accent6" w:themeFillTint="33"/>
          </w:tcPr>
          <w:p w14:paraId="7222FE42" w14:textId="77777777" w:rsidR="00F82C6C" w:rsidRPr="00785889" w:rsidRDefault="00F82C6C" w:rsidP="00045158">
            <w:pPr>
              <w:pStyle w:val="051Tabletext228pt"/>
              <w:rPr>
                <w:sz w:val="18"/>
                <w:szCs w:val="18"/>
              </w:rPr>
            </w:pPr>
            <w:r w:rsidRPr="00785889">
              <w:rPr>
                <w:sz w:val="18"/>
                <w:szCs w:val="18"/>
              </w:rPr>
              <w:t>SJ432</w:t>
            </w:r>
          </w:p>
        </w:tc>
        <w:tc>
          <w:tcPr>
            <w:tcW w:w="1983" w:type="dxa"/>
            <w:shd w:val="clear" w:color="auto" w:fill="E2EFD9" w:themeFill="accent6" w:themeFillTint="33"/>
          </w:tcPr>
          <w:p w14:paraId="43810F5B" w14:textId="146D16D4" w:rsidR="00F82C6C" w:rsidRPr="00785889" w:rsidRDefault="004A25FF" w:rsidP="00045158">
            <w:pPr>
              <w:pStyle w:val="051Tabletext228pt"/>
              <w:rPr>
                <w:sz w:val="18"/>
                <w:szCs w:val="18"/>
              </w:rPr>
            </w:pPr>
            <w:r w:rsidRPr="00785889">
              <w:rPr>
                <w:sz w:val="18"/>
                <w:szCs w:val="18"/>
              </w:rPr>
              <w:t>NR</w:t>
            </w:r>
          </w:p>
        </w:tc>
      </w:tr>
      <w:tr w:rsidR="000C4CE5" w:rsidRPr="00785889" w14:paraId="78B5109B" w14:textId="77777777" w:rsidTr="00C638F8">
        <w:trPr>
          <w:cantSplit/>
        </w:trPr>
        <w:tc>
          <w:tcPr>
            <w:tcW w:w="0" w:type="auto"/>
            <w:shd w:val="clear" w:color="auto" w:fill="E2EFD9" w:themeFill="accent6" w:themeFillTint="33"/>
          </w:tcPr>
          <w:p w14:paraId="5A3F6C01"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4E1F3FCC" w14:textId="77777777" w:rsidR="00F82C6C" w:rsidRPr="00785889" w:rsidRDefault="00F82C6C" w:rsidP="00045158">
            <w:pPr>
              <w:pStyle w:val="051Tabletext228pt"/>
              <w:rPr>
                <w:sz w:val="18"/>
                <w:szCs w:val="18"/>
              </w:rPr>
            </w:pPr>
            <w:proofErr w:type="spellStart"/>
            <w:r w:rsidRPr="00785889">
              <w:rPr>
                <w:sz w:val="18"/>
                <w:szCs w:val="18"/>
              </w:rPr>
              <w:t>PrimeAdvanced</w:t>
            </w:r>
            <w:proofErr w:type="spellEnd"/>
            <w:r w:rsidRPr="00785889">
              <w:rPr>
                <w:sz w:val="18"/>
                <w:szCs w:val="18"/>
              </w:rPr>
              <w:t xml:space="preserve"> </w:t>
            </w:r>
            <w:proofErr w:type="spellStart"/>
            <w:r w:rsidRPr="00785889">
              <w:rPr>
                <w:sz w:val="18"/>
                <w:szCs w:val="18"/>
              </w:rPr>
              <w:t>Surescan</w:t>
            </w:r>
            <w:proofErr w:type="spellEnd"/>
            <w:r w:rsidRPr="00785889">
              <w:rPr>
                <w:sz w:val="18"/>
                <w:szCs w:val="18"/>
              </w:rPr>
              <w:t xml:space="preserve"> MRI Neurostimulator</w:t>
            </w:r>
          </w:p>
        </w:tc>
        <w:tc>
          <w:tcPr>
            <w:tcW w:w="2410" w:type="dxa"/>
            <w:shd w:val="clear" w:color="auto" w:fill="E2EFD9" w:themeFill="accent6" w:themeFillTint="33"/>
          </w:tcPr>
          <w:p w14:paraId="1FDF625B" w14:textId="77777777" w:rsidR="00F82C6C" w:rsidRPr="00785889" w:rsidRDefault="00F82C6C" w:rsidP="00045158">
            <w:pPr>
              <w:pStyle w:val="051Tabletext228pt"/>
              <w:rPr>
                <w:sz w:val="18"/>
                <w:szCs w:val="18"/>
              </w:rPr>
            </w:pPr>
            <w:r w:rsidRPr="00785889">
              <w:rPr>
                <w:sz w:val="18"/>
                <w:szCs w:val="18"/>
              </w:rPr>
              <w:t xml:space="preserve">Medtronic </w:t>
            </w:r>
          </w:p>
        </w:tc>
        <w:tc>
          <w:tcPr>
            <w:tcW w:w="1276" w:type="dxa"/>
            <w:shd w:val="clear" w:color="auto" w:fill="E2EFD9" w:themeFill="accent6" w:themeFillTint="33"/>
          </w:tcPr>
          <w:p w14:paraId="37B5C2DD" w14:textId="77777777" w:rsidR="00F82C6C" w:rsidRPr="00785889" w:rsidRDefault="00F82C6C" w:rsidP="00045158">
            <w:pPr>
              <w:pStyle w:val="051Tabletext228pt"/>
              <w:rPr>
                <w:sz w:val="18"/>
                <w:szCs w:val="18"/>
              </w:rPr>
            </w:pPr>
            <w:r w:rsidRPr="00785889">
              <w:rPr>
                <w:sz w:val="18"/>
                <w:szCs w:val="18"/>
              </w:rPr>
              <w:t>MI135</w:t>
            </w:r>
          </w:p>
        </w:tc>
        <w:tc>
          <w:tcPr>
            <w:tcW w:w="1983" w:type="dxa"/>
            <w:shd w:val="clear" w:color="auto" w:fill="E2EFD9" w:themeFill="accent6" w:themeFillTint="33"/>
          </w:tcPr>
          <w:p w14:paraId="53016CBA" w14:textId="4DB434B8" w:rsidR="00F82C6C" w:rsidRPr="00785889" w:rsidRDefault="005A7060" w:rsidP="00045158">
            <w:pPr>
              <w:pStyle w:val="051Tabletext228pt"/>
              <w:rPr>
                <w:sz w:val="18"/>
                <w:szCs w:val="18"/>
              </w:rPr>
            </w:pPr>
            <w:r w:rsidRPr="00785889">
              <w:rPr>
                <w:rFonts w:ascii="Wingdings" w:eastAsia="Wingdings" w:hAnsi="Wingdings" w:cs="Wingdings"/>
                <w:sz w:val="18"/>
                <w:szCs w:val="18"/>
              </w:rPr>
              <w:t>ü</w:t>
            </w:r>
          </w:p>
        </w:tc>
      </w:tr>
      <w:tr w:rsidR="000C4CE5" w:rsidRPr="00785889" w14:paraId="19859C6E" w14:textId="77777777" w:rsidTr="00C638F8">
        <w:trPr>
          <w:cantSplit/>
        </w:trPr>
        <w:tc>
          <w:tcPr>
            <w:tcW w:w="0" w:type="auto"/>
            <w:shd w:val="clear" w:color="auto" w:fill="E2EFD9" w:themeFill="accent6" w:themeFillTint="33"/>
          </w:tcPr>
          <w:p w14:paraId="554AFFDF"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3946E7B4" w14:textId="77777777" w:rsidR="00F82C6C" w:rsidRPr="00785889" w:rsidRDefault="00F82C6C" w:rsidP="00045158">
            <w:pPr>
              <w:pStyle w:val="051Tabletext228pt"/>
              <w:rPr>
                <w:sz w:val="18"/>
                <w:szCs w:val="18"/>
              </w:rPr>
            </w:pPr>
            <w:proofErr w:type="spellStart"/>
            <w:r w:rsidRPr="00785889">
              <w:rPr>
                <w:sz w:val="18"/>
                <w:szCs w:val="18"/>
              </w:rPr>
              <w:t>Intellis</w:t>
            </w:r>
            <w:proofErr w:type="spellEnd"/>
            <w:r w:rsidRPr="00785889">
              <w:rPr>
                <w:sz w:val="18"/>
                <w:szCs w:val="18"/>
              </w:rPr>
              <w:t xml:space="preserve"> </w:t>
            </w:r>
            <w:proofErr w:type="spellStart"/>
            <w:r w:rsidRPr="00785889">
              <w:rPr>
                <w:sz w:val="18"/>
                <w:szCs w:val="18"/>
              </w:rPr>
              <w:t>AdaptiveStim</w:t>
            </w:r>
            <w:proofErr w:type="spellEnd"/>
            <w:r w:rsidRPr="00785889">
              <w:rPr>
                <w:sz w:val="18"/>
                <w:szCs w:val="18"/>
              </w:rPr>
              <w:t xml:space="preserve"> Neurostimulator</w:t>
            </w:r>
          </w:p>
        </w:tc>
        <w:tc>
          <w:tcPr>
            <w:tcW w:w="2410" w:type="dxa"/>
            <w:shd w:val="clear" w:color="auto" w:fill="E2EFD9" w:themeFill="accent6" w:themeFillTint="33"/>
          </w:tcPr>
          <w:p w14:paraId="7033A820" w14:textId="77777777" w:rsidR="00F82C6C" w:rsidRPr="00785889" w:rsidRDefault="00F82C6C" w:rsidP="00045158">
            <w:pPr>
              <w:pStyle w:val="051Tabletext228pt"/>
              <w:rPr>
                <w:sz w:val="18"/>
                <w:szCs w:val="18"/>
              </w:rPr>
            </w:pPr>
            <w:r w:rsidRPr="00785889">
              <w:rPr>
                <w:sz w:val="18"/>
                <w:szCs w:val="18"/>
              </w:rPr>
              <w:t xml:space="preserve">Medtronic </w:t>
            </w:r>
          </w:p>
        </w:tc>
        <w:tc>
          <w:tcPr>
            <w:tcW w:w="1276" w:type="dxa"/>
            <w:shd w:val="clear" w:color="auto" w:fill="E2EFD9" w:themeFill="accent6" w:themeFillTint="33"/>
          </w:tcPr>
          <w:p w14:paraId="35817ECF" w14:textId="77777777" w:rsidR="00F82C6C" w:rsidRPr="00785889" w:rsidRDefault="00F82C6C" w:rsidP="00045158">
            <w:pPr>
              <w:pStyle w:val="051Tabletext228pt"/>
              <w:rPr>
                <w:sz w:val="18"/>
                <w:szCs w:val="18"/>
              </w:rPr>
            </w:pPr>
            <w:r w:rsidRPr="00785889">
              <w:rPr>
                <w:sz w:val="18"/>
                <w:szCs w:val="18"/>
              </w:rPr>
              <w:t>MI274</w:t>
            </w:r>
          </w:p>
        </w:tc>
        <w:tc>
          <w:tcPr>
            <w:tcW w:w="1983" w:type="dxa"/>
            <w:shd w:val="clear" w:color="auto" w:fill="E2EFD9" w:themeFill="accent6" w:themeFillTint="33"/>
          </w:tcPr>
          <w:p w14:paraId="43EA95E7" w14:textId="04CE213A" w:rsidR="00F82C6C" w:rsidRPr="00785889" w:rsidRDefault="004F41D3" w:rsidP="00045158">
            <w:pPr>
              <w:pStyle w:val="051Tabletext228pt"/>
              <w:rPr>
                <w:sz w:val="18"/>
                <w:szCs w:val="18"/>
              </w:rPr>
            </w:pPr>
            <w:r w:rsidRPr="00785889">
              <w:rPr>
                <w:rFonts w:ascii="Wingdings" w:eastAsia="Wingdings" w:hAnsi="Wingdings" w:cs="Wingdings"/>
                <w:sz w:val="18"/>
                <w:szCs w:val="18"/>
              </w:rPr>
              <w:t>ü</w:t>
            </w:r>
          </w:p>
        </w:tc>
      </w:tr>
      <w:tr w:rsidR="000C4CE5" w:rsidRPr="00785889" w14:paraId="772D8286" w14:textId="77777777" w:rsidTr="00C638F8">
        <w:trPr>
          <w:cantSplit/>
        </w:trPr>
        <w:tc>
          <w:tcPr>
            <w:tcW w:w="0" w:type="auto"/>
            <w:shd w:val="clear" w:color="auto" w:fill="E2EFD9" w:themeFill="accent6" w:themeFillTint="33"/>
          </w:tcPr>
          <w:p w14:paraId="35CEF5D0"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5FB8FBD6" w14:textId="77777777" w:rsidR="00F82C6C" w:rsidRPr="00785889" w:rsidRDefault="00F82C6C" w:rsidP="00045158">
            <w:pPr>
              <w:pStyle w:val="051Tabletext228pt"/>
              <w:rPr>
                <w:sz w:val="18"/>
                <w:szCs w:val="18"/>
              </w:rPr>
            </w:pPr>
            <w:r w:rsidRPr="00785889">
              <w:rPr>
                <w:sz w:val="18"/>
                <w:szCs w:val="18"/>
              </w:rPr>
              <w:t xml:space="preserve">Evoke Closed Loop Stimulator (CLS)  </w:t>
            </w:r>
          </w:p>
        </w:tc>
        <w:tc>
          <w:tcPr>
            <w:tcW w:w="2410" w:type="dxa"/>
            <w:shd w:val="clear" w:color="auto" w:fill="E2EFD9" w:themeFill="accent6" w:themeFillTint="33"/>
          </w:tcPr>
          <w:p w14:paraId="56A22153" w14:textId="77777777" w:rsidR="00F82C6C" w:rsidRPr="00785889" w:rsidRDefault="00F82C6C" w:rsidP="00045158">
            <w:pPr>
              <w:pStyle w:val="051Tabletext228pt"/>
              <w:rPr>
                <w:sz w:val="18"/>
                <w:szCs w:val="18"/>
              </w:rPr>
            </w:pPr>
            <w:r w:rsidRPr="00785889">
              <w:rPr>
                <w:sz w:val="18"/>
                <w:szCs w:val="18"/>
              </w:rPr>
              <w:t>Saluda Medical</w:t>
            </w:r>
          </w:p>
        </w:tc>
        <w:tc>
          <w:tcPr>
            <w:tcW w:w="1276" w:type="dxa"/>
            <w:shd w:val="clear" w:color="auto" w:fill="E2EFD9" w:themeFill="accent6" w:themeFillTint="33"/>
          </w:tcPr>
          <w:p w14:paraId="39BF5AC3" w14:textId="77777777" w:rsidR="00F82C6C" w:rsidRPr="00785889" w:rsidRDefault="00F82C6C" w:rsidP="00045158">
            <w:pPr>
              <w:pStyle w:val="051Tabletext228pt"/>
              <w:rPr>
                <w:sz w:val="18"/>
                <w:szCs w:val="18"/>
              </w:rPr>
            </w:pPr>
            <w:r w:rsidRPr="00785889">
              <w:rPr>
                <w:sz w:val="18"/>
                <w:szCs w:val="18"/>
              </w:rPr>
              <w:t>UY003</w:t>
            </w:r>
          </w:p>
        </w:tc>
        <w:tc>
          <w:tcPr>
            <w:tcW w:w="1983" w:type="dxa"/>
            <w:shd w:val="clear" w:color="auto" w:fill="E2EFD9" w:themeFill="accent6" w:themeFillTint="33"/>
          </w:tcPr>
          <w:p w14:paraId="7D09AC8C" w14:textId="1B90ADFA" w:rsidR="00F82C6C" w:rsidRPr="00785889" w:rsidRDefault="00937BF1" w:rsidP="00045158">
            <w:pPr>
              <w:pStyle w:val="051Tabletext228pt"/>
              <w:rPr>
                <w:sz w:val="18"/>
                <w:szCs w:val="18"/>
              </w:rPr>
            </w:pPr>
            <w:r w:rsidRPr="00785889">
              <w:rPr>
                <w:rFonts w:ascii="Wingdings" w:eastAsia="Wingdings" w:hAnsi="Wingdings" w:cs="Wingdings"/>
                <w:sz w:val="18"/>
                <w:szCs w:val="18"/>
              </w:rPr>
              <w:t>ü</w:t>
            </w:r>
          </w:p>
        </w:tc>
      </w:tr>
      <w:tr w:rsidR="000C4CE5" w:rsidRPr="00785889" w14:paraId="1D423CDD" w14:textId="77777777" w:rsidTr="00C638F8">
        <w:trPr>
          <w:cantSplit/>
        </w:trPr>
        <w:tc>
          <w:tcPr>
            <w:tcW w:w="0" w:type="auto"/>
            <w:shd w:val="clear" w:color="auto" w:fill="E2EFD9" w:themeFill="accent6" w:themeFillTint="33"/>
          </w:tcPr>
          <w:p w14:paraId="27F53EB3"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067321C9" w14:textId="77777777" w:rsidR="00F82C6C" w:rsidRPr="00785889" w:rsidRDefault="00F82C6C" w:rsidP="00045158">
            <w:pPr>
              <w:pStyle w:val="051Tabletext228pt"/>
              <w:rPr>
                <w:sz w:val="18"/>
                <w:szCs w:val="18"/>
              </w:rPr>
            </w:pPr>
            <w:r w:rsidRPr="00785889">
              <w:rPr>
                <w:sz w:val="18"/>
                <w:szCs w:val="18"/>
              </w:rPr>
              <w:t>Precision Spectra IPG</w:t>
            </w:r>
          </w:p>
        </w:tc>
        <w:tc>
          <w:tcPr>
            <w:tcW w:w="2410" w:type="dxa"/>
            <w:shd w:val="clear" w:color="auto" w:fill="E2EFD9" w:themeFill="accent6" w:themeFillTint="33"/>
          </w:tcPr>
          <w:p w14:paraId="09E3DDCF" w14:textId="77777777" w:rsidR="00F82C6C" w:rsidRPr="00785889" w:rsidRDefault="00F82C6C" w:rsidP="00045158">
            <w:pPr>
              <w:pStyle w:val="051Tabletext228pt"/>
              <w:rPr>
                <w:sz w:val="18"/>
                <w:szCs w:val="18"/>
              </w:rPr>
            </w:pPr>
            <w:r w:rsidRPr="00785889">
              <w:rPr>
                <w:sz w:val="18"/>
                <w:szCs w:val="18"/>
              </w:rPr>
              <w:t xml:space="preserve">Boston Scientific </w:t>
            </w:r>
          </w:p>
        </w:tc>
        <w:tc>
          <w:tcPr>
            <w:tcW w:w="1276" w:type="dxa"/>
            <w:shd w:val="clear" w:color="auto" w:fill="E2EFD9" w:themeFill="accent6" w:themeFillTint="33"/>
          </w:tcPr>
          <w:p w14:paraId="715857CE" w14:textId="77777777" w:rsidR="00F82C6C" w:rsidRPr="00785889" w:rsidRDefault="00F82C6C" w:rsidP="00045158">
            <w:pPr>
              <w:pStyle w:val="051Tabletext228pt"/>
              <w:rPr>
                <w:sz w:val="18"/>
                <w:szCs w:val="18"/>
              </w:rPr>
            </w:pPr>
            <w:r w:rsidRPr="00785889">
              <w:rPr>
                <w:sz w:val="18"/>
                <w:szCs w:val="18"/>
              </w:rPr>
              <w:t>BS254</w:t>
            </w:r>
          </w:p>
        </w:tc>
        <w:tc>
          <w:tcPr>
            <w:tcW w:w="1983" w:type="dxa"/>
            <w:shd w:val="clear" w:color="auto" w:fill="E2EFD9" w:themeFill="accent6" w:themeFillTint="33"/>
          </w:tcPr>
          <w:p w14:paraId="652D7DDC" w14:textId="11157049" w:rsidR="00F82C6C" w:rsidRPr="00785889" w:rsidRDefault="004A25FF" w:rsidP="00045158">
            <w:pPr>
              <w:pStyle w:val="051Tabletext228pt"/>
              <w:rPr>
                <w:sz w:val="18"/>
                <w:szCs w:val="18"/>
              </w:rPr>
            </w:pPr>
            <w:r w:rsidRPr="00785889">
              <w:rPr>
                <w:sz w:val="18"/>
                <w:szCs w:val="18"/>
              </w:rPr>
              <w:t>NR</w:t>
            </w:r>
          </w:p>
        </w:tc>
      </w:tr>
      <w:tr w:rsidR="000C4CE5" w:rsidRPr="00785889" w14:paraId="6B3D4345" w14:textId="77777777" w:rsidTr="00C638F8">
        <w:trPr>
          <w:cantSplit/>
        </w:trPr>
        <w:tc>
          <w:tcPr>
            <w:tcW w:w="0" w:type="auto"/>
            <w:shd w:val="clear" w:color="auto" w:fill="E2EFD9" w:themeFill="accent6" w:themeFillTint="33"/>
          </w:tcPr>
          <w:p w14:paraId="112598E5"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6A673BEA" w14:textId="77777777" w:rsidR="00F82C6C" w:rsidRPr="00785889" w:rsidRDefault="00F82C6C" w:rsidP="00045158">
            <w:pPr>
              <w:pStyle w:val="051Tabletext228pt"/>
              <w:rPr>
                <w:sz w:val="18"/>
                <w:szCs w:val="18"/>
              </w:rPr>
            </w:pPr>
            <w:r w:rsidRPr="00785889">
              <w:rPr>
                <w:sz w:val="18"/>
                <w:szCs w:val="18"/>
              </w:rPr>
              <w:t xml:space="preserve">Precision Spectra </w:t>
            </w:r>
            <w:proofErr w:type="spellStart"/>
            <w:r w:rsidRPr="00785889">
              <w:rPr>
                <w:sz w:val="18"/>
                <w:szCs w:val="18"/>
              </w:rPr>
              <w:t>WaveWriter</w:t>
            </w:r>
            <w:proofErr w:type="spellEnd"/>
            <w:r w:rsidRPr="00785889">
              <w:rPr>
                <w:sz w:val="18"/>
                <w:szCs w:val="18"/>
              </w:rPr>
              <w:t xml:space="preserve"> IPG</w:t>
            </w:r>
          </w:p>
        </w:tc>
        <w:tc>
          <w:tcPr>
            <w:tcW w:w="2410" w:type="dxa"/>
            <w:shd w:val="clear" w:color="auto" w:fill="E2EFD9" w:themeFill="accent6" w:themeFillTint="33"/>
          </w:tcPr>
          <w:p w14:paraId="15727F17" w14:textId="77777777" w:rsidR="00F82C6C" w:rsidRPr="00785889" w:rsidRDefault="00F82C6C" w:rsidP="00045158">
            <w:pPr>
              <w:pStyle w:val="051Tabletext228pt"/>
              <w:rPr>
                <w:sz w:val="18"/>
                <w:szCs w:val="18"/>
              </w:rPr>
            </w:pPr>
            <w:r w:rsidRPr="00785889">
              <w:rPr>
                <w:sz w:val="18"/>
                <w:szCs w:val="18"/>
              </w:rPr>
              <w:t xml:space="preserve">Boston Scientific </w:t>
            </w:r>
          </w:p>
        </w:tc>
        <w:tc>
          <w:tcPr>
            <w:tcW w:w="1276" w:type="dxa"/>
            <w:shd w:val="clear" w:color="auto" w:fill="E2EFD9" w:themeFill="accent6" w:themeFillTint="33"/>
          </w:tcPr>
          <w:p w14:paraId="389D399D" w14:textId="77777777" w:rsidR="00F82C6C" w:rsidRPr="00785889" w:rsidRDefault="00F82C6C" w:rsidP="00045158">
            <w:pPr>
              <w:pStyle w:val="051Tabletext228pt"/>
              <w:rPr>
                <w:sz w:val="18"/>
                <w:szCs w:val="18"/>
              </w:rPr>
            </w:pPr>
            <w:r w:rsidRPr="00785889">
              <w:rPr>
                <w:sz w:val="18"/>
                <w:szCs w:val="18"/>
              </w:rPr>
              <w:t>BS362</w:t>
            </w:r>
          </w:p>
        </w:tc>
        <w:tc>
          <w:tcPr>
            <w:tcW w:w="1983" w:type="dxa"/>
            <w:shd w:val="clear" w:color="auto" w:fill="E2EFD9" w:themeFill="accent6" w:themeFillTint="33"/>
          </w:tcPr>
          <w:p w14:paraId="02B81654" w14:textId="429FCDE3" w:rsidR="00F82C6C" w:rsidRPr="00785889" w:rsidRDefault="004A25FF" w:rsidP="00045158">
            <w:pPr>
              <w:pStyle w:val="051Tabletext228pt"/>
              <w:rPr>
                <w:sz w:val="18"/>
                <w:szCs w:val="18"/>
              </w:rPr>
            </w:pPr>
            <w:r w:rsidRPr="00785889">
              <w:rPr>
                <w:sz w:val="18"/>
                <w:szCs w:val="18"/>
              </w:rPr>
              <w:t>NR</w:t>
            </w:r>
          </w:p>
        </w:tc>
      </w:tr>
      <w:tr w:rsidR="000C4CE5" w:rsidRPr="00785889" w14:paraId="78A73D52" w14:textId="77777777" w:rsidTr="00C638F8">
        <w:trPr>
          <w:cantSplit/>
        </w:trPr>
        <w:tc>
          <w:tcPr>
            <w:tcW w:w="0" w:type="auto"/>
            <w:shd w:val="clear" w:color="auto" w:fill="E2EFD9" w:themeFill="accent6" w:themeFillTint="33"/>
          </w:tcPr>
          <w:p w14:paraId="284A9519"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5046A132" w14:textId="77777777" w:rsidR="00F82C6C" w:rsidRPr="00785889" w:rsidRDefault="00F82C6C" w:rsidP="00045158">
            <w:pPr>
              <w:pStyle w:val="051Tabletext228pt"/>
              <w:rPr>
                <w:sz w:val="18"/>
                <w:szCs w:val="18"/>
              </w:rPr>
            </w:pPr>
            <w:proofErr w:type="spellStart"/>
            <w:r w:rsidRPr="00785889">
              <w:rPr>
                <w:sz w:val="18"/>
                <w:szCs w:val="18"/>
              </w:rPr>
              <w:t>WaveWriter</w:t>
            </w:r>
            <w:proofErr w:type="spellEnd"/>
            <w:r w:rsidRPr="00785889">
              <w:rPr>
                <w:sz w:val="18"/>
                <w:szCs w:val="18"/>
              </w:rPr>
              <w:t xml:space="preserve"> Alpha</w:t>
            </w:r>
          </w:p>
        </w:tc>
        <w:tc>
          <w:tcPr>
            <w:tcW w:w="2410" w:type="dxa"/>
            <w:shd w:val="clear" w:color="auto" w:fill="E2EFD9" w:themeFill="accent6" w:themeFillTint="33"/>
          </w:tcPr>
          <w:p w14:paraId="40A2CF16" w14:textId="77777777" w:rsidR="00F82C6C" w:rsidRPr="00785889" w:rsidRDefault="00F82C6C" w:rsidP="00045158">
            <w:pPr>
              <w:pStyle w:val="051Tabletext228pt"/>
              <w:rPr>
                <w:sz w:val="18"/>
                <w:szCs w:val="18"/>
              </w:rPr>
            </w:pPr>
            <w:r w:rsidRPr="00785889">
              <w:rPr>
                <w:sz w:val="18"/>
                <w:szCs w:val="18"/>
              </w:rPr>
              <w:t xml:space="preserve">Boston Scientific </w:t>
            </w:r>
          </w:p>
        </w:tc>
        <w:tc>
          <w:tcPr>
            <w:tcW w:w="1276" w:type="dxa"/>
            <w:shd w:val="clear" w:color="auto" w:fill="E2EFD9" w:themeFill="accent6" w:themeFillTint="33"/>
          </w:tcPr>
          <w:p w14:paraId="670A6C99" w14:textId="77777777" w:rsidR="00F82C6C" w:rsidRPr="00785889" w:rsidRDefault="00F82C6C" w:rsidP="00045158">
            <w:pPr>
              <w:pStyle w:val="051Tabletext228pt"/>
              <w:rPr>
                <w:sz w:val="18"/>
                <w:szCs w:val="18"/>
              </w:rPr>
            </w:pPr>
            <w:r w:rsidRPr="00785889">
              <w:rPr>
                <w:sz w:val="18"/>
                <w:szCs w:val="18"/>
              </w:rPr>
              <w:t>BS389</w:t>
            </w:r>
          </w:p>
        </w:tc>
        <w:tc>
          <w:tcPr>
            <w:tcW w:w="1983" w:type="dxa"/>
            <w:shd w:val="clear" w:color="auto" w:fill="E2EFD9" w:themeFill="accent6" w:themeFillTint="33"/>
          </w:tcPr>
          <w:p w14:paraId="15F5255E" w14:textId="2BCA69AF" w:rsidR="00F82C6C" w:rsidRPr="00785889" w:rsidRDefault="004A25FF" w:rsidP="00045158">
            <w:pPr>
              <w:pStyle w:val="051Tabletext228pt"/>
              <w:rPr>
                <w:sz w:val="18"/>
                <w:szCs w:val="18"/>
              </w:rPr>
            </w:pPr>
            <w:r w:rsidRPr="00785889">
              <w:rPr>
                <w:sz w:val="18"/>
                <w:szCs w:val="18"/>
              </w:rPr>
              <w:t>NR</w:t>
            </w:r>
          </w:p>
        </w:tc>
      </w:tr>
      <w:tr w:rsidR="000C4CE5" w:rsidRPr="00785889" w14:paraId="0D877415" w14:textId="77777777" w:rsidTr="00C638F8">
        <w:trPr>
          <w:cantSplit/>
        </w:trPr>
        <w:tc>
          <w:tcPr>
            <w:tcW w:w="0" w:type="auto"/>
            <w:shd w:val="clear" w:color="auto" w:fill="E2EFD9" w:themeFill="accent6" w:themeFillTint="33"/>
          </w:tcPr>
          <w:p w14:paraId="42E85924"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66B098B6" w14:textId="77777777" w:rsidR="00F82C6C" w:rsidRPr="00785889" w:rsidRDefault="00F82C6C" w:rsidP="00045158">
            <w:pPr>
              <w:pStyle w:val="051Tabletext228pt"/>
              <w:rPr>
                <w:sz w:val="18"/>
                <w:szCs w:val="18"/>
              </w:rPr>
            </w:pPr>
            <w:r w:rsidRPr="00785889">
              <w:rPr>
                <w:sz w:val="18"/>
                <w:szCs w:val="18"/>
              </w:rPr>
              <w:t>Precision Montage MRI IPG</w:t>
            </w:r>
          </w:p>
        </w:tc>
        <w:tc>
          <w:tcPr>
            <w:tcW w:w="2410" w:type="dxa"/>
            <w:shd w:val="clear" w:color="auto" w:fill="E2EFD9" w:themeFill="accent6" w:themeFillTint="33"/>
          </w:tcPr>
          <w:p w14:paraId="1FDF67C5" w14:textId="77777777" w:rsidR="00F82C6C" w:rsidRPr="00785889" w:rsidRDefault="00F82C6C" w:rsidP="00045158">
            <w:pPr>
              <w:pStyle w:val="051Tabletext228pt"/>
              <w:rPr>
                <w:sz w:val="18"/>
                <w:szCs w:val="18"/>
              </w:rPr>
            </w:pPr>
            <w:r w:rsidRPr="00785889">
              <w:rPr>
                <w:sz w:val="18"/>
                <w:szCs w:val="18"/>
              </w:rPr>
              <w:t xml:space="preserve">Boston Scientific </w:t>
            </w:r>
          </w:p>
        </w:tc>
        <w:tc>
          <w:tcPr>
            <w:tcW w:w="1276" w:type="dxa"/>
            <w:shd w:val="clear" w:color="auto" w:fill="E2EFD9" w:themeFill="accent6" w:themeFillTint="33"/>
          </w:tcPr>
          <w:p w14:paraId="2516762C" w14:textId="77777777" w:rsidR="00F82C6C" w:rsidRPr="00785889" w:rsidRDefault="00F82C6C" w:rsidP="00045158">
            <w:pPr>
              <w:pStyle w:val="051Tabletext228pt"/>
              <w:rPr>
                <w:sz w:val="18"/>
                <w:szCs w:val="18"/>
              </w:rPr>
            </w:pPr>
            <w:r w:rsidRPr="00785889">
              <w:rPr>
                <w:sz w:val="18"/>
                <w:szCs w:val="18"/>
              </w:rPr>
              <w:t>BS330</w:t>
            </w:r>
          </w:p>
        </w:tc>
        <w:tc>
          <w:tcPr>
            <w:tcW w:w="1983" w:type="dxa"/>
            <w:shd w:val="clear" w:color="auto" w:fill="E2EFD9" w:themeFill="accent6" w:themeFillTint="33"/>
          </w:tcPr>
          <w:p w14:paraId="69C03393" w14:textId="6AC92C40" w:rsidR="00F82C6C" w:rsidRPr="00785889" w:rsidRDefault="004A25FF" w:rsidP="00045158">
            <w:pPr>
              <w:pStyle w:val="051Tabletext228pt"/>
              <w:rPr>
                <w:sz w:val="18"/>
                <w:szCs w:val="18"/>
              </w:rPr>
            </w:pPr>
            <w:r w:rsidRPr="00785889">
              <w:rPr>
                <w:sz w:val="18"/>
                <w:szCs w:val="18"/>
              </w:rPr>
              <w:t>NR</w:t>
            </w:r>
          </w:p>
        </w:tc>
      </w:tr>
      <w:tr w:rsidR="000C4CE5" w:rsidRPr="00785889" w14:paraId="064D2637" w14:textId="77777777" w:rsidTr="00C638F8">
        <w:trPr>
          <w:cantSplit/>
        </w:trPr>
        <w:tc>
          <w:tcPr>
            <w:tcW w:w="0" w:type="auto"/>
            <w:shd w:val="clear" w:color="auto" w:fill="E2EFD9" w:themeFill="accent6" w:themeFillTint="33"/>
          </w:tcPr>
          <w:p w14:paraId="207D0FC4"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78D28646" w14:textId="77777777" w:rsidR="00F82C6C" w:rsidRPr="00785889" w:rsidRDefault="00F82C6C" w:rsidP="00045158">
            <w:pPr>
              <w:pStyle w:val="051Tabletext228pt"/>
              <w:rPr>
                <w:sz w:val="18"/>
                <w:szCs w:val="18"/>
              </w:rPr>
            </w:pPr>
            <w:r w:rsidRPr="00785889">
              <w:rPr>
                <w:sz w:val="18"/>
                <w:szCs w:val="18"/>
              </w:rPr>
              <w:t>Prodigy IPG</w:t>
            </w:r>
          </w:p>
        </w:tc>
        <w:tc>
          <w:tcPr>
            <w:tcW w:w="2410" w:type="dxa"/>
            <w:shd w:val="clear" w:color="auto" w:fill="E2EFD9" w:themeFill="accent6" w:themeFillTint="33"/>
          </w:tcPr>
          <w:p w14:paraId="3F7634D9" w14:textId="77777777" w:rsidR="00F82C6C" w:rsidRPr="00785889" w:rsidRDefault="00F82C6C" w:rsidP="00045158">
            <w:pPr>
              <w:pStyle w:val="051Tabletext228pt"/>
              <w:rPr>
                <w:sz w:val="18"/>
                <w:szCs w:val="18"/>
              </w:rPr>
            </w:pPr>
            <w:r w:rsidRPr="00785889">
              <w:rPr>
                <w:sz w:val="18"/>
                <w:szCs w:val="18"/>
              </w:rPr>
              <w:t>Abbott Medical</w:t>
            </w:r>
          </w:p>
        </w:tc>
        <w:tc>
          <w:tcPr>
            <w:tcW w:w="1276" w:type="dxa"/>
            <w:shd w:val="clear" w:color="auto" w:fill="E2EFD9" w:themeFill="accent6" w:themeFillTint="33"/>
          </w:tcPr>
          <w:p w14:paraId="6650027C" w14:textId="77777777" w:rsidR="00F82C6C" w:rsidRPr="00785889" w:rsidRDefault="00F82C6C" w:rsidP="00045158">
            <w:pPr>
              <w:pStyle w:val="051Tabletext228pt"/>
              <w:rPr>
                <w:sz w:val="18"/>
                <w:szCs w:val="18"/>
              </w:rPr>
            </w:pPr>
            <w:r w:rsidRPr="00785889">
              <w:rPr>
                <w:sz w:val="18"/>
                <w:szCs w:val="18"/>
              </w:rPr>
              <w:t>SJ374</w:t>
            </w:r>
          </w:p>
        </w:tc>
        <w:tc>
          <w:tcPr>
            <w:tcW w:w="1983" w:type="dxa"/>
            <w:shd w:val="clear" w:color="auto" w:fill="E2EFD9" w:themeFill="accent6" w:themeFillTint="33"/>
          </w:tcPr>
          <w:p w14:paraId="267C36C0" w14:textId="7C0A7375" w:rsidR="00F82C6C" w:rsidRPr="00785889" w:rsidRDefault="004A25FF" w:rsidP="00045158">
            <w:pPr>
              <w:pStyle w:val="051Tabletext228pt"/>
              <w:rPr>
                <w:sz w:val="18"/>
                <w:szCs w:val="18"/>
              </w:rPr>
            </w:pPr>
            <w:r w:rsidRPr="00785889">
              <w:rPr>
                <w:sz w:val="18"/>
                <w:szCs w:val="18"/>
              </w:rPr>
              <w:t>NR</w:t>
            </w:r>
          </w:p>
        </w:tc>
      </w:tr>
      <w:tr w:rsidR="000C4CE5" w:rsidRPr="00785889" w14:paraId="6E69AB3F" w14:textId="77777777" w:rsidTr="00C638F8">
        <w:trPr>
          <w:cantSplit/>
        </w:trPr>
        <w:tc>
          <w:tcPr>
            <w:tcW w:w="0" w:type="auto"/>
            <w:shd w:val="clear" w:color="auto" w:fill="E2EFD9" w:themeFill="accent6" w:themeFillTint="33"/>
          </w:tcPr>
          <w:p w14:paraId="58BFC3E0"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4FCA558B" w14:textId="77777777" w:rsidR="00F82C6C" w:rsidRPr="00785889" w:rsidRDefault="00F82C6C" w:rsidP="00045158">
            <w:pPr>
              <w:pStyle w:val="051Tabletext228pt"/>
              <w:rPr>
                <w:sz w:val="18"/>
                <w:szCs w:val="18"/>
              </w:rPr>
            </w:pPr>
            <w:r w:rsidRPr="00785889">
              <w:rPr>
                <w:sz w:val="18"/>
                <w:szCs w:val="18"/>
              </w:rPr>
              <w:t>Senza II IPG Kit</w:t>
            </w:r>
          </w:p>
        </w:tc>
        <w:tc>
          <w:tcPr>
            <w:tcW w:w="2410" w:type="dxa"/>
            <w:shd w:val="clear" w:color="auto" w:fill="E2EFD9" w:themeFill="accent6" w:themeFillTint="33"/>
          </w:tcPr>
          <w:p w14:paraId="2040A84A" w14:textId="77777777" w:rsidR="00F82C6C" w:rsidRPr="00785889" w:rsidRDefault="00F82C6C" w:rsidP="00045158">
            <w:pPr>
              <w:pStyle w:val="051Tabletext228pt"/>
              <w:rPr>
                <w:sz w:val="18"/>
                <w:szCs w:val="18"/>
              </w:rPr>
            </w:pPr>
            <w:r w:rsidRPr="00785889">
              <w:rPr>
                <w:sz w:val="18"/>
                <w:szCs w:val="18"/>
              </w:rPr>
              <w:t xml:space="preserve">Emergo Asia </w:t>
            </w:r>
          </w:p>
        </w:tc>
        <w:tc>
          <w:tcPr>
            <w:tcW w:w="1276" w:type="dxa"/>
            <w:shd w:val="clear" w:color="auto" w:fill="E2EFD9" w:themeFill="accent6" w:themeFillTint="33"/>
          </w:tcPr>
          <w:p w14:paraId="5D918BF3" w14:textId="77777777" w:rsidR="00F82C6C" w:rsidRPr="00785889" w:rsidRDefault="00F82C6C" w:rsidP="00045158">
            <w:pPr>
              <w:pStyle w:val="051Tabletext228pt"/>
              <w:rPr>
                <w:sz w:val="18"/>
                <w:szCs w:val="18"/>
              </w:rPr>
            </w:pPr>
            <w:r w:rsidRPr="00785889">
              <w:rPr>
                <w:sz w:val="18"/>
                <w:szCs w:val="18"/>
              </w:rPr>
              <w:t>ER496</w:t>
            </w:r>
          </w:p>
        </w:tc>
        <w:tc>
          <w:tcPr>
            <w:tcW w:w="1983" w:type="dxa"/>
            <w:shd w:val="clear" w:color="auto" w:fill="E2EFD9" w:themeFill="accent6" w:themeFillTint="33"/>
          </w:tcPr>
          <w:p w14:paraId="33B2D387" w14:textId="6320A03B" w:rsidR="00F82C6C" w:rsidRPr="00785889" w:rsidRDefault="004A25FF" w:rsidP="00045158">
            <w:pPr>
              <w:pStyle w:val="051Tabletext228pt"/>
              <w:rPr>
                <w:sz w:val="18"/>
                <w:szCs w:val="18"/>
              </w:rPr>
            </w:pPr>
            <w:r w:rsidRPr="00785889">
              <w:rPr>
                <w:sz w:val="18"/>
                <w:szCs w:val="18"/>
              </w:rPr>
              <w:t>NR</w:t>
            </w:r>
          </w:p>
        </w:tc>
      </w:tr>
      <w:tr w:rsidR="000C4CE5" w:rsidRPr="00785889" w14:paraId="24135671" w14:textId="77777777" w:rsidTr="00C638F8">
        <w:trPr>
          <w:cantSplit/>
        </w:trPr>
        <w:tc>
          <w:tcPr>
            <w:tcW w:w="0" w:type="auto"/>
            <w:shd w:val="clear" w:color="auto" w:fill="E2EFD9" w:themeFill="accent6" w:themeFillTint="33"/>
          </w:tcPr>
          <w:p w14:paraId="66DB7B7B"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0D1D1798" w14:textId="77777777" w:rsidR="00F82C6C" w:rsidRPr="00785889" w:rsidRDefault="00F82C6C" w:rsidP="00045158">
            <w:pPr>
              <w:pStyle w:val="051Tabletext228pt"/>
              <w:rPr>
                <w:sz w:val="18"/>
                <w:szCs w:val="18"/>
              </w:rPr>
            </w:pPr>
            <w:r w:rsidRPr="00785889">
              <w:rPr>
                <w:sz w:val="18"/>
                <w:szCs w:val="18"/>
              </w:rPr>
              <w:t>Senza Omnia IPG Kit</w:t>
            </w:r>
          </w:p>
        </w:tc>
        <w:tc>
          <w:tcPr>
            <w:tcW w:w="2410" w:type="dxa"/>
            <w:shd w:val="clear" w:color="auto" w:fill="E2EFD9" w:themeFill="accent6" w:themeFillTint="33"/>
          </w:tcPr>
          <w:p w14:paraId="301EEA00" w14:textId="77777777" w:rsidR="00F82C6C" w:rsidRPr="00785889" w:rsidRDefault="00F82C6C" w:rsidP="00045158">
            <w:pPr>
              <w:pStyle w:val="051Tabletext228pt"/>
              <w:rPr>
                <w:sz w:val="18"/>
                <w:szCs w:val="18"/>
              </w:rPr>
            </w:pPr>
            <w:r w:rsidRPr="00785889">
              <w:rPr>
                <w:sz w:val="18"/>
                <w:szCs w:val="18"/>
              </w:rPr>
              <w:t>Emergo Asia</w:t>
            </w:r>
          </w:p>
        </w:tc>
        <w:tc>
          <w:tcPr>
            <w:tcW w:w="1276" w:type="dxa"/>
            <w:shd w:val="clear" w:color="auto" w:fill="E2EFD9" w:themeFill="accent6" w:themeFillTint="33"/>
          </w:tcPr>
          <w:p w14:paraId="55395F07" w14:textId="77777777" w:rsidR="00F82C6C" w:rsidRPr="00785889" w:rsidRDefault="00F82C6C" w:rsidP="00045158">
            <w:pPr>
              <w:pStyle w:val="051Tabletext228pt"/>
              <w:rPr>
                <w:sz w:val="18"/>
                <w:szCs w:val="18"/>
              </w:rPr>
            </w:pPr>
            <w:r w:rsidRPr="00785889">
              <w:rPr>
                <w:sz w:val="18"/>
                <w:szCs w:val="18"/>
              </w:rPr>
              <w:t>ER535</w:t>
            </w:r>
          </w:p>
        </w:tc>
        <w:tc>
          <w:tcPr>
            <w:tcW w:w="1983" w:type="dxa"/>
            <w:shd w:val="clear" w:color="auto" w:fill="E2EFD9" w:themeFill="accent6" w:themeFillTint="33"/>
          </w:tcPr>
          <w:p w14:paraId="14FF6005" w14:textId="7577D68A" w:rsidR="00F82C6C" w:rsidRPr="00785889" w:rsidRDefault="004A25FF" w:rsidP="00045158">
            <w:pPr>
              <w:pStyle w:val="051Tabletext228pt"/>
              <w:rPr>
                <w:sz w:val="18"/>
                <w:szCs w:val="18"/>
              </w:rPr>
            </w:pPr>
            <w:r w:rsidRPr="00785889">
              <w:rPr>
                <w:sz w:val="18"/>
                <w:szCs w:val="18"/>
              </w:rPr>
              <w:t>NR</w:t>
            </w:r>
          </w:p>
        </w:tc>
      </w:tr>
      <w:tr w:rsidR="000C4CE5" w:rsidRPr="00785889" w14:paraId="75CD01F8" w14:textId="77777777" w:rsidTr="00C638F8">
        <w:trPr>
          <w:cantSplit/>
        </w:trPr>
        <w:tc>
          <w:tcPr>
            <w:tcW w:w="0" w:type="auto"/>
            <w:shd w:val="clear" w:color="auto" w:fill="E2EFD9" w:themeFill="accent6" w:themeFillTint="33"/>
          </w:tcPr>
          <w:p w14:paraId="14E7F07D" w14:textId="77777777" w:rsidR="00F82C6C" w:rsidRPr="00785889" w:rsidRDefault="00F82C6C" w:rsidP="00045158">
            <w:pPr>
              <w:pStyle w:val="051Tabletext228pt"/>
              <w:rPr>
                <w:sz w:val="18"/>
                <w:szCs w:val="18"/>
              </w:rPr>
            </w:pPr>
            <w:r w:rsidRPr="00785889">
              <w:rPr>
                <w:sz w:val="18"/>
                <w:szCs w:val="18"/>
              </w:rPr>
              <w:t>SCS</w:t>
            </w:r>
          </w:p>
        </w:tc>
        <w:tc>
          <w:tcPr>
            <w:tcW w:w="3302" w:type="dxa"/>
            <w:shd w:val="clear" w:color="auto" w:fill="E2EFD9" w:themeFill="accent6" w:themeFillTint="33"/>
          </w:tcPr>
          <w:p w14:paraId="2101B12C" w14:textId="77777777" w:rsidR="00F82C6C" w:rsidRPr="00785889" w:rsidRDefault="00F82C6C" w:rsidP="00045158">
            <w:pPr>
              <w:pStyle w:val="051Tabletext228pt"/>
              <w:rPr>
                <w:sz w:val="18"/>
                <w:szCs w:val="18"/>
              </w:rPr>
            </w:pPr>
            <w:proofErr w:type="spellStart"/>
            <w:r w:rsidRPr="00785889">
              <w:rPr>
                <w:sz w:val="18"/>
                <w:szCs w:val="18"/>
              </w:rPr>
              <w:t>Vanta</w:t>
            </w:r>
            <w:proofErr w:type="spellEnd"/>
            <w:r w:rsidRPr="00785889">
              <w:rPr>
                <w:sz w:val="18"/>
                <w:szCs w:val="18"/>
              </w:rPr>
              <w:t xml:space="preserve">™ Recharge-Free Neurostimulator </w:t>
            </w:r>
          </w:p>
        </w:tc>
        <w:tc>
          <w:tcPr>
            <w:tcW w:w="2410" w:type="dxa"/>
            <w:shd w:val="clear" w:color="auto" w:fill="E2EFD9" w:themeFill="accent6" w:themeFillTint="33"/>
          </w:tcPr>
          <w:p w14:paraId="58F69C94" w14:textId="77777777" w:rsidR="00F82C6C" w:rsidRPr="00785889" w:rsidRDefault="00F82C6C" w:rsidP="00045158">
            <w:pPr>
              <w:pStyle w:val="051Tabletext228pt"/>
              <w:rPr>
                <w:sz w:val="18"/>
                <w:szCs w:val="18"/>
              </w:rPr>
            </w:pPr>
            <w:r w:rsidRPr="00785889">
              <w:rPr>
                <w:sz w:val="18"/>
                <w:szCs w:val="18"/>
              </w:rPr>
              <w:t>Medtronic</w:t>
            </w:r>
          </w:p>
        </w:tc>
        <w:tc>
          <w:tcPr>
            <w:tcW w:w="1276" w:type="dxa"/>
            <w:shd w:val="clear" w:color="auto" w:fill="E2EFD9" w:themeFill="accent6" w:themeFillTint="33"/>
          </w:tcPr>
          <w:p w14:paraId="20C1A10F" w14:textId="77777777" w:rsidR="00F82C6C" w:rsidRPr="00785889" w:rsidRDefault="00F82C6C" w:rsidP="00045158">
            <w:pPr>
              <w:pStyle w:val="051Tabletext228pt"/>
              <w:rPr>
                <w:sz w:val="18"/>
                <w:szCs w:val="18"/>
              </w:rPr>
            </w:pPr>
            <w:r w:rsidRPr="00785889">
              <w:rPr>
                <w:sz w:val="18"/>
                <w:szCs w:val="18"/>
              </w:rPr>
              <w:t>MI495</w:t>
            </w:r>
          </w:p>
        </w:tc>
        <w:tc>
          <w:tcPr>
            <w:tcW w:w="1983" w:type="dxa"/>
            <w:shd w:val="clear" w:color="auto" w:fill="E2EFD9" w:themeFill="accent6" w:themeFillTint="33"/>
          </w:tcPr>
          <w:p w14:paraId="3F4C8667" w14:textId="5FAEBDCC" w:rsidR="00F82C6C" w:rsidRPr="00785889" w:rsidRDefault="005A7060" w:rsidP="00045158">
            <w:pPr>
              <w:pStyle w:val="051Tabletext228pt"/>
              <w:rPr>
                <w:sz w:val="18"/>
                <w:szCs w:val="18"/>
              </w:rPr>
            </w:pPr>
            <w:r w:rsidRPr="00785889">
              <w:rPr>
                <w:rFonts w:ascii="Wingdings" w:eastAsia="Wingdings" w:hAnsi="Wingdings" w:cs="Wingdings"/>
                <w:sz w:val="18"/>
                <w:szCs w:val="18"/>
              </w:rPr>
              <w:t>ü</w:t>
            </w:r>
          </w:p>
        </w:tc>
      </w:tr>
      <w:tr w:rsidR="000C4CE5" w:rsidRPr="00785889" w14:paraId="02C96262" w14:textId="77777777" w:rsidTr="00C638F8">
        <w:trPr>
          <w:cantSplit/>
        </w:trPr>
        <w:tc>
          <w:tcPr>
            <w:tcW w:w="0" w:type="auto"/>
            <w:shd w:val="clear" w:color="auto" w:fill="FFF2CC" w:themeFill="accent4" w:themeFillTint="33"/>
          </w:tcPr>
          <w:p w14:paraId="54D17E27" w14:textId="77777777" w:rsidR="00F82C6C" w:rsidRPr="00785889" w:rsidRDefault="00F82C6C" w:rsidP="00045158">
            <w:pPr>
              <w:pStyle w:val="051Tabletext228pt"/>
              <w:rPr>
                <w:sz w:val="18"/>
                <w:szCs w:val="18"/>
              </w:rPr>
            </w:pPr>
            <w:r w:rsidRPr="00785889">
              <w:rPr>
                <w:sz w:val="18"/>
                <w:szCs w:val="18"/>
              </w:rPr>
              <w:t>DRGS</w:t>
            </w:r>
          </w:p>
        </w:tc>
        <w:tc>
          <w:tcPr>
            <w:tcW w:w="3302" w:type="dxa"/>
            <w:shd w:val="clear" w:color="auto" w:fill="FFF2CC" w:themeFill="accent4" w:themeFillTint="33"/>
          </w:tcPr>
          <w:p w14:paraId="03E19023" w14:textId="77777777" w:rsidR="00F82C6C" w:rsidRPr="00785889" w:rsidRDefault="00F82C6C" w:rsidP="00045158">
            <w:pPr>
              <w:pStyle w:val="051Tabletext228pt"/>
              <w:rPr>
                <w:sz w:val="18"/>
                <w:szCs w:val="18"/>
              </w:rPr>
            </w:pPr>
            <w:r w:rsidRPr="00785889">
              <w:rPr>
                <w:sz w:val="18"/>
                <w:szCs w:val="18"/>
              </w:rPr>
              <w:t>Proclaim DRG</w:t>
            </w:r>
          </w:p>
        </w:tc>
        <w:tc>
          <w:tcPr>
            <w:tcW w:w="2410" w:type="dxa"/>
            <w:shd w:val="clear" w:color="auto" w:fill="FFF2CC" w:themeFill="accent4" w:themeFillTint="33"/>
          </w:tcPr>
          <w:p w14:paraId="7F634CC0" w14:textId="77777777" w:rsidR="00F82C6C" w:rsidRPr="00785889" w:rsidRDefault="00F82C6C" w:rsidP="00045158">
            <w:pPr>
              <w:pStyle w:val="051Tabletext228pt"/>
              <w:rPr>
                <w:sz w:val="18"/>
                <w:szCs w:val="18"/>
              </w:rPr>
            </w:pPr>
            <w:r w:rsidRPr="00785889">
              <w:rPr>
                <w:sz w:val="18"/>
                <w:szCs w:val="18"/>
              </w:rPr>
              <w:t>Abbott Medical</w:t>
            </w:r>
          </w:p>
        </w:tc>
        <w:tc>
          <w:tcPr>
            <w:tcW w:w="1276" w:type="dxa"/>
            <w:shd w:val="clear" w:color="auto" w:fill="FFF2CC" w:themeFill="accent4" w:themeFillTint="33"/>
          </w:tcPr>
          <w:p w14:paraId="0A41DB06" w14:textId="77777777" w:rsidR="00F82C6C" w:rsidRPr="00785889" w:rsidRDefault="00F82C6C" w:rsidP="00045158">
            <w:pPr>
              <w:pStyle w:val="051Tabletext228pt"/>
              <w:rPr>
                <w:sz w:val="18"/>
                <w:szCs w:val="18"/>
              </w:rPr>
            </w:pPr>
            <w:r w:rsidRPr="00785889">
              <w:rPr>
                <w:sz w:val="18"/>
                <w:szCs w:val="18"/>
              </w:rPr>
              <w:t>SJ389</w:t>
            </w:r>
          </w:p>
        </w:tc>
        <w:tc>
          <w:tcPr>
            <w:tcW w:w="1983" w:type="dxa"/>
            <w:shd w:val="clear" w:color="auto" w:fill="FFF2CC" w:themeFill="accent4" w:themeFillTint="33"/>
          </w:tcPr>
          <w:p w14:paraId="1B7C18A0" w14:textId="39B43C15" w:rsidR="00F82C6C" w:rsidRPr="00785889" w:rsidRDefault="0087369B" w:rsidP="00045158">
            <w:pPr>
              <w:pStyle w:val="051Tabletext228pt"/>
              <w:rPr>
                <w:sz w:val="18"/>
                <w:szCs w:val="18"/>
              </w:rPr>
            </w:pPr>
            <w:r w:rsidRPr="00785889">
              <w:rPr>
                <w:sz w:val="18"/>
                <w:szCs w:val="18"/>
              </w:rPr>
              <w:t>NR</w:t>
            </w:r>
          </w:p>
        </w:tc>
      </w:tr>
      <w:tr w:rsidR="000C4CE5" w:rsidRPr="00785889" w14:paraId="04CB6E1D" w14:textId="77777777" w:rsidTr="00C638F8">
        <w:trPr>
          <w:cantSplit/>
        </w:trPr>
        <w:tc>
          <w:tcPr>
            <w:tcW w:w="0" w:type="auto"/>
            <w:shd w:val="clear" w:color="auto" w:fill="FBE4D5" w:themeFill="accent2" w:themeFillTint="33"/>
          </w:tcPr>
          <w:p w14:paraId="02CFFC2F" w14:textId="77777777" w:rsidR="00F82C6C" w:rsidRPr="00785889" w:rsidRDefault="00F82C6C" w:rsidP="00045158">
            <w:pPr>
              <w:pStyle w:val="051Tabletext228pt"/>
              <w:rPr>
                <w:sz w:val="18"/>
                <w:szCs w:val="18"/>
              </w:rPr>
            </w:pPr>
            <w:r w:rsidRPr="00785889">
              <w:rPr>
                <w:sz w:val="18"/>
                <w:szCs w:val="18"/>
              </w:rPr>
              <w:t>MBNS</w:t>
            </w:r>
          </w:p>
        </w:tc>
        <w:tc>
          <w:tcPr>
            <w:tcW w:w="3302" w:type="dxa"/>
            <w:shd w:val="clear" w:color="auto" w:fill="FBE4D5" w:themeFill="accent2" w:themeFillTint="33"/>
          </w:tcPr>
          <w:p w14:paraId="000A3B7F" w14:textId="77777777" w:rsidR="00F82C6C" w:rsidRPr="00785889" w:rsidRDefault="00F82C6C" w:rsidP="00045158">
            <w:pPr>
              <w:pStyle w:val="051Tabletext228pt"/>
              <w:rPr>
                <w:sz w:val="18"/>
                <w:szCs w:val="18"/>
              </w:rPr>
            </w:pPr>
            <w:r w:rsidRPr="00785889">
              <w:rPr>
                <w:sz w:val="18"/>
                <w:szCs w:val="18"/>
              </w:rPr>
              <w:t>Reactiv8 Implantable Pulse Generator</w:t>
            </w:r>
          </w:p>
        </w:tc>
        <w:tc>
          <w:tcPr>
            <w:tcW w:w="2410" w:type="dxa"/>
            <w:shd w:val="clear" w:color="auto" w:fill="FBE4D5" w:themeFill="accent2" w:themeFillTint="33"/>
          </w:tcPr>
          <w:p w14:paraId="239925E4" w14:textId="77777777" w:rsidR="00F82C6C" w:rsidRPr="00785889" w:rsidRDefault="00F82C6C" w:rsidP="00045158">
            <w:pPr>
              <w:pStyle w:val="051Tabletext228pt"/>
              <w:rPr>
                <w:sz w:val="18"/>
                <w:szCs w:val="18"/>
              </w:rPr>
            </w:pPr>
            <w:r w:rsidRPr="00785889">
              <w:rPr>
                <w:sz w:val="18"/>
                <w:szCs w:val="18"/>
              </w:rPr>
              <w:t>Mainstay Medical</w:t>
            </w:r>
          </w:p>
        </w:tc>
        <w:tc>
          <w:tcPr>
            <w:tcW w:w="1276" w:type="dxa"/>
            <w:shd w:val="clear" w:color="auto" w:fill="FBE4D5" w:themeFill="accent2" w:themeFillTint="33"/>
          </w:tcPr>
          <w:p w14:paraId="76EB8D4B" w14:textId="77777777" w:rsidR="00F82C6C" w:rsidRPr="00785889" w:rsidRDefault="00F82C6C" w:rsidP="00045158">
            <w:pPr>
              <w:pStyle w:val="051Tabletext228pt"/>
              <w:rPr>
                <w:sz w:val="18"/>
                <w:szCs w:val="18"/>
              </w:rPr>
            </w:pPr>
            <w:r w:rsidRPr="00785889">
              <w:rPr>
                <w:sz w:val="18"/>
                <w:szCs w:val="18"/>
              </w:rPr>
              <w:t>PQ004</w:t>
            </w:r>
          </w:p>
        </w:tc>
        <w:tc>
          <w:tcPr>
            <w:tcW w:w="1983" w:type="dxa"/>
            <w:shd w:val="clear" w:color="auto" w:fill="FBE4D5" w:themeFill="accent2" w:themeFillTint="33"/>
          </w:tcPr>
          <w:p w14:paraId="459874F3" w14:textId="5271B9EF" w:rsidR="00F82C6C" w:rsidRPr="00785889" w:rsidRDefault="0087369B" w:rsidP="00045158">
            <w:pPr>
              <w:pStyle w:val="051Tabletext228pt"/>
              <w:rPr>
                <w:sz w:val="18"/>
                <w:szCs w:val="18"/>
              </w:rPr>
            </w:pPr>
            <w:r w:rsidRPr="00785889">
              <w:rPr>
                <w:rFonts w:ascii="Wingdings" w:eastAsia="Wingdings" w:hAnsi="Wingdings" w:cs="Wingdings"/>
                <w:sz w:val="18"/>
                <w:szCs w:val="18"/>
              </w:rPr>
              <w:t>û</w:t>
            </w:r>
          </w:p>
        </w:tc>
      </w:tr>
      <w:tr w:rsidR="000C4CE5" w:rsidRPr="00785889" w14:paraId="03465F1F" w14:textId="77777777" w:rsidTr="00C638F8">
        <w:trPr>
          <w:cantSplit/>
        </w:trPr>
        <w:tc>
          <w:tcPr>
            <w:tcW w:w="0" w:type="auto"/>
            <w:shd w:val="clear" w:color="auto" w:fill="FBE4D5" w:themeFill="accent2" w:themeFillTint="33"/>
          </w:tcPr>
          <w:p w14:paraId="0B4C0E3A" w14:textId="77777777" w:rsidR="00F82C6C" w:rsidRPr="00785889" w:rsidRDefault="00F82C6C" w:rsidP="00045158">
            <w:pPr>
              <w:pStyle w:val="041Tabletext008pt"/>
              <w:rPr>
                <w:sz w:val="18"/>
                <w:szCs w:val="18"/>
              </w:rPr>
            </w:pPr>
            <w:r w:rsidRPr="00785889">
              <w:rPr>
                <w:sz w:val="18"/>
                <w:szCs w:val="18"/>
              </w:rPr>
              <w:t>PNS</w:t>
            </w:r>
          </w:p>
        </w:tc>
        <w:tc>
          <w:tcPr>
            <w:tcW w:w="3302" w:type="dxa"/>
            <w:shd w:val="clear" w:color="auto" w:fill="FBE4D5" w:themeFill="accent2" w:themeFillTint="33"/>
          </w:tcPr>
          <w:p w14:paraId="7FCA89AE" w14:textId="77777777" w:rsidR="00F82C6C" w:rsidRPr="00785889" w:rsidRDefault="00F82C6C" w:rsidP="00045158">
            <w:pPr>
              <w:pStyle w:val="041Tabletext008pt"/>
              <w:rPr>
                <w:sz w:val="18"/>
                <w:szCs w:val="18"/>
              </w:rPr>
            </w:pPr>
            <w:proofErr w:type="spellStart"/>
            <w:r w:rsidRPr="00785889">
              <w:rPr>
                <w:sz w:val="18"/>
                <w:szCs w:val="18"/>
              </w:rPr>
              <w:t>StimRouter</w:t>
            </w:r>
            <w:proofErr w:type="spellEnd"/>
            <w:r w:rsidRPr="00785889">
              <w:rPr>
                <w:sz w:val="18"/>
                <w:szCs w:val="18"/>
              </w:rPr>
              <w:t xml:space="preserve"> Neuromodulation System Kit</w:t>
            </w:r>
          </w:p>
        </w:tc>
        <w:tc>
          <w:tcPr>
            <w:tcW w:w="2410" w:type="dxa"/>
            <w:shd w:val="clear" w:color="auto" w:fill="FBE4D5" w:themeFill="accent2" w:themeFillTint="33"/>
          </w:tcPr>
          <w:p w14:paraId="1810C469" w14:textId="77777777" w:rsidR="00F82C6C" w:rsidRPr="00785889" w:rsidRDefault="00F82C6C" w:rsidP="00045158">
            <w:pPr>
              <w:pStyle w:val="041Tabletext008pt"/>
              <w:rPr>
                <w:sz w:val="18"/>
                <w:szCs w:val="18"/>
              </w:rPr>
            </w:pPr>
            <w:proofErr w:type="spellStart"/>
            <w:r w:rsidRPr="00785889">
              <w:rPr>
                <w:sz w:val="18"/>
                <w:szCs w:val="18"/>
              </w:rPr>
              <w:t>Algostim</w:t>
            </w:r>
            <w:proofErr w:type="spellEnd"/>
            <w:r w:rsidRPr="00785889">
              <w:rPr>
                <w:sz w:val="18"/>
                <w:szCs w:val="18"/>
              </w:rPr>
              <w:t xml:space="preserve"> Research and Development</w:t>
            </w:r>
          </w:p>
        </w:tc>
        <w:tc>
          <w:tcPr>
            <w:tcW w:w="1276" w:type="dxa"/>
            <w:shd w:val="clear" w:color="auto" w:fill="FBE4D5" w:themeFill="accent2" w:themeFillTint="33"/>
          </w:tcPr>
          <w:p w14:paraId="5E5A9F88" w14:textId="77777777" w:rsidR="00F82C6C" w:rsidRPr="00785889" w:rsidRDefault="00F82C6C" w:rsidP="00045158">
            <w:pPr>
              <w:pStyle w:val="041Tabletext008pt"/>
              <w:rPr>
                <w:sz w:val="18"/>
                <w:szCs w:val="18"/>
              </w:rPr>
            </w:pPr>
            <w:r w:rsidRPr="00785889">
              <w:rPr>
                <w:sz w:val="18"/>
                <w:szCs w:val="18"/>
              </w:rPr>
              <w:t>FP001</w:t>
            </w:r>
          </w:p>
        </w:tc>
        <w:tc>
          <w:tcPr>
            <w:tcW w:w="1983" w:type="dxa"/>
            <w:shd w:val="clear" w:color="auto" w:fill="FBE4D5" w:themeFill="accent2" w:themeFillTint="33"/>
          </w:tcPr>
          <w:p w14:paraId="55A703B7" w14:textId="6FF6EA86" w:rsidR="00F82C6C" w:rsidRPr="00785889" w:rsidRDefault="0087369B" w:rsidP="00045158">
            <w:pPr>
              <w:pStyle w:val="041Tabletext008pt"/>
              <w:rPr>
                <w:sz w:val="18"/>
                <w:szCs w:val="18"/>
              </w:rPr>
            </w:pPr>
            <w:r w:rsidRPr="00785889">
              <w:rPr>
                <w:rFonts w:ascii="Wingdings" w:eastAsia="Wingdings" w:hAnsi="Wingdings" w:cs="Wingdings"/>
                <w:sz w:val="18"/>
                <w:szCs w:val="18"/>
              </w:rPr>
              <w:t>û</w:t>
            </w:r>
          </w:p>
        </w:tc>
      </w:tr>
    </w:tbl>
    <w:p w14:paraId="4F0F2D77" w14:textId="6436ABEC" w:rsidR="00C56F72" w:rsidRPr="00C56F72" w:rsidRDefault="00E5417E" w:rsidP="004870DD">
      <w:pPr>
        <w:pStyle w:val="111Tablefootnoteslast-nostick8pt"/>
      </w:pPr>
      <w:r>
        <w:t xml:space="preserve">Abbreviations: </w:t>
      </w:r>
      <w:r w:rsidR="00E675EB">
        <w:t xml:space="preserve">ARTG, Australian Registry of Therapeutic Goods; DRGS, dorsal root ganglion stimulation; MBNS, medial branch nerve stimulation; </w:t>
      </w:r>
      <w:r w:rsidR="007D7792">
        <w:t xml:space="preserve">NR, not responded; </w:t>
      </w:r>
      <w:r w:rsidR="0077540D">
        <w:t xml:space="preserve">PL, Prostheses List; </w:t>
      </w:r>
      <w:r w:rsidR="00E675EB">
        <w:t>PNS, peripheral nerve stimulation; SCS, spinal cord stimulat</w:t>
      </w:r>
      <w:r w:rsidR="00F629E0">
        <w:t>ion</w:t>
      </w:r>
      <w:r w:rsidR="00E675EB">
        <w:t>.</w:t>
      </w:r>
    </w:p>
    <w:p w14:paraId="7C8B1F52" w14:textId="111004BE" w:rsidR="00852263" w:rsidRPr="00852263" w:rsidRDefault="00852263" w:rsidP="00852263">
      <w:pPr>
        <w:pStyle w:val="Heading3"/>
        <w:rPr>
          <w:lang w:val="en-US"/>
        </w:rPr>
      </w:pPr>
      <w:bookmarkStart w:id="52" w:name="_Toc165634656"/>
      <w:r>
        <w:rPr>
          <w:lang w:val="en-US"/>
        </w:rPr>
        <w:lastRenderedPageBreak/>
        <w:t>S</w:t>
      </w:r>
      <w:r w:rsidR="00F21A5F">
        <w:rPr>
          <w:lang w:val="en-US"/>
        </w:rPr>
        <w:t>takeholders</w:t>
      </w:r>
      <w:bookmarkEnd w:id="52"/>
    </w:p>
    <w:p w14:paraId="48835E6D" w14:textId="0EA0B6A3" w:rsidR="00F21A5F" w:rsidRDefault="00F21A5F" w:rsidP="00F21A5F">
      <w:pPr>
        <w:pStyle w:val="BodyText"/>
        <w:rPr>
          <w:lang w:val="en-US"/>
        </w:rPr>
      </w:pPr>
      <w:r>
        <w:rPr>
          <w:lang w:val="en-US"/>
        </w:rPr>
        <w:t xml:space="preserve">Stakeholders provided limited feedback on the devices they considered in scope. </w:t>
      </w:r>
      <w:r w:rsidR="00992F48">
        <w:rPr>
          <w:lang w:val="en-US"/>
        </w:rPr>
        <w:t>One s</w:t>
      </w:r>
      <w:r w:rsidR="007766A0">
        <w:rPr>
          <w:lang w:val="en-US"/>
        </w:rPr>
        <w:t>takeholde</w:t>
      </w:r>
      <w:r w:rsidR="00992F48">
        <w:rPr>
          <w:lang w:val="en-US"/>
        </w:rPr>
        <w:t xml:space="preserve">r considered all implanted </w:t>
      </w:r>
      <w:r w:rsidR="00597B5C">
        <w:rPr>
          <w:lang w:val="en-US"/>
        </w:rPr>
        <w:t>neuromodulation devices for pain to be in scope</w:t>
      </w:r>
      <w:r w:rsidR="00162071">
        <w:rPr>
          <w:lang w:val="en-US"/>
        </w:rPr>
        <w:t xml:space="preserve">, regardless of whether they </w:t>
      </w:r>
      <w:r w:rsidR="00F86930">
        <w:rPr>
          <w:lang w:val="en-US"/>
        </w:rPr>
        <w:t>stimulat</w:t>
      </w:r>
      <w:r w:rsidR="000C3C81">
        <w:rPr>
          <w:lang w:val="en-US"/>
        </w:rPr>
        <w:t>e</w:t>
      </w:r>
      <w:r w:rsidR="00F86930">
        <w:rPr>
          <w:lang w:val="en-US"/>
        </w:rPr>
        <w:t xml:space="preserve"> the spinal </w:t>
      </w:r>
      <w:r w:rsidR="000C3C81">
        <w:rPr>
          <w:lang w:val="en-US"/>
        </w:rPr>
        <w:t>cord</w:t>
      </w:r>
      <w:r w:rsidR="00F86930">
        <w:rPr>
          <w:lang w:val="en-US"/>
        </w:rPr>
        <w:t xml:space="preserve"> or peripheral nerves</w:t>
      </w:r>
      <w:r w:rsidR="00597B5C">
        <w:rPr>
          <w:lang w:val="en-US"/>
        </w:rPr>
        <w:t xml:space="preserve">. </w:t>
      </w:r>
    </w:p>
    <w:p w14:paraId="689C3F53" w14:textId="121C9441" w:rsidR="00F86930" w:rsidRPr="00F21A5F" w:rsidRDefault="00564A42" w:rsidP="00564A42">
      <w:pPr>
        <w:pStyle w:val="Heading2"/>
        <w:rPr>
          <w:lang w:val="en-US"/>
        </w:rPr>
      </w:pPr>
      <w:bookmarkStart w:id="53" w:name="_Toc165634657"/>
      <w:r>
        <w:rPr>
          <w:lang w:val="en-US"/>
        </w:rPr>
        <w:t>Other considerations</w:t>
      </w:r>
      <w:bookmarkEnd w:id="53"/>
    </w:p>
    <w:p w14:paraId="041C0BC2" w14:textId="1E86273E" w:rsidR="00564A42" w:rsidRPr="00564A42" w:rsidRDefault="004F6C03" w:rsidP="003E41FF">
      <w:pPr>
        <w:pStyle w:val="Heading3"/>
        <w:rPr>
          <w:lang w:val="en-US"/>
        </w:rPr>
      </w:pPr>
      <w:bookmarkStart w:id="54" w:name="_Toc165634658"/>
      <w:r>
        <w:rPr>
          <w:lang w:val="en-US"/>
        </w:rPr>
        <w:t>TGA review</w:t>
      </w:r>
      <w:bookmarkEnd w:id="54"/>
    </w:p>
    <w:p w14:paraId="117F5702" w14:textId="49A77A9A" w:rsidR="00181440" w:rsidRDefault="004F6C03" w:rsidP="00722751">
      <w:pPr>
        <w:pStyle w:val="BodyText"/>
        <w:rPr>
          <w:sz w:val="24"/>
          <w:szCs w:val="24"/>
          <w:lang w:eastAsia="en-AU"/>
        </w:rPr>
      </w:pPr>
      <w:r>
        <w:rPr>
          <w:lang w:val="en-US"/>
        </w:rPr>
        <w:t xml:space="preserve">The TGA </w:t>
      </w:r>
      <w:r w:rsidR="008C18E6">
        <w:rPr>
          <w:lang w:val="en-US"/>
        </w:rPr>
        <w:t>is undertaking a post-market review of SCS devices</w:t>
      </w:r>
      <w:r w:rsidR="00F51999">
        <w:rPr>
          <w:rStyle w:val="FootnoteReference"/>
          <w:lang w:val="en-US"/>
        </w:rPr>
        <w:footnoteReference w:id="8"/>
      </w:r>
      <w:r w:rsidR="005F0C69">
        <w:rPr>
          <w:lang w:val="en-US"/>
        </w:rPr>
        <w:t xml:space="preserve"> </w:t>
      </w:r>
      <w:r w:rsidR="00181440">
        <w:rPr>
          <w:lang w:val="en-US"/>
        </w:rPr>
        <w:t xml:space="preserve">and states that the review </w:t>
      </w:r>
      <w:r w:rsidR="00181440">
        <w:t>includes:</w:t>
      </w:r>
    </w:p>
    <w:p w14:paraId="5D399F9F" w14:textId="03AC6228" w:rsidR="00181440" w:rsidRDefault="004748AA" w:rsidP="00722751">
      <w:pPr>
        <w:pStyle w:val="Bulletpoint"/>
      </w:pPr>
      <w:r>
        <w:t>s</w:t>
      </w:r>
      <w:r w:rsidR="00181440">
        <w:t>pinal cord implantable stimulation leads;</w:t>
      </w:r>
    </w:p>
    <w:p w14:paraId="06AD83F0" w14:textId="62D88679" w:rsidR="00181440" w:rsidRDefault="004748AA" w:rsidP="00722751">
      <w:pPr>
        <w:pStyle w:val="Bulletpoint"/>
      </w:pPr>
      <w:r>
        <w:t>s</w:t>
      </w:r>
      <w:r w:rsidR="00181440">
        <w:t xml:space="preserve">pinal cord implantable </w:t>
      </w:r>
      <w:r w:rsidR="002A49F0">
        <w:t>im</w:t>
      </w:r>
      <w:r w:rsidR="000C3C81">
        <w:t>pulse</w:t>
      </w:r>
      <w:r w:rsidR="00181440">
        <w:t xml:space="preserve"> generators;</w:t>
      </w:r>
    </w:p>
    <w:p w14:paraId="49AB3440" w14:textId="4D6003E0" w:rsidR="00181440" w:rsidRDefault="004748AA" w:rsidP="00722751">
      <w:pPr>
        <w:pStyle w:val="Bulletpoint"/>
      </w:pPr>
      <w:r>
        <w:t>p</w:t>
      </w:r>
      <w:r w:rsidR="00181440">
        <w:t>eripheral spinal nerve implantable stimulation leads; and</w:t>
      </w:r>
    </w:p>
    <w:p w14:paraId="48005F94" w14:textId="4AE80254" w:rsidR="00181440" w:rsidRDefault="004748AA" w:rsidP="00722751">
      <w:pPr>
        <w:pStyle w:val="Bulletpoint"/>
      </w:pPr>
      <w:r>
        <w:t>p</w:t>
      </w:r>
      <w:r w:rsidR="00181440">
        <w:t>eripheral spinal nerve implantable impulse generators.</w:t>
      </w:r>
    </w:p>
    <w:p w14:paraId="53561A38" w14:textId="3A38BBDC" w:rsidR="004F6C03" w:rsidRPr="004F6C03" w:rsidRDefault="002504FC" w:rsidP="004F6C03">
      <w:pPr>
        <w:pStyle w:val="BodyText"/>
        <w:rPr>
          <w:lang w:val="en-US"/>
        </w:rPr>
      </w:pPr>
      <w:r>
        <w:rPr>
          <w:lang w:val="en-US"/>
        </w:rPr>
        <w:t xml:space="preserve">This wording </w:t>
      </w:r>
      <w:r w:rsidR="002A17DC">
        <w:rPr>
          <w:lang w:val="en-US"/>
        </w:rPr>
        <w:t xml:space="preserve">would </w:t>
      </w:r>
      <w:r w:rsidR="006D53DC">
        <w:rPr>
          <w:lang w:val="en-US"/>
        </w:rPr>
        <w:t>include SCS</w:t>
      </w:r>
      <w:r w:rsidR="00981050">
        <w:rPr>
          <w:lang w:val="en-US"/>
        </w:rPr>
        <w:t xml:space="preserve">, </w:t>
      </w:r>
      <w:r w:rsidR="006D53DC">
        <w:rPr>
          <w:lang w:val="en-US"/>
        </w:rPr>
        <w:t>DRGS</w:t>
      </w:r>
      <w:r w:rsidR="00981050">
        <w:rPr>
          <w:lang w:val="en-US"/>
        </w:rPr>
        <w:t xml:space="preserve"> and MB</w:t>
      </w:r>
      <w:r w:rsidR="00966424">
        <w:rPr>
          <w:lang w:val="en-US"/>
        </w:rPr>
        <w:t>NS</w:t>
      </w:r>
      <w:r w:rsidR="006D53DC">
        <w:rPr>
          <w:lang w:val="en-US"/>
        </w:rPr>
        <w:t xml:space="preserve"> devices but exclude </w:t>
      </w:r>
      <w:proofErr w:type="spellStart"/>
      <w:r w:rsidR="00966424">
        <w:rPr>
          <w:lang w:val="en-US"/>
        </w:rPr>
        <w:t>StimRouter</w:t>
      </w:r>
      <w:proofErr w:type="spellEnd"/>
      <w:r w:rsidR="00D93D98">
        <w:rPr>
          <w:lang w:val="en-US"/>
        </w:rPr>
        <w:t>,</w:t>
      </w:r>
      <w:r w:rsidR="00966424">
        <w:rPr>
          <w:lang w:val="en-US"/>
        </w:rPr>
        <w:t xml:space="preserve"> which is</w:t>
      </w:r>
      <w:r w:rsidR="006E4ADC">
        <w:rPr>
          <w:lang w:val="en-US"/>
        </w:rPr>
        <w:t xml:space="preserve"> </w:t>
      </w:r>
      <w:r w:rsidR="007B53E5">
        <w:rPr>
          <w:lang w:val="en-US"/>
        </w:rPr>
        <w:t>implanted in a wide variety of peripheral locations.</w:t>
      </w:r>
      <w:r w:rsidR="00811186">
        <w:rPr>
          <w:lang w:val="en-US"/>
        </w:rPr>
        <w:t xml:space="preserve"> </w:t>
      </w:r>
    </w:p>
    <w:p w14:paraId="51BBF9DB" w14:textId="56F2CA3B" w:rsidR="006A2AA4" w:rsidRDefault="006A2AA4" w:rsidP="006A2AA4">
      <w:pPr>
        <w:pStyle w:val="Heading3"/>
        <w:rPr>
          <w:lang w:val="en-US"/>
        </w:rPr>
      </w:pPr>
      <w:bookmarkStart w:id="55" w:name="_Ref133943520"/>
      <w:bookmarkStart w:id="56" w:name="_Toc165634659"/>
      <w:r>
        <w:rPr>
          <w:lang w:val="en-US"/>
        </w:rPr>
        <w:t xml:space="preserve">MBS </w:t>
      </w:r>
      <w:bookmarkEnd w:id="55"/>
      <w:r w:rsidR="00E20EAC">
        <w:rPr>
          <w:lang w:val="en-US"/>
        </w:rPr>
        <w:t>i</w:t>
      </w:r>
      <w:r>
        <w:rPr>
          <w:lang w:val="en-US"/>
        </w:rPr>
        <w:t>tems</w:t>
      </w:r>
      <w:r w:rsidR="004740E0">
        <w:rPr>
          <w:lang w:val="en-US"/>
        </w:rPr>
        <w:t xml:space="preserve"> and utilisation of </w:t>
      </w:r>
      <w:r w:rsidR="00D80ED8">
        <w:rPr>
          <w:lang w:val="en-US"/>
        </w:rPr>
        <w:t>spinal cord stimulators</w:t>
      </w:r>
      <w:bookmarkEnd w:id="56"/>
    </w:p>
    <w:p w14:paraId="14FFDB18" w14:textId="343118A9" w:rsidR="006A2AA4" w:rsidRDefault="39323D15" w:rsidP="006A2AA4">
      <w:pPr>
        <w:pStyle w:val="BodyText"/>
        <w:rPr>
          <w:lang w:val="en-US"/>
        </w:rPr>
      </w:pPr>
      <w:r>
        <w:rPr>
          <w:lang w:val="en-US"/>
        </w:rPr>
        <w:t>The</w:t>
      </w:r>
      <w:r w:rsidR="0D1D389B">
        <w:rPr>
          <w:lang w:val="en-US"/>
        </w:rPr>
        <w:t xml:space="preserve"> </w:t>
      </w:r>
      <w:r>
        <w:rPr>
          <w:lang w:val="en-US"/>
        </w:rPr>
        <w:t xml:space="preserve">MBS items applicable to </w:t>
      </w:r>
      <w:r w:rsidR="6901BD70">
        <w:rPr>
          <w:lang w:val="en-US"/>
        </w:rPr>
        <w:t>SCS</w:t>
      </w:r>
      <w:r w:rsidR="00762E05">
        <w:rPr>
          <w:lang w:val="en-US"/>
        </w:rPr>
        <w:t xml:space="preserve"> and PNS</w:t>
      </w:r>
      <w:r w:rsidR="6901BD70">
        <w:rPr>
          <w:lang w:val="en-US"/>
        </w:rPr>
        <w:t xml:space="preserve"> </w:t>
      </w:r>
      <w:r>
        <w:rPr>
          <w:lang w:val="en-US"/>
        </w:rPr>
        <w:t xml:space="preserve">are </w:t>
      </w:r>
      <w:r w:rsidR="013BBB55">
        <w:rPr>
          <w:lang w:val="en-US"/>
        </w:rPr>
        <w:t xml:space="preserve">listed in </w:t>
      </w:r>
      <w:r w:rsidR="00ED0FD1">
        <w:rPr>
          <w:lang w:val="en-US"/>
        </w:rPr>
        <w:fldChar w:fldCharType="begin"/>
      </w:r>
      <w:r w:rsidR="00ED0FD1">
        <w:rPr>
          <w:lang w:val="en-US"/>
        </w:rPr>
        <w:instrText xml:space="preserve"> REF _Ref134174786 \n \h </w:instrText>
      </w:r>
      <w:r w:rsidR="00ED0FD1">
        <w:rPr>
          <w:lang w:val="en-US"/>
        </w:rPr>
      </w:r>
      <w:r w:rsidR="00ED0FD1">
        <w:rPr>
          <w:lang w:val="en-US"/>
        </w:rPr>
        <w:fldChar w:fldCharType="separate"/>
      </w:r>
      <w:r w:rsidR="00CE6ACA">
        <w:rPr>
          <w:lang w:val="en-US"/>
        </w:rPr>
        <w:t>Appendix B</w:t>
      </w:r>
      <w:r w:rsidR="00ED0FD1">
        <w:rPr>
          <w:lang w:val="en-US"/>
        </w:rPr>
        <w:fldChar w:fldCharType="end"/>
      </w:r>
      <w:r w:rsidR="0D1D389B">
        <w:rPr>
          <w:lang w:val="en-US"/>
        </w:rPr>
        <w:t xml:space="preserve">, </w:t>
      </w:r>
      <w:r w:rsidR="000C72B5">
        <w:rPr>
          <w:lang w:val="en-US"/>
        </w:rPr>
        <w:fldChar w:fldCharType="begin"/>
      </w:r>
      <w:r w:rsidR="000C72B5">
        <w:rPr>
          <w:lang w:val="en-US"/>
        </w:rPr>
        <w:instrText xml:space="preserve"> REF _Ref134637420 \h </w:instrText>
      </w:r>
      <w:r w:rsidR="000C72B5">
        <w:rPr>
          <w:lang w:val="en-US"/>
        </w:rPr>
      </w:r>
      <w:r w:rsidR="000C72B5">
        <w:rPr>
          <w:lang w:val="en-US"/>
        </w:rPr>
        <w:fldChar w:fldCharType="separate"/>
      </w:r>
      <w:r w:rsidR="00CE6ACA">
        <w:t xml:space="preserve">Table App </w:t>
      </w:r>
      <w:r w:rsidR="00CE6ACA">
        <w:rPr>
          <w:noProof/>
        </w:rPr>
        <w:t>2</w:t>
      </w:r>
      <w:r w:rsidR="000C72B5">
        <w:rPr>
          <w:lang w:val="en-US"/>
        </w:rPr>
        <w:fldChar w:fldCharType="end"/>
      </w:r>
      <w:r w:rsidR="140C1959">
        <w:rPr>
          <w:lang w:val="en-US"/>
        </w:rPr>
        <w:t xml:space="preserve">. </w:t>
      </w:r>
      <w:r w:rsidR="7E2F268B">
        <w:rPr>
          <w:lang w:val="en-US"/>
        </w:rPr>
        <w:t xml:space="preserve">The </w:t>
      </w:r>
      <w:r w:rsidR="726A210F">
        <w:rPr>
          <w:lang w:val="en-US"/>
        </w:rPr>
        <w:t xml:space="preserve">key </w:t>
      </w:r>
      <w:r w:rsidR="3AF84267">
        <w:rPr>
          <w:lang w:val="en-US"/>
        </w:rPr>
        <w:t xml:space="preserve">MBS </w:t>
      </w:r>
      <w:r w:rsidR="726A210F">
        <w:rPr>
          <w:lang w:val="en-US"/>
        </w:rPr>
        <w:t>item</w:t>
      </w:r>
      <w:r w:rsidR="726A210F" w:rsidDel="008258A5">
        <w:rPr>
          <w:lang w:val="en-US"/>
        </w:rPr>
        <w:t xml:space="preserve"> </w:t>
      </w:r>
      <w:r w:rsidR="726A210F">
        <w:rPr>
          <w:lang w:val="en-US"/>
        </w:rPr>
        <w:t>for</w:t>
      </w:r>
      <w:r w:rsidR="61B66801">
        <w:rPr>
          <w:lang w:val="en-US"/>
        </w:rPr>
        <w:t xml:space="preserve"> </w:t>
      </w:r>
      <w:r w:rsidR="7327CDB6">
        <w:rPr>
          <w:lang w:val="en-US"/>
        </w:rPr>
        <w:t>IPG</w:t>
      </w:r>
      <w:r w:rsidR="726A210F">
        <w:rPr>
          <w:lang w:val="en-US"/>
        </w:rPr>
        <w:t xml:space="preserve"> implantation is </w:t>
      </w:r>
      <w:r w:rsidR="5844E5F5">
        <w:rPr>
          <w:lang w:val="en-US"/>
        </w:rPr>
        <w:t>39134</w:t>
      </w:r>
      <w:r w:rsidR="22258A99">
        <w:rPr>
          <w:lang w:val="en-US"/>
        </w:rPr>
        <w:t>,</w:t>
      </w:r>
      <w:r w:rsidR="44F4131D">
        <w:rPr>
          <w:lang w:val="en-US"/>
        </w:rPr>
        <w:t xml:space="preserve"> which is</w:t>
      </w:r>
      <w:r w:rsidR="7327CDB6">
        <w:rPr>
          <w:lang w:val="en-US"/>
        </w:rPr>
        <w:t xml:space="preserve"> </w:t>
      </w:r>
      <w:r w:rsidR="5A30E108">
        <w:rPr>
          <w:lang w:val="en-US"/>
        </w:rPr>
        <w:t xml:space="preserve">for connection to </w:t>
      </w:r>
      <w:r w:rsidR="687F0515">
        <w:rPr>
          <w:lang w:val="en-US"/>
        </w:rPr>
        <w:t>‘epidural or peripheral nerve electrode</w:t>
      </w:r>
      <w:r w:rsidR="4D113D4C">
        <w:rPr>
          <w:lang w:val="en-US"/>
        </w:rPr>
        <w:t>s for the management of chronic neuropathic pain or pain from refractory angina pe</w:t>
      </w:r>
      <w:r w:rsidR="39B3140E">
        <w:rPr>
          <w:lang w:val="en-US"/>
        </w:rPr>
        <w:t>c</w:t>
      </w:r>
      <w:r w:rsidR="4D113D4C">
        <w:rPr>
          <w:lang w:val="en-US"/>
        </w:rPr>
        <w:t>toris</w:t>
      </w:r>
      <w:r w:rsidR="39B3140E">
        <w:rPr>
          <w:lang w:val="en-US"/>
        </w:rPr>
        <w:t>.’</w:t>
      </w:r>
      <w:r w:rsidR="3FB880A9">
        <w:rPr>
          <w:lang w:val="en-US"/>
        </w:rPr>
        <w:t xml:space="preserve"> Based on utilisation dat</w:t>
      </w:r>
      <w:r w:rsidR="3F289DCA">
        <w:rPr>
          <w:lang w:val="en-US"/>
        </w:rPr>
        <w:t>a</w:t>
      </w:r>
      <w:r w:rsidR="6900C1E9">
        <w:rPr>
          <w:lang w:val="en-US"/>
        </w:rPr>
        <w:t xml:space="preserve"> for MBS item 39134</w:t>
      </w:r>
      <w:r w:rsidR="3F289DCA">
        <w:rPr>
          <w:lang w:val="en-US"/>
        </w:rPr>
        <w:t xml:space="preserve">, </w:t>
      </w:r>
      <w:r w:rsidR="1F333CBD">
        <w:rPr>
          <w:lang w:val="en-US"/>
        </w:rPr>
        <w:t>IPG insertions are</w:t>
      </w:r>
      <w:r w:rsidR="3F289DCA">
        <w:rPr>
          <w:lang w:val="en-US"/>
        </w:rPr>
        <w:t xml:space="preserve"> estimated to be</w:t>
      </w:r>
      <w:r w:rsidR="1F333CBD">
        <w:rPr>
          <w:lang w:val="en-US"/>
        </w:rPr>
        <w:t xml:space="preserve"> around 1,300 to 1,500 per year</w:t>
      </w:r>
      <w:r w:rsidR="004B7E23">
        <w:rPr>
          <w:lang w:val="en-US"/>
        </w:rPr>
        <w:t xml:space="preserve"> and removals</w:t>
      </w:r>
      <w:r w:rsidR="00223181">
        <w:rPr>
          <w:lang w:val="en-US"/>
        </w:rPr>
        <w:t>, based on MBS item 39135,</w:t>
      </w:r>
      <w:r w:rsidR="004B7E23">
        <w:rPr>
          <w:lang w:val="en-US"/>
        </w:rPr>
        <w:t xml:space="preserve"> around 400</w:t>
      </w:r>
      <w:r w:rsidR="00223181">
        <w:rPr>
          <w:lang w:val="en-US"/>
        </w:rPr>
        <w:t xml:space="preserve"> to </w:t>
      </w:r>
      <w:r w:rsidR="004B7E23">
        <w:rPr>
          <w:lang w:val="en-US"/>
        </w:rPr>
        <w:t>500 per year</w:t>
      </w:r>
      <w:r w:rsidR="1F333CBD">
        <w:rPr>
          <w:lang w:val="en-US"/>
        </w:rPr>
        <w:t>.</w:t>
      </w:r>
    </w:p>
    <w:p w14:paraId="7BB7E3CD" w14:textId="3F2967FE" w:rsidR="0092038A" w:rsidRPr="006A2AA4" w:rsidRDefault="0092038A" w:rsidP="006A2AA4">
      <w:pPr>
        <w:pStyle w:val="BodyText"/>
        <w:rPr>
          <w:lang w:val="en-US"/>
        </w:rPr>
      </w:pPr>
      <w:r>
        <w:rPr>
          <w:lang w:val="en-US"/>
        </w:rPr>
        <w:t xml:space="preserve">There are different </w:t>
      </w:r>
      <w:r w:rsidR="001E365B">
        <w:rPr>
          <w:lang w:val="en-US"/>
        </w:rPr>
        <w:t xml:space="preserve">MBS items for </w:t>
      </w:r>
      <w:r w:rsidR="00CB619B">
        <w:rPr>
          <w:lang w:val="en-US"/>
        </w:rPr>
        <w:t xml:space="preserve">PNS </w:t>
      </w:r>
      <w:r w:rsidR="001E365B">
        <w:rPr>
          <w:lang w:val="en-US"/>
        </w:rPr>
        <w:t>peripheral nerve lead placement (item</w:t>
      </w:r>
      <w:r w:rsidR="00B6616B">
        <w:rPr>
          <w:lang w:val="en-US"/>
        </w:rPr>
        <w:t xml:space="preserve">s 39129 </w:t>
      </w:r>
      <w:r w:rsidR="001B772A">
        <w:rPr>
          <w:lang w:val="en-US"/>
        </w:rPr>
        <w:t>[</w:t>
      </w:r>
      <w:r w:rsidR="009C13F9">
        <w:rPr>
          <w:lang w:val="en-US"/>
        </w:rPr>
        <w:t>percutaneous</w:t>
      </w:r>
      <w:r w:rsidR="00B6616B">
        <w:rPr>
          <w:lang w:val="en-US"/>
        </w:rPr>
        <w:t xml:space="preserve"> placement</w:t>
      </w:r>
      <w:r w:rsidR="001B772A">
        <w:rPr>
          <w:lang w:val="en-US"/>
        </w:rPr>
        <w:t>]</w:t>
      </w:r>
      <w:r w:rsidR="00B6616B">
        <w:rPr>
          <w:lang w:val="en-US"/>
        </w:rPr>
        <w:t xml:space="preserve"> and</w:t>
      </w:r>
      <w:r w:rsidR="001E365B">
        <w:rPr>
          <w:lang w:val="en-US"/>
        </w:rPr>
        <w:t xml:space="preserve"> </w:t>
      </w:r>
      <w:r w:rsidR="009B1B59">
        <w:rPr>
          <w:lang w:val="en-US"/>
        </w:rPr>
        <w:t>39138</w:t>
      </w:r>
      <w:r w:rsidR="00C365CA">
        <w:rPr>
          <w:lang w:val="en-US"/>
        </w:rPr>
        <w:t xml:space="preserve"> </w:t>
      </w:r>
      <w:r w:rsidR="001B772A">
        <w:rPr>
          <w:lang w:val="en-US"/>
        </w:rPr>
        <w:t>[</w:t>
      </w:r>
      <w:r w:rsidR="00C365CA">
        <w:rPr>
          <w:lang w:val="en-US"/>
        </w:rPr>
        <w:t>surgical placement</w:t>
      </w:r>
      <w:r w:rsidR="001B772A">
        <w:rPr>
          <w:lang w:val="en-US"/>
        </w:rPr>
        <w:t>]</w:t>
      </w:r>
      <w:r w:rsidR="00092D8C">
        <w:rPr>
          <w:lang w:val="en-US"/>
        </w:rPr>
        <w:t>)</w:t>
      </w:r>
      <w:r w:rsidR="009B1B59">
        <w:rPr>
          <w:lang w:val="en-US"/>
        </w:rPr>
        <w:t xml:space="preserve"> and </w:t>
      </w:r>
      <w:r w:rsidR="00C64A7C">
        <w:rPr>
          <w:lang w:val="en-US"/>
        </w:rPr>
        <w:t xml:space="preserve">SCS </w:t>
      </w:r>
      <w:r w:rsidR="009E6D03">
        <w:rPr>
          <w:lang w:val="en-US"/>
        </w:rPr>
        <w:t xml:space="preserve">epidural </w:t>
      </w:r>
      <w:r w:rsidR="00E608BF">
        <w:rPr>
          <w:lang w:val="en-US"/>
        </w:rPr>
        <w:t>lead placement (item</w:t>
      </w:r>
      <w:r w:rsidR="009C13F9">
        <w:rPr>
          <w:lang w:val="en-US"/>
        </w:rPr>
        <w:t xml:space="preserve">s </w:t>
      </w:r>
      <w:r w:rsidR="00DE4AC1">
        <w:rPr>
          <w:lang w:val="en-US"/>
        </w:rPr>
        <w:t>3913</w:t>
      </w:r>
      <w:r w:rsidR="006C61E2">
        <w:rPr>
          <w:lang w:val="en-US"/>
        </w:rPr>
        <w:t>0</w:t>
      </w:r>
      <w:r w:rsidR="00DE4AC1">
        <w:rPr>
          <w:lang w:val="en-US"/>
        </w:rPr>
        <w:t xml:space="preserve"> </w:t>
      </w:r>
      <w:r w:rsidR="00092D8C">
        <w:rPr>
          <w:lang w:val="en-US"/>
        </w:rPr>
        <w:t>[</w:t>
      </w:r>
      <w:r w:rsidR="00DE4AC1">
        <w:rPr>
          <w:lang w:val="en-US"/>
        </w:rPr>
        <w:t>percutaneous placement</w:t>
      </w:r>
      <w:r w:rsidR="00092D8C">
        <w:rPr>
          <w:lang w:val="en-US"/>
        </w:rPr>
        <w:t>]</w:t>
      </w:r>
      <w:r w:rsidR="00DE4AC1">
        <w:rPr>
          <w:lang w:val="en-US"/>
        </w:rPr>
        <w:t xml:space="preserve"> and</w:t>
      </w:r>
      <w:r w:rsidR="00E608BF">
        <w:rPr>
          <w:lang w:val="en-US"/>
        </w:rPr>
        <w:t xml:space="preserve"> 39139</w:t>
      </w:r>
      <w:r w:rsidR="00C365CA">
        <w:rPr>
          <w:lang w:val="en-US"/>
        </w:rPr>
        <w:t xml:space="preserve"> </w:t>
      </w:r>
      <w:r w:rsidR="00092D8C">
        <w:rPr>
          <w:lang w:val="en-US"/>
        </w:rPr>
        <w:t>[</w:t>
      </w:r>
      <w:r w:rsidR="00C365CA">
        <w:rPr>
          <w:lang w:val="en-US"/>
        </w:rPr>
        <w:t>surgical placement</w:t>
      </w:r>
      <w:r w:rsidR="00092D8C">
        <w:rPr>
          <w:lang w:val="en-US"/>
        </w:rPr>
        <w:t>]</w:t>
      </w:r>
      <w:r w:rsidR="00E608BF">
        <w:rPr>
          <w:lang w:val="en-US"/>
        </w:rPr>
        <w:t>)</w:t>
      </w:r>
      <w:r w:rsidR="00DE2AAF">
        <w:rPr>
          <w:lang w:val="en-US"/>
        </w:rPr>
        <w:t>, both for the management of chronic neuropathic pain</w:t>
      </w:r>
      <w:r w:rsidR="00E608BF">
        <w:rPr>
          <w:lang w:val="en-US"/>
        </w:rPr>
        <w:t xml:space="preserve">. </w:t>
      </w:r>
      <w:r w:rsidR="00E757CA">
        <w:rPr>
          <w:lang w:val="en-US"/>
        </w:rPr>
        <w:t>These items underwent changes in March 2022</w:t>
      </w:r>
      <w:r w:rsidR="000769ED">
        <w:rPr>
          <w:rStyle w:val="FootnoteReference"/>
          <w:lang w:val="en-US"/>
        </w:rPr>
        <w:footnoteReference w:id="9"/>
      </w:r>
      <w:r w:rsidR="00825B8C">
        <w:rPr>
          <w:lang w:val="en-US"/>
        </w:rPr>
        <w:t xml:space="preserve"> to clarify that the use of </w:t>
      </w:r>
      <w:r w:rsidR="00253492" w:rsidRPr="00253492">
        <w:rPr>
          <w:lang w:val="en-US"/>
        </w:rPr>
        <w:t>Percutaneous Electrical Nerve Stimulation (PENS) procedures for chronic pain</w:t>
      </w:r>
      <w:r w:rsidR="00253492">
        <w:rPr>
          <w:lang w:val="en-US"/>
        </w:rPr>
        <w:t xml:space="preserve"> </w:t>
      </w:r>
      <w:r w:rsidR="00253492" w:rsidRPr="00253492">
        <w:rPr>
          <w:lang w:val="en-US"/>
        </w:rPr>
        <w:t>cannot be billed under the MBS</w:t>
      </w:r>
      <w:r w:rsidR="00253492">
        <w:rPr>
          <w:lang w:val="en-US"/>
        </w:rPr>
        <w:t xml:space="preserve"> and </w:t>
      </w:r>
      <w:r w:rsidR="00382934">
        <w:rPr>
          <w:lang w:val="en-US"/>
        </w:rPr>
        <w:t xml:space="preserve">the item 39129 for percutaneous peripheral lead placement was introduced. </w:t>
      </w:r>
    </w:p>
    <w:p w14:paraId="45DC3217" w14:textId="7C2FC44B" w:rsidR="00607FE7" w:rsidRDefault="00676DB3" w:rsidP="006A2AA4">
      <w:pPr>
        <w:pStyle w:val="BodyText"/>
        <w:rPr>
          <w:lang w:val="en-US"/>
        </w:rPr>
      </w:pPr>
      <w:r>
        <w:rPr>
          <w:lang w:val="en-US"/>
        </w:rPr>
        <w:t xml:space="preserve">MBS utilisation data </w:t>
      </w:r>
      <w:r w:rsidR="00235EB3">
        <w:rPr>
          <w:lang w:val="en-US"/>
        </w:rPr>
        <w:t xml:space="preserve">shows a </w:t>
      </w:r>
      <w:r w:rsidR="00E21D96">
        <w:rPr>
          <w:lang w:val="en-US"/>
        </w:rPr>
        <w:t xml:space="preserve">similar pattern of claims for both </w:t>
      </w:r>
      <w:r w:rsidR="00104B0A">
        <w:rPr>
          <w:lang w:val="en-US"/>
        </w:rPr>
        <w:t>percutaneous epidural placement</w:t>
      </w:r>
      <w:r w:rsidR="00420439">
        <w:rPr>
          <w:lang w:val="en-US"/>
        </w:rPr>
        <w:t xml:space="preserve"> (SCS)</w:t>
      </w:r>
      <w:r w:rsidR="00104B0A">
        <w:rPr>
          <w:lang w:val="en-US"/>
        </w:rPr>
        <w:t xml:space="preserve"> and </w:t>
      </w:r>
      <w:r w:rsidR="008537DC">
        <w:rPr>
          <w:lang w:val="en-US"/>
        </w:rPr>
        <w:t>surgical peripheral placement</w:t>
      </w:r>
      <w:r w:rsidR="00DE1989">
        <w:rPr>
          <w:lang w:val="en-US"/>
        </w:rPr>
        <w:t xml:space="preserve"> </w:t>
      </w:r>
      <w:r w:rsidR="00777FD3">
        <w:rPr>
          <w:lang w:val="en-US"/>
        </w:rPr>
        <w:t xml:space="preserve">(PNS) </w:t>
      </w:r>
      <w:r w:rsidR="00DE1989">
        <w:rPr>
          <w:lang w:val="en-US"/>
        </w:rPr>
        <w:t>(</w:t>
      </w:r>
      <w:r w:rsidR="005050A2">
        <w:rPr>
          <w:lang w:val="en-US"/>
        </w:rPr>
        <w:fldChar w:fldCharType="begin"/>
      </w:r>
      <w:r w:rsidR="005050A2">
        <w:rPr>
          <w:lang w:val="en-US"/>
        </w:rPr>
        <w:instrText xml:space="preserve"> REF _Ref134466215 \h </w:instrText>
      </w:r>
      <w:r w:rsidR="005050A2">
        <w:rPr>
          <w:lang w:val="en-US"/>
        </w:rPr>
      </w:r>
      <w:r w:rsidR="005050A2">
        <w:rPr>
          <w:lang w:val="en-US"/>
        </w:rPr>
        <w:fldChar w:fldCharType="separate"/>
      </w:r>
      <w:r w:rsidR="00CE6ACA">
        <w:t xml:space="preserve">Figure </w:t>
      </w:r>
      <w:r w:rsidR="00CE6ACA">
        <w:rPr>
          <w:noProof/>
        </w:rPr>
        <w:t>2</w:t>
      </w:r>
      <w:r w:rsidR="005050A2">
        <w:rPr>
          <w:lang w:val="en-US"/>
        </w:rPr>
        <w:fldChar w:fldCharType="end"/>
      </w:r>
      <w:r w:rsidR="00A934EC">
        <w:rPr>
          <w:lang w:val="en-US"/>
        </w:rPr>
        <w:t>, noting there was no item for percutaneous peripheral placement until March 2022</w:t>
      </w:r>
      <w:r w:rsidR="00DE1989">
        <w:rPr>
          <w:lang w:val="en-US"/>
        </w:rPr>
        <w:t>)</w:t>
      </w:r>
      <w:r w:rsidR="008537DC">
        <w:rPr>
          <w:lang w:val="en-US"/>
        </w:rPr>
        <w:t xml:space="preserve">. The data </w:t>
      </w:r>
      <w:r w:rsidR="00F75066">
        <w:rPr>
          <w:lang w:val="en-US"/>
        </w:rPr>
        <w:t>show</w:t>
      </w:r>
      <w:r w:rsidR="008537DC">
        <w:rPr>
          <w:lang w:val="en-US"/>
        </w:rPr>
        <w:t xml:space="preserve"> utilisation of peripheral </w:t>
      </w:r>
      <w:r w:rsidR="00267711">
        <w:rPr>
          <w:lang w:val="en-US"/>
        </w:rPr>
        <w:t xml:space="preserve">lead </w:t>
      </w:r>
      <w:r w:rsidR="008537DC">
        <w:rPr>
          <w:lang w:val="en-US"/>
        </w:rPr>
        <w:t>placement</w:t>
      </w:r>
      <w:r w:rsidR="00F83CE5">
        <w:rPr>
          <w:lang w:val="en-US"/>
        </w:rPr>
        <w:t xml:space="preserve"> to be around 500</w:t>
      </w:r>
      <w:r w:rsidR="005A672C">
        <w:rPr>
          <w:lang w:val="en-US"/>
        </w:rPr>
        <w:t xml:space="preserve"> to </w:t>
      </w:r>
      <w:r w:rsidR="009D104B">
        <w:rPr>
          <w:lang w:val="en-US"/>
        </w:rPr>
        <w:t>1</w:t>
      </w:r>
      <w:r w:rsidR="00C6464F">
        <w:rPr>
          <w:lang w:val="en-US"/>
        </w:rPr>
        <w:t>,</w:t>
      </w:r>
      <w:r w:rsidR="009D104B">
        <w:rPr>
          <w:lang w:val="en-US"/>
        </w:rPr>
        <w:t>000</w:t>
      </w:r>
      <w:r w:rsidR="00F83CE5">
        <w:rPr>
          <w:lang w:val="en-US"/>
        </w:rPr>
        <w:t xml:space="preserve"> claims lower than </w:t>
      </w:r>
      <w:r w:rsidR="003A7DA6">
        <w:rPr>
          <w:lang w:val="en-US"/>
        </w:rPr>
        <w:t>epidural placement per financial year</w:t>
      </w:r>
      <w:r w:rsidR="00D87404">
        <w:rPr>
          <w:lang w:val="en-US"/>
        </w:rPr>
        <w:t xml:space="preserve"> </w:t>
      </w:r>
      <w:r w:rsidR="001A024D">
        <w:rPr>
          <w:lang w:val="en-US"/>
        </w:rPr>
        <w:t>from</w:t>
      </w:r>
      <w:r w:rsidR="00D87404">
        <w:rPr>
          <w:lang w:val="en-US"/>
        </w:rPr>
        <w:t xml:space="preserve"> 2014-15</w:t>
      </w:r>
      <w:r w:rsidR="0095106F">
        <w:rPr>
          <w:lang w:val="en-US"/>
        </w:rPr>
        <w:t>.</w:t>
      </w:r>
      <w:r w:rsidR="00430815">
        <w:rPr>
          <w:lang w:val="en-US"/>
        </w:rPr>
        <w:t xml:space="preserve"> </w:t>
      </w:r>
      <w:r w:rsidR="00786C25">
        <w:rPr>
          <w:lang w:val="en-US"/>
        </w:rPr>
        <w:t xml:space="preserve">The MBS items distinguish between </w:t>
      </w:r>
      <w:r w:rsidR="0035406B">
        <w:rPr>
          <w:lang w:val="en-US"/>
        </w:rPr>
        <w:t>PNS</w:t>
      </w:r>
      <w:r w:rsidR="00786C25">
        <w:rPr>
          <w:lang w:val="en-US"/>
        </w:rPr>
        <w:t xml:space="preserve"> and </w:t>
      </w:r>
      <w:r w:rsidR="0035406B">
        <w:rPr>
          <w:lang w:val="en-US"/>
        </w:rPr>
        <w:t>SCS</w:t>
      </w:r>
      <w:r w:rsidR="00786C25">
        <w:rPr>
          <w:lang w:val="en-US"/>
        </w:rPr>
        <w:t xml:space="preserve"> procedures for chronic pain</w:t>
      </w:r>
      <w:r w:rsidR="00434AF9">
        <w:rPr>
          <w:lang w:val="en-US"/>
        </w:rPr>
        <w:t xml:space="preserve"> but do not distingu</w:t>
      </w:r>
      <w:r w:rsidR="00192BE0">
        <w:rPr>
          <w:lang w:val="en-US"/>
        </w:rPr>
        <w:t>ish between on-label and off-label use of the leads for these pr</w:t>
      </w:r>
      <w:r w:rsidR="00C3475C">
        <w:rPr>
          <w:lang w:val="en-US"/>
        </w:rPr>
        <w:t>o</w:t>
      </w:r>
      <w:r w:rsidR="00192BE0">
        <w:rPr>
          <w:lang w:val="en-US"/>
        </w:rPr>
        <w:t>cedures</w:t>
      </w:r>
      <w:r w:rsidR="00786C25">
        <w:rPr>
          <w:lang w:val="en-US"/>
        </w:rPr>
        <w:t xml:space="preserve">. </w:t>
      </w:r>
    </w:p>
    <w:p w14:paraId="62EF558D" w14:textId="0DB91452" w:rsidR="00676DB3" w:rsidRDefault="003E2D5E" w:rsidP="006A2AA4">
      <w:pPr>
        <w:pStyle w:val="BodyText"/>
        <w:rPr>
          <w:lang w:val="en-US"/>
        </w:rPr>
      </w:pPr>
      <w:r>
        <w:rPr>
          <w:lang w:val="en-US"/>
        </w:rPr>
        <w:t xml:space="preserve">The claims </w:t>
      </w:r>
      <w:r w:rsidR="00DC5445">
        <w:rPr>
          <w:lang w:val="en-US"/>
        </w:rPr>
        <w:t>against</w:t>
      </w:r>
      <w:r>
        <w:rPr>
          <w:lang w:val="en-US"/>
        </w:rPr>
        <w:t xml:space="preserve"> MBS item </w:t>
      </w:r>
      <w:r w:rsidR="006015E2">
        <w:rPr>
          <w:lang w:val="en-US"/>
        </w:rPr>
        <w:t>39138</w:t>
      </w:r>
      <w:r w:rsidR="00342DC9">
        <w:rPr>
          <w:lang w:val="en-US"/>
        </w:rPr>
        <w:t xml:space="preserve"> </w:t>
      </w:r>
      <w:r w:rsidR="005974F1">
        <w:rPr>
          <w:lang w:val="en-US"/>
        </w:rPr>
        <w:t>up until mid-2019</w:t>
      </w:r>
      <w:r w:rsidR="006015E2">
        <w:rPr>
          <w:lang w:val="en-US"/>
        </w:rPr>
        <w:t xml:space="preserve"> </w:t>
      </w:r>
      <w:r w:rsidR="00A17746">
        <w:rPr>
          <w:lang w:val="en-US"/>
        </w:rPr>
        <w:t xml:space="preserve">do not </w:t>
      </w:r>
      <w:r w:rsidR="000E3887">
        <w:rPr>
          <w:lang w:val="en-US"/>
        </w:rPr>
        <w:t>reflect</w:t>
      </w:r>
      <w:r w:rsidR="00A17746">
        <w:rPr>
          <w:lang w:val="en-US"/>
        </w:rPr>
        <w:t xml:space="preserve"> </w:t>
      </w:r>
      <w:r w:rsidR="004F2C81">
        <w:rPr>
          <w:lang w:val="en-US"/>
        </w:rPr>
        <w:t>utili</w:t>
      </w:r>
      <w:r w:rsidR="00DB4A35">
        <w:rPr>
          <w:lang w:val="en-US"/>
        </w:rPr>
        <w:t>s</w:t>
      </w:r>
      <w:r w:rsidR="004F2C81">
        <w:rPr>
          <w:lang w:val="en-US"/>
        </w:rPr>
        <w:t xml:space="preserve">ation of </w:t>
      </w:r>
      <w:r w:rsidR="00597B36">
        <w:rPr>
          <w:lang w:val="en-US"/>
        </w:rPr>
        <w:t xml:space="preserve">the </w:t>
      </w:r>
      <w:r w:rsidR="00E93AA8">
        <w:rPr>
          <w:lang w:val="en-US"/>
        </w:rPr>
        <w:t>PNS devices listed on the PL</w:t>
      </w:r>
      <w:r w:rsidR="007E1C52" w:rsidRPr="00C81C59">
        <w:rPr>
          <w:lang w:val="en-US"/>
        </w:rPr>
        <w:t xml:space="preserve"> as these devices were only listed </w:t>
      </w:r>
      <w:r w:rsidR="00561BBF">
        <w:rPr>
          <w:lang w:val="en-US"/>
        </w:rPr>
        <w:t xml:space="preserve">from </w:t>
      </w:r>
      <w:r w:rsidR="00561BBF" w:rsidRPr="00C81C59">
        <w:rPr>
          <w:lang w:val="en-US"/>
        </w:rPr>
        <w:t xml:space="preserve">July 2019 </w:t>
      </w:r>
      <w:r w:rsidR="007E1C52" w:rsidRPr="00C81C59">
        <w:rPr>
          <w:lang w:val="en-US"/>
        </w:rPr>
        <w:t>(</w:t>
      </w:r>
      <w:proofErr w:type="spellStart"/>
      <w:r w:rsidR="003E59BD" w:rsidRPr="00C81C59">
        <w:rPr>
          <w:lang w:val="en-US"/>
        </w:rPr>
        <w:t>Stim</w:t>
      </w:r>
      <w:r w:rsidR="00701807" w:rsidRPr="00C81C59">
        <w:rPr>
          <w:lang w:val="en-US"/>
        </w:rPr>
        <w:t>R</w:t>
      </w:r>
      <w:r w:rsidR="003E59BD" w:rsidRPr="00C81C59">
        <w:rPr>
          <w:lang w:val="en-US"/>
        </w:rPr>
        <w:t>outer</w:t>
      </w:r>
      <w:proofErr w:type="spellEnd"/>
      <w:r w:rsidR="00561BBF">
        <w:rPr>
          <w:lang w:val="en-US"/>
        </w:rPr>
        <w:t>)</w:t>
      </w:r>
      <w:r w:rsidR="003E59BD" w:rsidRPr="00C81C59">
        <w:rPr>
          <w:lang w:val="en-US"/>
        </w:rPr>
        <w:t xml:space="preserve"> and</w:t>
      </w:r>
      <w:r w:rsidR="00561BBF">
        <w:rPr>
          <w:lang w:val="en-US"/>
        </w:rPr>
        <w:t xml:space="preserve"> from</w:t>
      </w:r>
      <w:r w:rsidR="003E59BD" w:rsidRPr="00C81C59">
        <w:rPr>
          <w:lang w:val="en-US"/>
        </w:rPr>
        <w:t xml:space="preserve"> </w:t>
      </w:r>
      <w:r w:rsidR="00561BBF" w:rsidRPr="00C81C59">
        <w:rPr>
          <w:lang w:val="en-US"/>
        </w:rPr>
        <w:t>July 2020</w:t>
      </w:r>
      <w:r w:rsidR="00561BBF">
        <w:rPr>
          <w:lang w:val="en-US"/>
        </w:rPr>
        <w:t xml:space="preserve"> (</w:t>
      </w:r>
      <w:r w:rsidR="003E59BD" w:rsidRPr="00C81C59">
        <w:rPr>
          <w:lang w:val="en-US"/>
        </w:rPr>
        <w:t>Reactiv</w:t>
      </w:r>
      <w:r w:rsidR="00AB314E" w:rsidRPr="00C81C59">
        <w:rPr>
          <w:lang w:val="en-US"/>
        </w:rPr>
        <w:t>8)</w:t>
      </w:r>
      <w:r w:rsidR="00CD508F" w:rsidRPr="00C81C59">
        <w:rPr>
          <w:lang w:val="en-US"/>
        </w:rPr>
        <w:t>.</w:t>
      </w:r>
      <w:r w:rsidR="00D314D8">
        <w:rPr>
          <w:lang w:val="en-US"/>
        </w:rPr>
        <w:t xml:space="preserve"> </w:t>
      </w:r>
      <w:r w:rsidR="00CE3A3B">
        <w:rPr>
          <w:lang w:val="en-US"/>
        </w:rPr>
        <w:t xml:space="preserve">Rather they </w:t>
      </w:r>
      <w:r w:rsidR="00B90B69">
        <w:rPr>
          <w:lang w:val="en-US"/>
        </w:rPr>
        <w:t>may</w:t>
      </w:r>
      <w:r w:rsidR="00CE3A3B">
        <w:rPr>
          <w:lang w:val="en-US"/>
        </w:rPr>
        <w:t xml:space="preserve"> reflect both use for PENS procedures</w:t>
      </w:r>
      <w:r w:rsidR="000E7563">
        <w:rPr>
          <w:lang w:val="en-US"/>
        </w:rPr>
        <w:t xml:space="preserve"> (up until 2022)</w:t>
      </w:r>
      <w:r w:rsidR="00B74201">
        <w:rPr>
          <w:lang w:val="en-US"/>
        </w:rPr>
        <w:t xml:space="preserve">, use of </w:t>
      </w:r>
      <w:r w:rsidR="00D15ED0">
        <w:rPr>
          <w:lang w:val="en-US"/>
        </w:rPr>
        <w:t xml:space="preserve">percutaneous leads with </w:t>
      </w:r>
      <w:r w:rsidR="00FF423B">
        <w:rPr>
          <w:lang w:val="en-US"/>
        </w:rPr>
        <w:t>approval for both PNS and SNS</w:t>
      </w:r>
      <w:r w:rsidR="008610D1">
        <w:rPr>
          <w:lang w:val="en-US"/>
        </w:rPr>
        <w:t xml:space="preserve"> (see </w:t>
      </w:r>
      <w:r w:rsidR="00260EAF">
        <w:rPr>
          <w:lang w:val="en-US"/>
        </w:rPr>
        <w:fldChar w:fldCharType="begin"/>
      </w:r>
      <w:r w:rsidR="00260EAF">
        <w:rPr>
          <w:lang w:val="en-US"/>
        </w:rPr>
        <w:instrText xml:space="preserve"> REF _Ref129271542 \n \h </w:instrText>
      </w:r>
      <w:r w:rsidR="00260EAF">
        <w:rPr>
          <w:lang w:val="en-US"/>
        </w:rPr>
      </w:r>
      <w:r w:rsidR="00260EAF">
        <w:rPr>
          <w:lang w:val="en-US"/>
        </w:rPr>
        <w:fldChar w:fldCharType="separate"/>
      </w:r>
      <w:r w:rsidR="00CE6ACA">
        <w:rPr>
          <w:lang w:val="en-US"/>
        </w:rPr>
        <w:t>Appendix B</w:t>
      </w:r>
      <w:r w:rsidR="00260EAF">
        <w:rPr>
          <w:lang w:val="en-US"/>
        </w:rPr>
        <w:fldChar w:fldCharType="end"/>
      </w:r>
      <w:r w:rsidR="008610D1">
        <w:rPr>
          <w:lang w:val="en-US"/>
        </w:rPr>
        <w:t>)</w:t>
      </w:r>
      <w:r w:rsidR="00FF423B">
        <w:rPr>
          <w:lang w:val="en-US"/>
        </w:rPr>
        <w:t xml:space="preserve">, </w:t>
      </w:r>
      <w:r w:rsidR="00CE3A3B">
        <w:rPr>
          <w:lang w:val="en-US"/>
        </w:rPr>
        <w:t xml:space="preserve">and </w:t>
      </w:r>
      <w:r w:rsidR="00B12723">
        <w:rPr>
          <w:lang w:val="en-US"/>
        </w:rPr>
        <w:t xml:space="preserve">off-label peripheral use with </w:t>
      </w:r>
      <w:r w:rsidR="008D0D64">
        <w:rPr>
          <w:lang w:val="en-US"/>
        </w:rPr>
        <w:t xml:space="preserve">percutaneous </w:t>
      </w:r>
      <w:r w:rsidR="00B12723">
        <w:rPr>
          <w:lang w:val="en-US"/>
        </w:rPr>
        <w:t>SCS</w:t>
      </w:r>
      <w:r w:rsidR="008D0D64">
        <w:rPr>
          <w:lang w:val="en-US"/>
        </w:rPr>
        <w:t xml:space="preserve"> leads</w:t>
      </w:r>
      <w:r w:rsidR="00B12723">
        <w:rPr>
          <w:lang w:val="en-US"/>
        </w:rPr>
        <w:t xml:space="preserve"> </w:t>
      </w:r>
      <w:r w:rsidR="00083015">
        <w:rPr>
          <w:lang w:val="en-US"/>
        </w:rPr>
        <w:t>which was raised in stakeholder feedback</w:t>
      </w:r>
      <w:r w:rsidR="00B12723">
        <w:rPr>
          <w:lang w:val="en-US"/>
        </w:rPr>
        <w:t xml:space="preserve">. </w:t>
      </w:r>
    </w:p>
    <w:p w14:paraId="1F3E0A17" w14:textId="494E0F73" w:rsidR="009739EE" w:rsidRPr="00953C59" w:rsidRDefault="00B2576E" w:rsidP="006A2AA4">
      <w:pPr>
        <w:pStyle w:val="BodyText"/>
        <w:rPr>
          <w:lang w:val="en-US"/>
        </w:rPr>
      </w:pPr>
      <w:r>
        <w:rPr>
          <w:lang w:val="en-US"/>
        </w:rPr>
        <w:lastRenderedPageBreak/>
        <w:t xml:space="preserve">An application for </w:t>
      </w:r>
      <w:r w:rsidR="00EE3DBF">
        <w:rPr>
          <w:lang w:val="en-US"/>
        </w:rPr>
        <w:t>listing of PENS on the MBS</w:t>
      </w:r>
      <w:r w:rsidR="00193681">
        <w:rPr>
          <w:lang w:val="en-US"/>
        </w:rPr>
        <w:t xml:space="preserve">, by modifying the </w:t>
      </w:r>
      <w:r w:rsidR="00557DF2">
        <w:rPr>
          <w:lang w:val="en-US"/>
        </w:rPr>
        <w:t xml:space="preserve">restriction on items </w:t>
      </w:r>
      <w:r w:rsidR="00945D3E">
        <w:rPr>
          <w:lang w:val="en-US"/>
        </w:rPr>
        <w:t>39129 and 39128</w:t>
      </w:r>
      <w:r w:rsidR="00B71E58">
        <w:rPr>
          <w:lang w:val="en-US"/>
        </w:rPr>
        <w:t>, has been received by MSAC</w:t>
      </w:r>
      <w:r w:rsidR="00B71E58">
        <w:rPr>
          <w:rStyle w:val="FootnoteReference"/>
          <w:lang w:val="en-US"/>
        </w:rPr>
        <w:footnoteReference w:id="10"/>
      </w:r>
      <w:r w:rsidR="00B71E58">
        <w:rPr>
          <w:lang w:val="en-US"/>
        </w:rPr>
        <w:t>.</w:t>
      </w:r>
    </w:p>
    <w:p w14:paraId="5BE49342" w14:textId="7FE7EF36" w:rsidR="005A70DC" w:rsidRPr="00A21EC3" w:rsidRDefault="005A70DC" w:rsidP="005A70DC">
      <w:pPr>
        <w:pStyle w:val="Caption"/>
      </w:pPr>
      <w:bookmarkStart w:id="57" w:name="_Ref134466215"/>
      <w:r>
        <w:t xml:space="preserve">Figure </w:t>
      </w:r>
      <w:r>
        <w:fldChar w:fldCharType="begin"/>
      </w:r>
      <w:r>
        <w:instrText>SEQ Figure \* ARABIC</w:instrText>
      </w:r>
      <w:r>
        <w:fldChar w:fldCharType="separate"/>
      </w:r>
      <w:r w:rsidR="00CE6ACA">
        <w:rPr>
          <w:noProof/>
        </w:rPr>
        <w:t>2</w:t>
      </w:r>
      <w:r>
        <w:fldChar w:fldCharType="end"/>
      </w:r>
      <w:bookmarkEnd w:id="57"/>
      <w:r w:rsidRPr="00A21EC3">
        <w:tab/>
      </w:r>
      <w:r>
        <w:t>Number of MBS items processed for epidural and peripheral placement of neurostimulator leads for financial years 2011-12 to 2021-</w:t>
      </w:r>
      <w:r w:rsidR="00B34CD8">
        <w:t>22</w:t>
      </w:r>
    </w:p>
    <w:p w14:paraId="6AF224E3" w14:textId="5BC7BE72" w:rsidR="005A70DC" w:rsidRDefault="0048009E" w:rsidP="005A70DC">
      <w:pPr>
        <w:pStyle w:val="FigureorPicture"/>
      </w:pPr>
      <w:r>
        <w:rPr>
          <w:noProof/>
          <w:lang w:val="en-US"/>
        </w:rPr>
        <w:drawing>
          <wp:inline distT="0" distB="0" distL="0" distR="0" wp14:anchorId="3BE844F4" wp14:editId="345FABF7">
            <wp:extent cx="6116320" cy="3674745"/>
            <wp:effectExtent l="0" t="0" r="0" b="1905"/>
            <wp:docPr id="1195213126" name="Picture 1195213126" descr="This figure shows the number of MBS items processed for epidural and peripheral placement of neurostimulator leads for financial years 2011-12 to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13126" name="Picture 1195213126" descr="This figure shows the number of MBS items processed for epidural and peripheral placement of neurostimulator leads for financial years 2011-12 to 2021-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6320" cy="3674745"/>
                    </a:xfrm>
                    <a:prstGeom prst="rect">
                      <a:avLst/>
                    </a:prstGeom>
                    <a:noFill/>
                    <a:ln>
                      <a:noFill/>
                    </a:ln>
                  </pic:spPr>
                </pic:pic>
              </a:graphicData>
            </a:graphic>
          </wp:inline>
        </w:drawing>
      </w:r>
    </w:p>
    <w:p w14:paraId="0D9C999B" w14:textId="671D26A1" w:rsidR="00EF652E" w:rsidRPr="00CD6BA1" w:rsidRDefault="00953369" w:rsidP="00EF652E">
      <w:pPr>
        <w:pStyle w:val="111Tablefootnoteslast-nostick8pt"/>
      </w:pPr>
      <w:r>
        <w:t>Source:</w:t>
      </w:r>
      <w:r w:rsidR="0026597F">
        <w:t xml:space="preserve"> Data from</w:t>
      </w:r>
      <w:r>
        <w:t xml:space="preserve"> M</w:t>
      </w:r>
      <w:r w:rsidR="0026597F">
        <w:t xml:space="preserve">edicare item reports available at: </w:t>
      </w:r>
      <w:hyperlink r:id="rId19" w:tooltip="This link goes to the Medicare Item Reports website" w:history="1">
        <w:r w:rsidR="004E1BC7" w:rsidRPr="009055E1">
          <w:rPr>
            <w:rStyle w:val="Hyperlink"/>
            <w:lang w:val="en-US"/>
          </w:rPr>
          <w:t>http://medicarestatistics.humanservices.gov.au/statistics/mbs_item.jsp</w:t>
        </w:r>
      </w:hyperlink>
      <w:r w:rsidR="004E1BC7">
        <w:t xml:space="preserve"> </w:t>
      </w:r>
    </w:p>
    <w:p w14:paraId="384743C1" w14:textId="7EE1BE77" w:rsidR="00F179AE" w:rsidRDefault="00F179AE" w:rsidP="00F179AE">
      <w:pPr>
        <w:pStyle w:val="BodyText"/>
        <w:rPr>
          <w:lang w:val="en-US"/>
        </w:rPr>
      </w:pPr>
      <w:r>
        <w:rPr>
          <w:lang w:val="en-US"/>
        </w:rPr>
        <w:t>In addition to the introduction of item 39138, Explanatory Note TN 8.2.44 (</w:t>
      </w:r>
      <w:r>
        <w:rPr>
          <w:lang w:val="en-US"/>
        </w:rPr>
        <w:fldChar w:fldCharType="begin"/>
      </w:r>
      <w:r>
        <w:rPr>
          <w:lang w:val="en-US"/>
        </w:rPr>
        <w:instrText xml:space="preserve"> REF _Ref129611479 \n \h </w:instrText>
      </w:r>
      <w:r>
        <w:rPr>
          <w:lang w:val="en-US"/>
        </w:rPr>
      </w:r>
      <w:r>
        <w:rPr>
          <w:lang w:val="en-US"/>
        </w:rPr>
        <w:fldChar w:fldCharType="separate"/>
      </w:r>
      <w:r w:rsidR="00CE6ACA">
        <w:rPr>
          <w:lang w:val="en-US"/>
        </w:rPr>
        <w:t>Appendix B</w:t>
      </w:r>
      <w:r>
        <w:rPr>
          <w:lang w:val="en-US"/>
        </w:rPr>
        <w:fldChar w:fldCharType="end"/>
      </w:r>
      <w:r>
        <w:rPr>
          <w:lang w:val="en-US"/>
        </w:rPr>
        <w:t>) was also added to MBS items for SCS to inform “best practice and effective use of the health system”. The MBS Review Taskforce (2019) recommended the addition of TN 8.2.44 based on the following assessment:</w:t>
      </w:r>
    </w:p>
    <w:p w14:paraId="20FF0E32" w14:textId="77777777" w:rsidR="00F179AE" w:rsidRPr="004C5B76" w:rsidRDefault="00F179AE" w:rsidP="00F179AE">
      <w:pPr>
        <w:pStyle w:val="Bulletpoint"/>
        <w:rPr>
          <w:i/>
          <w:lang w:val="en-US"/>
        </w:rPr>
      </w:pPr>
      <w:r w:rsidRPr="004C5B76">
        <w:rPr>
          <w:i/>
          <w:lang w:val="en-US"/>
        </w:rPr>
        <w:t>Implantable devices may be an effective and cost effective pain management intervention in a very select patient population. There is a high risk of poor outcomes and lack of cost effectiveness with inadequate patient selection and follow up (International Neuromodulation Society 2017). It is difficult to modify the descriptors to contain all the criteria needed for a good patient outcome and this is not generally included in a descriptor. In addition, evidence continues to evolve regarding patients who may benefit from these procedures.</w:t>
      </w:r>
    </w:p>
    <w:p w14:paraId="73D047C9" w14:textId="77777777" w:rsidR="00F179AE" w:rsidRPr="004C5B76" w:rsidRDefault="00F179AE" w:rsidP="00F179AE">
      <w:pPr>
        <w:pStyle w:val="Bulletpoint"/>
        <w:rPr>
          <w:i/>
          <w:iCs/>
          <w:lang w:val="en-US"/>
        </w:rPr>
      </w:pPr>
      <w:r w:rsidRPr="004C5B76">
        <w:rPr>
          <w:i/>
          <w:iCs/>
          <w:lang w:val="en-US"/>
        </w:rPr>
        <w:t xml:space="preserve">Clinical guidelines for implantable devices for pain management are currently under development by the Faculty of Pain Medicine and should be incorporated in the notes when available. </w:t>
      </w:r>
    </w:p>
    <w:p w14:paraId="185EEFFE" w14:textId="77777777" w:rsidR="00F179AE" w:rsidRPr="004C5B76" w:rsidRDefault="00F179AE" w:rsidP="00F179AE">
      <w:pPr>
        <w:pStyle w:val="Bulletpoint"/>
        <w:rPr>
          <w:i/>
          <w:iCs/>
          <w:lang w:val="en-US"/>
        </w:rPr>
      </w:pPr>
      <w:r w:rsidRPr="004C5B76">
        <w:rPr>
          <w:i/>
          <w:iCs/>
          <w:lang w:val="en-US"/>
        </w:rPr>
        <w:t xml:space="preserve">It was considered that outlining high level best clinical practice in the explanatory notes would be helpful in guiding clinical practice and patient selection. </w:t>
      </w:r>
    </w:p>
    <w:p w14:paraId="19499E36" w14:textId="58E79AAF" w:rsidR="00F179AE" w:rsidRPr="00F179AE" w:rsidRDefault="00F179AE" w:rsidP="00F179AE">
      <w:pPr>
        <w:pStyle w:val="Bulletpoint"/>
        <w:rPr>
          <w:i/>
          <w:lang w:val="en-US"/>
        </w:rPr>
      </w:pPr>
      <w:r w:rsidRPr="004C5B76">
        <w:rPr>
          <w:i/>
          <w:iCs/>
          <w:lang w:val="en-US"/>
        </w:rPr>
        <w:t>Due to evolving evidence, it is recommended that these item numbers be reviewed in 2 years to ensure ongoing evidence-based applicability.</w:t>
      </w:r>
    </w:p>
    <w:p w14:paraId="258B10A9" w14:textId="57BB92B3" w:rsidR="002379BA" w:rsidRPr="002379BA" w:rsidRDefault="003C535C" w:rsidP="003C535C">
      <w:pPr>
        <w:pStyle w:val="Heading2"/>
        <w:rPr>
          <w:lang w:val="en-US"/>
        </w:rPr>
      </w:pPr>
      <w:bookmarkStart w:id="58" w:name="_Toc165634660"/>
      <w:r>
        <w:rPr>
          <w:lang w:val="en-US"/>
        </w:rPr>
        <w:lastRenderedPageBreak/>
        <w:t>Analysis</w:t>
      </w:r>
      <w:bookmarkEnd w:id="58"/>
    </w:p>
    <w:p w14:paraId="209D9623" w14:textId="49121758" w:rsidR="00134388" w:rsidRPr="00134388" w:rsidRDefault="00134388" w:rsidP="00134388">
      <w:pPr>
        <w:pStyle w:val="BodyText"/>
        <w:rPr>
          <w:lang w:val="en-US"/>
        </w:rPr>
      </w:pPr>
      <w:r>
        <w:rPr>
          <w:lang w:val="en-US"/>
        </w:rPr>
        <w:t xml:space="preserve">The </w:t>
      </w:r>
      <w:r w:rsidR="009353CC">
        <w:rPr>
          <w:lang w:val="en-US"/>
        </w:rPr>
        <w:t xml:space="preserve">three devices </w:t>
      </w:r>
      <w:r w:rsidR="00BA77CD">
        <w:rPr>
          <w:lang w:val="en-US"/>
        </w:rPr>
        <w:t xml:space="preserve">for further consideration are compared to </w:t>
      </w:r>
      <w:r w:rsidR="004A4B3B">
        <w:rPr>
          <w:lang w:val="en-US"/>
        </w:rPr>
        <w:t>a representative</w:t>
      </w:r>
      <w:r w:rsidR="00BA77CD">
        <w:rPr>
          <w:lang w:val="en-US"/>
        </w:rPr>
        <w:t xml:space="preserve"> </w:t>
      </w:r>
      <w:r w:rsidR="00796EE4">
        <w:rPr>
          <w:lang w:val="en-US"/>
        </w:rPr>
        <w:t xml:space="preserve">SCS device </w:t>
      </w:r>
      <w:r w:rsidR="00752351">
        <w:rPr>
          <w:lang w:val="en-US"/>
        </w:rPr>
        <w:t>(Proclaim IPG</w:t>
      </w:r>
      <w:r w:rsidR="00C316AF">
        <w:rPr>
          <w:lang w:val="en-US"/>
        </w:rPr>
        <w:t xml:space="preserve">) </w:t>
      </w:r>
      <w:r w:rsidR="00796EE4">
        <w:rPr>
          <w:lang w:val="en-US"/>
        </w:rPr>
        <w:t xml:space="preserve">in </w:t>
      </w:r>
      <w:r w:rsidR="00796EE4">
        <w:rPr>
          <w:lang w:val="en-US"/>
        </w:rPr>
        <w:fldChar w:fldCharType="begin"/>
      </w:r>
      <w:r w:rsidR="00796EE4">
        <w:rPr>
          <w:lang w:val="en-US"/>
        </w:rPr>
        <w:instrText xml:space="preserve"> REF _Ref134014481 \h </w:instrText>
      </w:r>
      <w:r w:rsidR="00796EE4">
        <w:rPr>
          <w:lang w:val="en-US"/>
        </w:rPr>
      </w:r>
      <w:r w:rsidR="00796EE4">
        <w:rPr>
          <w:lang w:val="en-US"/>
        </w:rPr>
        <w:fldChar w:fldCharType="separate"/>
      </w:r>
      <w:r w:rsidR="00CE6ACA">
        <w:t xml:space="preserve">Table </w:t>
      </w:r>
      <w:r w:rsidR="00CE6ACA">
        <w:rPr>
          <w:noProof/>
        </w:rPr>
        <w:t>4</w:t>
      </w:r>
      <w:r w:rsidR="00796EE4">
        <w:rPr>
          <w:lang w:val="en-US"/>
        </w:rPr>
        <w:fldChar w:fldCharType="end"/>
      </w:r>
      <w:r w:rsidR="00796EE4">
        <w:rPr>
          <w:lang w:val="en-US"/>
        </w:rPr>
        <w:t>.</w:t>
      </w:r>
      <w:r w:rsidR="0068042B">
        <w:rPr>
          <w:lang w:val="en-US"/>
        </w:rPr>
        <w:t xml:space="preserve"> All are pulse generators for the treatment of </w:t>
      </w:r>
      <w:r w:rsidR="00276563">
        <w:rPr>
          <w:lang w:val="en-US"/>
        </w:rPr>
        <w:t>chronic pain</w:t>
      </w:r>
      <w:r w:rsidR="008F2E24">
        <w:rPr>
          <w:lang w:val="en-US"/>
        </w:rPr>
        <w:t xml:space="preserve">. </w:t>
      </w:r>
      <w:r w:rsidR="00D039F2">
        <w:rPr>
          <w:lang w:val="en-US"/>
        </w:rPr>
        <w:t>Unlike the other devices, the</w:t>
      </w:r>
      <w:r w:rsidR="00E101D2">
        <w:rPr>
          <w:lang w:val="en-US"/>
        </w:rPr>
        <w:t xml:space="preserve"> </w:t>
      </w:r>
      <w:proofErr w:type="spellStart"/>
      <w:r w:rsidR="007D7BF5">
        <w:rPr>
          <w:lang w:val="en-US"/>
        </w:rPr>
        <w:t>StimRouter</w:t>
      </w:r>
      <w:proofErr w:type="spellEnd"/>
      <w:r w:rsidR="00E101D2">
        <w:rPr>
          <w:lang w:val="en-US"/>
        </w:rPr>
        <w:t xml:space="preserve"> </w:t>
      </w:r>
      <w:r w:rsidR="00D86DCA">
        <w:rPr>
          <w:lang w:val="en-US"/>
        </w:rPr>
        <w:t xml:space="preserve">pulse generator is not implantable and therefore the TGA risk class </w:t>
      </w:r>
      <w:r w:rsidR="00AF568D">
        <w:rPr>
          <w:lang w:val="en-US"/>
        </w:rPr>
        <w:t xml:space="preserve">for </w:t>
      </w:r>
      <w:r w:rsidR="00D86DCA">
        <w:rPr>
          <w:lang w:val="en-US"/>
        </w:rPr>
        <w:t xml:space="preserve">this device is lower. </w:t>
      </w:r>
    </w:p>
    <w:p w14:paraId="7BE65E23" w14:textId="4BD3254D" w:rsidR="00EE282A" w:rsidRDefault="00EE282A" w:rsidP="00EE282A">
      <w:pPr>
        <w:pStyle w:val="Caption"/>
      </w:pPr>
      <w:bookmarkStart w:id="59" w:name="_Ref134014481"/>
      <w:r>
        <w:t xml:space="preserve">Table </w:t>
      </w:r>
      <w:r>
        <w:fldChar w:fldCharType="begin"/>
      </w:r>
      <w:r>
        <w:instrText>SEQ Table \* ARABIC</w:instrText>
      </w:r>
      <w:r>
        <w:fldChar w:fldCharType="separate"/>
      </w:r>
      <w:r w:rsidR="00CE6ACA">
        <w:rPr>
          <w:noProof/>
        </w:rPr>
        <w:t>4</w:t>
      </w:r>
      <w:r>
        <w:fldChar w:fldCharType="end"/>
      </w:r>
      <w:bookmarkEnd w:id="59"/>
      <w:r w:rsidR="00F86B48">
        <w:tab/>
        <w:t xml:space="preserve">Comparison of </w:t>
      </w:r>
      <w:r w:rsidR="00724411">
        <w:t xml:space="preserve">a representative SCS device with </w:t>
      </w:r>
      <w:r w:rsidR="00323D96">
        <w:t>the listed DRGS, MBNS and PNS devices</w:t>
      </w:r>
    </w:p>
    <w:tbl>
      <w:tblPr>
        <w:tblStyle w:val="TableGrid"/>
        <w:tblW w:w="0" w:type="auto"/>
        <w:tblLook w:val="04A0" w:firstRow="1" w:lastRow="0" w:firstColumn="1" w:lastColumn="0" w:noHBand="0" w:noVBand="1"/>
        <w:tblCaption w:val="Comparison of a representative SCS device with the listed DRGS, MBNS and PNS devices"/>
        <w:tblDescription w:val="Table showing a comparison of a representative SCS device with the listed DRGS, MBNS and PNS devices"/>
      </w:tblPr>
      <w:tblGrid>
        <w:gridCol w:w="667"/>
        <w:gridCol w:w="1661"/>
        <w:gridCol w:w="4043"/>
        <w:gridCol w:w="841"/>
        <w:gridCol w:w="1770"/>
        <w:gridCol w:w="656"/>
      </w:tblGrid>
      <w:tr w:rsidR="00FA7B43" w:rsidRPr="00F560B7" w14:paraId="641E89CD" w14:textId="4BE3BD03" w:rsidTr="00EE47F0">
        <w:trPr>
          <w:cnfStyle w:val="100000000000" w:firstRow="1" w:lastRow="0" w:firstColumn="0" w:lastColumn="0" w:oddVBand="0" w:evenVBand="0" w:oddHBand="0" w:evenHBand="0" w:firstRowFirstColumn="0" w:firstRowLastColumn="0" w:lastRowFirstColumn="0" w:lastRowLastColumn="0"/>
        </w:trPr>
        <w:tc>
          <w:tcPr>
            <w:tcW w:w="0" w:type="auto"/>
          </w:tcPr>
          <w:p w14:paraId="2E5A18F4" w14:textId="0145ECB9" w:rsidR="005A7E52" w:rsidRPr="00F560B7" w:rsidRDefault="00244C87" w:rsidP="006F5500">
            <w:pPr>
              <w:pStyle w:val="011TableHeading8pt"/>
              <w:rPr>
                <w:sz w:val="18"/>
                <w:szCs w:val="18"/>
                <w:lang w:val="en-US"/>
              </w:rPr>
            </w:pPr>
            <w:r w:rsidRPr="00F560B7">
              <w:rPr>
                <w:sz w:val="18"/>
                <w:szCs w:val="18"/>
                <w:lang w:val="en-US"/>
              </w:rPr>
              <w:t>Type</w:t>
            </w:r>
          </w:p>
        </w:tc>
        <w:tc>
          <w:tcPr>
            <w:tcW w:w="0" w:type="auto"/>
          </w:tcPr>
          <w:p w14:paraId="517C1285" w14:textId="6BF2240D" w:rsidR="005A7E52" w:rsidRPr="00F560B7" w:rsidRDefault="00244C87" w:rsidP="006F5500">
            <w:pPr>
              <w:pStyle w:val="011TableHeading8pt"/>
              <w:rPr>
                <w:sz w:val="18"/>
                <w:szCs w:val="18"/>
                <w:lang w:val="en-US"/>
              </w:rPr>
            </w:pPr>
            <w:r w:rsidRPr="00F560B7">
              <w:rPr>
                <w:sz w:val="18"/>
                <w:szCs w:val="18"/>
                <w:lang w:val="en-US"/>
              </w:rPr>
              <w:t>Device</w:t>
            </w:r>
            <w:r w:rsidR="00DD49D2" w:rsidRPr="00F560B7">
              <w:rPr>
                <w:sz w:val="18"/>
                <w:szCs w:val="18"/>
                <w:lang w:val="en-US"/>
              </w:rPr>
              <w:br/>
            </w:r>
            <w:r w:rsidR="00763763" w:rsidRPr="00F560B7">
              <w:rPr>
                <w:sz w:val="18"/>
                <w:szCs w:val="18"/>
                <w:lang w:val="en-US"/>
              </w:rPr>
              <w:t>(</w:t>
            </w:r>
            <w:r w:rsidR="00483C7C" w:rsidRPr="00F560B7">
              <w:rPr>
                <w:sz w:val="18"/>
                <w:szCs w:val="18"/>
                <w:lang w:val="en-US"/>
              </w:rPr>
              <w:t>Sponsor</w:t>
            </w:r>
            <w:r w:rsidR="00763763" w:rsidRPr="00F560B7">
              <w:rPr>
                <w:sz w:val="18"/>
                <w:szCs w:val="18"/>
                <w:lang w:val="en-US"/>
              </w:rPr>
              <w:t>)</w:t>
            </w:r>
          </w:p>
        </w:tc>
        <w:tc>
          <w:tcPr>
            <w:tcW w:w="0" w:type="auto"/>
          </w:tcPr>
          <w:p w14:paraId="55EF53BC" w14:textId="25C5D2D4" w:rsidR="005A7E52" w:rsidRPr="00F560B7" w:rsidRDefault="00C02777" w:rsidP="006F5500">
            <w:pPr>
              <w:pStyle w:val="011TableHeading8pt"/>
              <w:rPr>
                <w:sz w:val="18"/>
                <w:szCs w:val="18"/>
                <w:lang w:val="en-US"/>
              </w:rPr>
            </w:pPr>
            <w:r w:rsidRPr="00F560B7">
              <w:rPr>
                <w:sz w:val="18"/>
                <w:szCs w:val="18"/>
                <w:lang w:val="en-US"/>
              </w:rPr>
              <w:t xml:space="preserve">Intended </w:t>
            </w:r>
            <w:r w:rsidR="006825F1">
              <w:rPr>
                <w:sz w:val="18"/>
                <w:szCs w:val="18"/>
                <w:lang w:val="en-US"/>
              </w:rPr>
              <w:t>P</w:t>
            </w:r>
            <w:r w:rsidRPr="00F560B7">
              <w:rPr>
                <w:sz w:val="18"/>
                <w:szCs w:val="18"/>
                <w:lang w:val="en-US"/>
              </w:rPr>
              <w:t>urpose</w:t>
            </w:r>
          </w:p>
        </w:tc>
        <w:tc>
          <w:tcPr>
            <w:tcW w:w="0" w:type="auto"/>
          </w:tcPr>
          <w:p w14:paraId="596C44D0" w14:textId="661477AC" w:rsidR="005A7E52" w:rsidRPr="00F560B7" w:rsidRDefault="00B25B55" w:rsidP="006F5500">
            <w:pPr>
              <w:pStyle w:val="011TableHeading8pt"/>
              <w:rPr>
                <w:sz w:val="18"/>
                <w:szCs w:val="18"/>
                <w:lang w:val="en-US"/>
              </w:rPr>
            </w:pPr>
            <w:r w:rsidRPr="00F560B7">
              <w:rPr>
                <w:sz w:val="18"/>
                <w:szCs w:val="18"/>
                <w:lang w:val="en-US"/>
              </w:rPr>
              <w:t xml:space="preserve">Within </w:t>
            </w:r>
            <w:r w:rsidR="00C1373B" w:rsidRPr="00F560B7">
              <w:rPr>
                <w:sz w:val="18"/>
                <w:szCs w:val="18"/>
                <w:lang w:val="en-US"/>
              </w:rPr>
              <w:t xml:space="preserve">TGA </w:t>
            </w:r>
            <w:r w:rsidR="00C410D9">
              <w:rPr>
                <w:sz w:val="18"/>
                <w:szCs w:val="18"/>
                <w:lang w:val="en-US"/>
              </w:rPr>
              <w:t>r</w:t>
            </w:r>
            <w:r w:rsidR="00C1373B" w:rsidRPr="00F560B7">
              <w:rPr>
                <w:sz w:val="18"/>
                <w:szCs w:val="18"/>
                <w:lang w:val="en-US"/>
              </w:rPr>
              <w:t>eview</w:t>
            </w:r>
            <w:r w:rsidRPr="00F560B7">
              <w:rPr>
                <w:sz w:val="18"/>
                <w:szCs w:val="18"/>
                <w:lang w:val="en-US"/>
              </w:rPr>
              <w:t xml:space="preserve"> scope</w:t>
            </w:r>
          </w:p>
        </w:tc>
        <w:tc>
          <w:tcPr>
            <w:tcW w:w="0" w:type="auto"/>
          </w:tcPr>
          <w:p w14:paraId="5F4BAE4F" w14:textId="3042E2E9" w:rsidR="00270D4A" w:rsidRPr="00F560B7" w:rsidRDefault="00B04C97" w:rsidP="006F5500">
            <w:pPr>
              <w:pStyle w:val="011TableHeading8pt"/>
              <w:rPr>
                <w:sz w:val="18"/>
                <w:szCs w:val="18"/>
                <w:lang w:val="en-US"/>
              </w:rPr>
            </w:pPr>
            <w:r w:rsidRPr="00F560B7">
              <w:rPr>
                <w:sz w:val="18"/>
                <w:szCs w:val="18"/>
                <w:lang w:val="en-US"/>
              </w:rPr>
              <w:t xml:space="preserve"> </w:t>
            </w:r>
            <w:r w:rsidR="00270D4A" w:rsidRPr="00F560B7">
              <w:rPr>
                <w:sz w:val="18"/>
                <w:szCs w:val="18"/>
                <w:lang w:val="en-US"/>
              </w:rPr>
              <w:t>GMDN Code</w:t>
            </w:r>
          </w:p>
        </w:tc>
        <w:tc>
          <w:tcPr>
            <w:tcW w:w="0" w:type="auto"/>
          </w:tcPr>
          <w:p w14:paraId="2C671D2B" w14:textId="6895E30C" w:rsidR="00270D4A" w:rsidRPr="00F560B7" w:rsidRDefault="00270D4A" w:rsidP="006F5500">
            <w:pPr>
              <w:pStyle w:val="011TableHeading8pt"/>
              <w:rPr>
                <w:sz w:val="18"/>
                <w:szCs w:val="18"/>
                <w:lang w:val="en-US"/>
              </w:rPr>
            </w:pPr>
            <w:r w:rsidRPr="00F560B7">
              <w:rPr>
                <w:sz w:val="18"/>
                <w:szCs w:val="18"/>
                <w:lang w:val="en-US"/>
              </w:rPr>
              <w:t>Risk Class</w:t>
            </w:r>
          </w:p>
        </w:tc>
      </w:tr>
      <w:tr w:rsidR="001C484B" w:rsidRPr="00F560B7" w14:paraId="6052BB3E" w14:textId="256B41DB" w:rsidTr="002C02CE">
        <w:tc>
          <w:tcPr>
            <w:tcW w:w="0" w:type="auto"/>
          </w:tcPr>
          <w:p w14:paraId="0299755D" w14:textId="5C950299" w:rsidR="005A7E52" w:rsidRPr="00F560B7" w:rsidRDefault="00C02777" w:rsidP="006F5500">
            <w:pPr>
              <w:pStyle w:val="051Tabletext228pt"/>
              <w:rPr>
                <w:sz w:val="18"/>
                <w:szCs w:val="18"/>
                <w:lang w:val="en-US"/>
              </w:rPr>
            </w:pPr>
            <w:r w:rsidRPr="00F560B7">
              <w:rPr>
                <w:sz w:val="18"/>
                <w:szCs w:val="18"/>
                <w:lang w:val="en-US"/>
              </w:rPr>
              <w:t>SCS</w:t>
            </w:r>
          </w:p>
        </w:tc>
        <w:tc>
          <w:tcPr>
            <w:tcW w:w="0" w:type="auto"/>
          </w:tcPr>
          <w:p w14:paraId="2489682D" w14:textId="77777777" w:rsidR="00483C7C" w:rsidRPr="00F560B7" w:rsidRDefault="000E67AB" w:rsidP="006F5500">
            <w:pPr>
              <w:pStyle w:val="051Tabletext228pt"/>
              <w:rPr>
                <w:sz w:val="18"/>
                <w:szCs w:val="18"/>
                <w:lang w:val="en-US"/>
              </w:rPr>
            </w:pPr>
            <w:r w:rsidRPr="00F560B7">
              <w:rPr>
                <w:sz w:val="18"/>
                <w:szCs w:val="18"/>
                <w:lang w:val="en-US"/>
              </w:rPr>
              <w:t>Proclaim IPG</w:t>
            </w:r>
          </w:p>
          <w:p w14:paraId="543815E0" w14:textId="0B79CCED" w:rsidR="005A7E52" w:rsidRPr="00F560B7" w:rsidRDefault="00763763" w:rsidP="006F5500">
            <w:pPr>
              <w:pStyle w:val="051Tabletext228pt"/>
              <w:rPr>
                <w:sz w:val="18"/>
                <w:szCs w:val="18"/>
                <w:lang w:val="en-US"/>
              </w:rPr>
            </w:pPr>
            <w:r w:rsidRPr="00F560B7">
              <w:rPr>
                <w:sz w:val="18"/>
                <w:szCs w:val="18"/>
              </w:rPr>
              <w:t>(</w:t>
            </w:r>
            <w:r w:rsidR="00483C7C" w:rsidRPr="00F560B7">
              <w:rPr>
                <w:sz w:val="18"/>
                <w:szCs w:val="18"/>
              </w:rPr>
              <w:t>Abbott Medical</w:t>
            </w:r>
            <w:r w:rsidRPr="00F560B7">
              <w:rPr>
                <w:sz w:val="18"/>
                <w:szCs w:val="18"/>
              </w:rPr>
              <w:t>)</w:t>
            </w:r>
          </w:p>
        </w:tc>
        <w:tc>
          <w:tcPr>
            <w:tcW w:w="0" w:type="auto"/>
          </w:tcPr>
          <w:p w14:paraId="10DC287A" w14:textId="07AEE960" w:rsidR="005A7E52" w:rsidRPr="00F560B7" w:rsidRDefault="006E4165" w:rsidP="006F5500">
            <w:pPr>
              <w:pStyle w:val="051Tabletext228pt"/>
              <w:rPr>
                <w:sz w:val="18"/>
                <w:szCs w:val="18"/>
                <w:lang w:val="en-US"/>
              </w:rPr>
            </w:pPr>
            <w:r w:rsidRPr="00F560B7">
              <w:rPr>
                <w:sz w:val="18"/>
                <w:szCs w:val="18"/>
                <w:lang w:val="en-US"/>
              </w:rPr>
              <w:t>Spinal cord stimulation (SCS) systems are indicated as an aid in the management of chronic, intractable pain of the trunk and/or limbs, including unilateral or bilateral pain associated with the following: failed back surgery syndrome, intractable low back and leg pain.</w:t>
            </w:r>
          </w:p>
        </w:tc>
        <w:tc>
          <w:tcPr>
            <w:tcW w:w="0" w:type="auto"/>
          </w:tcPr>
          <w:p w14:paraId="69099A46" w14:textId="6F2C2F83" w:rsidR="005A7E52" w:rsidRPr="00F560B7" w:rsidRDefault="00E82A85" w:rsidP="006F5500">
            <w:pPr>
              <w:pStyle w:val="051Tabletext228pt"/>
              <w:rPr>
                <w:sz w:val="18"/>
                <w:szCs w:val="18"/>
                <w:lang w:val="en-US"/>
              </w:rPr>
            </w:pPr>
            <w:r w:rsidRPr="00F560B7">
              <w:rPr>
                <w:rFonts w:ascii="Wingdings" w:eastAsia="Wingdings" w:hAnsi="Wingdings" w:cs="Wingdings"/>
                <w:sz w:val="18"/>
                <w:szCs w:val="18"/>
                <w:lang w:val="en-US"/>
              </w:rPr>
              <w:t>ü</w:t>
            </w:r>
          </w:p>
        </w:tc>
        <w:tc>
          <w:tcPr>
            <w:tcW w:w="0" w:type="auto"/>
          </w:tcPr>
          <w:p w14:paraId="52991F35" w14:textId="46F1D1FE" w:rsidR="00270D4A" w:rsidRPr="00F560B7" w:rsidRDefault="003A7AC3" w:rsidP="006F5500">
            <w:pPr>
              <w:pStyle w:val="051Tabletext228pt"/>
              <w:rPr>
                <w:sz w:val="18"/>
                <w:szCs w:val="18"/>
                <w:lang w:val="en-US"/>
              </w:rPr>
            </w:pPr>
            <w:r w:rsidRPr="00F560B7">
              <w:rPr>
                <w:sz w:val="18"/>
                <w:szCs w:val="18"/>
              </w:rPr>
              <w:t>36007 Stimulator, electrical, analgesic, spinal cord</w:t>
            </w:r>
          </w:p>
        </w:tc>
        <w:tc>
          <w:tcPr>
            <w:tcW w:w="0" w:type="auto"/>
          </w:tcPr>
          <w:p w14:paraId="571B8819" w14:textId="1B714D9D" w:rsidR="00270D4A" w:rsidRPr="00F560B7" w:rsidRDefault="005B4446" w:rsidP="006F5500">
            <w:pPr>
              <w:pStyle w:val="051Tabletext228pt"/>
              <w:rPr>
                <w:sz w:val="18"/>
                <w:szCs w:val="18"/>
                <w:lang w:val="en-US"/>
              </w:rPr>
            </w:pPr>
            <w:r w:rsidRPr="00F560B7">
              <w:rPr>
                <w:sz w:val="18"/>
                <w:szCs w:val="18"/>
                <w:lang w:val="en-US"/>
              </w:rPr>
              <w:t>AIMD</w:t>
            </w:r>
          </w:p>
        </w:tc>
      </w:tr>
      <w:tr w:rsidR="001C484B" w:rsidRPr="00F560B7" w14:paraId="18FACE22" w14:textId="7DF45904" w:rsidTr="002C02CE">
        <w:tc>
          <w:tcPr>
            <w:tcW w:w="0" w:type="auto"/>
          </w:tcPr>
          <w:p w14:paraId="60E62B6A" w14:textId="7F6FDDD9" w:rsidR="005A7E52" w:rsidRPr="00F560B7" w:rsidRDefault="00C02777" w:rsidP="006F5500">
            <w:pPr>
              <w:pStyle w:val="051Tabletext228pt"/>
              <w:rPr>
                <w:sz w:val="18"/>
                <w:szCs w:val="18"/>
                <w:lang w:val="en-US"/>
              </w:rPr>
            </w:pPr>
            <w:r w:rsidRPr="00F560B7">
              <w:rPr>
                <w:sz w:val="18"/>
                <w:szCs w:val="18"/>
              </w:rPr>
              <w:t>DRGS</w:t>
            </w:r>
          </w:p>
        </w:tc>
        <w:tc>
          <w:tcPr>
            <w:tcW w:w="0" w:type="auto"/>
          </w:tcPr>
          <w:p w14:paraId="34A50754" w14:textId="77777777" w:rsidR="00483C7C" w:rsidRPr="00F560B7" w:rsidRDefault="00C02777" w:rsidP="006F5500">
            <w:pPr>
              <w:pStyle w:val="051Tabletext228pt"/>
              <w:rPr>
                <w:sz w:val="18"/>
                <w:szCs w:val="18"/>
              </w:rPr>
            </w:pPr>
            <w:r w:rsidRPr="00F560B7">
              <w:rPr>
                <w:sz w:val="18"/>
                <w:szCs w:val="18"/>
              </w:rPr>
              <w:t>Proclaim DRG</w:t>
            </w:r>
          </w:p>
          <w:p w14:paraId="791C5EF1" w14:textId="48DCD4A4" w:rsidR="005A7E52" w:rsidRPr="00F560B7" w:rsidRDefault="00763763" w:rsidP="006F5500">
            <w:pPr>
              <w:pStyle w:val="051Tabletext228pt"/>
              <w:rPr>
                <w:sz w:val="18"/>
                <w:szCs w:val="18"/>
                <w:lang w:val="en-US"/>
              </w:rPr>
            </w:pPr>
            <w:r w:rsidRPr="00F560B7">
              <w:rPr>
                <w:sz w:val="18"/>
                <w:szCs w:val="18"/>
              </w:rPr>
              <w:t>(</w:t>
            </w:r>
            <w:r w:rsidR="00483C7C" w:rsidRPr="00F560B7">
              <w:rPr>
                <w:sz w:val="18"/>
                <w:szCs w:val="18"/>
              </w:rPr>
              <w:t>Abbott Medical</w:t>
            </w:r>
            <w:r w:rsidRPr="00F560B7">
              <w:rPr>
                <w:sz w:val="18"/>
                <w:szCs w:val="18"/>
              </w:rPr>
              <w:t>)</w:t>
            </w:r>
          </w:p>
        </w:tc>
        <w:tc>
          <w:tcPr>
            <w:tcW w:w="0" w:type="auto"/>
          </w:tcPr>
          <w:p w14:paraId="6E23D5A7" w14:textId="6567AB1F" w:rsidR="005A7E52" w:rsidRPr="00F560B7" w:rsidRDefault="00930BCF" w:rsidP="006F5500">
            <w:pPr>
              <w:pStyle w:val="051Tabletext228pt"/>
              <w:rPr>
                <w:sz w:val="18"/>
                <w:szCs w:val="18"/>
                <w:lang w:val="en-US"/>
              </w:rPr>
            </w:pPr>
            <w:r w:rsidRPr="00F560B7">
              <w:rPr>
                <w:sz w:val="18"/>
                <w:szCs w:val="18"/>
                <w:lang w:val="en-US"/>
              </w:rPr>
              <w:t>Indicated for spinal column stimulation via epidural and intraspinal lead access to the dorsal root ganglion as an aid in the management of moderate to severe chronic intractable pain of the lower limbs in adult patients with complex regional pain syndrome (CRPS) types I and II.</w:t>
            </w:r>
          </w:p>
        </w:tc>
        <w:tc>
          <w:tcPr>
            <w:tcW w:w="0" w:type="auto"/>
          </w:tcPr>
          <w:p w14:paraId="6FC855CF" w14:textId="0D279613" w:rsidR="005A7E52" w:rsidRPr="00F560B7" w:rsidRDefault="00E82A85" w:rsidP="006F5500">
            <w:pPr>
              <w:pStyle w:val="051Tabletext228pt"/>
              <w:rPr>
                <w:sz w:val="18"/>
                <w:szCs w:val="18"/>
                <w:lang w:val="en-US"/>
              </w:rPr>
            </w:pPr>
            <w:r w:rsidRPr="00F560B7">
              <w:rPr>
                <w:rFonts w:ascii="Wingdings" w:eastAsia="Wingdings" w:hAnsi="Wingdings" w:cs="Wingdings"/>
                <w:sz w:val="18"/>
                <w:szCs w:val="18"/>
                <w:lang w:val="en-US"/>
              </w:rPr>
              <w:t>ü</w:t>
            </w:r>
          </w:p>
        </w:tc>
        <w:tc>
          <w:tcPr>
            <w:tcW w:w="0" w:type="auto"/>
          </w:tcPr>
          <w:p w14:paraId="062B117C" w14:textId="6ECCC768" w:rsidR="00270D4A" w:rsidRPr="00F560B7" w:rsidRDefault="003A7AC3" w:rsidP="00C02777">
            <w:pPr>
              <w:pStyle w:val="051Tabletext228pt"/>
              <w:rPr>
                <w:sz w:val="18"/>
                <w:szCs w:val="18"/>
                <w:lang w:val="en-US"/>
              </w:rPr>
            </w:pPr>
            <w:r w:rsidRPr="00F560B7">
              <w:rPr>
                <w:sz w:val="18"/>
                <w:szCs w:val="18"/>
              </w:rPr>
              <w:t>36007 Stimulator, electrical, analgesic, spinal cord</w:t>
            </w:r>
          </w:p>
        </w:tc>
        <w:tc>
          <w:tcPr>
            <w:tcW w:w="0" w:type="auto"/>
          </w:tcPr>
          <w:p w14:paraId="6FD62513" w14:textId="0FB33379" w:rsidR="00270D4A" w:rsidRPr="00F560B7" w:rsidRDefault="00090895" w:rsidP="00C02777">
            <w:pPr>
              <w:pStyle w:val="051Tabletext228pt"/>
              <w:rPr>
                <w:sz w:val="18"/>
                <w:szCs w:val="18"/>
                <w:lang w:val="en-US"/>
              </w:rPr>
            </w:pPr>
            <w:r w:rsidRPr="00F560B7">
              <w:rPr>
                <w:sz w:val="18"/>
                <w:szCs w:val="18"/>
                <w:lang w:val="en-US"/>
              </w:rPr>
              <w:t>AIMD</w:t>
            </w:r>
          </w:p>
        </w:tc>
      </w:tr>
      <w:tr w:rsidR="001C484B" w:rsidRPr="00F560B7" w14:paraId="50101719" w14:textId="38B5BC34" w:rsidTr="002C02CE">
        <w:tc>
          <w:tcPr>
            <w:tcW w:w="0" w:type="auto"/>
          </w:tcPr>
          <w:p w14:paraId="3837DAB3" w14:textId="379D4994" w:rsidR="005A7E52" w:rsidRPr="00F560B7" w:rsidRDefault="00C02777" w:rsidP="006F5500">
            <w:pPr>
              <w:pStyle w:val="051Tabletext228pt"/>
              <w:rPr>
                <w:sz w:val="18"/>
                <w:szCs w:val="18"/>
                <w:lang w:val="en-US"/>
              </w:rPr>
            </w:pPr>
            <w:r w:rsidRPr="00F560B7">
              <w:rPr>
                <w:sz w:val="18"/>
                <w:szCs w:val="18"/>
              </w:rPr>
              <w:t>MBNS</w:t>
            </w:r>
          </w:p>
        </w:tc>
        <w:tc>
          <w:tcPr>
            <w:tcW w:w="0" w:type="auto"/>
          </w:tcPr>
          <w:p w14:paraId="335D9DA4" w14:textId="77777777" w:rsidR="00483C7C" w:rsidRPr="00F560B7" w:rsidRDefault="00C02777" w:rsidP="006F5500">
            <w:pPr>
              <w:pStyle w:val="051Tabletext228pt"/>
              <w:rPr>
                <w:sz w:val="18"/>
                <w:szCs w:val="18"/>
              </w:rPr>
            </w:pPr>
            <w:r w:rsidRPr="00F560B7">
              <w:rPr>
                <w:sz w:val="18"/>
                <w:szCs w:val="18"/>
              </w:rPr>
              <w:t>Reactiv8 Implantable Pulse Generator</w:t>
            </w:r>
          </w:p>
          <w:p w14:paraId="51CDC996" w14:textId="052B3CFC" w:rsidR="005A7E52" w:rsidRPr="00F560B7" w:rsidRDefault="00763763" w:rsidP="006F5500">
            <w:pPr>
              <w:pStyle w:val="051Tabletext228pt"/>
              <w:rPr>
                <w:sz w:val="18"/>
                <w:szCs w:val="18"/>
                <w:lang w:val="en-US"/>
              </w:rPr>
            </w:pPr>
            <w:r w:rsidRPr="00F560B7">
              <w:rPr>
                <w:sz w:val="18"/>
                <w:szCs w:val="18"/>
              </w:rPr>
              <w:t>(</w:t>
            </w:r>
            <w:r w:rsidR="00483C7C" w:rsidRPr="00F560B7">
              <w:rPr>
                <w:sz w:val="18"/>
                <w:szCs w:val="18"/>
              </w:rPr>
              <w:t>Mainstay Medical</w:t>
            </w:r>
            <w:r w:rsidRPr="00F560B7">
              <w:rPr>
                <w:sz w:val="18"/>
                <w:szCs w:val="18"/>
              </w:rPr>
              <w:t>)</w:t>
            </w:r>
          </w:p>
        </w:tc>
        <w:tc>
          <w:tcPr>
            <w:tcW w:w="0" w:type="auto"/>
          </w:tcPr>
          <w:p w14:paraId="5586F63B" w14:textId="67FAF30C" w:rsidR="005A7E52" w:rsidRPr="00F560B7" w:rsidRDefault="00E4580B" w:rsidP="006F5500">
            <w:pPr>
              <w:pStyle w:val="051Tabletext228pt"/>
              <w:rPr>
                <w:sz w:val="18"/>
                <w:szCs w:val="18"/>
                <w:lang w:val="en-US"/>
              </w:rPr>
            </w:pPr>
            <w:r w:rsidRPr="00F560B7">
              <w:rPr>
                <w:sz w:val="18"/>
                <w:szCs w:val="18"/>
                <w:lang w:val="en-US"/>
              </w:rPr>
              <w:t xml:space="preserve">The ReActiv8 System is indicated </w:t>
            </w:r>
            <w:r w:rsidR="00A15602" w:rsidRPr="00F560B7">
              <w:rPr>
                <w:sz w:val="18"/>
                <w:szCs w:val="18"/>
                <w:lang w:val="en-US"/>
              </w:rPr>
              <w:t xml:space="preserve">for bilateral stimulation of the L2 medial branch of the dorsal ramus as it crosses the transverse process at L3 </w:t>
            </w:r>
            <w:r w:rsidRPr="00F560B7">
              <w:rPr>
                <w:sz w:val="18"/>
                <w:szCs w:val="18"/>
                <w:lang w:val="en-US"/>
              </w:rPr>
              <w:t>as an aid in the management of intractable chronic low back pain associated with multifidus muscle dysfunction, as evidenced by imaging or physiological testing</w:t>
            </w:r>
            <w:r w:rsidR="00A15602" w:rsidRPr="00F560B7">
              <w:rPr>
                <w:sz w:val="18"/>
                <w:szCs w:val="18"/>
                <w:lang w:val="en-US"/>
              </w:rPr>
              <w:t xml:space="preserve"> in adults who have failed therapy including pain medications and physical therapy and are not candidates for spine surgery</w:t>
            </w:r>
            <w:r w:rsidRPr="00F560B7">
              <w:rPr>
                <w:sz w:val="18"/>
                <w:szCs w:val="18"/>
                <w:lang w:val="en-US"/>
              </w:rPr>
              <w:t>.</w:t>
            </w:r>
          </w:p>
        </w:tc>
        <w:tc>
          <w:tcPr>
            <w:tcW w:w="0" w:type="auto"/>
          </w:tcPr>
          <w:p w14:paraId="35A10C5A" w14:textId="42B51684" w:rsidR="005A7E52" w:rsidRPr="00F560B7" w:rsidRDefault="00E82A85" w:rsidP="006F5500">
            <w:pPr>
              <w:pStyle w:val="051Tabletext228pt"/>
              <w:rPr>
                <w:sz w:val="18"/>
                <w:szCs w:val="18"/>
                <w:lang w:val="en-US"/>
              </w:rPr>
            </w:pPr>
            <w:r w:rsidRPr="00F560B7">
              <w:rPr>
                <w:rFonts w:ascii="Wingdings" w:eastAsia="Wingdings" w:hAnsi="Wingdings" w:cs="Wingdings"/>
                <w:sz w:val="18"/>
                <w:szCs w:val="18"/>
                <w:lang w:val="en-US"/>
              </w:rPr>
              <w:t>ü</w:t>
            </w:r>
          </w:p>
        </w:tc>
        <w:tc>
          <w:tcPr>
            <w:tcW w:w="0" w:type="auto"/>
          </w:tcPr>
          <w:p w14:paraId="156D1389" w14:textId="410AD4B2" w:rsidR="00270D4A" w:rsidRPr="00F560B7" w:rsidRDefault="003A7AC3" w:rsidP="00C02777">
            <w:pPr>
              <w:pStyle w:val="051Tabletext228pt"/>
              <w:rPr>
                <w:sz w:val="18"/>
                <w:szCs w:val="18"/>
                <w:lang w:val="en-US"/>
              </w:rPr>
            </w:pPr>
            <w:r w:rsidRPr="00F560B7">
              <w:rPr>
                <w:sz w:val="18"/>
                <w:szCs w:val="18"/>
              </w:rPr>
              <w:t>62422 Implantable lumbar neuromuscular electrical stimulation system pulse generator</w:t>
            </w:r>
          </w:p>
        </w:tc>
        <w:tc>
          <w:tcPr>
            <w:tcW w:w="0" w:type="auto"/>
          </w:tcPr>
          <w:p w14:paraId="364CB4D0" w14:textId="1945DA25" w:rsidR="00270D4A" w:rsidRPr="00F560B7" w:rsidRDefault="00A34024" w:rsidP="00C02777">
            <w:pPr>
              <w:pStyle w:val="051Tabletext228pt"/>
              <w:rPr>
                <w:sz w:val="18"/>
                <w:szCs w:val="18"/>
                <w:lang w:val="en-US"/>
              </w:rPr>
            </w:pPr>
            <w:r w:rsidRPr="00F560B7">
              <w:rPr>
                <w:sz w:val="18"/>
                <w:szCs w:val="18"/>
                <w:lang w:val="en-US"/>
              </w:rPr>
              <w:t>AIMD</w:t>
            </w:r>
          </w:p>
        </w:tc>
      </w:tr>
      <w:tr w:rsidR="001C484B" w:rsidRPr="00F560B7" w14:paraId="7A6D2EA9" w14:textId="1C40D047" w:rsidTr="002C02CE">
        <w:tc>
          <w:tcPr>
            <w:tcW w:w="0" w:type="auto"/>
          </w:tcPr>
          <w:p w14:paraId="68C2ADD0" w14:textId="6053F2FF" w:rsidR="005A7E52" w:rsidRPr="00F560B7" w:rsidRDefault="00C02777" w:rsidP="006F5500">
            <w:pPr>
              <w:pStyle w:val="051Tabletext228pt"/>
              <w:rPr>
                <w:sz w:val="18"/>
                <w:szCs w:val="18"/>
                <w:lang w:val="en-US"/>
              </w:rPr>
            </w:pPr>
            <w:r w:rsidRPr="00F560B7">
              <w:rPr>
                <w:sz w:val="18"/>
                <w:szCs w:val="18"/>
              </w:rPr>
              <w:t>PNS</w:t>
            </w:r>
          </w:p>
        </w:tc>
        <w:tc>
          <w:tcPr>
            <w:tcW w:w="0" w:type="auto"/>
          </w:tcPr>
          <w:p w14:paraId="31179918" w14:textId="77777777" w:rsidR="00483C7C" w:rsidRPr="00F560B7" w:rsidRDefault="00C02777" w:rsidP="006F5500">
            <w:pPr>
              <w:pStyle w:val="051Tabletext228pt"/>
              <w:rPr>
                <w:sz w:val="18"/>
                <w:szCs w:val="18"/>
              </w:rPr>
            </w:pPr>
            <w:proofErr w:type="spellStart"/>
            <w:r w:rsidRPr="00F560B7">
              <w:rPr>
                <w:sz w:val="18"/>
                <w:szCs w:val="18"/>
              </w:rPr>
              <w:t>StimRouter</w:t>
            </w:r>
            <w:proofErr w:type="spellEnd"/>
            <w:r w:rsidRPr="00F560B7">
              <w:rPr>
                <w:sz w:val="18"/>
                <w:szCs w:val="18"/>
              </w:rPr>
              <w:t xml:space="preserve"> Neuromodulation System Kit</w:t>
            </w:r>
          </w:p>
          <w:p w14:paraId="0F92FF00" w14:textId="5703E309" w:rsidR="005A7E52" w:rsidRPr="00F560B7" w:rsidRDefault="00763763" w:rsidP="006F5500">
            <w:pPr>
              <w:pStyle w:val="051Tabletext228pt"/>
              <w:rPr>
                <w:sz w:val="18"/>
                <w:szCs w:val="18"/>
                <w:lang w:val="en-US"/>
              </w:rPr>
            </w:pPr>
            <w:r w:rsidRPr="00F560B7">
              <w:rPr>
                <w:sz w:val="18"/>
                <w:szCs w:val="18"/>
              </w:rPr>
              <w:t>(</w:t>
            </w:r>
            <w:proofErr w:type="spellStart"/>
            <w:r w:rsidR="00483C7C" w:rsidRPr="00F560B7">
              <w:rPr>
                <w:sz w:val="18"/>
                <w:szCs w:val="18"/>
              </w:rPr>
              <w:t>Algostim</w:t>
            </w:r>
            <w:proofErr w:type="spellEnd"/>
            <w:r w:rsidR="00483C7C" w:rsidRPr="00F560B7">
              <w:rPr>
                <w:sz w:val="18"/>
                <w:szCs w:val="18"/>
              </w:rPr>
              <w:t xml:space="preserve"> Research and Development</w:t>
            </w:r>
            <w:r w:rsidRPr="00F560B7">
              <w:rPr>
                <w:sz w:val="18"/>
                <w:szCs w:val="18"/>
              </w:rPr>
              <w:t>)</w:t>
            </w:r>
          </w:p>
        </w:tc>
        <w:tc>
          <w:tcPr>
            <w:tcW w:w="0" w:type="auto"/>
          </w:tcPr>
          <w:p w14:paraId="51D6252F" w14:textId="51D1E076" w:rsidR="005A7E52" w:rsidRPr="00F560B7" w:rsidRDefault="00D541D3" w:rsidP="006F5500">
            <w:pPr>
              <w:pStyle w:val="051Tabletext228pt"/>
              <w:rPr>
                <w:sz w:val="18"/>
                <w:szCs w:val="18"/>
                <w:lang w:val="en-US"/>
              </w:rPr>
            </w:pPr>
            <w:r w:rsidRPr="00F560B7">
              <w:rPr>
                <w:sz w:val="18"/>
                <w:szCs w:val="18"/>
                <w:lang w:val="en-US"/>
              </w:rPr>
              <w:t xml:space="preserve">The </w:t>
            </w:r>
            <w:proofErr w:type="spellStart"/>
            <w:r w:rsidRPr="00F560B7">
              <w:rPr>
                <w:sz w:val="18"/>
                <w:szCs w:val="18"/>
                <w:lang w:val="en-US"/>
              </w:rPr>
              <w:t>StimRouter</w:t>
            </w:r>
            <w:proofErr w:type="spellEnd"/>
            <w:r w:rsidRPr="00F560B7">
              <w:rPr>
                <w:sz w:val="18"/>
                <w:szCs w:val="18"/>
                <w:lang w:val="en-US"/>
              </w:rPr>
              <w:t xml:space="preserve"> Neuromodulation System is indicated for pain management in</w:t>
            </w:r>
            <w:r w:rsidR="00E82A85" w:rsidRPr="00F560B7">
              <w:rPr>
                <w:sz w:val="18"/>
                <w:szCs w:val="18"/>
                <w:lang w:val="en-US"/>
              </w:rPr>
              <w:t xml:space="preserve"> </w:t>
            </w:r>
            <w:r w:rsidRPr="00F560B7">
              <w:rPr>
                <w:sz w:val="18"/>
                <w:szCs w:val="18"/>
                <w:lang w:val="en-US"/>
              </w:rPr>
              <w:t xml:space="preserve">adults who have severe intractable chronic pain of peripheral nerve origin, as an adjunct to other modes of therapy (e.g., medications). The </w:t>
            </w:r>
            <w:proofErr w:type="spellStart"/>
            <w:r w:rsidRPr="00F560B7">
              <w:rPr>
                <w:sz w:val="18"/>
                <w:szCs w:val="18"/>
                <w:lang w:val="en-US"/>
              </w:rPr>
              <w:t>StimRouter</w:t>
            </w:r>
            <w:proofErr w:type="spellEnd"/>
            <w:r w:rsidRPr="00F560B7">
              <w:rPr>
                <w:sz w:val="18"/>
                <w:szCs w:val="18"/>
                <w:lang w:val="en-US"/>
              </w:rPr>
              <w:t xml:space="preserve"> is not</w:t>
            </w:r>
            <w:r w:rsidR="00B10CC3" w:rsidRPr="00F560B7">
              <w:rPr>
                <w:sz w:val="18"/>
                <w:szCs w:val="18"/>
                <w:lang w:val="en-US"/>
              </w:rPr>
              <w:t xml:space="preserve"> </w:t>
            </w:r>
            <w:r w:rsidRPr="00F560B7">
              <w:rPr>
                <w:sz w:val="18"/>
                <w:szCs w:val="18"/>
                <w:lang w:val="en-US"/>
              </w:rPr>
              <w:t>intended to treat pain in the craniofacial region.</w:t>
            </w:r>
          </w:p>
        </w:tc>
        <w:tc>
          <w:tcPr>
            <w:tcW w:w="0" w:type="auto"/>
          </w:tcPr>
          <w:p w14:paraId="1F5D53D1" w14:textId="382DA7F6" w:rsidR="005A7E52" w:rsidRPr="00F560B7" w:rsidRDefault="00E82A85" w:rsidP="006F5500">
            <w:pPr>
              <w:pStyle w:val="051Tabletext228pt"/>
              <w:rPr>
                <w:sz w:val="18"/>
                <w:szCs w:val="18"/>
                <w:lang w:val="en-US"/>
              </w:rPr>
            </w:pPr>
            <w:r w:rsidRPr="00F560B7">
              <w:rPr>
                <w:rFonts w:ascii="Wingdings" w:eastAsia="Wingdings" w:hAnsi="Wingdings" w:cs="Wingdings"/>
                <w:sz w:val="18"/>
                <w:szCs w:val="18"/>
                <w:lang w:val="en-US"/>
              </w:rPr>
              <w:t>û</w:t>
            </w:r>
          </w:p>
        </w:tc>
        <w:tc>
          <w:tcPr>
            <w:tcW w:w="0" w:type="auto"/>
          </w:tcPr>
          <w:p w14:paraId="798948EE" w14:textId="578E8A81" w:rsidR="00270D4A" w:rsidRPr="00F560B7" w:rsidRDefault="003A7AC3" w:rsidP="00C02777">
            <w:pPr>
              <w:pStyle w:val="051Tabletext228pt"/>
              <w:rPr>
                <w:sz w:val="18"/>
                <w:szCs w:val="18"/>
                <w:lang w:val="en-US"/>
              </w:rPr>
            </w:pPr>
            <w:r w:rsidRPr="00F560B7">
              <w:rPr>
                <w:sz w:val="18"/>
                <w:szCs w:val="18"/>
              </w:rPr>
              <w:t>38474 Stimulator, electrical, analgesic, peripheral nerve, implantable</w:t>
            </w:r>
          </w:p>
        </w:tc>
        <w:tc>
          <w:tcPr>
            <w:tcW w:w="0" w:type="auto"/>
          </w:tcPr>
          <w:p w14:paraId="1921696F" w14:textId="316D524A" w:rsidR="00270D4A" w:rsidRPr="00F560B7" w:rsidRDefault="00D06418" w:rsidP="00C02777">
            <w:pPr>
              <w:pStyle w:val="051Tabletext228pt"/>
              <w:rPr>
                <w:sz w:val="18"/>
                <w:szCs w:val="18"/>
                <w:lang w:val="en-US"/>
              </w:rPr>
            </w:pPr>
            <w:proofErr w:type="spellStart"/>
            <w:r w:rsidRPr="00F560B7">
              <w:rPr>
                <w:sz w:val="18"/>
                <w:szCs w:val="18"/>
                <w:lang w:val="en-US"/>
              </w:rPr>
              <w:t>I</w:t>
            </w:r>
            <w:r w:rsidR="00EC0C44" w:rsidRPr="00F560B7">
              <w:rPr>
                <w:sz w:val="18"/>
                <w:szCs w:val="18"/>
                <w:lang w:val="en-US"/>
              </w:rPr>
              <w:t>i</w:t>
            </w:r>
            <w:r w:rsidRPr="00F560B7">
              <w:rPr>
                <w:sz w:val="18"/>
                <w:szCs w:val="18"/>
                <w:lang w:val="en-US"/>
              </w:rPr>
              <w:t>b</w:t>
            </w:r>
            <w:proofErr w:type="spellEnd"/>
          </w:p>
        </w:tc>
      </w:tr>
    </w:tbl>
    <w:p w14:paraId="2A38A4F5" w14:textId="2946B939" w:rsidR="00691058" w:rsidRDefault="00691058" w:rsidP="00691058">
      <w:pPr>
        <w:pStyle w:val="111Tablefootnoteslast-nostick8pt"/>
        <w:spacing w:after="0"/>
      </w:pPr>
      <w:r>
        <w:t>Sources: Product IFUs, TGA entries, PL entries</w:t>
      </w:r>
    </w:p>
    <w:p w14:paraId="2E497E39" w14:textId="3997A0D4" w:rsidR="00B16748" w:rsidRDefault="00EA3C50" w:rsidP="00EA3C50">
      <w:pPr>
        <w:pStyle w:val="111Tablefootnoteslast-nostick8pt"/>
      </w:pPr>
      <w:r>
        <w:t>Abbreviations:</w:t>
      </w:r>
      <w:r w:rsidR="00061AE2">
        <w:t xml:space="preserve"> </w:t>
      </w:r>
      <w:r w:rsidR="002E603A">
        <w:t>AIMD, active implantable medical device;</w:t>
      </w:r>
      <w:r>
        <w:t xml:space="preserve"> </w:t>
      </w:r>
      <w:r w:rsidR="00061AE2">
        <w:t>DRGS, dorsal root ganglion stimulat</w:t>
      </w:r>
      <w:r w:rsidR="007906E5">
        <w:t>or;</w:t>
      </w:r>
      <w:r>
        <w:t xml:space="preserve"> </w:t>
      </w:r>
      <w:r w:rsidR="00B60A7E" w:rsidRPr="00B60A7E">
        <w:t>GMDN</w:t>
      </w:r>
      <w:r w:rsidR="006C7FB6">
        <w:t xml:space="preserve">, </w:t>
      </w:r>
      <w:r w:rsidR="00B60A7E" w:rsidRPr="00B60A7E">
        <w:t>Global Medical Device Nomenclature</w:t>
      </w:r>
      <w:r w:rsidR="006C7FB6">
        <w:t xml:space="preserve">; </w:t>
      </w:r>
      <w:r w:rsidR="0043678E">
        <w:t>IPG, implantable pulse generator;</w:t>
      </w:r>
      <w:r w:rsidR="00B60A7E">
        <w:t xml:space="preserve"> MBS, Medicare Benefits Schedule;</w:t>
      </w:r>
      <w:r w:rsidR="0043678E">
        <w:t xml:space="preserve"> MBNS, medial branch nerve stimulation; PNS, peripheral nerve stimulation;</w:t>
      </w:r>
      <w:r>
        <w:t xml:space="preserve"> </w:t>
      </w:r>
      <w:r w:rsidR="00061AE2">
        <w:t>SCS, spinal cord stimulat</w:t>
      </w:r>
      <w:r w:rsidR="0063482D">
        <w:t>ion</w:t>
      </w:r>
      <w:r w:rsidR="00061AE2">
        <w:t>;</w:t>
      </w:r>
      <w:r w:rsidR="0043678E">
        <w:t xml:space="preserve"> </w:t>
      </w:r>
      <w:r w:rsidR="00124A13">
        <w:t>TG</w:t>
      </w:r>
      <w:r w:rsidR="00972151">
        <w:t>A, Therapeutic Goods Administration</w:t>
      </w:r>
    </w:p>
    <w:p w14:paraId="0FD93BE7" w14:textId="2A85AC44" w:rsidR="00E4580B" w:rsidRDefault="00E4580B" w:rsidP="008F0915">
      <w:pPr>
        <w:pStyle w:val="Heading3"/>
        <w:numPr>
          <w:ilvl w:val="0"/>
          <w:numId w:val="0"/>
        </w:numPr>
        <w:ind w:left="1985" w:hanging="1985"/>
        <w:rPr>
          <w:lang w:val="en-US"/>
        </w:rPr>
      </w:pPr>
      <w:r>
        <w:rPr>
          <w:lang w:val="en-US"/>
        </w:rPr>
        <w:t xml:space="preserve">Dorsal </w:t>
      </w:r>
      <w:r w:rsidR="00943442">
        <w:rPr>
          <w:lang w:val="en-US"/>
        </w:rPr>
        <w:t>root ganglion stimulation</w:t>
      </w:r>
      <w:r>
        <w:rPr>
          <w:lang w:val="en-US"/>
        </w:rPr>
        <w:t xml:space="preserve"> </w:t>
      </w:r>
      <w:r w:rsidR="00B70249">
        <w:rPr>
          <w:lang w:val="en-US"/>
        </w:rPr>
        <w:t>(</w:t>
      </w:r>
      <w:r>
        <w:rPr>
          <w:lang w:val="en-US"/>
        </w:rPr>
        <w:t>Proclaim DRG</w:t>
      </w:r>
      <w:r w:rsidR="00B70249">
        <w:rPr>
          <w:lang w:val="en-US"/>
        </w:rPr>
        <w:t>)</w:t>
      </w:r>
    </w:p>
    <w:p w14:paraId="1BDBC5DE" w14:textId="00E925D4" w:rsidR="00E4580B" w:rsidRPr="00A548DC" w:rsidRDefault="00FF6D24" w:rsidP="00E4580B">
      <w:pPr>
        <w:pStyle w:val="BodyText"/>
      </w:pPr>
      <w:r w:rsidRPr="00A548DC">
        <w:t xml:space="preserve">DRGS devices </w:t>
      </w:r>
      <w:r w:rsidR="00F86816">
        <w:t xml:space="preserve">are considered within scope for </w:t>
      </w:r>
      <w:r w:rsidRPr="00A548DC">
        <w:t>this review</w:t>
      </w:r>
      <w:r w:rsidR="00F86816">
        <w:t>.</w:t>
      </w:r>
      <w:r w:rsidRPr="00A548DC">
        <w:t xml:space="preserve"> </w:t>
      </w:r>
      <w:r w:rsidR="00F86816">
        <w:t>T</w:t>
      </w:r>
      <w:r w:rsidRPr="00A548DC">
        <w:t>heir target location is similar to that of SCS devices</w:t>
      </w:r>
      <w:r w:rsidR="00F86816">
        <w:t>;</w:t>
      </w:r>
      <w:r w:rsidRPr="00A548DC">
        <w:t xml:space="preserve"> both target the epidural space of the spinal column, however DRGS leads are limited to the space under the vertebral pedicle at the thoracic and lumbar levels. While this allows for a more targeted neural focus, particularly in patients with refractory chronic neuropathic pain and focal pain (</w:t>
      </w:r>
      <w:proofErr w:type="spellStart"/>
      <w:r w:rsidRPr="00A548DC">
        <w:t>Rigoard</w:t>
      </w:r>
      <w:proofErr w:type="spellEnd"/>
      <w:r w:rsidRPr="00A548DC">
        <w:t xml:space="preserve"> </w:t>
      </w:r>
      <w:r w:rsidR="009D15BB">
        <w:t xml:space="preserve">et al. </w:t>
      </w:r>
      <w:r w:rsidRPr="00A548DC">
        <w:t>2022), the target for stimulation remains in the spinal column and is therefore appropriate for inclusion when reviewing SCS. DRGS and SCS systems will be referred to as ‘SCS’ for the remainder of this review.</w:t>
      </w:r>
    </w:p>
    <w:p w14:paraId="59428AEC" w14:textId="3FB6902D" w:rsidR="00E4580B" w:rsidRDefault="00E4580B" w:rsidP="008F0915">
      <w:pPr>
        <w:pStyle w:val="Heading3"/>
        <w:numPr>
          <w:ilvl w:val="0"/>
          <w:numId w:val="0"/>
        </w:numPr>
        <w:ind w:left="1985" w:hanging="1985"/>
        <w:rPr>
          <w:lang w:val="en-US"/>
        </w:rPr>
      </w:pPr>
      <w:r>
        <w:rPr>
          <w:lang w:val="en-US"/>
        </w:rPr>
        <w:t xml:space="preserve">Medical </w:t>
      </w:r>
      <w:r w:rsidR="00943442">
        <w:rPr>
          <w:lang w:val="en-US"/>
        </w:rPr>
        <w:t>branch nerve stimulation</w:t>
      </w:r>
      <w:r>
        <w:rPr>
          <w:lang w:val="en-US"/>
        </w:rPr>
        <w:t xml:space="preserve"> </w:t>
      </w:r>
      <w:r w:rsidR="00F86816">
        <w:rPr>
          <w:lang w:val="en-US"/>
        </w:rPr>
        <w:t>(</w:t>
      </w:r>
      <w:r>
        <w:rPr>
          <w:lang w:val="en-US"/>
        </w:rPr>
        <w:t>Reactiv8 Implantable Pulse Generator</w:t>
      </w:r>
      <w:r w:rsidR="00F86816">
        <w:rPr>
          <w:lang w:val="en-US"/>
        </w:rPr>
        <w:t>)</w:t>
      </w:r>
    </w:p>
    <w:p w14:paraId="40B30AB6" w14:textId="49FFC631" w:rsidR="004303E7" w:rsidRDefault="00995944" w:rsidP="00995944">
      <w:pPr>
        <w:pStyle w:val="BodyText"/>
        <w:rPr>
          <w:lang w:val="en-US"/>
        </w:rPr>
      </w:pPr>
      <w:r>
        <w:rPr>
          <w:lang w:val="en-US"/>
        </w:rPr>
        <w:t>The MBNS device is specific</w:t>
      </w:r>
      <w:r w:rsidR="00585850">
        <w:rPr>
          <w:lang w:val="en-US"/>
        </w:rPr>
        <w:t xml:space="preserve">ally indicated for </w:t>
      </w:r>
      <w:r w:rsidR="00585850" w:rsidRPr="00585850">
        <w:rPr>
          <w:lang w:val="en-US"/>
        </w:rPr>
        <w:t>chronic low back pain associated with multifidus muscle dysfunction</w:t>
      </w:r>
      <w:r w:rsidR="00585850">
        <w:rPr>
          <w:lang w:val="en-US"/>
        </w:rPr>
        <w:t xml:space="preserve">. It </w:t>
      </w:r>
      <w:r w:rsidR="00D40552">
        <w:rPr>
          <w:lang w:val="en-US"/>
        </w:rPr>
        <w:t xml:space="preserve">targets the medial branch of the dorsal ramus and would likely </w:t>
      </w:r>
      <w:r w:rsidR="009A5137">
        <w:rPr>
          <w:lang w:val="en-US"/>
        </w:rPr>
        <w:t>be</w:t>
      </w:r>
      <w:r w:rsidR="00D40552">
        <w:rPr>
          <w:lang w:val="en-US"/>
        </w:rPr>
        <w:t xml:space="preserve"> included in the TGA </w:t>
      </w:r>
      <w:r w:rsidR="00E82C1F">
        <w:rPr>
          <w:lang w:val="en-US"/>
        </w:rPr>
        <w:t xml:space="preserve">review on the basis of this being a </w:t>
      </w:r>
      <w:r w:rsidR="009A5137">
        <w:rPr>
          <w:lang w:val="en-US"/>
        </w:rPr>
        <w:t xml:space="preserve">peripheral spinal nerve. However, the sponsor considers the device out </w:t>
      </w:r>
      <w:r w:rsidR="009A5137">
        <w:rPr>
          <w:lang w:val="en-US"/>
        </w:rPr>
        <w:lastRenderedPageBreak/>
        <w:t xml:space="preserve">of scope for the review and </w:t>
      </w:r>
      <w:r w:rsidR="0067425C">
        <w:rPr>
          <w:lang w:val="en-US"/>
        </w:rPr>
        <w:t>unlike SCS and DRGS devices, it is not implanted into the epidural space of the spinal cord</w:t>
      </w:r>
      <w:r w:rsidR="00405007">
        <w:rPr>
          <w:lang w:val="en-US"/>
        </w:rPr>
        <w:t xml:space="preserve">. </w:t>
      </w:r>
      <w:r w:rsidR="00B63169">
        <w:rPr>
          <w:lang w:val="en-US"/>
        </w:rPr>
        <w:t>The device is considered out of scope for the review</w:t>
      </w:r>
      <w:r w:rsidR="00CC4141">
        <w:rPr>
          <w:lang w:val="en-US"/>
        </w:rPr>
        <w:t>,</w:t>
      </w:r>
      <w:r w:rsidR="00B63169">
        <w:rPr>
          <w:lang w:val="en-US"/>
        </w:rPr>
        <w:t xml:space="preserve"> give</w:t>
      </w:r>
      <w:r w:rsidR="008B1DBB">
        <w:rPr>
          <w:lang w:val="en-US"/>
        </w:rPr>
        <w:t xml:space="preserve">n it is </w:t>
      </w:r>
      <w:r w:rsidR="00856367">
        <w:rPr>
          <w:lang w:val="en-US"/>
        </w:rPr>
        <w:t xml:space="preserve">not </w:t>
      </w:r>
      <w:r w:rsidR="009C1150">
        <w:rPr>
          <w:lang w:val="en-US"/>
        </w:rPr>
        <w:t>targeting the spinal cord.</w:t>
      </w:r>
      <w:r w:rsidR="00B63169">
        <w:rPr>
          <w:lang w:val="en-US"/>
        </w:rPr>
        <w:t xml:space="preserve"> </w:t>
      </w:r>
    </w:p>
    <w:p w14:paraId="62B71040" w14:textId="24931C2F" w:rsidR="00E54EA5" w:rsidRDefault="004303E7" w:rsidP="00E54EA5">
      <w:pPr>
        <w:pStyle w:val="BodyText"/>
        <w:rPr>
          <w:lang w:val="en-US"/>
        </w:rPr>
      </w:pPr>
      <w:r>
        <w:rPr>
          <w:lang w:val="en-US"/>
        </w:rPr>
        <w:t>MBNS device</w:t>
      </w:r>
      <w:r w:rsidR="00074956">
        <w:rPr>
          <w:lang w:val="en-US"/>
        </w:rPr>
        <w:t>s</w:t>
      </w:r>
      <w:r>
        <w:rPr>
          <w:lang w:val="en-US"/>
        </w:rPr>
        <w:t xml:space="preserve"> may be expected to have different clinical </w:t>
      </w:r>
      <w:r w:rsidR="002F7E75">
        <w:rPr>
          <w:lang w:val="en-US"/>
        </w:rPr>
        <w:t>effectiveness and</w:t>
      </w:r>
      <w:r w:rsidR="00074956">
        <w:rPr>
          <w:lang w:val="en-US"/>
        </w:rPr>
        <w:t xml:space="preserve"> safety </w:t>
      </w:r>
      <w:r>
        <w:rPr>
          <w:lang w:val="en-US"/>
        </w:rPr>
        <w:t>outcomes</w:t>
      </w:r>
      <w:r w:rsidR="00D42912">
        <w:rPr>
          <w:lang w:val="en-US"/>
        </w:rPr>
        <w:t xml:space="preserve"> </w:t>
      </w:r>
      <w:r w:rsidR="00074956">
        <w:rPr>
          <w:lang w:val="en-US"/>
        </w:rPr>
        <w:t>compared to SCS devices</w:t>
      </w:r>
      <w:r w:rsidR="002F7E75">
        <w:rPr>
          <w:lang w:val="en-US"/>
        </w:rPr>
        <w:t xml:space="preserve"> and</w:t>
      </w:r>
      <w:r w:rsidR="00B63169">
        <w:rPr>
          <w:lang w:val="en-US"/>
        </w:rPr>
        <w:t xml:space="preserve"> would need to be evaluated separately</w:t>
      </w:r>
      <w:r w:rsidR="002F7E75">
        <w:rPr>
          <w:lang w:val="en-US"/>
        </w:rPr>
        <w:t xml:space="preserve">. </w:t>
      </w:r>
      <w:r w:rsidR="001B6549">
        <w:rPr>
          <w:lang w:val="en-US"/>
        </w:rPr>
        <w:t>NICE evaluated these devices in 2022 (</w:t>
      </w:r>
      <w:r w:rsidR="004A1D0C">
        <w:rPr>
          <w:lang w:val="en-US"/>
        </w:rPr>
        <w:t>NICE 2022)</w:t>
      </w:r>
      <w:r w:rsidR="001B6549">
        <w:rPr>
          <w:lang w:val="en-US"/>
        </w:rPr>
        <w:t xml:space="preserve"> </w:t>
      </w:r>
      <w:r w:rsidR="000A5F67">
        <w:rPr>
          <w:lang w:val="en-US"/>
        </w:rPr>
        <w:t>and concluded that</w:t>
      </w:r>
      <w:r w:rsidR="00E54EA5">
        <w:rPr>
          <w:lang w:val="en-US"/>
        </w:rPr>
        <w:t>:</w:t>
      </w:r>
      <w:r w:rsidR="000A5F67">
        <w:rPr>
          <w:lang w:val="en-US"/>
        </w:rPr>
        <w:t xml:space="preserve"> </w:t>
      </w:r>
    </w:p>
    <w:p w14:paraId="6DAB1388" w14:textId="311F66AC" w:rsidR="00995944" w:rsidRPr="00E0247D" w:rsidRDefault="00E54EA5" w:rsidP="00E0247D">
      <w:pPr>
        <w:pStyle w:val="Quote"/>
      </w:pPr>
      <w:r w:rsidRPr="00E0247D">
        <w:t>‘E</w:t>
      </w:r>
      <w:r w:rsidR="000A5F67" w:rsidRPr="00E0247D">
        <w:t xml:space="preserve">vidence on the efficacy and safety </w:t>
      </w:r>
      <w:r w:rsidRPr="00E0247D">
        <w:t>of neurostimulation of lumbar muscles for refractory non-specific chronic low back pain is limited in quantity and quality. Therefore, this procedure should only be used with special arrangements for clinical governance, consent, and audit or research.’</w:t>
      </w:r>
    </w:p>
    <w:p w14:paraId="0758140B" w14:textId="2D9E8541" w:rsidR="00E4580B" w:rsidRPr="00293EE2" w:rsidRDefault="00E4580B" w:rsidP="008F0915">
      <w:pPr>
        <w:pStyle w:val="Heading3"/>
        <w:numPr>
          <w:ilvl w:val="0"/>
          <w:numId w:val="0"/>
        </w:numPr>
        <w:ind w:left="1985" w:hanging="1985"/>
        <w:rPr>
          <w:lang w:val="en-US"/>
        </w:rPr>
      </w:pPr>
      <w:r>
        <w:rPr>
          <w:lang w:val="en-US"/>
        </w:rPr>
        <w:t xml:space="preserve">Peripheral </w:t>
      </w:r>
      <w:r w:rsidR="00345049">
        <w:rPr>
          <w:lang w:val="en-US"/>
        </w:rPr>
        <w:t>nerve stimulation</w:t>
      </w:r>
      <w:r>
        <w:rPr>
          <w:lang w:val="en-US"/>
        </w:rPr>
        <w:t xml:space="preserve"> </w:t>
      </w:r>
      <w:r w:rsidR="00995944">
        <w:rPr>
          <w:lang w:val="en-US"/>
        </w:rPr>
        <w:t>(</w:t>
      </w:r>
      <w:proofErr w:type="spellStart"/>
      <w:r>
        <w:rPr>
          <w:lang w:val="en-US"/>
        </w:rPr>
        <w:t>StimRouter</w:t>
      </w:r>
      <w:proofErr w:type="spellEnd"/>
      <w:r>
        <w:rPr>
          <w:lang w:val="en-US"/>
        </w:rPr>
        <w:t xml:space="preserve"> Neuromodulation System Kit</w:t>
      </w:r>
      <w:r w:rsidR="00995944">
        <w:rPr>
          <w:lang w:val="en-US"/>
        </w:rPr>
        <w:t>)</w:t>
      </w:r>
    </w:p>
    <w:p w14:paraId="1BADA625" w14:textId="6DE78B85" w:rsidR="003C535C" w:rsidRPr="002379BA" w:rsidRDefault="007A793F" w:rsidP="002379BA">
      <w:pPr>
        <w:pStyle w:val="BodyText"/>
        <w:rPr>
          <w:lang w:val="en-US"/>
        </w:rPr>
      </w:pPr>
      <w:r>
        <w:rPr>
          <w:lang w:val="en-US"/>
        </w:rPr>
        <w:t xml:space="preserve">The PNS device, </w:t>
      </w:r>
      <w:proofErr w:type="spellStart"/>
      <w:r>
        <w:rPr>
          <w:lang w:val="en-US"/>
        </w:rPr>
        <w:t>StimRouter</w:t>
      </w:r>
      <w:proofErr w:type="spellEnd"/>
      <w:r>
        <w:rPr>
          <w:lang w:val="en-US"/>
        </w:rPr>
        <w:t xml:space="preserve">, can </w:t>
      </w:r>
      <w:r w:rsidR="007A61BD">
        <w:rPr>
          <w:lang w:val="en-US"/>
        </w:rPr>
        <w:t xml:space="preserve">be used to target </w:t>
      </w:r>
      <w:r w:rsidR="005A1D5B">
        <w:rPr>
          <w:lang w:val="en-US"/>
        </w:rPr>
        <w:t>different peripheral nerves around the body depending on the site of the pain. It differs significantly from the other devices and is out of scope for the revie</w:t>
      </w:r>
      <w:r w:rsidR="00365BAC">
        <w:rPr>
          <w:lang w:val="en-US"/>
        </w:rPr>
        <w:t xml:space="preserve">w. </w:t>
      </w:r>
      <w:r w:rsidR="000F4691">
        <w:rPr>
          <w:lang w:val="en-US"/>
        </w:rPr>
        <w:t xml:space="preserve">It would also be out of scope for the TGA review. </w:t>
      </w:r>
      <w:r w:rsidR="002F62FE">
        <w:rPr>
          <w:lang w:val="en-US"/>
        </w:rPr>
        <w:t>Two systematic reviews</w:t>
      </w:r>
      <w:r w:rsidR="00DF7552">
        <w:rPr>
          <w:lang w:val="en-US"/>
        </w:rPr>
        <w:t xml:space="preserve"> (SRs)</w:t>
      </w:r>
      <w:r w:rsidR="002F62FE">
        <w:rPr>
          <w:lang w:val="en-US"/>
        </w:rPr>
        <w:t xml:space="preserve"> of PNS were identified in the evidence scan (Wong</w:t>
      </w:r>
      <w:r w:rsidR="00594C41">
        <w:rPr>
          <w:lang w:val="en-US"/>
        </w:rPr>
        <w:t xml:space="preserve"> et al.</w:t>
      </w:r>
      <w:r w:rsidR="002F62FE">
        <w:rPr>
          <w:lang w:val="en-US"/>
        </w:rPr>
        <w:t xml:space="preserve"> </w:t>
      </w:r>
      <w:r w:rsidR="006D2FBF">
        <w:rPr>
          <w:lang w:val="en-US"/>
        </w:rPr>
        <w:t>2022; Helm</w:t>
      </w:r>
      <w:r w:rsidR="00594C41">
        <w:rPr>
          <w:lang w:val="en-US"/>
        </w:rPr>
        <w:t xml:space="preserve"> et al.</w:t>
      </w:r>
      <w:r w:rsidR="006D2FBF">
        <w:rPr>
          <w:lang w:val="en-US"/>
        </w:rPr>
        <w:t xml:space="preserve"> 2021)</w:t>
      </w:r>
      <w:r w:rsidR="009372DE">
        <w:rPr>
          <w:lang w:val="en-US"/>
        </w:rPr>
        <w:t>.</w:t>
      </w:r>
    </w:p>
    <w:p w14:paraId="1D8AD478" w14:textId="623CEF90" w:rsidR="00BD3989" w:rsidRPr="00BD3989" w:rsidRDefault="004E0E27" w:rsidP="004E0E27">
      <w:pPr>
        <w:pStyle w:val="Heading2"/>
        <w:rPr>
          <w:lang w:val="en-US"/>
        </w:rPr>
      </w:pPr>
      <w:bookmarkStart w:id="60" w:name="_Toc165634661"/>
      <w:r>
        <w:rPr>
          <w:lang w:val="en-US"/>
        </w:rPr>
        <w:t>Conclusions</w:t>
      </w:r>
      <w:r w:rsidR="00A533E4">
        <w:rPr>
          <w:lang w:val="en-US"/>
        </w:rPr>
        <w:t>/Summary</w:t>
      </w:r>
      <w:bookmarkEnd w:id="60"/>
    </w:p>
    <w:p w14:paraId="617D15A7" w14:textId="4836DE14" w:rsidR="00E675EB" w:rsidRPr="009D0F36" w:rsidRDefault="00BD795A" w:rsidP="009D0F36">
      <w:pPr>
        <w:pStyle w:val="BodyText"/>
      </w:pPr>
      <w:r>
        <w:t>The devices in scope for the review are SCS and DRGS devices</w:t>
      </w:r>
      <w:r w:rsidR="000D6A3C">
        <w:t xml:space="preserve">. These devices are </w:t>
      </w:r>
      <w:r>
        <w:t xml:space="preserve">shaded in green and </w:t>
      </w:r>
      <w:r w:rsidR="000D6A3C">
        <w:t xml:space="preserve">yellow in </w:t>
      </w:r>
      <w:r w:rsidR="000D6A3C">
        <w:fldChar w:fldCharType="begin"/>
      </w:r>
      <w:r w:rsidR="000D6A3C">
        <w:instrText xml:space="preserve"> REF _Ref129592198 \h </w:instrText>
      </w:r>
      <w:r w:rsidR="000D6A3C">
        <w:fldChar w:fldCharType="separate"/>
      </w:r>
      <w:r w:rsidR="00CE6ACA">
        <w:t xml:space="preserve">Table </w:t>
      </w:r>
      <w:r w:rsidR="00CE6ACA">
        <w:rPr>
          <w:noProof/>
        </w:rPr>
        <w:t>3</w:t>
      </w:r>
      <w:r w:rsidR="000D6A3C">
        <w:fldChar w:fldCharType="end"/>
      </w:r>
      <w:r w:rsidR="000D6A3C">
        <w:t>. The MB</w:t>
      </w:r>
      <w:r w:rsidR="00AC5351">
        <w:t>N</w:t>
      </w:r>
      <w:r w:rsidR="000D6A3C">
        <w:t xml:space="preserve">S and PNS devices shaded </w:t>
      </w:r>
      <w:r>
        <w:t>orange</w:t>
      </w:r>
      <w:r w:rsidR="000D6A3C">
        <w:t xml:space="preserve"> are out of scope</w:t>
      </w:r>
      <w:r w:rsidR="002E333B">
        <w:t xml:space="preserve"> and </w:t>
      </w:r>
      <w:r w:rsidR="00FA0A83">
        <w:t>are not considered in the comparative clinical effectiveness or cost-effectiveness analysis.</w:t>
      </w:r>
      <w:r w:rsidR="002E333B">
        <w:t xml:space="preserve"> </w:t>
      </w:r>
      <w:r w:rsidR="00E12B2A">
        <w:t xml:space="preserve">Therefore, the </w:t>
      </w:r>
      <w:r w:rsidR="00D3123E">
        <w:t xml:space="preserve">PL </w:t>
      </w:r>
      <w:r w:rsidR="00BF2A9F">
        <w:t>G</w:t>
      </w:r>
      <w:r w:rsidR="00C205E3">
        <w:t xml:space="preserve">roup </w:t>
      </w:r>
      <w:r w:rsidR="00D3123E">
        <w:t xml:space="preserve">‘04.05.01 Pulse Generators’ will not have been reviewed in </w:t>
      </w:r>
      <w:r w:rsidR="007359C4">
        <w:t>its</w:t>
      </w:r>
      <w:r w:rsidR="00D3123E">
        <w:t xml:space="preserve"> entirety</w:t>
      </w:r>
      <w:r w:rsidR="00FD75AF">
        <w:t>. The two out of scope devices have not been subject to HTA in Australia through either the MSAC or P</w:t>
      </w:r>
      <w:r w:rsidR="00011DB6">
        <w:t>LAC</w:t>
      </w:r>
      <w:r w:rsidR="002F7650">
        <w:t>/MDHTAC</w:t>
      </w:r>
      <w:r w:rsidR="00011DB6">
        <w:t xml:space="preserve"> </w:t>
      </w:r>
      <w:r w:rsidR="00C26227">
        <w:t xml:space="preserve">processes and </w:t>
      </w:r>
      <w:r w:rsidR="007F03E7">
        <w:t xml:space="preserve">consideration should be given </w:t>
      </w:r>
      <w:r w:rsidR="00812725">
        <w:t>both</w:t>
      </w:r>
      <w:r w:rsidR="00E4342B">
        <w:t xml:space="preserve"> to</w:t>
      </w:r>
      <w:r w:rsidR="00812725">
        <w:t xml:space="preserve"> whether they should</w:t>
      </w:r>
      <w:r w:rsidR="00306FCC">
        <w:t xml:space="preserve"> undergo assessment and whether they </w:t>
      </w:r>
      <w:r w:rsidR="0068042B">
        <w:t>should</w:t>
      </w:r>
      <w:r w:rsidR="00812725">
        <w:t xml:space="preserve"> remain in the same </w:t>
      </w:r>
      <w:r w:rsidR="00BF2A9F">
        <w:t>G</w:t>
      </w:r>
      <w:r w:rsidR="00812725">
        <w:t>roup as SCS devices</w:t>
      </w:r>
      <w:r w:rsidR="00306FCC">
        <w:t>.</w:t>
      </w:r>
    </w:p>
    <w:p w14:paraId="3BDA962E" w14:textId="3438FD65" w:rsidR="00681387" w:rsidRDefault="00EB0E41" w:rsidP="00C67D39">
      <w:pPr>
        <w:pStyle w:val="Heading1"/>
      </w:pPr>
      <w:bookmarkStart w:id="61" w:name="_Toc165634662"/>
      <w:r>
        <w:lastRenderedPageBreak/>
        <w:t>Comparative clinical effectiveness</w:t>
      </w:r>
      <w:bookmarkEnd w:id="61"/>
    </w:p>
    <w:p w14:paraId="0434DEC8" w14:textId="0CE6266F" w:rsidR="002D2E51" w:rsidRDefault="002D2E51" w:rsidP="002D2E51">
      <w:pPr>
        <w:pStyle w:val="Heading2"/>
      </w:pPr>
      <w:bookmarkStart w:id="62" w:name="_Toc126153516"/>
      <w:bookmarkStart w:id="63" w:name="_Ref134454792"/>
      <w:bookmarkStart w:id="64" w:name="_Toc165634663"/>
      <w:r>
        <w:t>Methodology</w:t>
      </w:r>
      <w:bookmarkEnd w:id="62"/>
      <w:bookmarkEnd w:id="63"/>
      <w:bookmarkEnd w:id="64"/>
    </w:p>
    <w:p w14:paraId="1A4CBAC9" w14:textId="74BBED07" w:rsidR="00831757" w:rsidRDefault="00831757" w:rsidP="002D2E51">
      <w:pPr>
        <w:pStyle w:val="BodyText"/>
      </w:pPr>
      <w:bookmarkStart w:id="65" w:name="_Hlk129166600"/>
      <w:r>
        <w:t>The research question to focus the review is:</w:t>
      </w:r>
    </w:p>
    <w:p w14:paraId="6267391E" w14:textId="154C37E2" w:rsidR="00831757" w:rsidRDefault="00831757" w:rsidP="006346FB">
      <w:pPr>
        <w:pStyle w:val="Boxeditalictext"/>
      </w:pPr>
      <w:r w:rsidRPr="00831757">
        <w:t>What is the clinical effectiveness of SCS for the treatment of chronic pain compared to standard care or other therap</w:t>
      </w:r>
      <w:bookmarkEnd w:id="65"/>
      <w:r w:rsidRPr="00831757">
        <w:t>eutic approaches?</w:t>
      </w:r>
    </w:p>
    <w:p w14:paraId="7B24A6DC" w14:textId="3A12FE0B" w:rsidR="00576002" w:rsidRDefault="00831757" w:rsidP="002D2E51">
      <w:pPr>
        <w:pStyle w:val="BodyText"/>
      </w:pPr>
      <w:r>
        <w:t>This</w:t>
      </w:r>
      <w:r w:rsidR="00576002">
        <w:t xml:space="preserve"> </w:t>
      </w:r>
      <w:r>
        <w:t>was</w:t>
      </w:r>
      <w:r w:rsidR="00576002">
        <w:t xml:space="preserve"> assessed using a rapid review methodology</w:t>
      </w:r>
      <w:r w:rsidR="006C4291">
        <w:t xml:space="preserve">. The review </w:t>
      </w:r>
      <w:r w:rsidR="00CA3A5D">
        <w:t>utilises existing</w:t>
      </w:r>
      <w:r w:rsidR="006C4291">
        <w:t xml:space="preserve"> </w:t>
      </w:r>
      <w:r w:rsidR="00DF7552">
        <w:t>SRs</w:t>
      </w:r>
      <w:r w:rsidR="006C4291">
        <w:t xml:space="preserve"> and </w:t>
      </w:r>
      <w:r w:rsidR="00001769">
        <w:t>includes</w:t>
      </w:r>
      <w:r w:rsidR="006C4291">
        <w:t xml:space="preserve"> primary studies only where gaps in the evidence base are apparent. The approach to evidence identification is multipronged consisting of:</w:t>
      </w:r>
    </w:p>
    <w:p w14:paraId="7CF31E00" w14:textId="3472ADF2" w:rsidR="002E5D6B" w:rsidRDefault="00B95DE5" w:rsidP="00A26096">
      <w:pPr>
        <w:pStyle w:val="BodyText"/>
        <w:numPr>
          <w:ilvl w:val="0"/>
          <w:numId w:val="5"/>
        </w:numPr>
      </w:pPr>
      <w:r>
        <w:t>t</w:t>
      </w:r>
      <w:r w:rsidR="002E5D6B">
        <w:t>argeted evidence scan</w:t>
      </w:r>
      <w:r w:rsidR="008D631A">
        <w:t>;</w:t>
      </w:r>
    </w:p>
    <w:p w14:paraId="636CE08A" w14:textId="799DDA93" w:rsidR="006C4291" w:rsidRDefault="00B95DE5" w:rsidP="00A26096">
      <w:pPr>
        <w:pStyle w:val="BodyText"/>
        <w:numPr>
          <w:ilvl w:val="0"/>
          <w:numId w:val="5"/>
        </w:numPr>
      </w:pPr>
      <w:r>
        <w:t>k</w:t>
      </w:r>
      <w:r w:rsidR="006C4291">
        <w:t xml:space="preserve">ey documents supplied by </w:t>
      </w:r>
      <w:proofErr w:type="spellStart"/>
      <w:r w:rsidR="006C4291">
        <w:t>DoHA</w:t>
      </w:r>
      <w:r w:rsidR="00BF34C9">
        <w:t>C</w:t>
      </w:r>
      <w:proofErr w:type="spellEnd"/>
      <w:r w:rsidR="006C4291">
        <w:t xml:space="preserve"> (see</w:t>
      </w:r>
      <w:r w:rsidR="00514B20">
        <w:t xml:space="preserve"> </w:t>
      </w:r>
      <w:r w:rsidR="00514B20">
        <w:fldChar w:fldCharType="begin"/>
      </w:r>
      <w:r w:rsidR="00514B20">
        <w:instrText xml:space="preserve"> REF _Ref134643641 \h </w:instrText>
      </w:r>
      <w:r w:rsidR="00514B20">
        <w:fldChar w:fldCharType="separate"/>
      </w:r>
      <w:r w:rsidR="00CE6ACA">
        <w:t xml:space="preserve">Table </w:t>
      </w:r>
      <w:r w:rsidR="00CE6ACA">
        <w:rPr>
          <w:noProof/>
        </w:rPr>
        <w:t>1</w:t>
      </w:r>
      <w:r w:rsidR="00514B20">
        <w:fldChar w:fldCharType="end"/>
      </w:r>
      <w:r w:rsidR="006C4291">
        <w:t xml:space="preserve">), sponsors and </w:t>
      </w:r>
      <w:r w:rsidR="00C6326D">
        <w:t>stakeholders.</w:t>
      </w:r>
    </w:p>
    <w:p w14:paraId="00B63055" w14:textId="564B46BF" w:rsidR="006C4291" w:rsidRDefault="005640F7" w:rsidP="006C4291">
      <w:pPr>
        <w:pStyle w:val="BodyText"/>
      </w:pPr>
      <w:r>
        <w:t>D</w:t>
      </w:r>
      <w:r w:rsidR="006C4291">
        <w:t xml:space="preserve">etails of the methodology are provided in </w:t>
      </w:r>
      <w:r>
        <w:rPr>
          <w:highlight w:val="yellow"/>
        </w:rPr>
        <w:fldChar w:fldCharType="begin"/>
      </w:r>
      <w:r>
        <w:instrText xml:space="preserve"> REF _Ref134350936 \n \h </w:instrText>
      </w:r>
      <w:r>
        <w:rPr>
          <w:highlight w:val="yellow"/>
        </w:rPr>
      </w:r>
      <w:r>
        <w:rPr>
          <w:highlight w:val="yellow"/>
        </w:rPr>
        <w:fldChar w:fldCharType="separate"/>
      </w:r>
      <w:r w:rsidR="00CE6ACA">
        <w:t>Appendix C</w:t>
      </w:r>
      <w:r>
        <w:rPr>
          <w:highlight w:val="yellow"/>
        </w:rPr>
        <w:fldChar w:fldCharType="end"/>
      </w:r>
      <w:r w:rsidR="006C4291">
        <w:t>.</w:t>
      </w:r>
    </w:p>
    <w:p w14:paraId="27D8B18C" w14:textId="7AAA19AF" w:rsidR="00BF49A3" w:rsidRDefault="00BF49A3" w:rsidP="00BF49A3">
      <w:pPr>
        <w:pStyle w:val="Heading3"/>
      </w:pPr>
      <w:bookmarkStart w:id="66" w:name="_Toc165634664"/>
      <w:r>
        <w:t>Targeted evidence scan</w:t>
      </w:r>
      <w:bookmarkEnd w:id="66"/>
    </w:p>
    <w:p w14:paraId="000AEF7E" w14:textId="355174FD" w:rsidR="003D442B" w:rsidRDefault="00846EE9" w:rsidP="004D10D2">
      <w:pPr>
        <w:pStyle w:val="BodyText"/>
      </w:pPr>
      <w:r>
        <w:t>A rapid search of the peer-reviewed scientific literature and the grey literature was conducted</w:t>
      </w:r>
      <w:r w:rsidR="007F25A3">
        <w:t xml:space="preserve"> (</w:t>
      </w:r>
      <w:r w:rsidR="0001276A">
        <w:fldChar w:fldCharType="begin"/>
      </w:r>
      <w:r w:rsidR="0001276A">
        <w:instrText xml:space="preserve"> REF _Ref134350936 \n \h </w:instrText>
      </w:r>
      <w:r w:rsidR="0001276A">
        <w:fldChar w:fldCharType="separate"/>
      </w:r>
      <w:r w:rsidR="00CE6ACA">
        <w:t>Appendix C</w:t>
      </w:r>
      <w:r w:rsidR="0001276A">
        <w:fldChar w:fldCharType="end"/>
      </w:r>
      <w:r w:rsidR="00FD1B77">
        <w:t xml:space="preserve">, Section </w:t>
      </w:r>
      <w:r w:rsidR="00FD1B77">
        <w:fldChar w:fldCharType="begin"/>
      </w:r>
      <w:r w:rsidR="00FD1B77">
        <w:instrText xml:space="preserve"> REF _Ref134615601 \n \h </w:instrText>
      </w:r>
      <w:r w:rsidR="00FD1B77">
        <w:fldChar w:fldCharType="separate"/>
      </w:r>
      <w:r w:rsidR="00CE6ACA">
        <w:t>C.1.1</w:t>
      </w:r>
      <w:r w:rsidR="00FD1B77">
        <w:fldChar w:fldCharType="end"/>
      </w:r>
      <w:r w:rsidR="00FD1B77">
        <w:t>)</w:t>
      </w:r>
      <w:r>
        <w:t>. A pragmatic approach was taken with a focus on identifying the most comprehensive, high</w:t>
      </w:r>
      <w:r w:rsidR="00462B0A">
        <w:t xml:space="preserve"> </w:t>
      </w:r>
      <w:r>
        <w:t xml:space="preserve">quality, and recent </w:t>
      </w:r>
      <w:r w:rsidR="00DF7552">
        <w:t>SRs</w:t>
      </w:r>
      <w:r>
        <w:t xml:space="preserve"> </w:t>
      </w:r>
      <w:r w:rsidR="00427A22">
        <w:t xml:space="preserve">that </w:t>
      </w:r>
      <w:r>
        <w:t>addressed the study question, and supplementing this with additional studies if necessary.</w:t>
      </w:r>
      <w:r w:rsidR="004D10D2">
        <w:t xml:space="preserve"> Following this evidence scan, O’Connell (2021) published by the Cochrane </w:t>
      </w:r>
      <w:r w:rsidR="0000753E">
        <w:t>C</w:t>
      </w:r>
      <w:r w:rsidR="004D10D2">
        <w:t>ollaboration was identified as the most recent, applicable, and comprehensive evidence source. As a Cochrane review, it is subject to high editorial standards and is considered at low risk of bias.</w:t>
      </w:r>
      <w:r w:rsidR="004D10D2" w:rsidRPr="004D10D2">
        <w:t xml:space="preserve"> </w:t>
      </w:r>
    </w:p>
    <w:p w14:paraId="6358D0F7" w14:textId="5A3C0C6C" w:rsidR="004D10D2" w:rsidRDefault="004D10D2" w:rsidP="004D10D2">
      <w:pPr>
        <w:pStyle w:val="BodyText"/>
      </w:pPr>
      <w:r>
        <w:t xml:space="preserve">During preparation of this review, a second study published by the Cochrane </w:t>
      </w:r>
      <w:r w:rsidR="0000753E">
        <w:t>C</w:t>
      </w:r>
      <w:r>
        <w:t>ollaboration (Traeg</w:t>
      </w:r>
      <w:r w:rsidR="00D47926">
        <w:t>e</w:t>
      </w:r>
      <w:r>
        <w:t xml:space="preserve">r 2023) was published. These </w:t>
      </w:r>
      <w:r w:rsidR="00CA6F49">
        <w:t xml:space="preserve">two </w:t>
      </w:r>
      <w:r w:rsidR="00DF7552">
        <w:t>SRs</w:t>
      </w:r>
      <w:r>
        <w:t xml:space="preserve"> were selected as key studies.</w:t>
      </w:r>
      <w:r w:rsidR="005E5E0C">
        <w:t xml:space="preserve"> </w:t>
      </w:r>
      <w:r w:rsidR="003A7D02">
        <w:t>O’Connell (2021) consider</w:t>
      </w:r>
      <w:r w:rsidR="00B45EED">
        <w:t>ed</w:t>
      </w:r>
      <w:r w:rsidR="003A7D02">
        <w:t xml:space="preserve"> SCS for chronic neuropathic pain whil</w:t>
      </w:r>
      <w:r w:rsidR="00071FFB">
        <w:t>st</w:t>
      </w:r>
      <w:r w:rsidR="003A7D02">
        <w:t xml:space="preserve"> Traeg</w:t>
      </w:r>
      <w:r w:rsidR="00B7188D">
        <w:t>e</w:t>
      </w:r>
      <w:r w:rsidR="003A7D02">
        <w:t>r (2023)</w:t>
      </w:r>
      <w:r w:rsidR="00B45EED">
        <w:t xml:space="preserve"> was restricted to studies in patients with low back pain. </w:t>
      </w:r>
      <w:r w:rsidR="005D01B0">
        <w:t xml:space="preserve">A third </w:t>
      </w:r>
      <w:r w:rsidR="00DF7552">
        <w:t>SR</w:t>
      </w:r>
      <w:r w:rsidR="005D01B0">
        <w:t xml:space="preserve"> (NICE 2008) has been included to consider SCS in</w:t>
      </w:r>
      <w:r w:rsidR="00ED6104">
        <w:t xml:space="preserve"> ischaemic conditions. </w:t>
      </w:r>
    </w:p>
    <w:p w14:paraId="4DCA1F91" w14:textId="2339E641" w:rsidR="00CF38B2" w:rsidRDefault="00CF38B2" w:rsidP="00CF38B2">
      <w:pPr>
        <w:pStyle w:val="Heading3"/>
      </w:pPr>
      <w:bookmarkStart w:id="67" w:name="_Toc165634665"/>
      <w:r>
        <w:t>Studies from stakeholder submissions</w:t>
      </w:r>
      <w:bookmarkEnd w:id="67"/>
    </w:p>
    <w:p w14:paraId="46260DEA" w14:textId="5BE83E3D" w:rsidR="000265D2" w:rsidRPr="00820C4A" w:rsidRDefault="00CF38B2" w:rsidP="00BF49A3">
      <w:pPr>
        <w:pStyle w:val="BodyText"/>
      </w:pPr>
      <w:r>
        <w:t xml:space="preserve">Stakeholders were invited to submit evidence </w:t>
      </w:r>
      <w:r w:rsidR="00C14149">
        <w:t xml:space="preserve">that </w:t>
      </w:r>
      <w:r>
        <w:t>addressed the research questions of the review</w:t>
      </w:r>
      <w:r w:rsidR="00857793">
        <w:t>,</w:t>
      </w:r>
      <w:r w:rsidR="005D1FA7">
        <w:t xml:space="preserve"> and this evidence was collated </w:t>
      </w:r>
      <w:r w:rsidR="00F26688">
        <w:t>(</w:t>
      </w:r>
      <w:r w:rsidR="00B35C9F">
        <w:fldChar w:fldCharType="begin"/>
      </w:r>
      <w:r w:rsidR="00B35C9F">
        <w:instrText xml:space="preserve"> REF _Ref134350936 \n \h </w:instrText>
      </w:r>
      <w:r w:rsidR="00B35C9F">
        <w:fldChar w:fldCharType="separate"/>
      </w:r>
      <w:r w:rsidR="00CE6ACA">
        <w:t>Appendix C</w:t>
      </w:r>
      <w:r w:rsidR="00B35C9F">
        <w:fldChar w:fldCharType="end"/>
      </w:r>
      <w:r w:rsidR="00F26688">
        <w:t xml:space="preserve">, Section </w:t>
      </w:r>
      <w:r w:rsidR="00ED0541">
        <w:fldChar w:fldCharType="begin"/>
      </w:r>
      <w:r w:rsidR="00ED0541">
        <w:instrText xml:space="preserve"> REF _Ref134615669 \n \h </w:instrText>
      </w:r>
      <w:r w:rsidR="00ED0541">
        <w:fldChar w:fldCharType="separate"/>
      </w:r>
      <w:r w:rsidR="00CE6ACA">
        <w:t>C.1.2</w:t>
      </w:r>
      <w:r w:rsidR="00ED0541">
        <w:fldChar w:fldCharType="end"/>
      </w:r>
      <w:r w:rsidR="00F26688">
        <w:t>)</w:t>
      </w:r>
      <w:r w:rsidR="005D1FA7">
        <w:t xml:space="preserve"> and reviewed for inclusion alongside the key studies identified in the targeted evidence scan. </w:t>
      </w:r>
      <w:r w:rsidR="000569EE">
        <w:t xml:space="preserve">Comparative studies </w:t>
      </w:r>
      <w:r w:rsidR="00183D67">
        <w:t xml:space="preserve">with </w:t>
      </w:r>
      <w:r w:rsidR="000569EE">
        <w:t>medium to long</w:t>
      </w:r>
      <w:r w:rsidR="00343C1A">
        <w:t>-</w:t>
      </w:r>
      <w:r w:rsidR="000569EE">
        <w:t xml:space="preserve">term </w:t>
      </w:r>
      <w:r w:rsidR="00820C4A">
        <w:t>follow-up</w:t>
      </w:r>
      <w:r w:rsidR="000569EE">
        <w:t xml:space="preserve">, reporting on </w:t>
      </w:r>
      <w:r w:rsidR="00820C4A">
        <w:t>outcome consistent with</w:t>
      </w:r>
      <w:r w:rsidR="000265D2">
        <w:t xml:space="preserve"> the </w:t>
      </w:r>
      <w:r w:rsidR="00820C4A">
        <w:t xml:space="preserve">key studies were identified for </w:t>
      </w:r>
      <w:r w:rsidR="000265D2">
        <w:t>inclusion</w:t>
      </w:r>
      <w:r w:rsidR="00820C4A">
        <w:t xml:space="preserve">. </w:t>
      </w:r>
    </w:p>
    <w:p w14:paraId="26B02D53" w14:textId="6BAC07BD" w:rsidR="000265D2" w:rsidRDefault="00A27A12" w:rsidP="000265D2">
      <w:pPr>
        <w:pStyle w:val="Heading3"/>
      </w:pPr>
      <w:bookmarkStart w:id="68" w:name="_Ref134438037"/>
      <w:bookmarkStart w:id="69" w:name="_Toc165634666"/>
      <w:r>
        <w:t>Methodological considerations for undertaking research in SCS</w:t>
      </w:r>
      <w:bookmarkEnd w:id="68"/>
      <w:bookmarkEnd w:id="69"/>
    </w:p>
    <w:p w14:paraId="5CD339CA" w14:textId="4FC75BCB" w:rsidR="00177925" w:rsidRDefault="00FC61DE" w:rsidP="00A27A12">
      <w:pPr>
        <w:pStyle w:val="BodyText"/>
      </w:pPr>
      <w:r>
        <w:t xml:space="preserve">The gold standard for the assessment of any medical </w:t>
      </w:r>
      <w:r w:rsidR="002F2834">
        <w:t>treatment is a double-blind randomised controlled trial</w:t>
      </w:r>
      <w:r w:rsidR="00A37D28">
        <w:t xml:space="preserve"> (RCT)</w:t>
      </w:r>
      <w:r w:rsidR="00F7793F">
        <w:t xml:space="preserve"> and </w:t>
      </w:r>
      <w:r w:rsidR="00FD2790">
        <w:t xml:space="preserve">this </w:t>
      </w:r>
      <w:r w:rsidR="00F7793F">
        <w:t>is the preferred study design for HTA</w:t>
      </w:r>
      <w:r w:rsidR="00243994">
        <w:t xml:space="preserve"> </w:t>
      </w:r>
      <w:r w:rsidR="006F42AD">
        <w:t xml:space="preserve">assessment </w:t>
      </w:r>
      <w:r w:rsidR="00243994">
        <w:t>(</w:t>
      </w:r>
      <w:r w:rsidR="00243994" w:rsidRPr="00014429">
        <w:t>MSAC Guidelines</w:t>
      </w:r>
      <w:r w:rsidR="00AE1F59">
        <w:rPr>
          <w:rStyle w:val="FootnoteReference"/>
        </w:rPr>
        <w:footnoteReference w:id="11"/>
      </w:r>
      <w:r w:rsidR="00243994">
        <w:t>)</w:t>
      </w:r>
      <w:r w:rsidR="00864501">
        <w:t xml:space="preserve"> and the </w:t>
      </w:r>
      <w:r w:rsidR="00AD7EF8">
        <w:t>Cochrane Collaboration</w:t>
      </w:r>
      <w:r w:rsidR="00AE1F59">
        <w:rPr>
          <w:rStyle w:val="FootnoteReference"/>
        </w:rPr>
        <w:footnoteReference w:id="12"/>
      </w:r>
      <w:r w:rsidR="002F2834">
        <w:t xml:space="preserve">. </w:t>
      </w:r>
      <w:r w:rsidR="00FD2790">
        <w:t>However, t</w:t>
      </w:r>
      <w:r w:rsidR="000A6516">
        <w:t xml:space="preserve">here </w:t>
      </w:r>
      <w:r w:rsidR="006924AE">
        <w:t>are</w:t>
      </w:r>
      <w:r w:rsidR="000A6516">
        <w:t xml:space="preserve"> known challenges in the </w:t>
      </w:r>
      <w:r w:rsidR="00FD2790">
        <w:t xml:space="preserve">design and </w:t>
      </w:r>
      <w:r w:rsidR="00D8081D">
        <w:t>conduct</w:t>
      </w:r>
      <w:r w:rsidR="00FD2790">
        <w:t xml:space="preserve"> of such trials in medical devices</w:t>
      </w:r>
      <w:r w:rsidR="002401C9">
        <w:t xml:space="preserve"> (</w:t>
      </w:r>
      <w:r w:rsidR="00584F75">
        <w:t xml:space="preserve">Haute </w:t>
      </w:r>
      <w:proofErr w:type="spellStart"/>
      <w:r w:rsidR="00584F75">
        <w:t>Autorit</w:t>
      </w:r>
      <w:r w:rsidR="00E2538A">
        <w:t>è</w:t>
      </w:r>
      <w:proofErr w:type="spellEnd"/>
      <w:r w:rsidR="00584F75">
        <w:t xml:space="preserve"> De </w:t>
      </w:r>
      <w:proofErr w:type="spellStart"/>
      <w:r w:rsidR="00584F75">
        <w:t>Sant</w:t>
      </w:r>
      <w:r w:rsidR="00E2538A">
        <w:t>è</w:t>
      </w:r>
      <w:proofErr w:type="spellEnd"/>
      <w:r w:rsidR="00014429">
        <w:t xml:space="preserve"> 2021</w:t>
      </w:r>
      <w:r w:rsidR="00014429">
        <w:rPr>
          <w:rStyle w:val="FootnoteReference"/>
        </w:rPr>
        <w:footnoteReference w:id="13"/>
      </w:r>
      <w:r w:rsidR="002401C9">
        <w:t>)</w:t>
      </w:r>
      <w:r w:rsidR="00BB5FAB">
        <w:t xml:space="preserve"> and </w:t>
      </w:r>
      <w:r w:rsidR="00AC35F3">
        <w:t xml:space="preserve">identifying the most robust </w:t>
      </w:r>
      <w:r w:rsidR="001A3807">
        <w:t>evidence can be complex</w:t>
      </w:r>
      <w:r w:rsidR="00662A0C">
        <w:t xml:space="preserve">. </w:t>
      </w:r>
    </w:p>
    <w:p w14:paraId="4C704D3F" w14:textId="5936AB58" w:rsidR="00D20DD1" w:rsidRDefault="00F25763" w:rsidP="00A27A12">
      <w:pPr>
        <w:pStyle w:val="BodyText"/>
      </w:pPr>
      <w:r>
        <w:lastRenderedPageBreak/>
        <w:t>T</w:t>
      </w:r>
      <w:r w:rsidR="00662A0C">
        <w:t>he</w:t>
      </w:r>
      <w:r w:rsidR="00A37D28">
        <w:t xml:space="preserve"> clinical effectiveness of SCS has been studied over a long period and there are many published RCTs</w:t>
      </w:r>
      <w:r w:rsidR="00DB7467">
        <w:t>,</w:t>
      </w:r>
      <w:r w:rsidR="00796DB4">
        <w:t xml:space="preserve"> ye</w:t>
      </w:r>
      <w:r w:rsidR="00101651">
        <w:t xml:space="preserve">t </w:t>
      </w:r>
      <w:r w:rsidR="00394A73">
        <w:t>interpretation of their findings is challeng</w:t>
      </w:r>
      <w:r w:rsidR="004B6398">
        <w:t xml:space="preserve">ing </w:t>
      </w:r>
      <w:r w:rsidR="00D20DD1">
        <w:t xml:space="preserve">and there are </w:t>
      </w:r>
      <w:r w:rsidR="00101651">
        <w:t>methodological</w:t>
      </w:r>
      <w:r w:rsidR="004B6398">
        <w:t xml:space="preserve"> considerations</w:t>
      </w:r>
      <w:r w:rsidR="00D20DD1">
        <w:t xml:space="preserve"> </w:t>
      </w:r>
      <w:r w:rsidR="004C6517">
        <w:t xml:space="preserve">that </w:t>
      </w:r>
      <w:r w:rsidR="00D20DD1">
        <w:t>should be noted</w:t>
      </w:r>
      <w:r w:rsidR="00101651">
        <w:t>.</w:t>
      </w:r>
      <w:r w:rsidR="00E11481">
        <w:t xml:space="preserve"> </w:t>
      </w:r>
    </w:p>
    <w:p w14:paraId="2292E0C2" w14:textId="0057A7CC" w:rsidR="0085166A" w:rsidRDefault="00E11481" w:rsidP="00A27A12">
      <w:pPr>
        <w:pStyle w:val="BodyText"/>
      </w:pPr>
      <w:r>
        <w:t xml:space="preserve">Medical devices are known to undergo continuous incremental </w:t>
      </w:r>
      <w:r w:rsidR="00D20DD1">
        <w:t>change,</w:t>
      </w:r>
      <w:r w:rsidR="0086126B">
        <w:t xml:space="preserve"> and this is evident in the design of SCS devices</w:t>
      </w:r>
      <w:r w:rsidR="00E031C8">
        <w:t>,</w:t>
      </w:r>
      <w:r w:rsidR="0086126B">
        <w:t xml:space="preserve"> which now have a broad range of </w:t>
      </w:r>
      <w:r w:rsidR="000B55F5">
        <w:t xml:space="preserve">settings, stimulation parameters, features and </w:t>
      </w:r>
      <w:r w:rsidR="00AE6F27">
        <w:t xml:space="preserve">programming algorithms. This </w:t>
      </w:r>
      <w:r w:rsidR="00E41F30">
        <w:t>review considers SCS devices compared to ‘standard care or other therapeutic approaches’</w:t>
      </w:r>
      <w:r w:rsidR="00F41656">
        <w:t>,</w:t>
      </w:r>
      <w:r w:rsidR="00E41F30">
        <w:t xml:space="preserve"> which aligns with the </w:t>
      </w:r>
      <w:r w:rsidR="009C1DA3">
        <w:t xml:space="preserve">PICOs considered by the Cochrane </w:t>
      </w:r>
      <w:r w:rsidR="002E7D2D">
        <w:t>r</w:t>
      </w:r>
      <w:r w:rsidR="009C1DA3">
        <w:t>eviews (O’Connell 2021; Traeger 2023)</w:t>
      </w:r>
      <w:r w:rsidR="00AF485A">
        <w:t xml:space="preserve"> but may not reflect the </w:t>
      </w:r>
      <w:r w:rsidR="004E1A30">
        <w:t>trial designs requested for regulatory approval</w:t>
      </w:r>
      <w:r w:rsidR="009608B1">
        <w:t xml:space="preserve">, </w:t>
      </w:r>
      <w:r w:rsidR="00EB1B28">
        <w:t xml:space="preserve">thereby omitting more recent evidence. Furthermore, </w:t>
      </w:r>
      <w:r w:rsidR="005E5A12">
        <w:t xml:space="preserve">due to the </w:t>
      </w:r>
      <w:r w:rsidR="00662A0C">
        <w:t xml:space="preserve">difficulty of blinding participants and </w:t>
      </w:r>
      <w:r w:rsidR="001D3705">
        <w:t>treating clinicians</w:t>
      </w:r>
      <w:r w:rsidR="005E5A12">
        <w:t xml:space="preserve">, RCTs </w:t>
      </w:r>
      <w:r w:rsidR="00D63E39">
        <w:t xml:space="preserve">that </w:t>
      </w:r>
      <w:r w:rsidR="005E5A12">
        <w:t xml:space="preserve">compare two types of SCS could be of a higher methodological </w:t>
      </w:r>
      <w:r w:rsidR="008C16EB">
        <w:t xml:space="preserve">quality than unblinded or </w:t>
      </w:r>
      <w:r w:rsidR="003D6DB1">
        <w:t>open</w:t>
      </w:r>
      <w:r w:rsidR="003B335C">
        <w:t>-</w:t>
      </w:r>
      <w:r w:rsidR="008C16EB">
        <w:t>label studies</w:t>
      </w:r>
      <w:r w:rsidR="00EB1192">
        <w:t>,</w:t>
      </w:r>
      <w:r w:rsidR="003D6DB1">
        <w:t xml:space="preserve"> which can have</w:t>
      </w:r>
      <w:r w:rsidR="00C65F3C">
        <w:t xml:space="preserve"> biases</w:t>
      </w:r>
      <w:r w:rsidR="00154CA7">
        <w:t xml:space="preserve"> in patient selection, follow-up, </w:t>
      </w:r>
      <w:r w:rsidR="0085166A">
        <w:t>attrition,</w:t>
      </w:r>
      <w:r w:rsidR="00154CA7">
        <w:t xml:space="preserve"> and measurement</w:t>
      </w:r>
      <w:r w:rsidR="00D8081D">
        <w:t>.</w:t>
      </w:r>
      <w:r w:rsidR="005D3593">
        <w:t xml:space="preserve"> </w:t>
      </w:r>
      <w:r w:rsidR="0023768A">
        <w:t>In the absence of appropriate blinding, an objective outcome measure is preferred</w:t>
      </w:r>
      <w:r w:rsidR="00C810A0">
        <w:t>;</w:t>
      </w:r>
      <w:r w:rsidR="0023768A">
        <w:t xml:space="preserve"> however</w:t>
      </w:r>
      <w:r w:rsidR="00C810A0">
        <w:t>,</w:t>
      </w:r>
      <w:r w:rsidR="0023768A">
        <w:t xml:space="preserve"> SCS devices are designed to treat chronic pain</w:t>
      </w:r>
      <w:r w:rsidR="00C810A0">
        <w:t>,</w:t>
      </w:r>
      <w:r w:rsidR="0023768A">
        <w:t xml:space="preserve"> which is subjective</w:t>
      </w:r>
      <w:r w:rsidR="005D3593">
        <w:t xml:space="preserve"> and is the primary outcome in the majority of studies. </w:t>
      </w:r>
      <w:r w:rsidR="00A62775">
        <w:t>F</w:t>
      </w:r>
      <w:r w:rsidR="000E7A0B">
        <w:t>inally, SCS devices are designed to</w:t>
      </w:r>
      <w:r w:rsidR="009923C4">
        <w:t xml:space="preserve"> be</w:t>
      </w:r>
      <w:r w:rsidR="000E7A0B">
        <w:t xml:space="preserve"> implanted long</w:t>
      </w:r>
      <w:r w:rsidR="000216DC">
        <w:t xml:space="preserve"> </w:t>
      </w:r>
      <w:r w:rsidR="000E7A0B">
        <w:t xml:space="preserve">term and therefore the durability of their effect, and the rate and risk of long-term complications, </w:t>
      </w:r>
      <w:r w:rsidR="002804EE">
        <w:t>are critical considerations in assessing their comparative clinical effectiveness</w:t>
      </w:r>
      <w:r w:rsidR="009E66CC">
        <w:t>;</w:t>
      </w:r>
      <w:r w:rsidR="002804EE">
        <w:t xml:space="preserve"> however, many RCTs </w:t>
      </w:r>
      <w:r w:rsidR="0060708D">
        <w:t>were of short duration</w:t>
      </w:r>
      <w:r w:rsidR="006310F3">
        <w:t>.</w:t>
      </w:r>
    </w:p>
    <w:p w14:paraId="4D2931DE" w14:textId="698892BD" w:rsidR="006310F3" w:rsidRDefault="006310F3" w:rsidP="00A27A12">
      <w:pPr>
        <w:pStyle w:val="BodyText"/>
      </w:pPr>
      <w:r>
        <w:t xml:space="preserve">The evidence scan identified studies </w:t>
      </w:r>
      <w:r w:rsidR="00915ACC">
        <w:t>that</w:t>
      </w:r>
      <w:r>
        <w:t xml:space="preserve"> reported on methodological considerations in the SCS trials</w:t>
      </w:r>
      <w:r w:rsidR="001A4FA2">
        <w:t xml:space="preserve"> (Katz 2021; </w:t>
      </w:r>
      <w:r w:rsidR="007B5B03">
        <w:t>McNicol 2021; Duarte 20</w:t>
      </w:r>
      <w:r w:rsidR="00374786">
        <w:t>20</w:t>
      </w:r>
      <w:r w:rsidR="007B5B03">
        <w:t>)</w:t>
      </w:r>
      <w:r w:rsidR="006747DD">
        <w:t>. McNicol</w:t>
      </w:r>
      <w:r w:rsidR="00585A98">
        <w:t xml:space="preserve"> (</w:t>
      </w:r>
      <w:r w:rsidR="00626994">
        <w:t>2021)</w:t>
      </w:r>
      <w:r w:rsidR="006747DD">
        <w:t xml:space="preserve"> highlights the concerns raised above</w:t>
      </w:r>
      <w:r w:rsidR="00EF4927">
        <w:t>,</w:t>
      </w:r>
      <w:r w:rsidR="006747DD">
        <w:t xml:space="preserve"> noting that of </w:t>
      </w:r>
      <w:r w:rsidR="00A70D4C">
        <w:t xml:space="preserve">46 studies included in their review of RCTs for SCS, </w:t>
      </w:r>
      <w:r w:rsidR="00707067">
        <w:t>11 blinded the participants</w:t>
      </w:r>
      <w:r w:rsidR="00F968C9">
        <w:t>,</w:t>
      </w:r>
      <w:r w:rsidR="00707067">
        <w:t xml:space="preserve"> of which only five were assessed as adequately blinded. </w:t>
      </w:r>
      <w:r w:rsidR="00585A98">
        <w:t>The median study duration was 12</w:t>
      </w:r>
      <w:r w:rsidR="00F968C9">
        <w:t xml:space="preserve"> </w:t>
      </w:r>
      <w:r w:rsidR="00585A98">
        <w:t xml:space="preserve">weeks and 87% had a pain-related primary outcome. </w:t>
      </w:r>
      <w:r w:rsidR="00C129E5">
        <w:t>Both Katz (2021) and Duarte (20</w:t>
      </w:r>
      <w:r w:rsidR="00374786">
        <w:t>20</w:t>
      </w:r>
      <w:r w:rsidR="00C129E5">
        <w:t xml:space="preserve">) provide recommendations for </w:t>
      </w:r>
      <w:r w:rsidR="00AF3794">
        <w:t>undertaking RCTs of SCS</w:t>
      </w:r>
      <w:r w:rsidR="00DC316E">
        <w:t>,</w:t>
      </w:r>
      <w:r w:rsidR="00AF3794">
        <w:t xml:space="preserve"> </w:t>
      </w:r>
      <w:r w:rsidR="0015046D">
        <w:t>with Katz providing recommendations for outcome measures and reporting</w:t>
      </w:r>
      <w:r w:rsidR="00FF6149">
        <w:t>,</w:t>
      </w:r>
      <w:r w:rsidR="0015046D">
        <w:t xml:space="preserve"> and Duarte providing a checklist for </w:t>
      </w:r>
      <w:r w:rsidR="0034108E">
        <w:t xml:space="preserve">reporting on a placebo arm. </w:t>
      </w:r>
    </w:p>
    <w:p w14:paraId="09FF092C" w14:textId="78D4EC12" w:rsidR="00AF1CC6" w:rsidRPr="00A27A12" w:rsidRDefault="00AF1CC6" w:rsidP="00A27A12">
      <w:pPr>
        <w:pStyle w:val="BodyText"/>
      </w:pPr>
      <w:r>
        <w:t xml:space="preserve">In light of these methodological considerations, this review </w:t>
      </w:r>
      <w:r w:rsidR="00CA6A66">
        <w:t>reports on</w:t>
      </w:r>
      <w:r>
        <w:t xml:space="preserve"> the Cochrane </w:t>
      </w:r>
      <w:r w:rsidR="004228E4">
        <w:t>SRs</w:t>
      </w:r>
      <w:r w:rsidR="00CA6A66">
        <w:t xml:space="preserve"> and then incorporates additional evidence </w:t>
      </w:r>
      <w:r w:rsidR="00803F52">
        <w:t>identified by sponsors and stakeholders</w:t>
      </w:r>
      <w:r w:rsidR="004469FE">
        <w:t xml:space="preserve"> in an effort to present a considered overview of the best</w:t>
      </w:r>
      <w:r w:rsidR="00BF2917">
        <w:t xml:space="preserve"> </w:t>
      </w:r>
      <w:r w:rsidR="004469FE">
        <w:t>available evidence.</w:t>
      </w:r>
    </w:p>
    <w:p w14:paraId="1A5996C8" w14:textId="6109ABD2" w:rsidR="00333B3E" w:rsidRPr="002F270F" w:rsidRDefault="002D2E51" w:rsidP="00586453">
      <w:pPr>
        <w:pStyle w:val="Heading2"/>
      </w:pPr>
      <w:bookmarkStart w:id="70" w:name="_Toc126153517"/>
      <w:bookmarkStart w:id="71" w:name="_Toc165634667"/>
      <w:r>
        <w:t xml:space="preserve">Summary of </w:t>
      </w:r>
      <w:r w:rsidR="00BA7E81">
        <w:t>the evidence</w:t>
      </w:r>
      <w:bookmarkEnd w:id="70"/>
      <w:bookmarkEnd w:id="71"/>
    </w:p>
    <w:p w14:paraId="618BADFF" w14:textId="01FA9458" w:rsidR="0097399A" w:rsidRDefault="0097399A" w:rsidP="00595AFE">
      <w:pPr>
        <w:pStyle w:val="Heading3"/>
      </w:pPr>
      <w:bookmarkStart w:id="72" w:name="_Toc165634668"/>
      <w:r>
        <w:t xml:space="preserve">Included </w:t>
      </w:r>
      <w:r w:rsidR="002971AA">
        <w:t xml:space="preserve">Cochrane </w:t>
      </w:r>
      <w:r>
        <w:t>review (Traeger 2023)</w:t>
      </w:r>
      <w:bookmarkEnd w:id="72"/>
    </w:p>
    <w:p w14:paraId="3C18CE8B" w14:textId="7CBEC385" w:rsidR="00CF79C7" w:rsidRDefault="00EA1635" w:rsidP="00AD536F">
      <w:pPr>
        <w:pStyle w:val="BodyText"/>
      </w:pPr>
      <w:r>
        <w:t>Traeg</w:t>
      </w:r>
      <w:r w:rsidR="00944243">
        <w:t>e</w:t>
      </w:r>
      <w:r>
        <w:t>r (2</w:t>
      </w:r>
      <w:r w:rsidR="00F84523">
        <w:t>023)</w:t>
      </w:r>
      <w:r w:rsidR="00CF79C7">
        <w:t xml:space="preserve"> evaluated the </w:t>
      </w:r>
      <w:r w:rsidR="00D10A22">
        <w:t>effects, including the benefits and harms, of SCS for people with low back pain</w:t>
      </w:r>
      <w:r w:rsidR="000412EC">
        <w:t>, with or without leg pain</w:t>
      </w:r>
      <w:r w:rsidR="00B30807">
        <w:t xml:space="preserve">. </w:t>
      </w:r>
      <w:r w:rsidR="009A6460">
        <w:t xml:space="preserve">Patients who had chronic </w:t>
      </w:r>
      <w:r w:rsidR="00B462CA">
        <w:t xml:space="preserve">low back pain as a result of serious spinal pathology were excluded. </w:t>
      </w:r>
      <w:r w:rsidR="001E5F68">
        <w:t xml:space="preserve">The </w:t>
      </w:r>
      <w:r w:rsidR="004228E4">
        <w:t>SR</w:t>
      </w:r>
      <w:r w:rsidR="001E5F68">
        <w:t xml:space="preserve"> assessed SCS by evaluating RCTs that compared:</w:t>
      </w:r>
    </w:p>
    <w:p w14:paraId="342D324F" w14:textId="4CDE0456" w:rsidR="001E5F68" w:rsidRDefault="00F75411" w:rsidP="001E5F68">
      <w:pPr>
        <w:pStyle w:val="Bulletpoint"/>
      </w:pPr>
      <w:r>
        <w:t xml:space="preserve">SCS versus </w:t>
      </w:r>
      <w:r w:rsidR="006A3B0D">
        <w:t>placebo</w:t>
      </w:r>
      <w:r w:rsidR="00E57F92">
        <w:t>;</w:t>
      </w:r>
    </w:p>
    <w:p w14:paraId="6533DF8C" w14:textId="697BCFAD" w:rsidR="00664352" w:rsidRDefault="006A3B0D" w:rsidP="00664352">
      <w:pPr>
        <w:pStyle w:val="Bulletpoint"/>
      </w:pPr>
      <w:r>
        <w:t>SCS plus medical management versus medical management alone</w:t>
      </w:r>
      <w:r w:rsidR="00E57F92">
        <w:t>.</w:t>
      </w:r>
    </w:p>
    <w:p w14:paraId="49052D45" w14:textId="3C935046" w:rsidR="00165279" w:rsidRDefault="001A55B7" w:rsidP="00165279">
      <w:pPr>
        <w:pStyle w:val="BodyText"/>
      </w:pPr>
      <w:r>
        <w:t xml:space="preserve">To facilitate analysis, the SR </w:t>
      </w:r>
      <w:r w:rsidR="00EB7732">
        <w:t xml:space="preserve">categorised </w:t>
      </w:r>
      <w:r w:rsidR="00E61A5F">
        <w:t xml:space="preserve">tonic stimulation below 1 kHz as </w:t>
      </w:r>
      <w:r w:rsidR="00E62E34">
        <w:t>‘</w:t>
      </w:r>
      <w:r w:rsidR="00C550B4">
        <w:t>conventional SCS</w:t>
      </w:r>
      <w:r w:rsidR="00E62E34">
        <w:t>’</w:t>
      </w:r>
      <w:r w:rsidR="00C550B4">
        <w:t xml:space="preserve">, tonic stimulation between 1 kHz and 10 kHz </w:t>
      </w:r>
      <w:r w:rsidR="00AC67AB">
        <w:t xml:space="preserve">as </w:t>
      </w:r>
      <w:r w:rsidR="00E62E34">
        <w:t>‘</w:t>
      </w:r>
      <w:r w:rsidR="009D3FA0">
        <w:t>high frequency</w:t>
      </w:r>
      <w:r w:rsidR="00E62E34">
        <w:t>’</w:t>
      </w:r>
      <w:r w:rsidR="009D3FA0">
        <w:t xml:space="preserve">, and </w:t>
      </w:r>
      <w:r w:rsidR="00E62E34">
        <w:t xml:space="preserve">intermittent bursts of stimulation as </w:t>
      </w:r>
      <w:r w:rsidR="00E50C27">
        <w:t>‘</w:t>
      </w:r>
      <w:r w:rsidR="00E62E34">
        <w:t>burst</w:t>
      </w:r>
      <w:r w:rsidR="00E50C27">
        <w:t>’</w:t>
      </w:r>
      <w:r w:rsidR="00E62E34">
        <w:t>.</w:t>
      </w:r>
      <w:r w:rsidR="00E50C27">
        <w:t xml:space="preserve"> The data w</w:t>
      </w:r>
      <w:r w:rsidR="00122D8C">
        <w:t>ere</w:t>
      </w:r>
      <w:r w:rsidR="00E50C27">
        <w:t xml:space="preserve"> re</w:t>
      </w:r>
      <w:r w:rsidR="00626FA8">
        <w:t xml:space="preserve">ported on across </w:t>
      </w:r>
      <w:r w:rsidR="002A65C4">
        <w:t>four</w:t>
      </w:r>
      <w:r w:rsidR="00626FA8">
        <w:t xml:space="preserve"> different time points </w:t>
      </w:r>
      <w:r w:rsidR="00197410">
        <w:t>–</w:t>
      </w:r>
      <w:r w:rsidR="00626FA8">
        <w:t xml:space="preserve"> </w:t>
      </w:r>
      <w:r w:rsidR="00197410">
        <w:t xml:space="preserve">immediate term (&lt; </w:t>
      </w:r>
      <w:r w:rsidR="00AE70D0">
        <w:t xml:space="preserve">1 </w:t>
      </w:r>
      <w:r w:rsidR="00197410">
        <w:t>month), short term (</w:t>
      </w:r>
      <w:r w:rsidR="00197410">
        <w:rPr>
          <w:rFonts w:cs="Calibri"/>
        </w:rPr>
        <w:t>≥</w:t>
      </w:r>
      <w:r w:rsidR="00173A67">
        <w:rPr>
          <w:rFonts w:cs="Calibri"/>
        </w:rPr>
        <w:t xml:space="preserve"> </w:t>
      </w:r>
      <w:r w:rsidR="00AE70D0">
        <w:t xml:space="preserve">1 </w:t>
      </w:r>
      <w:r w:rsidR="00173A67">
        <w:t xml:space="preserve">month to &lt; 3 months), medium term </w:t>
      </w:r>
      <w:r w:rsidR="00DC1ECD">
        <w:t>(</w:t>
      </w:r>
      <w:r w:rsidR="00341691">
        <w:rPr>
          <w:rFonts w:cs="Calibri"/>
        </w:rPr>
        <w:t>≥</w:t>
      </w:r>
      <w:r w:rsidR="00341691">
        <w:t xml:space="preserve"> 3 months to &lt;12 months), and long term (</w:t>
      </w:r>
      <w:r w:rsidR="00A401E7">
        <w:rPr>
          <w:rFonts w:cs="Calibri"/>
        </w:rPr>
        <w:t>≥</w:t>
      </w:r>
      <w:r w:rsidR="00A401E7">
        <w:t xml:space="preserve"> 12 months). </w:t>
      </w:r>
      <w:r w:rsidR="001F332D">
        <w:t xml:space="preserve">The </w:t>
      </w:r>
      <w:r w:rsidR="004672CD">
        <w:t>major</w:t>
      </w:r>
      <w:r w:rsidR="001F332D">
        <w:t xml:space="preserve"> outcomes assessing benefits </w:t>
      </w:r>
      <w:r w:rsidR="00F70C23">
        <w:t xml:space="preserve">were pain intensity, function, </w:t>
      </w:r>
      <w:r w:rsidR="00D421C0">
        <w:t>health-related quality of life (</w:t>
      </w:r>
      <w:proofErr w:type="spellStart"/>
      <w:r w:rsidR="00F70C23">
        <w:t>HRQoL</w:t>
      </w:r>
      <w:proofErr w:type="spellEnd"/>
      <w:r w:rsidR="00D421C0">
        <w:t>)</w:t>
      </w:r>
      <w:r w:rsidR="00F70C23">
        <w:t xml:space="preserve">, and global assessment of efficacy. The </w:t>
      </w:r>
      <w:r w:rsidR="004672CD">
        <w:t>major</w:t>
      </w:r>
      <w:r w:rsidR="00F70C23">
        <w:t xml:space="preserve"> outcomes assessing </w:t>
      </w:r>
      <w:r w:rsidR="00557960">
        <w:t xml:space="preserve">harms were </w:t>
      </w:r>
      <w:r w:rsidR="007E114B">
        <w:t xml:space="preserve">proportion of withdrawals due to </w:t>
      </w:r>
      <w:r w:rsidR="007C6B59">
        <w:t>AEs</w:t>
      </w:r>
      <w:r w:rsidR="007E114B">
        <w:t xml:space="preserve">, proportion of participants with </w:t>
      </w:r>
      <w:r w:rsidR="007C6B59">
        <w:t>AEs</w:t>
      </w:r>
      <w:r w:rsidR="007E114B">
        <w:t xml:space="preserve">, and proportion of participants </w:t>
      </w:r>
      <w:r w:rsidR="005B1A3C">
        <w:t xml:space="preserve">with serious adverse events (SAEs). </w:t>
      </w:r>
      <w:r w:rsidR="004672CD">
        <w:t xml:space="preserve">The minor outcomes </w:t>
      </w:r>
      <w:r w:rsidR="00756B47">
        <w:t xml:space="preserve">were medication use, health care use, and work status. The study characteristics are summarised in </w:t>
      </w:r>
      <w:r w:rsidR="00257B07">
        <w:fldChar w:fldCharType="begin"/>
      </w:r>
      <w:r w:rsidR="00257B07">
        <w:instrText xml:space="preserve"> REF _Ref130398325 \h </w:instrText>
      </w:r>
      <w:r w:rsidR="00257B07">
        <w:fldChar w:fldCharType="separate"/>
      </w:r>
      <w:r w:rsidR="00CE6ACA">
        <w:t xml:space="preserve">Table </w:t>
      </w:r>
      <w:r w:rsidR="00CE6ACA">
        <w:rPr>
          <w:noProof/>
        </w:rPr>
        <w:t>5</w:t>
      </w:r>
      <w:r w:rsidR="00257B07">
        <w:fldChar w:fldCharType="end"/>
      </w:r>
      <w:r w:rsidR="00756B47">
        <w:t>.</w:t>
      </w:r>
    </w:p>
    <w:p w14:paraId="35FEBBA8" w14:textId="1AE2B6CB" w:rsidR="002C504A" w:rsidRDefault="002C504A" w:rsidP="002C504A">
      <w:pPr>
        <w:pStyle w:val="Caption"/>
      </w:pPr>
      <w:bookmarkStart w:id="73" w:name="_Ref130398325"/>
      <w:r>
        <w:lastRenderedPageBreak/>
        <w:t xml:space="preserve">Table </w:t>
      </w:r>
      <w:r>
        <w:fldChar w:fldCharType="begin"/>
      </w:r>
      <w:r>
        <w:instrText>SEQ Table \* ARABIC</w:instrText>
      </w:r>
      <w:r>
        <w:fldChar w:fldCharType="separate"/>
      </w:r>
      <w:r w:rsidR="00CE6ACA">
        <w:rPr>
          <w:noProof/>
        </w:rPr>
        <w:t>5</w:t>
      </w:r>
      <w:r>
        <w:fldChar w:fldCharType="end"/>
      </w:r>
      <w:bookmarkEnd w:id="73"/>
      <w:r>
        <w:tab/>
        <w:t>Study characteristics of Traeg</w:t>
      </w:r>
      <w:r w:rsidR="001B2ECF">
        <w:t>e</w:t>
      </w:r>
      <w:r>
        <w:t>r (2023)</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Study characteristics of Traeger (2023)"/>
        <w:tblDescription w:val="Table showing the search dates, patient population, interventions, comparator, outcomes, and time points for Traeger"/>
      </w:tblPr>
      <w:tblGrid>
        <w:gridCol w:w="978"/>
        <w:gridCol w:w="1047"/>
        <w:gridCol w:w="2089"/>
        <w:gridCol w:w="1360"/>
        <w:gridCol w:w="1283"/>
        <w:gridCol w:w="1610"/>
        <w:gridCol w:w="1271"/>
      </w:tblGrid>
      <w:tr w:rsidR="00616C35" w:rsidRPr="0010678D" w14:paraId="756C028C" w14:textId="77777777" w:rsidTr="001B2ECF">
        <w:trPr>
          <w:tblHeader/>
        </w:trPr>
        <w:tc>
          <w:tcPr>
            <w:tcW w:w="0" w:type="auto"/>
            <w:shd w:val="clear" w:color="auto" w:fill="BFBFBF"/>
          </w:tcPr>
          <w:p w14:paraId="2D1B9467" w14:textId="071786A4" w:rsidR="002C504A" w:rsidRPr="00DF51DC" w:rsidRDefault="002C504A" w:rsidP="00BF32AF">
            <w:pPr>
              <w:pStyle w:val="011TableHeading10pt"/>
              <w:rPr>
                <w:sz w:val="18"/>
                <w:szCs w:val="18"/>
              </w:rPr>
            </w:pPr>
            <w:r w:rsidRPr="00DF51DC">
              <w:rPr>
                <w:sz w:val="18"/>
                <w:szCs w:val="18"/>
              </w:rPr>
              <w:t>Study ID</w:t>
            </w:r>
          </w:p>
        </w:tc>
        <w:tc>
          <w:tcPr>
            <w:tcW w:w="0" w:type="auto"/>
            <w:shd w:val="clear" w:color="auto" w:fill="BFBFBF"/>
          </w:tcPr>
          <w:p w14:paraId="16190026" w14:textId="77777777" w:rsidR="002C504A" w:rsidRPr="00DF51DC" w:rsidRDefault="002C504A" w:rsidP="00BF32AF">
            <w:pPr>
              <w:pStyle w:val="011TableHeading10pt"/>
              <w:rPr>
                <w:sz w:val="18"/>
                <w:szCs w:val="18"/>
              </w:rPr>
            </w:pPr>
            <w:r w:rsidRPr="00DF51DC">
              <w:rPr>
                <w:sz w:val="18"/>
                <w:szCs w:val="18"/>
              </w:rPr>
              <w:t>Search dates</w:t>
            </w:r>
          </w:p>
        </w:tc>
        <w:tc>
          <w:tcPr>
            <w:tcW w:w="0" w:type="auto"/>
            <w:shd w:val="clear" w:color="auto" w:fill="BFBFBF"/>
          </w:tcPr>
          <w:p w14:paraId="58276547" w14:textId="77777777" w:rsidR="002C504A" w:rsidRPr="00DF51DC" w:rsidRDefault="002C504A" w:rsidP="00BF32AF">
            <w:pPr>
              <w:pStyle w:val="011TableHeading10pt"/>
              <w:rPr>
                <w:sz w:val="18"/>
                <w:szCs w:val="18"/>
              </w:rPr>
            </w:pPr>
            <w:r w:rsidRPr="00DF51DC">
              <w:rPr>
                <w:sz w:val="18"/>
                <w:szCs w:val="18"/>
              </w:rPr>
              <w:t>Patient population</w:t>
            </w:r>
          </w:p>
        </w:tc>
        <w:tc>
          <w:tcPr>
            <w:tcW w:w="0" w:type="auto"/>
            <w:shd w:val="clear" w:color="auto" w:fill="BFBFBF"/>
          </w:tcPr>
          <w:p w14:paraId="7A654CD3" w14:textId="77777777" w:rsidR="002C504A" w:rsidRPr="00DF51DC" w:rsidRDefault="002C504A" w:rsidP="00BF32AF">
            <w:pPr>
              <w:pStyle w:val="011TableHeading10pt"/>
              <w:rPr>
                <w:sz w:val="18"/>
                <w:szCs w:val="18"/>
              </w:rPr>
            </w:pPr>
            <w:r w:rsidRPr="00DF51DC">
              <w:rPr>
                <w:sz w:val="18"/>
                <w:szCs w:val="18"/>
              </w:rPr>
              <w:t>Interventions</w:t>
            </w:r>
          </w:p>
        </w:tc>
        <w:tc>
          <w:tcPr>
            <w:tcW w:w="0" w:type="auto"/>
            <w:shd w:val="clear" w:color="auto" w:fill="BFBFBF"/>
          </w:tcPr>
          <w:p w14:paraId="1B413A68" w14:textId="77777777" w:rsidR="002C504A" w:rsidRPr="00DF51DC" w:rsidRDefault="002C504A" w:rsidP="00BF32AF">
            <w:pPr>
              <w:pStyle w:val="011TableHeading10pt"/>
              <w:rPr>
                <w:sz w:val="18"/>
                <w:szCs w:val="18"/>
              </w:rPr>
            </w:pPr>
            <w:r w:rsidRPr="00DF51DC">
              <w:rPr>
                <w:sz w:val="18"/>
                <w:szCs w:val="18"/>
              </w:rPr>
              <w:t>Comparator</w:t>
            </w:r>
          </w:p>
        </w:tc>
        <w:tc>
          <w:tcPr>
            <w:tcW w:w="0" w:type="auto"/>
            <w:shd w:val="clear" w:color="auto" w:fill="BFBFBF"/>
          </w:tcPr>
          <w:p w14:paraId="306A7615" w14:textId="77777777" w:rsidR="002C504A" w:rsidRPr="00DF51DC" w:rsidRDefault="002C504A" w:rsidP="00BF32AF">
            <w:pPr>
              <w:pStyle w:val="011TableHeading10pt"/>
              <w:rPr>
                <w:sz w:val="18"/>
                <w:szCs w:val="18"/>
              </w:rPr>
            </w:pPr>
            <w:r w:rsidRPr="00DF51DC">
              <w:rPr>
                <w:sz w:val="18"/>
                <w:szCs w:val="18"/>
              </w:rPr>
              <w:t>Outcomes</w:t>
            </w:r>
          </w:p>
        </w:tc>
        <w:tc>
          <w:tcPr>
            <w:tcW w:w="0" w:type="auto"/>
            <w:shd w:val="clear" w:color="auto" w:fill="BFBFBF"/>
          </w:tcPr>
          <w:p w14:paraId="7F40D659" w14:textId="77777777" w:rsidR="002C504A" w:rsidRPr="00DF51DC" w:rsidRDefault="002C504A" w:rsidP="00BF32AF">
            <w:pPr>
              <w:pStyle w:val="011TableHeading10pt"/>
              <w:rPr>
                <w:sz w:val="18"/>
                <w:szCs w:val="18"/>
              </w:rPr>
            </w:pPr>
            <w:r w:rsidRPr="00DF51DC">
              <w:rPr>
                <w:sz w:val="18"/>
                <w:szCs w:val="18"/>
              </w:rPr>
              <w:t>Time points</w:t>
            </w:r>
          </w:p>
        </w:tc>
      </w:tr>
      <w:tr w:rsidR="00616C35" w:rsidRPr="0010678D" w14:paraId="59561339" w14:textId="77777777" w:rsidTr="00BF32AF">
        <w:tc>
          <w:tcPr>
            <w:tcW w:w="0" w:type="auto"/>
            <w:shd w:val="clear" w:color="auto" w:fill="auto"/>
          </w:tcPr>
          <w:p w14:paraId="4BAABC8E" w14:textId="09A6AA7C" w:rsidR="002C504A" w:rsidRPr="00DF51DC" w:rsidRDefault="002C4D95" w:rsidP="00B76C98">
            <w:pPr>
              <w:pStyle w:val="051Tabletext2210pt"/>
              <w:rPr>
                <w:sz w:val="18"/>
                <w:szCs w:val="18"/>
              </w:rPr>
            </w:pPr>
            <w:r w:rsidRPr="00DF51DC">
              <w:rPr>
                <w:sz w:val="18"/>
                <w:szCs w:val="18"/>
              </w:rPr>
              <w:t>Traeg</w:t>
            </w:r>
            <w:r w:rsidR="00FA1D58">
              <w:rPr>
                <w:sz w:val="18"/>
                <w:szCs w:val="18"/>
              </w:rPr>
              <w:t>e</w:t>
            </w:r>
            <w:r w:rsidRPr="00DF51DC">
              <w:rPr>
                <w:sz w:val="18"/>
                <w:szCs w:val="18"/>
              </w:rPr>
              <w:t>r 2023</w:t>
            </w:r>
            <w:r w:rsidRPr="00DF51DC">
              <w:rPr>
                <w:sz w:val="18"/>
                <w:szCs w:val="18"/>
              </w:rPr>
              <w:br/>
            </w:r>
            <w:r w:rsidR="00C140E7">
              <w:rPr>
                <w:sz w:val="18"/>
                <w:szCs w:val="18"/>
              </w:rPr>
              <w:t>Cochrane Review</w:t>
            </w:r>
          </w:p>
        </w:tc>
        <w:tc>
          <w:tcPr>
            <w:tcW w:w="0" w:type="auto"/>
            <w:shd w:val="clear" w:color="auto" w:fill="auto"/>
          </w:tcPr>
          <w:p w14:paraId="70106BA0" w14:textId="556354FB" w:rsidR="002C504A" w:rsidRPr="00DF51DC" w:rsidRDefault="007D0E05" w:rsidP="00B76C98">
            <w:pPr>
              <w:pStyle w:val="051Tabletext2210pt"/>
              <w:rPr>
                <w:sz w:val="18"/>
                <w:szCs w:val="18"/>
              </w:rPr>
            </w:pPr>
            <w:r>
              <w:rPr>
                <w:sz w:val="18"/>
                <w:szCs w:val="18"/>
              </w:rPr>
              <w:t xml:space="preserve">Inception to </w:t>
            </w:r>
            <w:r w:rsidR="00444933" w:rsidRPr="00DF51DC">
              <w:rPr>
                <w:sz w:val="18"/>
                <w:szCs w:val="18"/>
              </w:rPr>
              <w:t>10 June 2022</w:t>
            </w:r>
          </w:p>
        </w:tc>
        <w:tc>
          <w:tcPr>
            <w:tcW w:w="0" w:type="auto"/>
            <w:shd w:val="clear" w:color="auto" w:fill="auto"/>
          </w:tcPr>
          <w:p w14:paraId="40FDC360" w14:textId="0010ACD9" w:rsidR="002C504A" w:rsidRPr="00DF51DC" w:rsidRDefault="00AD2AF8" w:rsidP="00BF32AF">
            <w:pPr>
              <w:pStyle w:val="051Tabletext2210pt"/>
              <w:rPr>
                <w:sz w:val="18"/>
                <w:szCs w:val="18"/>
              </w:rPr>
            </w:pPr>
            <w:r w:rsidRPr="00DF51DC">
              <w:rPr>
                <w:sz w:val="18"/>
                <w:szCs w:val="18"/>
              </w:rPr>
              <w:t xml:space="preserve">Participants </w:t>
            </w:r>
            <w:r w:rsidR="00B569FE" w:rsidRPr="00DF51DC">
              <w:rPr>
                <w:rFonts w:cs="Calibri"/>
                <w:sz w:val="18"/>
                <w:szCs w:val="18"/>
              </w:rPr>
              <w:t>≥</w:t>
            </w:r>
            <w:r w:rsidR="009646C3" w:rsidRPr="00DF51DC">
              <w:rPr>
                <w:sz w:val="18"/>
                <w:szCs w:val="18"/>
              </w:rPr>
              <w:t xml:space="preserve"> 18 </w:t>
            </w:r>
            <w:proofErr w:type="spellStart"/>
            <w:r w:rsidR="009646C3" w:rsidRPr="00DF51DC">
              <w:rPr>
                <w:sz w:val="18"/>
                <w:szCs w:val="18"/>
              </w:rPr>
              <w:t>yrs</w:t>
            </w:r>
            <w:proofErr w:type="spellEnd"/>
            <w:r w:rsidR="009646C3" w:rsidRPr="00DF51DC">
              <w:rPr>
                <w:sz w:val="18"/>
                <w:szCs w:val="18"/>
              </w:rPr>
              <w:t xml:space="preserve"> old with chronic low back pain</w:t>
            </w:r>
            <w:r w:rsidR="004578DD" w:rsidRPr="00DF51DC">
              <w:rPr>
                <w:sz w:val="18"/>
                <w:szCs w:val="18"/>
              </w:rPr>
              <w:t xml:space="preserve"> (&gt; 12 </w:t>
            </w:r>
            <w:proofErr w:type="spellStart"/>
            <w:r w:rsidR="004578DD" w:rsidRPr="00DF51DC">
              <w:rPr>
                <w:sz w:val="18"/>
                <w:szCs w:val="18"/>
              </w:rPr>
              <w:t>wks</w:t>
            </w:r>
            <w:proofErr w:type="spellEnd"/>
            <w:r w:rsidR="004578DD" w:rsidRPr="00DF51DC">
              <w:rPr>
                <w:sz w:val="18"/>
                <w:szCs w:val="18"/>
              </w:rPr>
              <w:t xml:space="preserve"> pain duration)</w:t>
            </w:r>
            <w:r w:rsidR="009646C3" w:rsidRPr="00DF51DC">
              <w:rPr>
                <w:sz w:val="18"/>
                <w:szCs w:val="18"/>
              </w:rPr>
              <w:t xml:space="preserve">, with or without </w:t>
            </w:r>
            <w:r w:rsidR="008B0915" w:rsidRPr="00DF51DC">
              <w:rPr>
                <w:sz w:val="18"/>
                <w:szCs w:val="18"/>
              </w:rPr>
              <w:t xml:space="preserve">leg pain, </w:t>
            </w:r>
            <w:r w:rsidR="00722B95" w:rsidRPr="00DF51DC">
              <w:rPr>
                <w:sz w:val="18"/>
                <w:szCs w:val="18"/>
              </w:rPr>
              <w:t>including patients with FBSS</w:t>
            </w:r>
          </w:p>
        </w:tc>
        <w:tc>
          <w:tcPr>
            <w:tcW w:w="0" w:type="auto"/>
            <w:shd w:val="clear" w:color="auto" w:fill="auto"/>
          </w:tcPr>
          <w:p w14:paraId="623D033A" w14:textId="15A67ED0" w:rsidR="002C504A" w:rsidRPr="00DF51DC" w:rsidRDefault="00B4497A" w:rsidP="00BF32AF">
            <w:pPr>
              <w:pStyle w:val="051Tabletext2210pt"/>
              <w:rPr>
                <w:sz w:val="18"/>
                <w:szCs w:val="18"/>
              </w:rPr>
            </w:pPr>
            <w:r w:rsidRPr="00B4497A">
              <w:rPr>
                <w:sz w:val="18"/>
                <w:szCs w:val="18"/>
              </w:rPr>
              <w:t>1.</w:t>
            </w:r>
            <w:r>
              <w:rPr>
                <w:sz w:val="18"/>
                <w:szCs w:val="18"/>
              </w:rPr>
              <w:t xml:space="preserve"> </w:t>
            </w:r>
            <w:r w:rsidR="00123D92" w:rsidRPr="00DF51DC">
              <w:rPr>
                <w:sz w:val="18"/>
                <w:szCs w:val="18"/>
              </w:rPr>
              <w:t>SCS</w:t>
            </w:r>
            <w:r w:rsidR="00617FEE" w:rsidRPr="00DF51DC">
              <w:rPr>
                <w:sz w:val="18"/>
                <w:szCs w:val="18"/>
              </w:rPr>
              <w:br/>
            </w:r>
            <w:r>
              <w:rPr>
                <w:sz w:val="18"/>
                <w:szCs w:val="18"/>
              </w:rPr>
              <w:t xml:space="preserve">2. </w:t>
            </w:r>
            <w:r w:rsidR="00617FEE" w:rsidRPr="00DF51DC">
              <w:rPr>
                <w:sz w:val="18"/>
                <w:szCs w:val="18"/>
              </w:rPr>
              <w:t>SCS + medical management</w:t>
            </w:r>
          </w:p>
        </w:tc>
        <w:tc>
          <w:tcPr>
            <w:tcW w:w="0" w:type="auto"/>
            <w:shd w:val="clear" w:color="auto" w:fill="auto"/>
          </w:tcPr>
          <w:p w14:paraId="59B1C19A" w14:textId="0DF71633" w:rsidR="002C504A" w:rsidRPr="00DF51DC" w:rsidRDefault="00B4497A" w:rsidP="00BF32AF">
            <w:pPr>
              <w:pStyle w:val="051Tabletext2210pt"/>
              <w:rPr>
                <w:sz w:val="18"/>
                <w:szCs w:val="18"/>
              </w:rPr>
            </w:pPr>
            <w:r>
              <w:rPr>
                <w:sz w:val="18"/>
                <w:szCs w:val="18"/>
              </w:rPr>
              <w:t xml:space="preserve">1. </w:t>
            </w:r>
            <w:r w:rsidR="00123D92" w:rsidRPr="00DF51DC">
              <w:rPr>
                <w:sz w:val="18"/>
                <w:szCs w:val="18"/>
              </w:rPr>
              <w:t>Placebo</w:t>
            </w:r>
            <w:r w:rsidR="00617FEE" w:rsidRPr="00DF51DC">
              <w:rPr>
                <w:sz w:val="18"/>
                <w:szCs w:val="18"/>
              </w:rPr>
              <w:br/>
            </w:r>
            <w:r>
              <w:rPr>
                <w:sz w:val="18"/>
                <w:szCs w:val="18"/>
              </w:rPr>
              <w:t xml:space="preserve">2. </w:t>
            </w:r>
            <w:r w:rsidR="00617FEE" w:rsidRPr="00DF51DC">
              <w:rPr>
                <w:sz w:val="18"/>
                <w:szCs w:val="18"/>
              </w:rPr>
              <w:t>Medical management</w:t>
            </w:r>
          </w:p>
        </w:tc>
        <w:tc>
          <w:tcPr>
            <w:tcW w:w="0" w:type="auto"/>
            <w:shd w:val="clear" w:color="auto" w:fill="auto"/>
          </w:tcPr>
          <w:p w14:paraId="1A494B09" w14:textId="0BB3D6F5" w:rsidR="002C504A" w:rsidRPr="00DF51DC" w:rsidRDefault="007937AB" w:rsidP="00BF32AF">
            <w:pPr>
              <w:pStyle w:val="051Tabletext2210pt"/>
              <w:rPr>
                <w:sz w:val="18"/>
                <w:szCs w:val="18"/>
              </w:rPr>
            </w:pPr>
            <w:r w:rsidRPr="00DF51DC">
              <w:rPr>
                <w:sz w:val="18"/>
                <w:szCs w:val="18"/>
                <w:u w:val="single"/>
              </w:rPr>
              <w:t>Major</w:t>
            </w:r>
            <w:r w:rsidRPr="00DF51DC">
              <w:rPr>
                <w:sz w:val="18"/>
                <w:szCs w:val="18"/>
              </w:rPr>
              <w:br/>
            </w:r>
            <w:r w:rsidRPr="00DF51DC">
              <w:rPr>
                <w:b/>
                <w:bCs/>
                <w:sz w:val="18"/>
                <w:szCs w:val="18"/>
              </w:rPr>
              <w:t>Harms</w:t>
            </w:r>
            <w:r w:rsidRPr="00DF51DC">
              <w:rPr>
                <w:sz w:val="18"/>
                <w:szCs w:val="18"/>
              </w:rPr>
              <w:t>:</w:t>
            </w:r>
            <w:r w:rsidR="00B408F7" w:rsidRPr="00DF51DC">
              <w:rPr>
                <w:sz w:val="18"/>
                <w:szCs w:val="18"/>
              </w:rPr>
              <w:t xml:space="preserve"> withdrawals due to </w:t>
            </w:r>
            <w:r w:rsidR="007C6B59">
              <w:rPr>
                <w:sz w:val="18"/>
                <w:szCs w:val="18"/>
              </w:rPr>
              <w:t>A</w:t>
            </w:r>
            <w:r w:rsidR="007C6B59" w:rsidRPr="00DF51DC">
              <w:rPr>
                <w:sz w:val="18"/>
                <w:szCs w:val="18"/>
              </w:rPr>
              <w:t>Es</w:t>
            </w:r>
            <w:r w:rsidR="00E43FBB" w:rsidRPr="00DF51DC">
              <w:rPr>
                <w:sz w:val="18"/>
                <w:szCs w:val="18"/>
              </w:rPr>
              <w:t xml:space="preserve">; </w:t>
            </w:r>
            <w:r w:rsidR="007C6B59">
              <w:rPr>
                <w:sz w:val="18"/>
                <w:szCs w:val="18"/>
              </w:rPr>
              <w:t>A</w:t>
            </w:r>
            <w:r w:rsidR="007C6B59" w:rsidRPr="00DF51DC">
              <w:rPr>
                <w:sz w:val="18"/>
                <w:szCs w:val="18"/>
              </w:rPr>
              <w:t>Es</w:t>
            </w:r>
            <w:r w:rsidR="007E0E42" w:rsidRPr="00DF51DC">
              <w:rPr>
                <w:sz w:val="18"/>
                <w:szCs w:val="18"/>
              </w:rPr>
              <w:t>; SAEs</w:t>
            </w:r>
            <w:r w:rsidR="007E0E42" w:rsidRPr="00DF51DC">
              <w:rPr>
                <w:sz w:val="18"/>
                <w:szCs w:val="18"/>
              </w:rPr>
              <w:br/>
            </w:r>
            <w:r w:rsidR="007E0E42" w:rsidRPr="00DF51DC">
              <w:rPr>
                <w:b/>
                <w:bCs/>
                <w:sz w:val="18"/>
                <w:szCs w:val="18"/>
              </w:rPr>
              <w:t>Benefits:</w:t>
            </w:r>
            <w:r w:rsidR="007E0E42" w:rsidRPr="00DF51DC">
              <w:rPr>
                <w:sz w:val="18"/>
                <w:szCs w:val="18"/>
              </w:rPr>
              <w:t xml:space="preserve"> </w:t>
            </w:r>
            <w:r w:rsidR="00B16546" w:rsidRPr="00DF51DC">
              <w:rPr>
                <w:sz w:val="18"/>
                <w:szCs w:val="18"/>
              </w:rPr>
              <w:t>P</w:t>
            </w:r>
            <w:r w:rsidR="00C800D4" w:rsidRPr="00DF51DC">
              <w:rPr>
                <w:sz w:val="18"/>
                <w:szCs w:val="18"/>
              </w:rPr>
              <w:t xml:space="preserve">ain intensity; function; </w:t>
            </w:r>
            <w:proofErr w:type="spellStart"/>
            <w:r w:rsidR="00C800D4" w:rsidRPr="00DF51DC">
              <w:rPr>
                <w:sz w:val="18"/>
                <w:szCs w:val="18"/>
              </w:rPr>
              <w:t>HRQoL</w:t>
            </w:r>
            <w:proofErr w:type="spellEnd"/>
            <w:r w:rsidR="00C800D4" w:rsidRPr="00DF51DC">
              <w:rPr>
                <w:sz w:val="18"/>
                <w:szCs w:val="18"/>
              </w:rPr>
              <w:t>; global assessment of efficacy</w:t>
            </w:r>
          </w:p>
          <w:p w14:paraId="7705A990" w14:textId="5EE052EE" w:rsidR="00C800D4" w:rsidRPr="00DF51DC" w:rsidRDefault="00C800D4" w:rsidP="00BF32AF">
            <w:pPr>
              <w:pStyle w:val="051Tabletext2210pt"/>
              <w:rPr>
                <w:sz w:val="18"/>
                <w:szCs w:val="18"/>
              </w:rPr>
            </w:pPr>
            <w:r w:rsidRPr="00DF51DC">
              <w:rPr>
                <w:sz w:val="18"/>
                <w:szCs w:val="18"/>
                <w:u w:val="single"/>
              </w:rPr>
              <w:t>Minor</w:t>
            </w:r>
            <w:r w:rsidRPr="00DF51DC">
              <w:rPr>
                <w:sz w:val="18"/>
                <w:szCs w:val="18"/>
              </w:rPr>
              <w:br/>
              <w:t xml:space="preserve">Medication use; </w:t>
            </w:r>
            <w:r w:rsidR="00B16546" w:rsidRPr="00DF51DC">
              <w:rPr>
                <w:sz w:val="18"/>
                <w:szCs w:val="18"/>
              </w:rPr>
              <w:t>health care use; work status</w:t>
            </w:r>
          </w:p>
        </w:tc>
        <w:tc>
          <w:tcPr>
            <w:tcW w:w="0" w:type="auto"/>
          </w:tcPr>
          <w:p w14:paraId="300F6302" w14:textId="40904CBA" w:rsidR="002C504A" w:rsidRPr="00DF51DC" w:rsidRDefault="00424258" w:rsidP="00BF32AF">
            <w:pPr>
              <w:pStyle w:val="051Tabletext2210pt"/>
              <w:rPr>
                <w:sz w:val="18"/>
                <w:szCs w:val="18"/>
              </w:rPr>
            </w:pPr>
            <w:r w:rsidRPr="00DF51DC">
              <w:rPr>
                <w:sz w:val="18"/>
                <w:szCs w:val="18"/>
              </w:rPr>
              <w:t xml:space="preserve">Immediate term: &lt; </w:t>
            </w:r>
            <w:r w:rsidR="009707BF">
              <w:rPr>
                <w:sz w:val="18"/>
                <w:szCs w:val="18"/>
              </w:rPr>
              <w:t>1</w:t>
            </w:r>
            <w:r w:rsidR="009707BF" w:rsidRPr="00DF51DC">
              <w:rPr>
                <w:sz w:val="18"/>
                <w:szCs w:val="18"/>
              </w:rPr>
              <w:t xml:space="preserve"> </w:t>
            </w:r>
            <w:r w:rsidRPr="00DF51DC">
              <w:rPr>
                <w:sz w:val="18"/>
                <w:szCs w:val="18"/>
              </w:rPr>
              <w:t>month</w:t>
            </w:r>
            <w:r w:rsidRPr="00DF51DC">
              <w:rPr>
                <w:sz w:val="18"/>
                <w:szCs w:val="18"/>
              </w:rPr>
              <w:br/>
              <w:t>Short term:</w:t>
            </w:r>
            <w:r w:rsidR="00E82738" w:rsidRPr="00DF51DC">
              <w:rPr>
                <w:sz w:val="18"/>
                <w:szCs w:val="18"/>
              </w:rPr>
              <w:t xml:space="preserve"> </w:t>
            </w:r>
            <w:r w:rsidRPr="00DF51DC">
              <w:rPr>
                <w:sz w:val="18"/>
                <w:szCs w:val="18"/>
              </w:rPr>
              <w:t xml:space="preserve">≥ </w:t>
            </w:r>
            <w:r w:rsidR="009707BF">
              <w:rPr>
                <w:sz w:val="18"/>
                <w:szCs w:val="18"/>
              </w:rPr>
              <w:t>1</w:t>
            </w:r>
            <w:r w:rsidR="009707BF" w:rsidRPr="00DF51DC">
              <w:rPr>
                <w:sz w:val="18"/>
                <w:szCs w:val="18"/>
              </w:rPr>
              <w:t xml:space="preserve"> </w:t>
            </w:r>
            <w:r w:rsidRPr="00DF51DC">
              <w:rPr>
                <w:sz w:val="18"/>
                <w:szCs w:val="18"/>
              </w:rPr>
              <w:t>month to &lt; 3 months</w:t>
            </w:r>
            <w:r w:rsidRPr="00DF51DC">
              <w:rPr>
                <w:sz w:val="18"/>
                <w:szCs w:val="18"/>
              </w:rPr>
              <w:br/>
              <w:t>Medium term: ≥ 3 months to &lt;12 months</w:t>
            </w:r>
            <w:r w:rsidRPr="00DF51DC">
              <w:rPr>
                <w:sz w:val="18"/>
                <w:szCs w:val="18"/>
              </w:rPr>
              <w:br/>
              <w:t xml:space="preserve">Long term: </w:t>
            </w:r>
            <w:r w:rsidRPr="00DF51DC">
              <w:rPr>
                <w:rFonts w:cs="Calibri"/>
                <w:sz w:val="18"/>
                <w:szCs w:val="18"/>
              </w:rPr>
              <w:t>≥</w:t>
            </w:r>
            <w:r w:rsidRPr="00DF51DC">
              <w:rPr>
                <w:sz w:val="18"/>
                <w:szCs w:val="18"/>
              </w:rPr>
              <w:t xml:space="preserve"> 12 months</w:t>
            </w:r>
          </w:p>
        </w:tc>
      </w:tr>
    </w:tbl>
    <w:p w14:paraId="3A6DD485" w14:textId="5003AA41" w:rsidR="002E781D" w:rsidRDefault="00F21495" w:rsidP="00991431">
      <w:pPr>
        <w:pStyle w:val="111Tablefootnoteslast-nostick8pt"/>
      </w:pPr>
      <w:r w:rsidRPr="00D05DB6">
        <w:t xml:space="preserve">Abbreviations: </w:t>
      </w:r>
      <w:r w:rsidR="00852A0A">
        <w:t xml:space="preserve">AE, adverse event; </w:t>
      </w:r>
      <w:r w:rsidR="00991431">
        <w:t xml:space="preserve">FBSS, failed back surgery syndrome; </w:t>
      </w:r>
      <w:proofErr w:type="spellStart"/>
      <w:r>
        <w:t>HRQoL</w:t>
      </w:r>
      <w:proofErr w:type="spellEnd"/>
      <w:r>
        <w:t xml:space="preserve">, health-related quality of life; </w:t>
      </w:r>
      <w:r w:rsidR="00991431">
        <w:t xml:space="preserve">SAEs, severe adverse events; </w:t>
      </w:r>
      <w:r>
        <w:t>SCS, spinal cord stimulat</w:t>
      </w:r>
      <w:r w:rsidR="009E52BB">
        <w:t>ion</w:t>
      </w:r>
      <w:r>
        <w:t xml:space="preserve">. </w:t>
      </w:r>
    </w:p>
    <w:p w14:paraId="6F215032" w14:textId="4D1DDAEA" w:rsidR="000D690D" w:rsidRDefault="000D690D" w:rsidP="00DD260A">
      <w:pPr>
        <w:pStyle w:val="Heading4"/>
      </w:pPr>
      <w:r>
        <w:t>Included studies</w:t>
      </w:r>
    </w:p>
    <w:p w14:paraId="3A96C69C" w14:textId="25AD4FF8" w:rsidR="00F83BF3" w:rsidRDefault="00FB1F59" w:rsidP="00F83BF3">
      <w:pPr>
        <w:pStyle w:val="BodyText"/>
      </w:pPr>
      <w:r>
        <w:t xml:space="preserve">Thirteen published </w:t>
      </w:r>
      <w:r w:rsidR="00F54A57">
        <w:t>RCTs</w:t>
      </w:r>
      <w:r>
        <w:t xml:space="preserve"> with 699 participants met the inclusion criteria (</w:t>
      </w:r>
      <w:r w:rsidR="003E7665">
        <w:fldChar w:fldCharType="begin"/>
      </w:r>
      <w:r w:rsidR="003E7665">
        <w:instrText xml:space="preserve"> REF _Ref130983583 \h </w:instrText>
      </w:r>
      <w:r w:rsidR="003E7665">
        <w:fldChar w:fldCharType="separate"/>
      </w:r>
      <w:r w:rsidR="00CE6ACA">
        <w:t xml:space="preserve">Table </w:t>
      </w:r>
      <w:r w:rsidR="00CE6ACA">
        <w:rPr>
          <w:noProof/>
        </w:rPr>
        <w:t>6</w:t>
      </w:r>
      <w:r w:rsidR="003E7665">
        <w:fldChar w:fldCharType="end"/>
      </w:r>
      <w:r>
        <w:t>).</w:t>
      </w:r>
      <w:r w:rsidR="00567B09">
        <w:t xml:space="preserve"> </w:t>
      </w:r>
      <w:r w:rsidR="00CA1757">
        <w:t>The</w:t>
      </w:r>
      <w:r w:rsidR="00CA1757" w:rsidDel="00E36D79">
        <w:t xml:space="preserve"> </w:t>
      </w:r>
      <w:r w:rsidR="00E36D79">
        <w:t>trials</w:t>
      </w:r>
      <w:r w:rsidR="00CA1757">
        <w:t xml:space="preserve"> included </w:t>
      </w:r>
      <w:r w:rsidR="007469E6">
        <w:t xml:space="preserve">patient populations with </w:t>
      </w:r>
      <w:r w:rsidR="00195296">
        <w:t>a range of low back pain indications</w:t>
      </w:r>
      <w:r w:rsidR="00D0282E">
        <w:t xml:space="preserve"> including FBSS, </w:t>
      </w:r>
      <w:r w:rsidR="0079741C">
        <w:t xml:space="preserve">(complex regional pain syndrome) </w:t>
      </w:r>
      <w:r w:rsidR="00D0282E">
        <w:t xml:space="preserve">CRPS, radicular leg pain, </w:t>
      </w:r>
      <w:r w:rsidR="000D26F2">
        <w:t>and chronic low back pain.</w:t>
      </w:r>
      <w:r w:rsidR="00382F84">
        <w:t xml:space="preserve"> </w:t>
      </w:r>
      <w:r w:rsidR="000616FE">
        <w:t>Ten</w:t>
      </w:r>
      <w:r w:rsidR="00AB209C">
        <w:t xml:space="preserve"> of the thirteen </w:t>
      </w:r>
      <w:r w:rsidR="00E36D79">
        <w:t xml:space="preserve">RCTs </w:t>
      </w:r>
      <w:r w:rsidR="00AB209C">
        <w:t xml:space="preserve">were cross-over </w:t>
      </w:r>
      <w:r w:rsidR="00D80787">
        <w:t xml:space="preserve">studies ranging from </w:t>
      </w:r>
      <w:r w:rsidR="00F35CC5">
        <w:t>4 to 50 participants</w:t>
      </w:r>
      <w:r w:rsidR="000616FE">
        <w:t xml:space="preserve">, and the remaining three </w:t>
      </w:r>
      <w:r w:rsidR="00E36D79">
        <w:t xml:space="preserve">RCTs </w:t>
      </w:r>
      <w:r w:rsidR="000616FE">
        <w:t xml:space="preserve">were parallel </w:t>
      </w:r>
      <w:r w:rsidR="001B49E2">
        <w:t>studies ranging from 100 to 218 participants</w:t>
      </w:r>
      <w:r w:rsidR="00F35CC5">
        <w:t xml:space="preserve">. Six of the </w:t>
      </w:r>
      <w:r w:rsidR="007955FA">
        <w:t xml:space="preserve">RCTs </w:t>
      </w:r>
      <w:r w:rsidR="00567B09">
        <w:t>declared industry funding.</w:t>
      </w:r>
      <w:r w:rsidR="00E005AA">
        <w:t xml:space="preserve"> One study, PROCESS, included Australian sites.</w:t>
      </w:r>
    </w:p>
    <w:p w14:paraId="3CA129E4" w14:textId="0BEB49E8" w:rsidR="005740BD" w:rsidRDefault="009B1820" w:rsidP="009B1820">
      <w:pPr>
        <w:pStyle w:val="Caption"/>
      </w:pPr>
      <w:bookmarkStart w:id="74" w:name="_Ref130983583"/>
      <w:r>
        <w:t xml:space="preserve">Table </w:t>
      </w:r>
      <w:r>
        <w:fldChar w:fldCharType="begin"/>
      </w:r>
      <w:r>
        <w:instrText>SEQ Table \* ARABIC</w:instrText>
      </w:r>
      <w:r>
        <w:fldChar w:fldCharType="separate"/>
      </w:r>
      <w:r w:rsidR="00CE6ACA">
        <w:rPr>
          <w:noProof/>
        </w:rPr>
        <w:t>6</w:t>
      </w:r>
      <w:r>
        <w:fldChar w:fldCharType="end"/>
      </w:r>
      <w:bookmarkEnd w:id="74"/>
      <w:r>
        <w:tab/>
        <w:t>Characteristics of studies included in Traeg</w:t>
      </w:r>
      <w:r w:rsidR="004C0B39">
        <w:t>e</w:t>
      </w:r>
      <w:r>
        <w:t>r (2023)</w:t>
      </w:r>
    </w:p>
    <w:tbl>
      <w:tblPr>
        <w:tblStyle w:val="TableGrid"/>
        <w:tblW w:w="5000" w:type="pct"/>
        <w:tblLook w:val="04A0" w:firstRow="1" w:lastRow="0" w:firstColumn="1" w:lastColumn="0" w:noHBand="0" w:noVBand="1"/>
        <w:tblCaption w:val="Characteristics of studies included in Traeger (2023)"/>
        <w:tblDescription w:val="Table showing the study design, participants, intervention, comparator, funding, COI, and treatment duration of the included studies in Traeger ("/>
      </w:tblPr>
      <w:tblGrid>
        <w:gridCol w:w="1335"/>
        <w:gridCol w:w="1334"/>
        <w:gridCol w:w="1584"/>
        <w:gridCol w:w="1275"/>
        <w:gridCol w:w="1845"/>
        <w:gridCol w:w="1247"/>
        <w:gridCol w:w="1018"/>
      </w:tblGrid>
      <w:tr w:rsidR="00555BB2" w:rsidRPr="00DF51DC" w14:paraId="596EEC5F" w14:textId="77777777" w:rsidTr="005A05B8">
        <w:trPr>
          <w:cnfStyle w:val="100000000000" w:firstRow="1" w:lastRow="0" w:firstColumn="0" w:lastColumn="0" w:oddVBand="0" w:evenVBand="0" w:oddHBand="0" w:evenHBand="0" w:firstRowFirstColumn="0" w:firstRowLastColumn="0" w:lastRowFirstColumn="0" w:lastRowLastColumn="0"/>
        </w:trPr>
        <w:tc>
          <w:tcPr>
            <w:tcW w:w="693" w:type="pct"/>
          </w:tcPr>
          <w:p w14:paraId="5ADB5189" w14:textId="3177A5D5" w:rsidR="005740BD" w:rsidRPr="00DF51DC" w:rsidRDefault="005740BD" w:rsidP="004E373B">
            <w:pPr>
              <w:pStyle w:val="011TableHeading10pt"/>
              <w:rPr>
                <w:sz w:val="18"/>
                <w:szCs w:val="18"/>
              </w:rPr>
            </w:pPr>
            <w:r w:rsidRPr="00DF51DC">
              <w:rPr>
                <w:sz w:val="18"/>
                <w:szCs w:val="18"/>
              </w:rPr>
              <w:t>Study ID</w:t>
            </w:r>
            <w:r w:rsidR="00555BB2">
              <w:rPr>
                <w:sz w:val="18"/>
                <w:szCs w:val="18"/>
              </w:rPr>
              <w:br/>
            </w:r>
          </w:p>
        </w:tc>
        <w:tc>
          <w:tcPr>
            <w:tcW w:w="692" w:type="pct"/>
          </w:tcPr>
          <w:p w14:paraId="2AD3E1F1" w14:textId="77777777" w:rsidR="005740BD" w:rsidRPr="00DF51DC" w:rsidRDefault="005740BD" w:rsidP="004E373B">
            <w:pPr>
              <w:pStyle w:val="011TableHeading10pt"/>
              <w:rPr>
                <w:sz w:val="18"/>
                <w:szCs w:val="18"/>
              </w:rPr>
            </w:pPr>
            <w:r w:rsidRPr="00DF51DC">
              <w:rPr>
                <w:sz w:val="18"/>
                <w:szCs w:val="18"/>
              </w:rPr>
              <w:t>Design</w:t>
            </w:r>
          </w:p>
        </w:tc>
        <w:tc>
          <w:tcPr>
            <w:tcW w:w="822" w:type="pct"/>
          </w:tcPr>
          <w:p w14:paraId="1D8FA6FB" w14:textId="6A253A1E" w:rsidR="005740BD" w:rsidRPr="00DF51DC" w:rsidRDefault="005740BD" w:rsidP="004E373B">
            <w:pPr>
              <w:pStyle w:val="011TableHeading10pt"/>
              <w:rPr>
                <w:sz w:val="18"/>
                <w:szCs w:val="18"/>
              </w:rPr>
            </w:pPr>
            <w:r w:rsidRPr="00DF51DC">
              <w:rPr>
                <w:sz w:val="18"/>
                <w:szCs w:val="18"/>
              </w:rPr>
              <w:t>Participants</w:t>
            </w:r>
            <w:r w:rsidR="001D2100">
              <w:rPr>
                <w:sz w:val="18"/>
                <w:szCs w:val="18"/>
              </w:rPr>
              <w:br/>
            </w:r>
            <w:r w:rsidR="00850206">
              <w:rPr>
                <w:sz w:val="18"/>
                <w:szCs w:val="18"/>
              </w:rPr>
              <w:t>N</w:t>
            </w:r>
          </w:p>
        </w:tc>
        <w:tc>
          <w:tcPr>
            <w:tcW w:w="661" w:type="pct"/>
          </w:tcPr>
          <w:p w14:paraId="1336F8F7" w14:textId="39DC0814" w:rsidR="005740BD" w:rsidRPr="00DF51DC" w:rsidRDefault="005740BD" w:rsidP="004E373B">
            <w:pPr>
              <w:pStyle w:val="011TableHeading10pt"/>
              <w:rPr>
                <w:sz w:val="18"/>
                <w:szCs w:val="18"/>
              </w:rPr>
            </w:pPr>
            <w:r w:rsidRPr="00DF51DC">
              <w:rPr>
                <w:sz w:val="18"/>
                <w:szCs w:val="18"/>
              </w:rPr>
              <w:t>Intervention</w:t>
            </w:r>
            <w:r w:rsidR="009D1C39" w:rsidRPr="00DF51DC">
              <w:rPr>
                <w:sz w:val="18"/>
                <w:szCs w:val="18"/>
              </w:rPr>
              <w:br/>
            </w:r>
            <w:r w:rsidRPr="00DF51DC">
              <w:rPr>
                <w:sz w:val="18"/>
                <w:szCs w:val="18"/>
              </w:rPr>
              <w:t>Comparator</w:t>
            </w:r>
          </w:p>
        </w:tc>
        <w:tc>
          <w:tcPr>
            <w:tcW w:w="957" w:type="pct"/>
          </w:tcPr>
          <w:p w14:paraId="3EF9CD42" w14:textId="77777777" w:rsidR="005740BD" w:rsidRPr="00DF51DC" w:rsidRDefault="005740BD" w:rsidP="004E373B">
            <w:pPr>
              <w:pStyle w:val="011TableHeading10pt"/>
              <w:rPr>
                <w:sz w:val="18"/>
                <w:szCs w:val="18"/>
              </w:rPr>
            </w:pPr>
            <w:r w:rsidRPr="00DF51DC">
              <w:rPr>
                <w:sz w:val="18"/>
                <w:szCs w:val="18"/>
              </w:rPr>
              <w:t>Outcomes</w:t>
            </w:r>
          </w:p>
        </w:tc>
        <w:tc>
          <w:tcPr>
            <w:tcW w:w="647" w:type="pct"/>
          </w:tcPr>
          <w:p w14:paraId="24569D55" w14:textId="3D5FAD18" w:rsidR="005740BD" w:rsidRPr="00DF51DC" w:rsidRDefault="005740BD" w:rsidP="004E373B">
            <w:pPr>
              <w:pStyle w:val="011TableHeading10pt"/>
              <w:rPr>
                <w:sz w:val="18"/>
                <w:szCs w:val="18"/>
              </w:rPr>
            </w:pPr>
            <w:r w:rsidRPr="00DF51DC">
              <w:rPr>
                <w:sz w:val="18"/>
                <w:szCs w:val="18"/>
              </w:rPr>
              <w:t>Funding</w:t>
            </w:r>
            <w:r w:rsidR="00555BB2">
              <w:rPr>
                <w:sz w:val="18"/>
                <w:szCs w:val="18"/>
              </w:rPr>
              <w:br/>
            </w:r>
            <w:r w:rsidR="00D54740">
              <w:rPr>
                <w:sz w:val="18"/>
                <w:szCs w:val="18"/>
              </w:rPr>
              <w:t>COI</w:t>
            </w:r>
          </w:p>
        </w:tc>
        <w:tc>
          <w:tcPr>
            <w:tcW w:w="529" w:type="pct"/>
          </w:tcPr>
          <w:p w14:paraId="29DE8A5D" w14:textId="55F4374E" w:rsidR="005740BD" w:rsidRPr="00DF51DC" w:rsidRDefault="005740BD" w:rsidP="004E373B">
            <w:pPr>
              <w:pStyle w:val="011TableHeading10pt"/>
              <w:rPr>
                <w:sz w:val="18"/>
                <w:szCs w:val="18"/>
              </w:rPr>
            </w:pPr>
            <w:r w:rsidRPr="00DF51DC">
              <w:rPr>
                <w:sz w:val="18"/>
                <w:szCs w:val="18"/>
              </w:rPr>
              <w:t>Treatment duration</w:t>
            </w:r>
          </w:p>
        </w:tc>
      </w:tr>
      <w:tr w:rsidR="00BB1E54" w:rsidRPr="00DF51DC" w14:paraId="5AF60591" w14:textId="77777777" w:rsidTr="005A05B8">
        <w:tc>
          <w:tcPr>
            <w:tcW w:w="693" w:type="pct"/>
          </w:tcPr>
          <w:p w14:paraId="4443CFD8" w14:textId="77777777" w:rsidR="00BB1E54" w:rsidRPr="00DF51DC" w:rsidRDefault="00BB1E54" w:rsidP="001063B3">
            <w:pPr>
              <w:pStyle w:val="051Tabletext2210pt"/>
              <w:rPr>
                <w:sz w:val="18"/>
                <w:szCs w:val="18"/>
              </w:rPr>
            </w:pPr>
            <w:proofErr w:type="spellStart"/>
            <w:r w:rsidRPr="00DF51DC">
              <w:rPr>
                <w:sz w:val="18"/>
                <w:szCs w:val="18"/>
              </w:rPr>
              <w:t>Rigoard</w:t>
            </w:r>
            <w:proofErr w:type="spellEnd"/>
            <w:r w:rsidRPr="00DF51DC">
              <w:rPr>
                <w:sz w:val="18"/>
                <w:szCs w:val="18"/>
              </w:rPr>
              <w:t xml:space="preserve"> 2019 (PROMISE)</w:t>
            </w:r>
            <w:r w:rsidRPr="00DF51DC">
              <w:rPr>
                <w:sz w:val="18"/>
                <w:szCs w:val="18"/>
              </w:rPr>
              <w:br/>
            </w:r>
          </w:p>
        </w:tc>
        <w:tc>
          <w:tcPr>
            <w:tcW w:w="692" w:type="pct"/>
          </w:tcPr>
          <w:p w14:paraId="78897738" w14:textId="77777777" w:rsidR="00BB1E54" w:rsidRPr="00DF51DC" w:rsidRDefault="00BB1E54" w:rsidP="001063B3">
            <w:pPr>
              <w:pStyle w:val="051Tabletext2210pt"/>
              <w:rPr>
                <w:sz w:val="18"/>
                <w:szCs w:val="18"/>
              </w:rPr>
            </w:pPr>
            <w:r w:rsidRPr="00DF51DC">
              <w:rPr>
                <w:sz w:val="18"/>
                <w:szCs w:val="18"/>
              </w:rPr>
              <w:t>Parallel RCT</w:t>
            </w:r>
          </w:p>
        </w:tc>
        <w:tc>
          <w:tcPr>
            <w:tcW w:w="822" w:type="pct"/>
          </w:tcPr>
          <w:p w14:paraId="4CAF92CF" w14:textId="77777777" w:rsidR="00BB1E54" w:rsidRDefault="00BB1E54" w:rsidP="001063B3">
            <w:pPr>
              <w:pStyle w:val="051Tabletext2210pt"/>
              <w:rPr>
                <w:sz w:val="18"/>
                <w:szCs w:val="18"/>
              </w:rPr>
            </w:pPr>
            <w:r w:rsidRPr="00DF51DC">
              <w:rPr>
                <w:sz w:val="18"/>
                <w:szCs w:val="18"/>
              </w:rPr>
              <w:t>FBSS</w:t>
            </w:r>
          </w:p>
          <w:p w14:paraId="069FE598" w14:textId="77777777" w:rsidR="00BB1E54" w:rsidRPr="00DF51DC" w:rsidRDefault="00BB1E54" w:rsidP="001063B3">
            <w:pPr>
              <w:pStyle w:val="051Tabletext2210pt"/>
              <w:rPr>
                <w:sz w:val="18"/>
                <w:szCs w:val="18"/>
              </w:rPr>
            </w:pPr>
            <w:r w:rsidRPr="00DF51DC">
              <w:rPr>
                <w:sz w:val="18"/>
                <w:szCs w:val="18"/>
              </w:rPr>
              <w:t>218</w:t>
            </w:r>
          </w:p>
        </w:tc>
        <w:tc>
          <w:tcPr>
            <w:tcW w:w="661" w:type="pct"/>
          </w:tcPr>
          <w:p w14:paraId="3F37BC41" w14:textId="77777777" w:rsidR="00BB1E54" w:rsidRPr="00DF51DC" w:rsidRDefault="00BB1E54" w:rsidP="001063B3">
            <w:pPr>
              <w:pStyle w:val="051Tabletext2210pt"/>
              <w:rPr>
                <w:sz w:val="18"/>
                <w:szCs w:val="18"/>
              </w:rPr>
            </w:pPr>
            <w:r w:rsidRPr="00DF51DC">
              <w:rPr>
                <w:sz w:val="18"/>
                <w:szCs w:val="18"/>
              </w:rPr>
              <w:t>SCS (conventional)</w:t>
            </w:r>
            <w:r w:rsidRPr="00DF51DC">
              <w:rPr>
                <w:sz w:val="18"/>
                <w:szCs w:val="18"/>
              </w:rPr>
              <w:br/>
              <w:t>OMM</w:t>
            </w:r>
          </w:p>
        </w:tc>
        <w:tc>
          <w:tcPr>
            <w:tcW w:w="957" w:type="pct"/>
          </w:tcPr>
          <w:p w14:paraId="583DE0C1" w14:textId="77777777" w:rsidR="00BB1E54" w:rsidRPr="00DF51DC" w:rsidRDefault="00BB1E54" w:rsidP="001063B3">
            <w:pPr>
              <w:pStyle w:val="051Tabletext2210pt"/>
              <w:rPr>
                <w:sz w:val="18"/>
                <w:szCs w:val="18"/>
              </w:rPr>
            </w:pPr>
            <w:r w:rsidRPr="00DF51DC">
              <w:rPr>
                <w:sz w:val="18"/>
                <w:szCs w:val="18"/>
              </w:rPr>
              <w:t xml:space="preserve">Pain intensity; function; </w:t>
            </w:r>
            <w:proofErr w:type="spellStart"/>
            <w:r w:rsidRPr="00DF51DC">
              <w:rPr>
                <w:sz w:val="18"/>
                <w:szCs w:val="18"/>
              </w:rPr>
              <w:t>HRQoL</w:t>
            </w:r>
            <w:proofErr w:type="spellEnd"/>
          </w:p>
        </w:tc>
        <w:tc>
          <w:tcPr>
            <w:tcW w:w="647" w:type="pct"/>
          </w:tcPr>
          <w:p w14:paraId="58E42F78" w14:textId="77777777" w:rsidR="00BB1E54" w:rsidRPr="00DF51DC" w:rsidRDefault="00BB1E54" w:rsidP="001063B3">
            <w:pPr>
              <w:pStyle w:val="051Tabletext2210pt"/>
              <w:rPr>
                <w:sz w:val="18"/>
                <w:szCs w:val="18"/>
              </w:rPr>
            </w:pPr>
            <w:r w:rsidRPr="00DF51DC">
              <w:rPr>
                <w:sz w:val="18"/>
                <w:szCs w:val="18"/>
              </w:rPr>
              <w:t>Medtronic</w:t>
            </w:r>
            <w:r>
              <w:rPr>
                <w:sz w:val="18"/>
                <w:szCs w:val="18"/>
              </w:rPr>
              <w:br/>
            </w:r>
            <w:r w:rsidRPr="00DF51DC">
              <w:rPr>
                <w:sz w:val="18"/>
                <w:szCs w:val="18"/>
              </w:rPr>
              <w:t>NR</w:t>
            </w:r>
          </w:p>
        </w:tc>
        <w:tc>
          <w:tcPr>
            <w:tcW w:w="529" w:type="pct"/>
          </w:tcPr>
          <w:p w14:paraId="44FDE2E3" w14:textId="77777777" w:rsidR="00BB1E54" w:rsidRPr="00DF51DC" w:rsidRDefault="00BB1E54" w:rsidP="001063B3">
            <w:pPr>
              <w:pStyle w:val="051Tabletext2210pt"/>
              <w:rPr>
                <w:sz w:val="18"/>
                <w:szCs w:val="18"/>
              </w:rPr>
            </w:pPr>
            <w:r w:rsidRPr="00DF51DC">
              <w:rPr>
                <w:sz w:val="18"/>
                <w:szCs w:val="18"/>
              </w:rPr>
              <w:t xml:space="preserve">24 </w:t>
            </w:r>
            <w:proofErr w:type="spellStart"/>
            <w:r w:rsidRPr="00DF51DC">
              <w:rPr>
                <w:sz w:val="18"/>
                <w:szCs w:val="18"/>
              </w:rPr>
              <w:t>mo</w:t>
            </w:r>
            <w:proofErr w:type="spellEnd"/>
          </w:p>
        </w:tc>
      </w:tr>
      <w:tr w:rsidR="00BB1E54" w:rsidRPr="00DF51DC" w14:paraId="3E0BE325" w14:textId="77777777" w:rsidTr="005A05B8">
        <w:tc>
          <w:tcPr>
            <w:tcW w:w="693" w:type="pct"/>
          </w:tcPr>
          <w:p w14:paraId="7F16E951" w14:textId="77777777" w:rsidR="00BB1E54" w:rsidRPr="00DF51DC" w:rsidRDefault="00BB1E54" w:rsidP="004E373B">
            <w:pPr>
              <w:pStyle w:val="051Tabletext2210pt"/>
              <w:rPr>
                <w:sz w:val="18"/>
                <w:szCs w:val="18"/>
              </w:rPr>
            </w:pPr>
            <w:r w:rsidRPr="00DF51DC">
              <w:rPr>
                <w:sz w:val="18"/>
                <w:szCs w:val="18"/>
              </w:rPr>
              <w:t>Kumar 2007 (PROCESS)</w:t>
            </w:r>
            <w:r w:rsidRPr="00DF51DC">
              <w:rPr>
                <w:sz w:val="18"/>
                <w:szCs w:val="18"/>
              </w:rPr>
              <w:br/>
            </w:r>
          </w:p>
        </w:tc>
        <w:tc>
          <w:tcPr>
            <w:tcW w:w="692" w:type="pct"/>
          </w:tcPr>
          <w:p w14:paraId="2D01BBBE" w14:textId="77777777" w:rsidR="00BB1E54" w:rsidRPr="00DF51DC" w:rsidRDefault="00BB1E54" w:rsidP="004E373B">
            <w:pPr>
              <w:pStyle w:val="051Tabletext2210pt"/>
              <w:rPr>
                <w:sz w:val="18"/>
                <w:szCs w:val="18"/>
              </w:rPr>
            </w:pPr>
            <w:r w:rsidRPr="00DF51DC">
              <w:rPr>
                <w:sz w:val="18"/>
                <w:szCs w:val="18"/>
              </w:rPr>
              <w:t>Parallel RCT</w:t>
            </w:r>
          </w:p>
        </w:tc>
        <w:tc>
          <w:tcPr>
            <w:tcW w:w="822" w:type="pct"/>
          </w:tcPr>
          <w:p w14:paraId="368C307B" w14:textId="77777777" w:rsidR="00BB1E54" w:rsidRDefault="00BB1E54" w:rsidP="004E373B">
            <w:pPr>
              <w:pStyle w:val="051Tabletext2210pt"/>
              <w:rPr>
                <w:sz w:val="18"/>
                <w:szCs w:val="18"/>
              </w:rPr>
            </w:pPr>
            <w:r w:rsidRPr="00DF51DC">
              <w:rPr>
                <w:sz w:val="18"/>
                <w:szCs w:val="18"/>
              </w:rPr>
              <w:t>FBSS</w:t>
            </w:r>
          </w:p>
          <w:p w14:paraId="3B2CAAF6" w14:textId="77777777" w:rsidR="00BB1E54" w:rsidRPr="00DF51DC" w:rsidRDefault="00BB1E54" w:rsidP="004E373B">
            <w:pPr>
              <w:pStyle w:val="051Tabletext2210pt"/>
              <w:rPr>
                <w:sz w:val="18"/>
                <w:szCs w:val="18"/>
              </w:rPr>
            </w:pPr>
            <w:r w:rsidRPr="00DF51DC">
              <w:rPr>
                <w:sz w:val="18"/>
                <w:szCs w:val="18"/>
              </w:rPr>
              <w:t>100</w:t>
            </w:r>
          </w:p>
        </w:tc>
        <w:tc>
          <w:tcPr>
            <w:tcW w:w="661" w:type="pct"/>
          </w:tcPr>
          <w:p w14:paraId="3BA775C3" w14:textId="77777777" w:rsidR="00BB1E54" w:rsidRPr="00DF51DC" w:rsidRDefault="00BB1E54" w:rsidP="004E373B">
            <w:pPr>
              <w:pStyle w:val="051Tabletext2210pt"/>
              <w:rPr>
                <w:sz w:val="18"/>
                <w:szCs w:val="18"/>
              </w:rPr>
            </w:pPr>
            <w:r w:rsidRPr="00DF51DC">
              <w:rPr>
                <w:sz w:val="18"/>
                <w:szCs w:val="18"/>
              </w:rPr>
              <w:t>SCS (conventional) +CMM</w:t>
            </w:r>
            <w:r w:rsidRPr="00DF51DC">
              <w:rPr>
                <w:sz w:val="18"/>
                <w:szCs w:val="18"/>
              </w:rPr>
              <w:br/>
            </w:r>
            <w:proofErr w:type="spellStart"/>
            <w:r w:rsidRPr="00DF51DC">
              <w:rPr>
                <w:sz w:val="18"/>
                <w:szCs w:val="18"/>
              </w:rPr>
              <w:t>CMM</w:t>
            </w:r>
            <w:proofErr w:type="spellEnd"/>
          </w:p>
        </w:tc>
        <w:tc>
          <w:tcPr>
            <w:tcW w:w="957" w:type="pct"/>
          </w:tcPr>
          <w:p w14:paraId="225D7DE0" w14:textId="69497146" w:rsidR="00BB1E54" w:rsidRPr="00DF51DC" w:rsidRDefault="00BB1E54" w:rsidP="004E373B">
            <w:pPr>
              <w:pStyle w:val="051Tabletext2210pt"/>
              <w:rPr>
                <w:sz w:val="18"/>
                <w:szCs w:val="18"/>
              </w:rPr>
            </w:pPr>
            <w:r w:rsidRPr="00DF51DC">
              <w:rPr>
                <w:sz w:val="18"/>
                <w:szCs w:val="18"/>
              </w:rPr>
              <w:t xml:space="preserve">Pain intensity; </w:t>
            </w:r>
            <w:proofErr w:type="spellStart"/>
            <w:r w:rsidRPr="00DF51DC">
              <w:rPr>
                <w:sz w:val="18"/>
                <w:szCs w:val="18"/>
              </w:rPr>
              <w:t>HRQoL</w:t>
            </w:r>
            <w:proofErr w:type="spellEnd"/>
            <w:r w:rsidRPr="00DF51DC">
              <w:rPr>
                <w:sz w:val="18"/>
                <w:szCs w:val="18"/>
              </w:rPr>
              <w:t>; function; medication use</w:t>
            </w:r>
            <w:r>
              <w:rPr>
                <w:sz w:val="18"/>
                <w:szCs w:val="18"/>
              </w:rPr>
              <w:t>;</w:t>
            </w:r>
            <w:r w:rsidRPr="00DF51DC">
              <w:rPr>
                <w:sz w:val="18"/>
                <w:szCs w:val="18"/>
              </w:rPr>
              <w:t xml:space="preserve"> </w:t>
            </w:r>
            <w:r w:rsidR="00112AC6">
              <w:rPr>
                <w:sz w:val="18"/>
                <w:szCs w:val="18"/>
              </w:rPr>
              <w:t>A</w:t>
            </w:r>
            <w:r w:rsidR="00112AC6" w:rsidRPr="00DF51DC">
              <w:rPr>
                <w:sz w:val="18"/>
                <w:szCs w:val="18"/>
              </w:rPr>
              <w:t>Es</w:t>
            </w:r>
          </w:p>
        </w:tc>
        <w:tc>
          <w:tcPr>
            <w:tcW w:w="647" w:type="pct"/>
          </w:tcPr>
          <w:p w14:paraId="77B2D183" w14:textId="77777777" w:rsidR="00BB1E54" w:rsidRPr="00DF51DC" w:rsidRDefault="00BB1E54" w:rsidP="00802777">
            <w:pPr>
              <w:pStyle w:val="051Tabletext2210pt"/>
              <w:rPr>
                <w:sz w:val="18"/>
                <w:szCs w:val="18"/>
              </w:rPr>
            </w:pPr>
            <w:r w:rsidRPr="00DF51DC">
              <w:rPr>
                <w:sz w:val="18"/>
                <w:szCs w:val="18"/>
              </w:rPr>
              <w:t>Medtronic</w:t>
            </w:r>
            <w:r>
              <w:rPr>
                <w:sz w:val="18"/>
                <w:szCs w:val="18"/>
              </w:rPr>
              <w:br/>
            </w:r>
            <w:r w:rsidRPr="00DF51DC">
              <w:rPr>
                <w:sz w:val="18"/>
                <w:szCs w:val="18"/>
              </w:rPr>
              <w:t>NR</w:t>
            </w:r>
          </w:p>
        </w:tc>
        <w:tc>
          <w:tcPr>
            <w:tcW w:w="529" w:type="pct"/>
          </w:tcPr>
          <w:p w14:paraId="221C984F" w14:textId="77777777" w:rsidR="00BB1E54" w:rsidRPr="00DF51DC" w:rsidRDefault="00BB1E54" w:rsidP="004E373B">
            <w:pPr>
              <w:pStyle w:val="051Tabletext2210pt"/>
              <w:rPr>
                <w:sz w:val="18"/>
                <w:szCs w:val="18"/>
              </w:rPr>
            </w:pPr>
            <w:r w:rsidRPr="00DF51DC">
              <w:rPr>
                <w:sz w:val="18"/>
                <w:szCs w:val="18"/>
              </w:rPr>
              <w:t xml:space="preserve">12 </w:t>
            </w:r>
            <w:proofErr w:type="spellStart"/>
            <w:r w:rsidRPr="00DF51DC">
              <w:rPr>
                <w:sz w:val="18"/>
                <w:szCs w:val="18"/>
              </w:rPr>
              <w:t>mo</w:t>
            </w:r>
            <w:proofErr w:type="spellEnd"/>
          </w:p>
        </w:tc>
      </w:tr>
      <w:tr w:rsidR="00BB1E54" w:rsidRPr="00DF51DC" w14:paraId="7BCCDFCF" w14:textId="77777777" w:rsidTr="005A05B8">
        <w:tc>
          <w:tcPr>
            <w:tcW w:w="693" w:type="pct"/>
          </w:tcPr>
          <w:p w14:paraId="30C60936" w14:textId="77777777" w:rsidR="00BB1E54" w:rsidRPr="00DF51DC" w:rsidRDefault="00BB1E54" w:rsidP="001063B3">
            <w:pPr>
              <w:pStyle w:val="051Tabletext2210pt"/>
              <w:rPr>
                <w:sz w:val="18"/>
                <w:szCs w:val="18"/>
              </w:rPr>
            </w:pPr>
            <w:proofErr w:type="spellStart"/>
            <w:r w:rsidRPr="00DF51DC">
              <w:rPr>
                <w:sz w:val="18"/>
                <w:szCs w:val="18"/>
              </w:rPr>
              <w:t>Kapural</w:t>
            </w:r>
            <w:proofErr w:type="spellEnd"/>
            <w:r w:rsidRPr="00DF51DC">
              <w:rPr>
                <w:sz w:val="18"/>
                <w:szCs w:val="18"/>
              </w:rPr>
              <w:t xml:space="preserve"> 2022</w:t>
            </w:r>
            <w:r w:rsidRPr="00DF51DC">
              <w:rPr>
                <w:sz w:val="18"/>
                <w:szCs w:val="18"/>
              </w:rPr>
              <w:br/>
            </w:r>
          </w:p>
        </w:tc>
        <w:tc>
          <w:tcPr>
            <w:tcW w:w="692" w:type="pct"/>
          </w:tcPr>
          <w:p w14:paraId="385C2872" w14:textId="77777777" w:rsidR="00BB1E54" w:rsidRPr="00DF51DC" w:rsidRDefault="00BB1E54" w:rsidP="001063B3">
            <w:pPr>
              <w:pStyle w:val="051Tabletext2210pt"/>
              <w:rPr>
                <w:sz w:val="18"/>
                <w:szCs w:val="18"/>
              </w:rPr>
            </w:pPr>
            <w:r w:rsidRPr="00DF51DC">
              <w:rPr>
                <w:sz w:val="18"/>
                <w:szCs w:val="18"/>
              </w:rPr>
              <w:t>Parallel RCT</w:t>
            </w:r>
          </w:p>
        </w:tc>
        <w:tc>
          <w:tcPr>
            <w:tcW w:w="822" w:type="pct"/>
          </w:tcPr>
          <w:p w14:paraId="4288705C" w14:textId="77777777" w:rsidR="00BB1E54" w:rsidRDefault="00BB1E54" w:rsidP="001063B3">
            <w:pPr>
              <w:pStyle w:val="051Tabletext2210pt"/>
              <w:rPr>
                <w:sz w:val="18"/>
                <w:szCs w:val="18"/>
              </w:rPr>
            </w:pPr>
            <w:r w:rsidRPr="00DF51DC">
              <w:rPr>
                <w:sz w:val="18"/>
                <w:szCs w:val="18"/>
              </w:rPr>
              <w:t>Chronic, refractory axial low back pain</w:t>
            </w:r>
          </w:p>
          <w:p w14:paraId="074B5630" w14:textId="77777777" w:rsidR="00BB1E54" w:rsidRPr="00DF51DC" w:rsidRDefault="00BB1E54" w:rsidP="001063B3">
            <w:pPr>
              <w:pStyle w:val="051Tabletext2210pt"/>
              <w:rPr>
                <w:sz w:val="18"/>
                <w:szCs w:val="18"/>
              </w:rPr>
            </w:pPr>
            <w:r w:rsidRPr="00DF51DC">
              <w:rPr>
                <w:sz w:val="18"/>
                <w:szCs w:val="18"/>
              </w:rPr>
              <w:t>159</w:t>
            </w:r>
          </w:p>
        </w:tc>
        <w:tc>
          <w:tcPr>
            <w:tcW w:w="661" w:type="pct"/>
          </w:tcPr>
          <w:p w14:paraId="70361DF7" w14:textId="77777777" w:rsidR="00BB1E54" w:rsidRPr="00DF51DC" w:rsidRDefault="00BB1E54" w:rsidP="001063B3">
            <w:pPr>
              <w:pStyle w:val="051Tabletext2210pt"/>
              <w:rPr>
                <w:sz w:val="18"/>
                <w:szCs w:val="18"/>
              </w:rPr>
            </w:pPr>
            <w:r w:rsidRPr="00DF51DC">
              <w:rPr>
                <w:sz w:val="18"/>
                <w:szCs w:val="18"/>
              </w:rPr>
              <w:t>SCS (HF)</w:t>
            </w:r>
          </w:p>
          <w:p w14:paraId="67288537" w14:textId="77777777" w:rsidR="00BB1E54" w:rsidRPr="00DF51DC" w:rsidRDefault="00BB1E54" w:rsidP="001063B3">
            <w:pPr>
              <w:pStyle w:val="051Tabletext2210pt"/>
              <w:rPr>
                <w:sz w:val="18"/>
                <w:szCs w:val="18"/>
              </w:rPr>
            </w:pPr>
            <w:r w:rsidRPr="00DF51DC">
              <w:rPr>
                <w:sz w:val="18"/>
                <w:szCs w:val="18"/>
              </w:rPr>
              <w:t>CMM</w:t>
            </w:r>
          </w:p>
        </w:tc>
        <w:tc>
          <w:tcPr>
            <w:tcW w:w="957" w:type="pct"/>
          </w:tcPr>
          <w:p w14:paraId="188B6BD2" w14:textId="1EB478A9" w:rsidR="00BB1E54" w:rsidRPr="00DF51DC" w:rsidRDefault="00BB1E54" w:rsidP="001063B3">
            <w:pPr>
              <w:pStyle w:val="051Tabletext2210pt"/>
              <w:rPr>
                <w:sz w:val="18"/>
                <w:szCs w:val="18"/>
              </w:rPr>
            </w:pPr>
            <w:r w:rsidRPr="00DF51DC">
              <w:rPr>
                <w:sz w:val="18"/>
                <w:szCs w:val="18"/>
              </w:rPr>
              <w:t xml:space="preserve">Pain intensity; daily dose opioids; </w:t>
            </w:r>
            <w:proofErr w:type="spellStart"/>
            <w:r w:rsidRPr="00DF51DC">
              <w:rPr>
                <w:sz w:val="18"/>
                <w:szCs w:val="18"/>
              </w:rPr>
              <w:t>opoid</w:t>
            </w:r>
            <w:proofErr w:type="spellEnd"/>
            <w:r w:rsidRPr="00DF51DC">
              <w:rPr>
                <w:sz w:val="18"/>
                <w:szCs w:val="18"/>
              </w:rPr>
              <w:t xml:space="preserve"> usage; </w:t>
            </w:r>
            <w:r w:rsidR="00112AC6">
              <w:rPr>
                <w:sz w:val="18"/>
                <w:szCs w:val="18"/>
              </w:rPr>
              <w:t>A</w:t>
            </w:r>
            <w:r w:rsidR="00112AC6" w:rsidRPr="00DF51DC">
              <w:rPr>
                <w:sz w:val="18"/>
                <w:szCs w:val="18"/>
              </w:rPr>
              <w:t>Es</w:t>
            </w:r>
            <w:r w:rsidRPr="00DF51DC">
              <w:rPr>
                <w:sz w:val="18"/>
                <w:szCs w:val="18"/>
              </w:rPr>
              <w:t xml:space="preserve">; </w:t>
            </w:r>
            <w:proofErr w:type="spellStart"/>
            <w:r w:rsidRPr="00DF51DC">
              <w:rPr>
                <w:sz w:val="18"/>
                <w:szCs w:val="18"/>
              </w:rPr>
              <w:t>HRQoL</w:t>
            </w:r>
            <w:proofErr w:type="spellEnd"/>
            <w:r w:rsidRPr="00DF51DC">
              <w:rPr>
                <w:sz w:val="18"/>
                <w:szCs w:val="18"/>
              </w:rPr>
              <w:t>; work status; healthcare use</w:t>
            </w:r>
          </w:p>
        </w:tc>
        <w:tc>
          <w:tcPr>
            <w:tcW w:w="647" w:type="pct"/>
          </w:tcPr>
          <w:p w14:paraId="37B40CCA" w14:textId="77777777" w:rsidR="00BB1E54" w:rsidRPr="00DF51DC" w:rsidRDefault="00BB1E54" w:rsidP="004E373B">
            <w:pPr>
              <w:pStyle w:val="051Tabletext2210pt"/>
              <w:rPr>
                <w:sz w:val="18"/>
                <w:szCs w:val="18"/>
              </w:rPr>
            </w:pPr>
            <w:r w:rsidRPr="00DF51DC">
              <w:rPr>
                <w:sz w:val="18"/>
                <w:szCs w:val="18"/>
              </w:rPr>
              <w:t>Nevro Corp</w:t>
            </w:r>
            <w:r w:rsidRPr="00DF51DC">
              <w:rPr>
                <w:sz w:val="18"/>
                <w:szCs w:val="18"/>
              </w:rPr>
              <w:br/>
              <w:t>Yes</w:t>
            </w:r>
          </w:p>
        </w:tc>
        <w:tc>
          <w:tcPr>
            <w:tcW w:w="529" w:type="pct"/>
          </w:tcPr>
          <w:p w14:paraId="115B6F63" w14:textId="77777777" w:rsidR="00BB1E54" w:rsidRPr="00DF51DC" w:rsidRDefault="00BB1E54" w:rsidP="004E373B">
            <w:pPr>
              <w:pStyle w:val="051Tabletext2210pt"/>
              <w:rPr>
                <w:sz w:val="18"/>
                <w:szCs w:val="18"/>
              </w:rPr>
            </w:pPr>
            <w:r w:rsidRPr="00DF51DC">
              <w:rPr>
                <w:sz w:val="18"/>
                <w:szCs w:val="18"/>
              </w:rPr>
              <w:t xml:space="preserve">6 </w:t>
            </w:r>
            <w:proofErr w:type="spellStart"/>
            <w:r w:rsidRPr="00DF51DC">
              <w:rPr>
                <w:sz w:val="18"/>
                <w:szCs w:val="18"/>
              </w:rPr>
              <w:t>mo</w:t>
            </w:r>
            <w:proofErr w:type="spellEnd"/>
          </w:p>
        </w:tc>
      </w:tr>
      <w:tr w:rsidR="00BB1E54" w:rsidRPr="00DF51DC" w14:paraId="2F4175F7" w14:textId="77777777" w:rsidTr="005A05B8">
        <w:tc>
          <w:tcPr>
            <w:tcW w:w="693" w:type="pct"/>
          </w:tcPr>
          <w:p w14:paraId="6B099182" w14:textId="77777777" w:rsidR="00BB1E54" w:rsidRPr="00DF51DC" w:rsidRDefault="00BB1E54" w:rsidP="004E373B">
            <w:pPr>
              <w:pStyle w:val="051Tabletext2210pt"/>
              <w:rPr>
                <w:sz w:val="18"/>
                <w:szCs w:val="18"/>
              </w:rPr>
            </w:pPr>
            <w:r w:rsidRPr="00DF51DC">
              <w:rPr>
                <w:sz w:val="18"/>
                <w:szCs w:val="18"/>
              </w:rPr>
              <w:t>Hara 2022</w:t>
            </w:r>
            <w:r w:rsidRPr="00DF51DC">
              <w:rPr>
                <w:sz w:val="18"/>
                <w:szCs w:val="18"/>
              </w:rPr>
              <w:br/>
            </w:r>
          </w:p>
        </w:tc>
        <w:tc>
          <w:tcPr>
            <w:tcW w:w="692" w:type="pct"/>
          </w:tcPr>
          <w:p w14:paraId="6920201C" w14:textId="77777777" w:rsidR="00BB1E54" w:rsidRPr="00DF51DC" w:rsidRDefault="00BB1E54" w:rsidP="004E373B">
            <w:pPr>
              <w:pStyle w:val="051Tabletext2210pt"/>
              <w:rPr>
                <w:sz w:val="18"/>
                <w:szCs w:val="18"/>
              </w:rPr>
            </w:pPr>
            <w:r w:rsidRPr="00DF51DC">
              <w:rPr>
                <w:sz w:val="18"/>
                <w:szCs w:val="18"/>
              </w:rPr>
              <w:t>Cross-over RCT</w:t>
            </w:r>
          </w:p>
        </w:tc>
        <w:tc>
          <w:tcPr>
            <w:tcW w:w="822" w:type="pct"/>
          </w:tcPr>
          <w:p w14:paraId="107CC3FE" w14:textId="77777777" w:rsidR="00BB1E54" w:rsidRDefault="00BB1E54" w:rsidP="004E373B">
            <w:pPr>
              <w:pStyle w:val="051Tabletext2210pt"/>
              <w:rPr>
                <w:sz w:val="18"/>
                <w:szCs w:val="18"/>
              </w:rPr>
            </w:pPr>
            <w:r w:rsidRPr="00DF51DC">
              <w:rPr>
                <w:sz w:val="18"/>
                <w:szCs w:val="18"/>
              </w:rPr>
              <w:t>Chronic radicular pain</w:t>
            </w:r>
          </w:p>
          <w:p w14:paraId="1D779761" w14:textId="77777777" w:rsidR="00BB1E54" w:rsidRPr="00DF51DC" w:rsidRDefault="00BB1E54" w:rsidP="004E373B">
            <w:pPr>
              <w:pStyle w:val="051Tabletext2210pt"/>
              <w:rPr>
                <w:sz w:val="18"/>
                <w:szCs w:val="18"/>
              </w:rPr>
            </w:pPr>
            <w:r w:rsidRPr="00DF51DC">
              <w:rPr>
                <w:sz w:val="18"/>
                <w:szCs w:val="18"/>
              </w:rPr>
              <w:t>50</w:t>
            </w:r>
          </w:p>
        </w:tc>
        <w:tc>
          <w:tcPr>
            <w:tcW w:w="661" w:type="pct"/>
          </w:tcPr>
          <w:p w14:paraId="0FF72F3F" w14:textId="77777777" w:rsidR="00BB1E54" w:rsidRPr="00DF51DC" w:rsidRDefault="00BB1E54" w:rsidP="004E373B">
            <w:pPr>
              <w:pStyle w:val="051Tabletext2210pt"/>
              <w:rPr>
                <w:sz w:val="18"/>
                <w:szCs w:val="18"/>
              </w:rPr>
            </w:pPr>
            <w:r w:rsidRPr="00DF51DC">
              <w:rPr>
                <w:sz w:val="18"/>
                <w:szCs w:val="18"/>
              </w:rPr>
              <w:t>SCS (burst)</w:t>
            </w:r>
            <w:r w:rsidRPr="00DF51DC">
              <w:rPr>
                <w:sz w:val="18"/>
                <w:szCs w:val="18"/>
              </w:rPr>
              <w:br/>
              <w:t>Sham</w:t>
            </w:r>
          </w:p>
        </w:tc>
        <w:tc>
          <w:tcPr>
            <w:tcW w:w="957" w:type="pct"/>
          </w:tcPr>
          <w:p w14:paraId="18DC308C" w14:textId="5E89B1F6" w:rsidR="00BB1E54" w:rsidRPr="00DF51DC" w:rsidRDefault="00BB1E54" w:rsidP="004E373B">
            <w:pPr>
              <w:pStyle w:val="051Tabletext2210pt"/>
              <w:rPr>
                <w:sz w:val="18"/>
                <w:szCs w:val="18"/>
              </w:rPr>
            </w:pPr>
            <w:r w:rsidRPr="00DF51DC">
              <w:rPr>
                <w:sz w:val="18"/>
                <w:szCs w:val="18"/>
              </w:rPr>
              <w:t xml:space="preserve">Pain intensity; physical function; QoL; surgical revisions and </w:t>
            </w:r>
            <w:r w:rsidR="00DE0386">
              <w:rPr>
                <w:sz w:val="18"/>
                <w:szCs w:val="18"/>
              </w:rPr>
              <w:t>AE</w:t>
            </w:r>
            <w:r w:rsidRPr="00DF51DC">
              <w:rPr>
                <w:sz w:val="18"/>
                <w:szCs w:val="18"/>
              </w:rPr>
              <w:t>s</w:t>
            </w:r>
          </w:p>
        </w:tc>
        <w:tc>
          <w:tcPr>
            <w:tcW w:w="647" w:type="pct"/>
          </w:tcPr>
          <w:p w14:paraId="523F283A" w14:textId="77777777" w:rsidR="00BB1E54" w:rsidRPr="00DF51DC" w:rsidRDefault="00BB1E54" w:rsidP="004E373B">
            <w:pPr>
              <w:pStyle w:val="051Tabletext2210pt"/>
              <w:rPr>
                <w:sz w:val="18"/>
                <w:szCs w:val="18"/>
              </w:rPr>
            </w:pPr>
            <w:r w:rsidRPr="00DF51DC">
              <w:rPr>
                <w:sz w:val="18"/>
                <w:szCs w:val="18"/>
              </w:rPr>
              <w:t>Liaison Committee for Education, Research and Innovation</w:t>
            </w:r>
            <w:r>
              <w:rPr>
                <w:sz w:val="18"/>
                <w:szCs w:val="18"/>
              </w:rPr>
              <w:br/>
            </w:r>
            <w:r w:rsidRPr="00DF51DC">
              <w:rPr>
                <w:sz w:val="18"/>
                <w:szCs w:val="18"/>
              </w:rPr>
              <w:t>NR</w:t>
            </w:r>
          </w:p>
        </w:tc>
        <w:tc>
          <w:tcPr>
            <w:tcW w:w="529" w:type="pct"/>
          </w:tcPr>
          <w:p w14:paraId="5BF709D7" w14:textId="77777777" w:rsidR="00BB1E54" w:rsidRPr="00DF51DC" w:rsidRDefault="00BB1E54" w:rsidP="004E373B">
            <w:pPr>
              <w:pStyle w:val="051Tabletext2210pt"/>
              <w:rPr>
                <w:sz w:val="18"/>
                <w:szCs w:val="18"/>
              </w:rPr>
            </w:pPr>
            <w:r w:rsidRPr="00DF51DC">
              <w:rPr>
                <w:sz w:val="18"/>
                <w:szCs w:val="18"/>
              </w:rPr>
              <w:t xml:space="preserve">3 </w:t>
            </w:r>
            <w:proofErr w:type="spellStart"/>
            <w:r w:rsidRPr="00DF51DC">
              <w:rPr>
                <w:sz w:val="18"/>
                <w:szCs w:val="18"/>
              </w:rPr>
              <w:t>mo</w:t>
            </w:r>
            <w:proofErr w:type="spellEnd"/>
            <w:r w:rsidRPr="00DF51DC">
              <w:rPr>
                <w:sz w:val="18"/>
                <w:szCs w:val="18"/>
              </w:rPr>
              <w:t xml:space="preserve"> per treatment</w:t>
            </w:r>
          </w:p>
        </w:tc>
      </w:tr>
      <w:tr w:rsidR="005A05B8" w:rsidRPr="00DF51DC" w14:paraId="6F2D85A6" w14:textId="77777777" w:rsidTr="005A05B8">
        <w:tc>
          <w:tcPr>
            <w:tcW w:w="693" w:type="pct"/>
          </w:tcPr>
          <w:p w14:paraId="2D00D068" w14:textId="5621BA43" w:rsidR="005740BD" w:rsidRPr="00DF51DC" w:rsidRDefault="00414B43" w:rsidP="004E373B">
            <w:pPr>
              <w:pStyle w:val="051Tabletext2210pt"/>
              <w:rPr>
                <w:sz w:val="18"/>
                <w:szCs w:val="18"/>
              </w:rPr>
            </w:pPr>
            <w:r w:rsidRPr="00DF51DC">
              <w:rPr>
                <w:sz w:val="18"/>
                <w:szCs w:val="18"/>
              </w:rPr>
              <w:t>Al-</w:t>
            </w:r>
            <w:proofErr w:type="spellStart"/>
            <w:r w:rsidRPr="00DF51DC">
              <w:rPr>
                <w:sz w:val="18"/>
                <w:szCs w:val="18"/>
              </w:rPr>
              <w:t>Kaisy</w:t>
            </w:r>
            <w:proofErr w:type="spellEnd"/>
            <w:r w:rsidRPr="00DF51DC">
              <w:rPr>
                <w:sz w:val="18"/>
                <w:szCs w:val="18"/>
              </w:rPr>
              <w:t xml:space="preserve"> 2018</w:t>
            </w:r>
            <w:r w:rsidRPr="00DF51DC">
              <w:rPr>
                <w:sz w:val="18"/>
                <w:szCs w:val="18"/>
              </w:rPr>
              <w:br/>
            </w:r>
          </w:p>
        </w:tc>
        <w:tc>
          <w:tcPr>
            <w:tcW w:w="692" w:type="pct"/>
          </w:tcPr>
          <w:p w14:paraId="1347F7C1" w14:textId="39270549" w:rsidR="005740BD" w:rsidRPr="00DF51DC" w:rsidRDefault="00F117AF" w:rsidP="004E373B">
            <w:pPr>
              <w:pStyle w:val="051Tabletext2210pt"/>
              <w:rPr>
                <w:sz w:val="18"/>
                <w:szCs w:val="18"/>
              </w:rPr>
            </w:pPr>
            <w:r w:rsidRPr="00DF51DC">
              <w:rPr>
                <w:sz w:val="18"/>
                <w:szCs w:val="18"/>
              </w:rPr>
              <w:t xml:space="preserve">Cross-over </w:t>
            </w:r>
            <w:r w:rsidR="003B1230" w:rsidRPr="00DF51DC">
              <w:rPr>
                <w:sz w:val="18"/>
                <w:szCs w:val="18"/>
              </w:rPr>
              <w:t>RCT</w:t>
            </w:r>
          </w:p>
        </w:tc>
        <w:tc>
          <w:tcPr>
            <w:tcW w:w="822" w:type="pct"/>
          </w:tcPr>
          <w:p w14:paraId="21494B20" w14:textId="77777777" w:rsidR="005740BD" w:rsidRDefault="00B63278" w:rsidP="004E373B">
            <w:pPr>
              <w:pStyle w:val="051Tabletext2210pt"/>
              <w:rPr>
                <w:sz w:val="18"/>
                <w:szCs w:val="18"/>
              </w:rPr>
            </w:pPr>
            <w:r w:rsidRPr="00DF51DC">
              <w:rPr>
                <w:sz w:val="18"/>
                <w:szCs w:val="18"/>
              </w:rPr>
              <w:t xml:space="preserve">FBSS </w:t>
            </w:r>
          </w:p>
          <w:p w14:paraId="4AF87603" w14:textId="0BFE942A" w:rsidR="005740BD" w:rsidRPr="00DF51DC" w:rsidRDefault="00850206" w:rsidP="004E373B">
            <w:pPr>
              <w:pStyle w:val="051Tabletext2210pt"/>
              <w:rPr>
                <w:sz w:val="18"/>
                <w:szCs w:val="18"/>
              </w:rPr>
            </w:pPr>
            <w:r w:rsidRPr="00DF51DC">
              <w:rPr>
                <w:sz w:val="18"/>
                <w:szCs w:val="18"/>
              </w:rPr>
              <w:t>30</w:t>
            </w:r>
          </w:p>
        </w:tc>
        <w:tc>
          <w:tcPr>
            <w:tcW w:w="661" w:type="pct"/>
          </w:tcPr>
          <w:p w14:paraId="40098C6A" w14:textId="195A7E25" w:rsidR="005740BD" w:rsidRPr="00DF51DC" w:rsidRDefault="00B14B44" w:rsidP="004E373B">
            <w:pPr>
              <w:pStyle w:val="051Tabletext2210pt"/>
              <w:rPr>
                <w:sz w:val="18"/>
                <w:szCs w:val="18"/>
              </w:rPr>
            </w:pPr>
            <w:r w:rsidRPr="00DF51DC">
              <w:rPr>
                <w:sz w:val="18"/>
                <w:szCs w:val="18"/>
              </w:rPr>
              <w:t>SCS</w:t>
            </w:r>
            <w:r w:rsidR="00771261" w:rsidRPr="00DF51DC">
              <w:rPr>
                <w:sz w:val="18"/>
                <w:szCs w:val="18"/>
              </w:rPr>
              <w:t xml:space="preserve"> (HF)</w:t>
            </w:r>
            <w:r w:rsidRPr="00DF51DC">
              <w:rPr>
                <w:sz w:val="18"/>
                <w:szCs w:val="18"/>
              </w:rPr>
              <w:br/>
            </w:r>
            <w:r w:rsidR="009E7E8F" w:rsidRPr="00DF51DC">
              <w:rPr>
                <w:sz w:val="18"/>
                <w:szCs w:val="18"/>
              </w:rPr>
              <w:t>S</w:t>
            </w:r>
            <w:r w:rsidR="00E91CCC" w:rsidRPr="00DF51DC">
              <w:rPr>
                <w:sz w:val="18"/>
                <w:szCs w:val="18"/>
              </w:rPr>
              <w:t>ham</w:t>
            </w:r>
          </w:p>
        </w:tc>
        <w:tc>
          <w:tcPr>
            <w:tcW w:w="957" w:type="pct"/>
          </w:tcPr>
          <w:p w14:paraId="495CA2C3" w14:textId="7D468184" w:rsidR="005740BD" w:rsidRPr="00DF51DC" w:rsidRDefault="00FA49C7" w:rsidP="004E373B">
            <w:pPr>
              <w:pStyle w:val="051Tabletext2210pt"/>
              <w:rPr>
                <w:sz w:val="18"/>
                <w:szCs w:val="18"/>
              </w:rPr>
            </w:pPr>
            <w:r w:rsidRPr="00DF51DC">
              <w:rPr>
                <w:sz w:val="18"/>
                <w:szCs w:val="18"/>
              </w:rPr>
              <w:t xml:space="preserve">Pain intensity, </w:t>
            </w:r>
            <w:r w:rsidR="00112AC6">
              <w:rPr>
                <w:sz w:val="18"/>
                <w:szCs w:val="18"/>
              </w:rPr>
              <w:t>A</w:t>
            </w:r>
            <w:r w:rsidR="00112AC6" w:rsidRPr="00DF51DC">
              <w:rPr>
                <w:sz w:val="18"/>
                <w:szCs w:val="18"/>
              </w:rPr>
              <w:t>Es</w:t>
            </w:r>
          </w:p>
        </w:tc>
        <w:tc>
          <w:tcPr>
            <w:tcW w:w="647" w:type="pct"/>
          </w:tcPr>
          <w:p w14:paraId="13A45E8F" w14:textId="29FD719D" w:rsidR="005740BD" w:rsidRPr="00DF51DC" w:rsidRDefault="00B160D4" w:rsidP="004E373B">
            <w:pPr>
              <w:pStyle w:val="051Tabletext2210pt"/>
              <w:rPr>
                <w:sz w:val="18"/>
                <w:szCs w:val="18"/>
              </w:rPr>
            </w:pPr>
            <w:r w:rsidRPr="00DF51DC">
              <w:rPr>
                <w:sz w:val="18"/>
                <w:szCs w:val="18"/>
              </w:rPr>
              <w:t>Medtronic</w:t>
            </w:r>
            <w:r w:rsidR="005A05B8">
              <w:rPr>
                <w:sz w:val="18"/>
                <w:szCs w:val="18"/>
              </w:rPr>
              <w:br/>
            </w:r>
            <w:r w:rsidR="00A94A8C" w:rsidRPr="00DF51DC">
              <w:rPr>
                <w:sz w:val="18"/>
                <w:szCs w:val="18"/>
              </w:rPr>
              <w:t>NR</w:t>
            </w:r>
          </w:p>
        </w:tc>
        <w:tc>
          <w:tcPr>
            <w:tcW w:w="529" w:type="pct"/>
          </w:tcPr>
          <w:p w14:paraId="23CC4987" w14:textId="5EBFF939" w:rsidR="005740BD" w:rsidRPr="00DF51DC" w:rsidRDefault="0039103D" w:rsidP="004E373B">
            <w:pPr>
              <w:pStyle w:val="051Tabletext2210pt"/>
              <w:rPr>
                <w:sz w:val="18"/>
                <w:szCs w:val="18"/>
              </w:rPr>
            </w:pPr>
            <w:r w:rsidRPr="00DF51DC">
              <w:rPr>
                <w:sz w:val="18"/>
                <w:szCs w:val="18"/>
              </w:rPr>
              <w:t>3</w:t>
            </w:r>
            <w:r w:rsidR="00940816">
              <w:rPr>
                <w:sz w:val="18"/>
                <w:szCs w:val="18"/>
              </w:rPr>
              <w:t xml:space="preserve"> </w:t>
            </w:r>
            <w:proofErr w:type="spellStart"/>
            <w:r w:rsidRPr="00DF51DC">
              <w:rPr>
                <w:sz w:val="18"/>
                <w:szCs w:val="18"/>
              </w:rPr>
              <w:t>wks</w:t>
            </w:r>
            <w:proofErr w:type="spellEnd"/>
            <w:r w:rsidRPr="00DF51DC">
              <w:rPr>
                <w:sz w:val="18"/>
                <w:szCs w:val="18"/>
              </w:rPr>
              <w:t xml:space="preserve"> per treatment</w:t>
            </w:r>
          </w:p>
        </w:tc>
      </w:tr>
      <w:tr w:rsidR="005A05B8" w:rsidRPr="00DF51DC" w14:paraId="0C0B10FD" w14:textId="77777777" w:rsidTr="005A05B8">
        <w:tc>
          <w:tcPr>
            <w:tcW w:w="693" w:type="pct"/>
          </w:tcPr>
          <w:p w14:paraId="0E52A46F" w14:textId="5D7275A4" w:rsidR="005740BD" w:rsidRPr="00DF51DC" w:rsidRDefault="00BE5CBF" w:rsidP="004E373B">
            <w:pPr>
              <w:pStyle w:val="051Tabletext2210pt"/>
              <w:rPr>
                <w:sz w:val="18"/>
                <w:szCs w:val="18"/>
              </w:rPr>
            </w:pPr>
            <w:proofErr w:type="spellStart"/>
            <w:r w:rsidRPr="00DF51DC">
              <w:rPr>
                <w:sz w:val="18"/>
                <w:szCs w:val="18"/>
              </w:rPr>
              <w:t>Eldabe</w:t>
            </w:r>
            <w:proofErr w:type="spellEnd"/>
            <w:r w:rsidRPr="00DF51DC">
              <w:rPr>
                <w:sz w:val="18"/>
                <w:szCs w:val="18"/>
              </w:rPr>
              <w:t xml:space="preserve"> 2020</w:t>
            </w:r>
            <w:r w:rsidRPr="00DF51DC">
              <w:rPr>
                <w:sz w:val="18"/>
                <w:szCs w:val="18"/>
              </w:rPr>
              <w:br/>
            </w:r>
          </w:p>
        </w:tc>
        <w:tc>
          <w:tcPr>
            <w:tcW w:w="692" w:type="pct"/>
          </w:tcPr>
          <w:p w14:paraId="137AEA41" w14:textId="6B0A038C" w:rsidR="005740BD" w:rsidRPr="00DF51DC" w:rsidRDefault="000440CC" w:rsidP="004E373B">
            <w:pPr>
              <w:pStyle w:val="051Tabletext2210pt"/>
              <w:rPr>
                <w:sz w:val="18"/>
                <w:szCs w:val="18"/>
              </w:rPr>
            </w:pPr>
            <w:r w:rsidRPr="00DF51DC">
              <w:rPr>
                <w:sz w:val="18"/>
                <w:szCs w:val="18"/>
              </w:rPr>
              <w:t>Cross-over RCT</w:t>
            </w:r>
          </w:p>
        </w:tc>
        <w:tc>
          <w:tcPr>
            <w:tcW w:w="822" w:type="pct"/>
          </w:tcPr>
          <w:p w14:paraId="5E927718" w14:textId="77777777" w:rsidR="005740BD" w:rsidRDefault="00A65666" w:rsidP="004E373B">
            <w:pPr>
              <w:pStyle w:val="051Tabletext2210pt"/>
              <w:rPr>
                <w:sz w:val="18"/>
                <w:szCs w:val="18"/>
              </w:rPr>
            </w:pPr>
            <w:r w:rsidRPr="00DF51DC">
              <w:rPr>
                <w:sz w:val="18"/>
                <w:szCs w:val="18"/>
              </w:rPr>
              <w:t>FBSS</w:t>
            </w:r>
          </w:p>
          <w:p w14:paraId="668BF32C" w14:textId="496A6ED6" w:rsidR="005740BD" w:rsidRPr="00DF51DC" w:rsidRDefault="00850206" w:rsidP="004E373B">
            <w:pPr>
              <w:pStyle w:val="051Tabletext2210pt"/>
              <w:rPr>
                <w:sz w:val="18"/>
                <w:szCs w:val="18"/>
              </w:rPr>
            </w:pPr>
            <w:r w:rsidRPr="00DF51DC">
              <w:rPr>
                <w:sz w:val="18"/>
                <w:szCs w:val="18"/>
              </w:rPr>
              <w:t>19</w:t>
            </w:r>
          </w:p>
        </w:tc>
        <w:tc>
          <w:tcPr>
            <w:tcW w:w="661" w:type="pct"/>
          </w:tcPr>
          <w:p w14:paraId="79D9A643" w14:textId="6BED7BCD" w:rsidR="00491E2C" w:rsidRPr="00DF51DC" w:rsidRDefault="00491E2C" w:rsidP="004E373B">
            <w:pPr>
              <w:pStyle w:val="051Tabletext2210pt"/>
              <w:rPr>
                <w:sz w:val="18"/>
                <w:szCs w:val="18"/>
              </w:rPr>
            </w:pPr>
            <w:r w:rsidRPr="00DF51DC">
              <w:rPr>
                <w:sz w:val="18"/>
                <w:szCs w:val="18"/>
              </w:rPr>
              <w:t>SCS (</w:t>
            </w:r>
            <w:r w:rsidR="004E210E">
              <w:rPr>
                <w:sz w:val="18"/>
                <w:szCs w:val="18"/>
              </w:rPr>
              <w:t>b</w:t>
            </w:r>
            <w:r w:rsidRPr="00DF51DC">
              <w:rPr>
                <w:sz w:val="18"/>
                <w:szCs w:val="18"/>
              </w:rPr>
              <w:t>urst, conventional)</w:t>
            </w:r>
          </w:p>
          <w:p w14:paraId="7BA69624" w14:textId="2DCC4FDA" w:rsidR="005740BD" w:rsidRPr="00DF51DC" w:rsidRDefault="00491E2C" w:rsidP="004E373B">
            <w:pPr>
              <w:pStyle w:val="051Tabletext2210pt"/>
              <w:rPr>
                <w:sz w:val="18"/>
                <w:szCs w:val="18"/>
              </w:rPr>
            </w:pPr>
            <w:r w:rsidRPr="00DF51DC">
              <w:rPr>
                <w:sz w:val="18"/>
                <w:szCs w:val="18"/>
              </w:rPr>
              <w:t>Sham</w:t>
            </w:r>
          </w:p>
        </w:tc>
        <w:tc>
          <w:tcPr>
            <w:tcW w:w="957" w:type="pct"/>
          </w:tcPr>
          <w:p w14:paraId="40DAEF1F" w14:textId="5DED80DA" w:rsidR="005740BD" w:rsidRPr="00DF51DC" w:rsidRDefault="00677AD7" w:rsidP="004E373B">
            <w:pPr>
              <w:pStyle w:val="051Tabletext2210pt"/>
              <w:rPr>
                <w:sz w:val="18"/>
                <w:szCs w:val="18"/>
              </w:rPr>
            </w:pPr>
            <w:r w:rsidRPr="00DF51DC">
              <w:rPr>
                <w:sz w:val="18"/>
                <w:szCs w:val="18"/>
              </w:rPr>
              <w:t xml:space="preserve">Pain intensity; </w:t>
            </w:r>
            <w:proofErr w:type="spellStart"/>
            <w:r w:rsidR="00632E14" w:rsidRPr="00DF51DC">
              <w:rPr>
                <w:sz w:val="18"/>
                <w:szCs w:val="18"/>
              </w:rPr>
              <w:t>HRQoL</w:t>
            </w:r>
            <w:proofErr w:type="spellEnd"/>
            <w:r w:rsidR="00632E14" w:rsidRPr="00DF51DC">
              <w:rPr>
                <w:sz w:val="18"/>
                <w:szCs w:val="18"/>
              </w:rPr>
              <w:t>; safety</w:t>
            </w:r>
          </w:p>
        </w:tc>
        <w:tc>
          <w:tcPr>
            <w:tcW w:w="647" w:type="pct"/>
          </w:tcPr>
          <w:p w14:paraId="65AD6300" w14:textId="6BCE2F83" w:rsidR="005740BD" w:rsidRPr="00DF51DC" w:rsidRDefault="00632E14" w:rsidP="004E373B">
            <w:pPr>
              <w:pStyle w:val="051Tabletext2210pt"/>
              <w:rPr>
                <w:sz w:val="18"/>
                <w:szCs w:val="18"/>
              </w:rPr>
            </w:pPr>
            <w:r w:rsidRPr="00DF51DC">
              <w:rPr>
                <w:sz w:val="18"/>
                <w:szCs w:val="18"/>
              </w:rPr>
              <w:t>Medtronic</w:t>
            </w:r>
            <w:r w:rsidR="005A05B8">
              <w:rPr>
                <w:sz w:val="18"/>
                <w:szCs w:val="18"/>
              </w:rPr>
              <w:br/>
            </w:r>
            <w:r w:rsidR="008157AD" w:rsidRPr="00DF51DC">
              <w:rPr>
                <w:sz w:val="18"/>
                <w:szCs w:val="18"/>
              </w:rPr>
              <w:t>NR</w:t>
            </w:r>
          </w:p>
        </w:tc>
        <w:tc>
          <w:tcPr>
            <w:tcW w:w="529" w:type="pct"/>
          </w:tcPr>
          <w:p w14:paraId="47BBD5EF" w14:textId="66695B14" w:rsidR="005740BD" w:rsidRPr="00DF51DC" w:rsidRDefault="00632E14" w:rsidP="004E373B">
            <w:pPr>
              <w:pStyle w:val="051Tabletext2210pt"/>
              <w:rPr>
                <w:sz w:val="18"/>
                <w:szCs w:val="18"/>
              </w:rPr>
            </w:pPr>
            <w:r w:rsidRPr="00DF51DC">
              <w:rPr>
                <w:sz w:val="18"/>
                <w:szCs w:val="18"/>
              </w:rPr>
              <w:t xml:space="preserve">2 </w:t>
            </w:r>
            <w:proofErr w:type="spellStart"/>
            <w:r w:rsidRPr="00DF51DC">
              <w:rPr>
                <w:sz w:val="18"/>
                <w:szCs w:val="18"/>
              </w:rPr>
              <w:t>wks</w:t>
            </w:r>
            <w:proofErr w:type="spellEnd"/>
            <w:r w:rsidRPr="00DF51DC">
              <w:rPr>
                <w:sz w:val="18"/>
                <w:szCs w:val="18"/>
              </w:rPr>
              <w:t xml:space="preserve"> per treatment</w:t>
            </w:r>
          </w:p>
        </w:tc>
      </w:tr>
      <w:tr w:rsidR="005A05B8" w:rsidRPr="00DF51DC" w14:paraId="0933AB0A" w14:textId="77777777" w:rsidTr="005A05B8">
        <w:tc>
          <w:tcPr>
            <w:tcW w:w="693" w:type="pct"/>
          </w:tcPr>
          <w:p w14:paraId="1BF16B91" w14:textId="3B3DE1D9" w:rsidR="005740BD" w:rsidRPr="00DF51DC" w:rsidRDefault="00582F2B" w:rsidP="004E373B">
            <w:pPr>
              <w:pStyle w:val="051Tabletext2210pt"/>
              <w:rPr>
                <w:sz w:val="18"/>
                <w:szCs w:val="18"/>
              </w:rPr>
            </w:pPr>
            <w:proofErr w:type="spellStart"/>
            <w:r w:rsidRPr="00DF51DC">
              <w:rPr>
                <w:sz w:val="18"/>
                <w:szCs w:val="18"/>
              </w:rPr>
              <w:lastRenderedPageBreak/>
              <w:t>Perruchoud</w:t>
            </w:r>
            <w:proofErr w:type="spellEnd"/>
            <w:r w:rsidRPr="00DF51DC">
              <w:rPr>
                <w:sz w:val="18"/>
                <w:szCs w:val="18"/>
              </w:rPr>
              <w:t xml:space="preserve"> 2013</w:t>
            </w:r>
            <w:r w:rsidRPr="00DF51DC">
              <w:rPr>
                <w:sz w:val="18"/>
                <w:szCs w:val="18"/>
              </w:rPr>
              <w:br/>
            </w:r>
          </w:p>
        </w:tc>
        <w:tc>
          <w:tcPr>
            <w:tcW w:w="692" w:type="pct"/>
          </w:tcPr>
          <w:p w14:paraId="17B85133" w14:textId="1F775EFD" w:rsidR="005740BD" w:rsidRPr="00DF51DC" w:rsidRDefault="00582F2B" w:rsidP="004E373B">
            <w:pPr>
              <w:pStyle w:val="051Tabletext2210pt"/>
              <w:rPr>
                <w:sz w:val="18"/>
                <w:szCs w:val="18"/>
              </w:rPr>
            </w:pPr>
            <w:r w:rsidRPr="00DF51DC">
              <w:rPr>
                <w:sz w:val="18"/>
                <w:szCs w:val="18"/>
              </w:rPr>
              <w:t>Cross-over RCT</w:t>
            </w:r>
          </w:p>
        </w:tc>
        <w:tc>
          <w:tcPr>
            <w:tcW w:w="822" w:type="pct"/>
          </w:tcPr>
          <w:p w14:paraId="7B57A021" w14:textId="77777777" w:rsidR="005740BD" w:rsidRDefault="00A63AFA" w:rsidP="004E373B">
            <w:pPr>
              <w:pStyle w:val="051Tabletext2210pt"/>
              <w:rPr>
                <w:sz w:val="18"/>
                <w:szCs w:val="18"/>
              </w:rPr>
            </w:pPr>
            <w:r w:rsidRPr="00DF51DC">
              <w:rPr>
                <w:sz w:val="18"/>
                <w:szCs w:val="18"/>
              </w:rPr>
              <w:t xml:space="preserve">Chronic low back pain </w:t>
            </w:r>
          </w:p>
          <w:p w14:paraId="150FDBDC" w14:textId="14574691" w:rsidR="005740BD" w:rsidRPr="00DF51DC" w:rsidRDefault="00CC494C" w:rsidP="004E373B">
            <w:pPr>
              <w:pStyle w:val="051Tabletext2210pt"/>
              <w:rPr>
                <w:sz w:val="18"/>
                <w:szCs w:val="18"/>
              </w:rPr>
            </w:pPr>
            <w:r w:rsidRPr="00DF51DC">
              <w:rPr>
                <w:sz w:val="18"/>
                <w:szCs w:val="18"/>
              </w:rPr>
              <w:t>38</w:t>
            </w:r>
          </w:p>
        </w:tc>
        <w:tc>
          <w:tcPr>
            <w:tcW w:w="661" w:type="pct"/>
          </w:tcPr>
          <w:p w14:paraId="664B204F" w14:textId="4B24EC1B" w:rsidR="005740BD" w:rsidRPr="00DF51DC" w:rsidRDefault="00A62971" w:rsidP="004E373B">
            <w:pPr>
              <w:pStyle w:val="051Tabletext2210pt"/>
              <w:rPr>
                <w:sz w:val="18"/>
                <w:szCs w:val="18"/>
              </w:rPr>
            </w:pPr>
            <w:r w:rsidRPr="00DF51DC">
              <w:rPr>
                <w:sz w:val="18"/>
                <w:szCs w:val="18"/>
              </w:rPr>
              <w:t>SCS (HF)</w:t>
            </w:r>
            <w:r w:rsidRPr="00DF51DC">
              <w:rPr>
                <w:sz w:val="18"/>
                <w:szCs w:val="18"/>
              </w:rPr>
              <w:br/>
              <w:t>Sham</w:t>
            </w:r>
          </w:p>
        </w:tc>
        <w:tc>
          <w:tcPr>
            <w:tcW w:w="957" w:type="pct"/>
          </w:tcPr>
          <w:p w14:paraId="6B236A76" w14:textId="7C635FED" w:rsidR="005740BD" w:rsidRPr="00DF51DC" w:rsidRDefault="00E72132" w:rsidP="004E373B">
            <w:pPr>
              <w:pStyle w:val="051Tabletext2210pt"/>
              <w:rPr>
                <w:sz w:val="18"/>
                <w:szCs w:val="18"/>
              </w:rPr>
            </w:pPr>
            <w:r w:rsidRPr="00DF51DC">
              <w:rPr>
                <w:sz w:val="18"/>
                <w:szCs w:val="18"/>
              </w:rPr>
              <w:t xml:space="preserve">Pain intensity, </w:t>
            </w:r>
            <w:proofErr w:type="spellStart"/>
            <w:r w:rsidRPr="00DF51DC">
              <w:rPr>
                <w:sz w:val="18"/>
                <w:szCs w:val="18"/>
              </w:rPr>
              <w:t>HRQoL</w:t>
            </w:r>
            <w:proofErr w:type="spellEnd"/>
            <w:r w:rsidR="00A44490" w:rsidRPr="00DF51DC">
              <w:rPr>
                <w:sz w:val="18"/>
                <w:szCs w:val="18"/>
              </w:rPr>
              <w:t xml:space="preserve">; </w:t>
            </w:r>
            <w:r w:rsidR="00112AC6">
              <w:rPr>
                <w:sz w:val="18"/>
                <w:szCs w:val="18"/>
              </w:rPr>
              <w:t>A</w:t>
            </w:r>
            <w:r w:rsidR="00112AC6" w:rsidRPr="00DF51DC">
              <w:rPr>
                <w:sz w:val="18"/>
                <w:szCs w:val="18"/>
              </w:rPr>
              <w:t>Es</w:t>
            </w:r>
            <w:r w:rsidR="00A44490" w:rsidRPr="00DF51DC">
              <w:rPr>
                <w:sz w:val="18"/>
                <w:szCs w:val="18"/>
              </w:rPr>
              <w:t>; medication use</w:t>
            </w:r>
          </w:p>
        </w:tc>
        <w:tc>
          <w:tcPr>
            <w:tcW w:w="647" w:type="pct"/>
          </w:tcPr>
          <w:p w14:paraId="5B25C965" w14:textId="0F2045BF" w:rsidR="005740BD" w:rsidRPr="00DF51DC" w:rsidRDefault="00A44490" w:rsidP="004E373B">
            <w:pPr>
              <w:pStyle w:val="051Tabletext2210pt"/>
              <w:rPr>
                <w:sz w:val="18"/>
                <w:szCs w:val="18"/>
              </w:rPr>
            </w:pPr>
            <w:r w:rsidRPr="00DF51DC">
              <w:rPr>
                <w:sz w:val="18"/>
                <w:szCs w:val="18"/>
              </w:rPr>
              <w:t>Medtronic</w:t>
            </w:r>
            <w:r w:rsidRPr="00DF51DC">
              <w:rPr>
                <w:sz w:val="18"/>
                <w:szCs w:val="18"/>
              </w:rPr>
              <w:br/>
            </w:r>
            <w:proofErr w:type="spellStart"/>
            <w:r w:rsidRPr="00DF51DC">
              <w:rPr>
                <w:sz w:val="18"/>
                <w:szCs w:val="18"/>
              </w:rPr>
              <w:t>Medtronic</w:t>
            </w:r>
            <w:proofErr w:type="spellEnd"/>
          </w:p>
        </w:tc>
        <w:tc>
          <w:tcPr>
            <w:tcW w:w="529" w:type="pct"/>
          </w:tcPr>
          <w:p w14:paraId="53AC0474" w14:textId="3B4A0828" w:rsidR="005740BD" w:rsidRPr="00DF51DC" w:rsidRDefault="0013182D" w:rsidP="004E373B">
            <w:pPr>
              <w:pStyle w:val="051Tabletext2210pt"/>
              <w:rPr>
                <w:sz w:val="18"/>
                <w:szCs w:val="18"/>
              </w:rPr>
            </w:pPr>
            <w:r w:rsidRPr="00DF51DC">
              <w:rPr>
                <w:sz w:val="18"/>
                <w:szCs w:val="18"/>
              </w:rPr>
              <w:t xml:space="preserve">2 </w:t>
            </w:r>
            <w:proofErr w:type="spellStart"/>
            <w:r w:rsidRPr="00DF51DC">
              <w:rPr>
                <w:sz w:val="18"/>
                <w:szCs w:val="18"/>
              </w:rPr>
              <w:t>wks</w:t>
            </w:r>
            <w:proofErr w:type="spellEnd"/>
            <w:r w:rsidR="00CC188E" w:rsidRPr="00DF51DC">
              <w:rPr>
                <w:sz w:val="18"/>
                <w:szCs w:val="18"/>
              </w:rPr>
              <w:t xml:space="preserve"> per treatment</w:t>
            </w:r>
          </w:p>
        </w:tc>
      </w:tr>
      <w:tr w:rsidR="00BB1E54" w:rsidRPr="00DF51DC" w14:paraId="031A10E7" w14:textId="77777777" w:rsidTr="005A05B8">
        <w:tc>
          <w:tcPr>
            <w:tcW w:w="693" w:type="pct"/>
          </w:tcPr>
          <w:p w14:paraId="01FAEAFF" w14:textId="77777777" w:rsidR="00BB1E54" w:rsidRPr="00DF51DC" w:rsidRDefault="00BB1E54" w:rsidP="004E373B">
            <w:pPr>
              <w:pStyle w:val="051Tabletext2210pt"/>
              <w:rPr>
                <w:sz w:val="18"/>
                <w:szCs w:val="18"/>
              </w:rPr>
            </w:pPr>
            <w:proofErr w:type="spellStart"/>
            <w:r w:rsidRPr="00DF51DC">
              <w:rPr>
                <w:sz w:val="18"/>
                <w:szCs w:val="18"/>
              </w:rPr>
              <w:t>Sokal</w:t>
            </w:r>
            <w:proofErr w:type="spellEnd"/>
            <w:r w:rsidRPr="00DF51DC">
              <w:rPr>
                <w:sz w:val="18"/>
                <w:szCs w:val="18"/>
              </w:rPr>
              <w:t xml:space="preserve"> 2020</w:t>
            </w:r>
            <w:r w:rsidRPr="00DF51DC">
              <w:rPr>
                <w:sz w:val="18"/>
                <w:szCs w:val="18"/>
              </w:rPr>
              <w:br/>
            </w:r>
          </w:p>
        </w:tc>
        <w:tc>
          <w:tcPr>
            <w:tcW w:w="692" w:type="pct"/>
          </w:tcPr>
          <w:p w14:paraId="1215E42C" w14:textId="77777777" w:rsidR="00BB1E54" w:rsidRPr="00DF51DC" w:rsidRDefault="00BB1E54" w:rsidP="004E373B">
            <w:pPr>
              <w:pStyle w:val="051Tabletext2210pt"/>
              <w:rPr>
                <w:sz w:val="18"/>
                <w:szCs w:val="18"/>
              </w:rPr>
            </w:pPr>
            <w:r w:rsidRPr="00DF51DC">
              <w:rPr>
                <w:sz w:val="18"/>
                <w:szCs w:val="18"/>
              </w:rPr>
              <w:t>Cross-over RCT</w:t>
            </w:r>
          </w:p>
        </w:tc>
        <w:tc>
          <w:tcPr>
            <w:tcW w:w="822" w:type="pct"/>
          </w:tcPr>
          <w:p w14:paraId="6CDF33EA" w14:textId="77777777" w:rsidR="00BB1E54" w:rsidRDefault="00BB1E54" w:rsidP="004E373B">
            <w:pPr>
              <w:pStyle w:val="051Tabletext2210pt"/>
              <w:rPr>
                <w:sz w:val="18"/>
                <w:szCs w:val="18"/>
              </w:rPr>
            </w:pPr>
            <w:r w:rsidRPr="00DF51DC">
              <w:rPr>
                <w:sz w:val="18"/>
                <w:szCs w:val="18"/>
              </w:rPr>
              <w:t>FBSS; CRPS</w:t>
            </w:r>
          </w:p>
          <w:p w14:paraId="49D7973C" w14:textId="77777777" w:rsidR="00BB1E54" w:rsidRPr="00DF51DC" w:rsidRDefault="00BB1E54" w:rsidP="004E373B">
            <w:pPr>
              <w:pStyle w:val="051Tabletext2210pt"/>
              <w:rPr>
                <w:sz w:val="18"/>
                <w:szCs w:val="18"/>
              </w:rPr>
            </w:pPr>
            <w:r w:rsidRPr="00DF51DC">
              <w:rPr>
                <w:sz w:val="18"/>
                <w:szCs w:val="18"/>
              </w:rPr>
              <w:t>18</w:t>
            </w:r>
          </w:p>
        </w:tc>
        <w:tc>
          <w:tcPr>
            <w:tcW w:w="661" w:type="pct"/>
          </w:tcPr>
          <w:p w14:paraId="6ED1C31E" w14:textId="77777777" w:rsidR="00BB1E54" w:rsidRPr="00DF51DC" w:rsidRDefault="00BB1E54" w:rsidP="004E373B">
            <w:pPr>
              <w:pStyle w:val="051Tabletext2210pt"/>
              <w:rPr>
                <w:sz w:val="18"/>
                <w:szCs w:val="18"/>
              </w:rPr>
            </w:pPr>
            <w:r w:rsidRPr="00DF51DC">
              <w:rPr>
                <w:sz w:val="18"/>
                <w:szCs w:val="18"/>
              </w:rPr>
              <w:t>SCS (conventional, burst, HF)</w:t>
            </w:r>
          </w:p>
          <w:p w14:paraId="00374C70" w14:textId="77777777" w:rsidR="00BB1E54" w:rsidRPr="00DF51DC" w:rsidRDefault="00BB1E54" w:rsidP="004E373B">
            <w:pPr>
              <w:pStyle w:val="051Tabletext2210pt"/>
              <w:rPr>
                <w:sz w:val="18"/>
                <w:szCs w:val="18"/>
              </w:rPr>
            </w:pPr>
            <w:r w:rsidRPr="00DF51DC">
              <w:rPr>
                <w:sz w:val="18"/>
                <w:szCs w:val="18"/>
              </w:rPr>
              <w:t>Sham</w:t>
            </w:r>
          </w:p>
        </w:tc>
        <w:tc>
          <w:tcPr>
            <w:tcW w:w="957" w:type="pct"/>
          </w:tcPr>
          <w:p w14:paraId="647C25F3" w14:textId="77777777" w:rsidR="00BB1E54" w:rsidRPr="00DF51DC" w:rsidRDefault="00BB1E54" w:rsidP="004E373B">
            <w:pPr>
              <w:pStyle w:val="051Tabletext2210pt"/>
              <w:rPr>
                <w:sz w:val="18"/>
                <w:szCs w:val="18"/>
              </w:rPr>
            </w:pPr>
            <w:r w:rsidRPr="00DF51DC">
              <w:rPr>
                <w:sz w:val="18"/>
                <w:szCs w:val="18"/>
              </w:rPr>
              <w:t>Pain intensity; function; medication use; complications</w:t>
            </w:r>
          </w:p>
        </w:tc>
        <w:tc>
          <w:tcPr>
            <w:tcW w:w="647" w:type="pct"/>
          </w:tcPr>
          <w:p w14:paraId="09C8BD24" w14:textId="77777777" w:rsidR="00BB1E54" w:rsidRPr="00DF51DC" w:rsidRDefault="00BB1E54" w:rsidP="004E373B">
            <w:pPr>
              <w:pStyle w:val="051Tabletext2210pt"/>
              <w:rPr>
                <w:sz w:val="18"/>
                <w:szCs w:val="18"/>
              </w:rPr>
            </w:pPr>
            <w:r w:rsidRPr="00DF51DC">
              <w:rPr>
                <w:sz w:val="18"/>
                <w:szCs w:val="18"/>
              </w:rPr>
              <w:t>No</w:t>
            </w:r>
            <w:r w:rsidRPr="00DF51DC">
              <w:rPr>
                <w:sz w:val="18"/>
                <w:szCs w:val="18"/>
              </w:rPr>
              <w:br/>
              <w:t>Yes</w:t>
            </w:r>
          </w:p>
        </w:tc>
        <w:tc>
          <w:tcPr>
            <w:tcW w:w="529" w:type="pct"/>
          </w:tcPr>
          <w:p w14:paraId="750CB21E" w14:textId="77777777" w:rsidR="00BB1E54" w:rsidRPr="00DF51DC" w:rsidRDefault="00BB1E54" w:rsidP="004E373B">
            <w:pPr>
              <w:pStyle w:val="051Tabletext2210pt"/>
              <w:rPr>
                <w:sz w:val="18"/>
                <w:szCs w:val="18"/>
              </w:rPr>
            </w:pPr>
            <w:r w:rsidRPr="00DF51DC">
              <w:rPr>
                <w:sz w:val="18"/>
                <w:szCs w:val="18"/>
              </w:rPr>
              <w:t xml:space="preserve">2 </w:t>
            </w:r>
            <w:proofErr w:type="spellStart"/>
            <w:r w:rsidRPr="00DF51DC">
              <w:rPr>
                <w:sz w:val="18"/>
                <w:szCs w:val="18"/>
              </w:rPr>
              <w:t>wks</w:t>
            </w:r>
            <w:proofErr w:type="spellEnd"/>
            <w:r w:rsidRPr="00DF51DC">
              <w:rPr>
                <w:sz w:val="18"/>
                <w:szCs w:val="18"/>
              </w:rPr>
              <w:t xml:space="preserve"> per treatment</w:t>
            </w:r>
          </w:p>
        </w:tc>
      </w:tr>
      <w:tr w:rsidR="00BB1E54" w:rsidRPr="00DF51DC" w14:paraId="7E17A860" w14:textId="77777777" w:rsidTr="005A05B8">
        <w:tc>
          <w:tcPr>
            <w:tcW w:w="693" w:type="pct"/>
          </w:tcPr>
          <w:p w14:paraId="1A0725E4" w14:textId="77777777" w:rsidR="00BB1E54" w:rsidRPr="00DF51DC" w:rsidRDefault="00BB1E54" w:rsidP="004E373B">
            <w:pPr>
              <w:pStyle w:val="051Tabletext2210pt"/>
              <w:rPr>
                <w:sz w:val="18"/>
                <w:szCs w:val="18"/>
              </w:rPr>
            </w:pPr>
            <w:r w:rsidRPr="00DF51DC">
              <w:rPr>
                <w:sz w:val="18"/>
                <w:szCs w:val="18"/>
              </w:rPr>
              <w:t>Sweet 2016</w:t>
            </w:r>
            <w:r w:rsidRPr="00DF51DC">
              <w:rPr>
                <w:sz w:val="18"/>
                <w:szCs w:val="18"/>
              </w:rPr>
              <w:br/>
            </w:r>
          </w:p>
        </w:tc>
        <w:tc>
          <w:tcPr>
            <w:tcW w:w="692" w:type="pct"/>
          </w:tcPr>
          <w:p w14:paraId="1F45699C" w14:textId="77777777" w:rsidR="00BB1E54" w:rsidRPr="00DF51DC" w:rsidRDefault="00BB1E54" w:rsidP="004E373B">
            <w:pPr>
              <w:pStyle w:val="051Tabletext2210pt"/>
              <w:rPr>
                <w:sz w:val="18"/>
                <w:szCs w:val="18"/>
              </w:rPr>
            </w:pPr>
            <w:r w:rsidRPr="00DF51DC">
              <w:rPr>
                <w:sz w:val="18"/>
                <w:szCs w:val="18"/>
              </w:rPr>
              <w:t>Cross-over RCT</w:t>
            </w:r>
          </w:p>
        </w:tc>
        <w:tc>
          <w:tcPr>
            <w:tcW w:w="822" w:type="pct"/>
          </w:tcPr>
          <w:p w14:paraId="44F13E9E" w14:textId="1A803B3A" w:rsidR="00BB1E54" w:rsidRDefault="00BB1E54" w:rsidP="004E373B">
            <w:pPr>
              <w:pStyle w:val="051Tabletext2210pt"/>
              <w:rPr>
                <w:sz w:val="18"/>
                <w:szCs w:val="18"/>
              </w:rPr>
            </w:pPr>
            <w:r w:rsidRPr="00DF51DC">
              <w:rPr>
                <w:sz w:val="18"/>
                <w:szCs w:val="18"/>
              </w:rPr>
              <w:t>Post</w:t>
            </w:r>
            <w:r w:rsidR="00A60D5E">
              <w:rPr>
                <w:sz w:val="18"/>
                <w:szCs w:val="18"/>
              </w:rPr>
              <w:t>-laminectomy</w:t>
            </w:r>
            <w:r w:rsidRPr="00DF51DC">
              <w:rPr>
                <w:sz w:val="18"/>
                <w:szCs w:val="18"/>
              </w:rPr>
              <w:t xml:space="preserve"> syndrome with low back pain</w:t>
            </w:r>
          </w:p>
          <w:p w14:paraId="75FC0F08" w14:textId="77777777" w:rsidR="00BB1E54" w:rsidRPr="00DF51DC" w:rsidRDefault="00BB1E54" w:rsidP="004E373B">
            <w:pPr>
              <w:pStyle w:val="051Tabletext2210pt"/>
              <w:rPr>
                <w:sz w:val="18"/>
                <w:szCs w:val="18"/>
              </w:rPr>
            </w:pPr>
            <w:r w:rsidRPr="00DF51DC">
              <w:rPr>
                <w:sz w:val="18"/>
                <w:szCs w:val="18"/>
              </w:rPr>
              <w:t>4</w:t>
            </w:r>
          </w:p>
        </w:tc>
        <w:tc>
          <w:tcPr>
            <w:tcW w:w="661" w:type="pct"/>
          </w:tcPr>
          <w:p w14:paraId="61D9ABBA" w14:textId="77777777" w:rsidR="00BB1E54" w:rsidRPr="00DF51DC" w:rsidRDefault="00BB1E54" w:rsidP="004E373B">
            <w:pPr>
              <w:pStyle w:val="051Tabletext2210pt"/>
              <w:rPr>
                <w:sz w:val="18"/>
                <w:szCs w:val="18"/>
              </w:rPr>
            </w:pPr>
            <w:r w:rsidRPr="00DF51DC">
              <w:rPr>
                <w:sz w:val="18"/>
                <w:szCs w:val="18"/>
              </w:rPr>
              <w:t>SCS (conventional)</w:t>
            </w:r>
            <w:r w:rsidRPr="00DF51DC">
              <w:rPr>
                <w:sz w:val="18"/>
                <w:szCs w:val="18"/>
              </w:rPr>
              <w:br/>
              <w:t>Sham</w:t>
            </w:r>
          </w:p>
        </w:tc>
        <w:tc>
          <w:tcPr>
            <w:tcW w:w="957" w:type="pct"/>
          </w:tcPr>
          <w:p w14:paraId="769DE84B" w14:textId="77777777" w:rsidR="00BB1E54" w:rsidRPr="00DF51DC" w:rsidRDefault="00BB1E54" w:rsidP="004E373B">
            <w:pPr>
              <w:pStyle w:val="051Tabletext2210pt"/>
              <w:rPr>
                <w:sz w:val="18"/>
                <w:szCs w:val="18"/>
              </w:rPr>
            </w:pPr>
            <w:r w:rsidRPr="00DF51DC">
              <w:rPr>
                <w:sz w:val="18"/>
                <w:szCs w:val="18"/>
              </w:rPr>
              <w:t>Pain intensity</w:t>
            </w:r>
          </w:p>
        </w:tc>
        <w:tc>
          <w:tcPr>
            <w:tcW w:w="647" w:type="pct"/>
          </w:tcPr>
          <w:p w14:paraId="22E56A67" w14:textId="77777777" w:rsidR="00BB1E54" w:rsidRPr="00DF51DC" w:rsidRDefault="00BB1E54" w:rsidP="004E373B">
            <w:pPr>
              <w:pStyle w:val="051Tabletext2210pt"/>
              <w:rPr>
                <w:sz w:val="18"/>
                <w:szCs w:val="18"/>
              </w:rPr>
            </w:pPr>
            <w:r w:rsidRPr="00DF51DC">
              <w:rPr>
                <w:sz w:val="18"/>
                <w:szCs w:val="18"/>
              </w:rPr>
              <w:t>No</w:t>
            </w:r>
            <w:r w:rsidRPr="00DF51DC">
              <w:rPr>
                <w:sz w:val="18"/>
                <w:szCs w:val="18"/>
              </w:rPr>
              <w:br/>
              <w:t>Yes</w:t>
            </w:r>
          </w:p>
        </w:tc>
        <w:tc>
          <w:tcPr>
            <w:tcW w:w="529" w:type="pct"/>
          </w:tcPr>
          <w:p w14:paraId="562FAD49" w14:textId="77777777" w:rsidR="00BB1E54" w:rsidRPr="00DF51DC" w:rsidRDefault="00BB1E54" w:rsidP="004E373B">
            <w:pPr>
              <w:pStyle w:val="051Tabletext2210pt"/>
              <w:rPr>
                <w:sz w:val="18"/>
                <w:szCs w:val="18"/>
              </w:rPr>
            </w:pPr>
            <w:r w:rsidRPr="00DF51DC">
              <w:rPr>
                <w:sz w:val="18"/>
                <w:szCs w:val="18"/>
              </w:rPr>
              <w:t xml:space="preserve">2 </w:t>
            </w:r>
            <w:proofErr w:type="spellStart"/>
            <w:r w:rsidRPr="00DF51DC">
              <w:rPr>
                <w:sz w:val="18"/>
                <w:szCs w:val="18"/>
              </w:rPr>
              <w:t>wks</w:t>
            </w:r>
            <w:proofErr w:type="spellEnd"/>
            <w:r w:rsidRPr="00DF51DC">
              <w:rPr>
                <w:sz w:val="18"/>
                <w:szCs w:val="18"/>
              </w:rPr>
              <w:t xml:space="preserve"> per treatment</w:t>
            </w:r>
          </w:p>
        </w:tc>
      </w:tr>
      <w:tr w:rsidR="005A05B8" w:rsidRPr="00DF51DC" w14:paraId="300B1E4B" w14:textId="77777777" w:rsidTr="005A05B8">
        <w:tc>
          <w:tcPr>
            <w:tcW w:w="693" w:type="pct"/>
          </w:tcPr>
          <w:p w14:paraId="7D3CF771" w14:textId="3EC2250F" w:rsidR="005740BD" w:rsidRPr="00DF51DC" w:rsidRDefault="00AC6A6F" w:rsidP="004E373B">
            <w:pPr>
              <w:pStyle w:val="051Tabletext2210pt"/>
              <w:rPr>
                <w:sz w:val="18"/>
                <w:szCs w:val="18"/>
              </w:rPr>
            </w:pPr>
            <w:proofErr w:type="spellStart"/>
            <w:r w:rsidRPr="00DF51DC">
              <w:rPr>
                <w:sz w:val="18"/>
                <w:szCs w:val="18"/>
              </w:rPr>
              <w:t>Schu</w:t>
            </w:r>
            <w:proofErr w:type="spellEnd"/>
            <w:r w:rsidRPr="00DF51DC">
              <w:rPr>
                <w:sz w:val="18"/>
                <w:szCs w:val="18"/>
              </w:rPr>
              <w:t xml:space="preserve"> 2014</w:t>
            </w:r>
            <w:r w:rsidR="003531A1" w:rsidRPr="00DF51DC">
              <w:rPr>
                <w:sz w:val="18"/>
                <w:szCs w:val="18"/>
              </w:rPr>
              <w:br/>
            </w:r>
          </w:p>
        </w:tc>
        <w:tc>
          <w:tcPr>
            <w:tcW w:w="692" w:type="pct"/>
          </w:tcPr>
          <w:p w14:paraId="26EDB857" w14:textId="6537DCF9" w:rsidR="005740BD" w:rsidRPr="00DF51DC" w:rsidRDefault="00AC6A6F" w:rsidP="004E373B">
            <w:pPr>
              <w:pStyle w:val="051Tabletext2210pt"/>
              <w:rPr>
                <w:sz w:val="18"/>
                <w:szCs w:val="18"/>
              </w:rPr>
            </w:pPr>
            <w:r w:rsidRPr="00DF51DC">
              <w:rPr>
                <w:sz w:val="18"/>
                <w:szCs w:val="18"/>
              </w:rPr>
              <w:t>Cross-over RCT</w:t>
            </w:r>
          </w:p>
        </w:tc>
        <w:tc>
          <w:tcPr>
            <w:tcW w:w="822" w:type="pct"/>
          </w:tcPr>
          <w:p w14:paraId="5AA4EB4B" w14:textId="4CE8A456" w:rsidR="005740BD" w:rsidRDefault="006D6037" w:rsidP="001063B3">
            <w:pPr>
              <w:pStyle w:val="051Tabletext2210pt"/>
              <w:rPr>
                <w:sz w:val="18"/>
                <w:szCs w:val="18"/>
              </w:rPr>
            </w:pPr>
            <w:r w:rsidRPr="00DF51DC">
              <w:rPr>
                <w:sz w:val="18"/>
                <w:szCs w:val="18"/>
              </w:rPr>
              <w:t>FBSS</w:t>
            </w:r>
          </w:p>
          <w:p w14:paraId="08C5B90D" w14:textId="452BC4B0" w:rsidR="005740BD" w:rsidRPr="00DF51DC" w:rsidRDefault="00CC494C" w:rsidP="004E373B">
            <w:pPr>
              <w:pStyle w:val="051Tabletext2210pt"/>
              <w:rPr>
                <w:sz w:val="18"/>
                <w:szCs w:val="18"/>
              </w:rPr>
            </w:pPr>
            <w:r w:rsidRPr="00DF51DC">
              <w:rPr>
                <w:sz w:val="18"/>
                <w:szCs w:val="18"/>
              </w:rPr>
              <w:t>20</w:t>
            </w:r>
          </w:p>
        </w:tc>
        <w:tc>
          <w:tcPr>
            <w:tcW w:w="661" w:type="pct"/>
          </w:tcPr>
          <w:p w14:paraId="64C91F79" w14:textId="27BA4867" w:rsidR="00704B7F" w:rsidRPr="00DF51DC" w:rsidRDefault="00704B7F" w:rsidP="004E373B">
            <w:pPr>
              <w:pStyle w:val="051Tabletext2210pt"/>
              <w:rPr>
                <w:sz w:val="18"/>
                <w:szCs w:val="18"/>
              </w:rPr>
            </w:pPr>
            <w:r w:rsidRPr="00DF51DC">
              <w:rPr>
                <w:sz w:val="18"/>
                <w:szCs w:val="18"/>
              </w:rPr>
              <w:t>SCS (conventional, burst)</w:t>
            </w:r>
          </w:p>
          <w:p w14:paraId="7FB8A6E0" w14:textId="1716A8BB" w:rsidR="005740BD" w:rsidRPr="00DF51DC" w:rsidRDefault="00704B7F" w:rsidP="004E373B">
            <w:pPr>
              <w:pStyle w:val="051Tabletext2210pt"/>
              <w:rPr>
                <w:sz w:val="18"/>
                <w:szCs w:val="18"/>
              </w:rPr>
            </w:pPr>
            <w:r w:rsidRPr="00DF51DC">
              <w:rPr>
                <w:sz w:val="18"/>
                <w:szCs w:val="18"/>
              </w:rPr>
              <w:t>Sham</w:t>
            </w:r>
          </w:p>
        </w:tc>
        <w:tc>
          <w:tcPr>
            <w:tcW w:w="957" w:type="pct"/>
          </w:tcPr>
          <w:p w14:paraId="69E6EE56" w14:textId="1872FB8C" w:rsidR="005740BD" w:rsidRPr="00DF51DC" w:rsidRDefault="003C6A7B" w:rsidP="004E373B">
            <w:pPr>
              <w:pStyle w:val="051Tabletext2210pt"/>
              <w:rPr>
                <w:sz w:val="18"/>
                <w:szCs w:val="18"/>
              </w:rPr>
            </w:pPr>
            <w:r w:rsidRPr="00DF51DC">
              <w:rPr>
                <w:sz w:val="18"/>
                <w:szCs w:val="18"/>
              </w:rPr>
              <w:t>Pain; function; safety (</w:t>
            </w:r>
            <w:r w:rsidR="00112AC6">
              <w:rPr>
                <w:sz w:val="18"/>
                <w:szCs w:val="18"/>
              </w:rPr>
              <w:t>A</w:t>
            </w:r>
            <w:r w:rsidR="00112AC6" w:rsidRPr="00DF51DC">
              <w:rPr>
                <w:sz w:val="18"/>
                <w:szCs w:val="18"/>
              </w:rPr>
              <w:t>Es</w:t>
            </w:r>
            <w:r w:rsidRPr="00DF51DC">
              <w:rPr>
                <w:sz w:val="18"/>
                <w:szCs w:val="18"/>
              </w:rPr>
              <w:t>)</w:t>
            </w:r>
          </w:p>
        </w:tc>
        <w:tc>
          <w:tcPr>
            <w:tcW w:w="647" w:type="pct"/>
          </w:tcPr>
          <w:p w14:paraId="315B8081" w14:textId="221EFE81" w:rsidR="00907C8E" w:rsidRPr="00DF51DC" w:rsidRDefault="00235199" w:rsidP="004E373B">
            <w:pPr>
              <w:pStyle w:val="051Tabletext2210pt"/>
              <w:rPr>
                <w:sz w:val="18"/>
                <w:szCs w:val="18"/>
              </w:rPr>
            </w:pPr>
            <w:r w:rsidRPr="00DF51DC">
              <w:rPr>
                <w:sz w:val="18"/>
                <w:szCs w:val="18"/>
              </w:rPr>
              <w:t>No</w:t>
            </w:r>
          </w:p>
          <w:p w14:paraId="7EC5D889" w14:textId="69E4166F" w:rsidR="005740BD" w:rsidRPr="00DF51DC" w:rsidRDefault="00322217" w:rsidP="004E373B">
            <w:pPr>
              <w:pStyle w:val="051Tabletext2210pt"/>
              <w:rPr>
                <w:sz w:val="18"/>
                <w:szCs w:val="18"/>
              </w:rPr>
            </w:pPr>
            <w:r w:rsidRPr="00DF51DC">
              <w:rPr>
                <w:sz w:val="18"/>
                <w:szCs w:val="18"/>
              </w:rPr>
              <w:t>Yes</w:t>
            </w:r>
          </w:p>
        </w:tc>
        <w:tc>
          <w:tcPr>
            <w:tcW w:w="529" w:type="pct"/>
          </w:tcPr>
          <w:p w14:paraId="0710F171" w14:textId="4C4E0DB1" w:rsidR="005740BD" w:rsidRPr="00DF51DC" w:rsidRDefault="00235199" w:rsidP="004E373B">
            <w:pPr>
              <w:pStyle w:val="051Tabletext2210pt"/>
              <w:rPr>
                <w:sz w:val="18"/>
                <w:szCs w:val="18"/>
              </w:rPr>
            </w:pPr>
            <w:r w:rsidRPr="00DF51DC">
              <w:rPr>
                <w:sz w:val="18"/>
                <w:szCs w:val="18"/>
              </w:rPr>
              <w:t xml:space="preserve">1 </w:t>
            </w:r>
            <w:proofErr w:type="spellStart"/>
            <w:r w:rsidRPr="00DF51DC">
              <w:rPr>
                <w:sz w:val="18"/>
                <w:szCs w:val="18"/>
              </w:rPr>
              <w:t>wk</w:t>
            </w:r>
            <w:proofErr w:type="spellEnd"/>
            <w:r w:rsidR="00115145" w:rsidRPr="00DF51DC">
              <w:rPr>
                <w:sz w:val="18"/>
                <w:szCs w:val="18"/>
              </w:rPr>
              <w:t xml:space="preserve"> per treatment</w:t>
            </w:r>
          </w:p>
        </w:tc>
      </w:tr>
      <w:tr w:rsidR="00BB1E54" w:rsidRPr="00DF51DC" w14:paraId="538043A8" w14:textId="77777777" w:rsidTr="005A05B8">
        <w:tc>
          <w:tcPr>
            <w:tcW w:w="693" w:type="pct"/>
          </w:tcPr>
          <w:p w14:paraId="5E0ECF6E" w14:textId="77777777" w:rsidR="00BB1E54" w:rsidRPr="00DF51DC" w:rsidRDefault="00BB1E54" w:rsidP="004E373B">
            <w:pPr>
              <w:pStyle w:val="051Tabletext2210pt"/>
              <w:rPr>
                <w:sz w:val="18"/>
                <w:szCs w:val="18"/>
              </w:rPr>
            </w:pPr>
            <w:r w:rsidRPr="00DF51DC">
              <w:rPr>
                <w:sz w:val="18"/>
                <w:szCs w:val="18"/>
              </w:rPr>
              <w:t>De Ridder 2013</w:t>
            </w:r>
          </w:p>
          <w:p w14:paraId="7938917D" w14:textId="77777777" w:rsidR="00BB1E54" w:rsidRPr="00DF51DC" w:rsidRDefault="00BB1E54" w:rsidP="004E373B">
            <w:pPr>
              <w:pStyle w:val="051Tabletext2210pt"/>
              <w:rPr>
                <w:sz w:val="18"/>
                <w:szCs w:val="18"/>
              </w:rPr>
            </w:pPr>
          </w:p>
        </w:tc>
        <w:tc>
          <w:tcPr>
            <w:tcW w:w="692" w:type="pct"/>
          </w:tcPr>
          <w:p w14:paraId="0A326325" w14:textId="77777777" w:rsidR="00BB1E54" w:rsidRPr="00DF51DC" w:rsidRDefault="00BB1E54" w:rsidP="004E373B">
            <w:pPr>
              <w:pStyle w:val="051Tabletext2210pt"/>
              <w:rPr>
                <w:sz w:val="18"/>
                <w:szCs w:val="18"/>
              </w:rPr>
            </w:pPr>
            <w:r w:rsidRPr="00DF51DC">
              <w:rPr>
                <w:sz w:val="18"/>
                <w:szCs w:val="18"/>
              </w:rPr>
              <w:t>Cross-over RCT</w:t>
            </w:r>
          </w:p>
        </w:tc>
        <w:tc>
          <w:tcPr>
            <w:tcW w:w="822" w:type="pct"/>
          </w:tcPr>
          <w:p w14:paraId="4A124A4C" w14:textId="77777777" w:rsidR="00BB1E54" w:rsidRDefault="00BB1E54" w:rsidP="004E373B">
            <w:pPr>
              <w:pStyle w:val="051Tabletext2210pt"/>
              <w:rPr>
                <w:sz w:val="18"/>
                <w:szCs w:val="18"/>
              </w:rPr>
            </w:pPr>
            <w:r w:rsidRPr="00DF51DC">
              <w:rPr>
                <w:sz w:val="18"/>
                <w:szCs w:val="18"/>
              </w:rPr>
              <w:t>FBSS</w:t>
            </w:r>
          </w:p>
          <w:p w14:paraId="3AB926DE" w14:textId="77777777" w:rsidR="00BB1E54" w:rsidRPr="00DF51DC" w:rsidRDefault="00BB1E54" w:rsidP="004E373B">
            <w:pPr>
              <w:pStyle w:val="051Tabletext2210pt"/>
              <w:rPr>
                <w:sz w:val="18"/>
                <w:szCs w:val="18"/>
              </w:rPr>
            </w:pPr>
            <w:r w:rsidRPr="00DF51DC">
              <w:rPr>
                <w:sz w:val="18"/>
                <w:szCs w:val="18"/>
              </w:rPr>
              <w:t>15</w:t>
            </w:r>
          </w:p>
        </w:tc>
        <w:tc>
          <w:tcPr>
            <w:tcW w:w="661" w:type="pct"/>
          </w:tcPr>
          <w:p w14:paraId="6C14E3A5" w14:textId="77777777" w:rsidR="00BB1E54" w:rsidRPr="00DF51DC" w:rsidRDefault="00BB1E54" w:rsidP="004E373B">
            <w:pPr>
              <w:pStyle w:val="051Tabletext2210pt"/>
              <w:rPr>
                <w:sz w:val="18"/>
                <w:szCs w:val="18"/>
              </w:rPr>
            </w:pPr>
            <w:r w:rsidRPr="00DF51DC">
              <w:rPr>
                <w:sz w:val="18"/>
                <w:szCs w:val="18"/>
              </w:rPr>
              <w:t>SCS (</w:t>
            </w:r>
            <w:r>
              <w:rPr>
                <w:sz w:val="18"/>
                <w:szCs w:val="18"/>
              </w:rPr>
              <w:t>b</w:t>
            </w:r>
            <w:r w:rsidRPr="00DF51DC">
              <w:rPr>
                <w:sz w:val="18"/>
                <w:szCs w:val="18"/>
              </w:rPr>
              <w:t>urst, conventional)</w:t>
            </w:r>
          </w:p>
          <w:p w14:paraId="786E1857" w14:textId="77777777" w:rsidR="00BB1E54" w:rsidRPr="00DF51DC" w:rsidRDefault="00BB1E54" w:rsidP="004E373B">
            <w:pPr>
              <w:pStyle w:val="051Tabletext2210pt"/>
              <w:rPr>
                <w:sz w:val="18"/>
                <w:szCs w:val="18"/>
              </w:rPr>
            </w:pPr>
            <w:r w:rsidRPr="00DF51DC">
              <w:rPr>
                <w:sz w:val="18"/>
                <w:szCs w:val="18"/>
              </w:rPr>
              <w:t>Sham</w:t>
            </w:r>
          </w:p>
        </w:tc>
        <w:tc>
          <w:tcPr>
            <w:tcW w:w="957" w:type="pct"/>
          </w:tcPr>
          <w:p w14:paraId="32A8B4EC" w14:textId="77777777" w:rsidR="00BB1E54" w:rsidRPr="00DF51DC" w:rsidRDefault="00BB1E54" w:rsidP="004E373B">
            <w:pPr>
              <w:pStyle w:val="051Tabletext2210pt"/>
              <w:rPr>
                <w:sz w:val="18"/>
                <w:szCs w:val="18"/>
              </w:rPr>
            </w:pPr>
            <w:r w:rsidRPr="00DF51DC">
              <w:rPr>
                <w:sz w:val="18"/>
                <w:szCs w:val="18"/>
              </w:rPr>
              <w:t>Pan intensity</w:t>
            </w:r>
          </w:p>
        </w:tc>
        <w:tc>
          <w:tcPr>
            <w:tcW w:w="647" w:type="pct"/>
          </w:tcPr>
          <w:p w14:paraId="0D318A32" w14:textId="77777777" w:rsidR="00BB1E54" w:rsidRPr="00DF51DC" w:rsidRDefault="00BB1E54" w:rsidP="00802777">
            <w:pPr>
              <w:pStyle w:val="051Tabletext2210pt"/>
              <w:rPr>
                <w:sz w:val="18"/>
                <w:szCs w:val="18"/>
              </w:rPr>
            </w:pPr>
            <w:r w:rsidRPr="00DF51DC">
              <w:rPr>
                <w:sz w:val="18"/>
                <w:szCs w:val="18"/>
              </w:rPr>
              <w:t>NR</w:t>
            </w:r>
            <w:r>
              <w:rPr>
                <w:sz w:val="18"/>
                <w:szCs w:val="18"/>
              </w:rPr>
              <w:br/>
            </w:r>
            <w:r w:rsidRPr="00DF51DC">
              <w:rPr>
                <w:sz w:val="18"/>
                <w:szCs w:val="18"/>
              </w:rPr>
              <w:t>Yes</w:t>
            </w:r>
          </w:p>
        </w:tc>
        <w:tc>
          <w:tcPr>
            <w:tcW w:w="529" w:type="pct"/>
          </w:tcPr>
          <w:p w14:paraId="408F4614" w14:textId="77777777" w:rsidR="00BB1E54" w:rsidRPr="00DF51DC" w:rsidRDefault="00BB1E54" w:rsidP="004E373B">
            <w:pPr>
              <w:pStyle w:val="051Tabletext2210pt"/>
              <w:rPr>
                <w:sz w:val="18"/>
                <w:szCs w:val="18"/>
              </w:rPr>
            </w:pPr>
            <w:r w:rsidRPr="00DF51DC">
              <w:rPr>
                <w:sz w:val="18"/>
                <w:szCs w:val="18"/>
              </w:rPr>
              <w:t xml:space="preserve">1 </w:t>
            </w:r>
            <w:proofErr w:type="spellStart"/>
            <w:r w:rsidRPr="00DF51DC">
              <w:rPr>
                <w:sz w:val="18"/>
                <w:szCs w:val="18"/>
              </w:rPr>
              <w:t>wk</w:t>
            </w:r>
            <w:proofErr w:type="spellEnd"/>
            <w:r w:rsidRPr="00DF51DC">
              <w:rPr>
                <w:sz w:val="18"/>
                <w:szCs w:val="18"/>
              </w:rPr>
              <w:t xml:space="preserve"> per treatment</w:t>
            </w:r>
          </w:p>
        </w:tc>
      </w:tr>
      <w:tr w:rsidR="005A05B8" w:rsidRPr="00DF51DC" w14:paraId="0B6AE36C" w14:textId="77777777" w:rsidTr="005A05B8">
        <w:tc>
          <w:tcPr>
            <w:tcW w:w="693" w:type="pct"/>
          </w:tcPr>
          <w:p w14:paraId="776E85EA" w14:textId="5F0393C4" w:rsidR="005740BD" w:rsidRPr="00DF51DC" w:rsidRDefault="009A51E0" w:rsidP="004E373B">
            <w:pPr>
              <w:pStyle w:val="051Tabletext2210pt"/>
              <w:rPr>
                <w:sz w:val="18"/>
                <w:szCs w:val="18"/>
              </w:rPr>
            </w:pPr>
            <w:r w:rsidRPr="00DF51DC">
              <w:rPr>
                <w:sz w:val="18"/>
                <w:szCs w:val="18"/>
              </w:rPr>
              <w:t>Wolter 2012</w:t>
            </w:r>
            <w:r w:rsidRPr="00DF51DC">
              <w:rPr>
                <w:sz w:val="18"/>
                <w:szCs w:val="18"/>
              </w:rPr>
              <w:br/>
            </w:r>
          </w:p>
        </w:tc>
        <w:tc>
          <w:tcPr>
            <w:tcW w:w="692" w:type="pct"/>
          </w:tcPr>
          <w:p w14:paraId="66145E76" w14:textId="595FBD35" w:rsidR="005740BD" w:rsidRPr="00DF51DC" w:rsidRDefault="00941CD8" w:rsidP="004E373B">
            <w:pPr>
              <w:pStyle w:val="051Tabletext2210pt"/>
              <w:rPr>
                <w:sz w:val="18"/>
                <w:szCs w:val="18"/>
              </w:rPr>
            </w:pPr>
            <w:r w:rsidRPr="00DF51DC">
              <w:rPr>
                <w:sz w:val="18"/>
                <w:szCs w:val="18"/>
              </w:rPr>
              <w:t>Cross-over RCT</w:t>
            </w:r>
          </w:p>
        </w:tc>
        <w:tc>
          <w:tcPr>
            <w:tcW w:w="822" w:type="pct"/>
          </w:tcPr>
          <w:p w14:paraId="62D1DC45" w14:textId="77777777" w:rsidR="005740BD" w:rsidRDefault="005A2FFB" w:rsidP="004E373B">
            <w:pPr>
              <w:pStyle w:val="051Tabletext2210pt"/>
              <w:rPr>
                <w:sz w:val="18"/>
                <w:szCs w:val="18"/>
              </w:rPr>
            </w:pPr>
            <w:r w:rsidRPr="00DF51DC">
              <w:rPr>
                <w:sz w:val="18"/>
                <w:szCs w:val="18"/>
              </w:rPr>
              <w:t xml:space="preserve">Neuropathic </w:t>
            </w:r>
            <w:r w:rsidR="00BC0B7A" w:rsidRPr="00DF51DC">
              <w:rPr>
                <w:sz w:val="18"/>
                <w:szCs w:val="18"/>
              </w:rPr>
              <w:t>pain</w:t>
            </w:r>
          </w:p>
          <w:p w14:paraId="3678C9D5" w14:textId="3ABE5C70" w:rsidR="005740BD" w:rsidRPr="00DF51DC" w:rsidRDefault="00CC494C" w:rsidP="004E373B">
            <w:pPr>
              <w:pStyle w:val="051Tabletext2210pt"/>
              <w:rPr>
                <w:sz w:val="18"/>
                <w:szCs w:val="18"/>
              </w:rPr>
            </w:pPr>
            <w:r w:rsidRPr="00DF51DC">
              <w:rPr>
                <w:sz w:val="18"/>
                <w:szCs w:val="18"/>
              </w:rPr>
              <w:t>10</w:t>
            </w:r>
          </w:p>
        </w:tc>
        <w:tc>
          <w:tcPr>
            <w:tcW w:w="661" w:type="pct"/>
          </w:tcPr>
          <w:p w14:paraId="052E1669" w14:textId="1B1A427E" w:rsidR="005740BD" w:rsidRPr="00DF51DC" w:rsidRDefault="00E65EF7" w:rsidP="004E373B">
            <w:pPr>
              <w:pStyle w:val="051Tabletext2210pt"/>
              <w:rPr>
                <w:sz w:val="18"/>
                <w:szCs w:val="18"/>
              </w:rPr>
            </w:pPr>
            <w:r w:rsidRPr="00DF51DC">
              <w:rPr>
                <w:sz w:val="18"/>
                <w:szCs w:val="18"/>
              </w:rPr>
              <w:t>SCS</w:t>
            </w:r>
            <w:r w:rsidR="00A76F22" w:rsidRPr="00DF51DC">
              <w:rPr>
                <w:sz w:val="18"/>
                <w:szCs w:val="18"/>
              </w:rPr>
              <w:t xml:space="preserve"> (conventional)</w:t>
            </w:r>
            <w:r w:rsidRPr="00DF51DC">
              <w:rPr>
                <w:sz w:val="18"/>
                <w:szCs w:val="18"/>
              </w:rPr>
              <w:br/>
            </w:r>
            <w:r w:rsidR="008575D9" w:rsidRPr="00DF51DC">
              <w:rPr>
                <w:sz w:val="18"/>
                <w:szCs w:val="18"/>
              </w:rPr>
              <w:t>Sham</w:t>
            </w:r>
          </w:p>
        </w:tc>
        <w:tc>
          <w:tcPr>
            <w:tcW w:w="957" w:type="pct"/>
          </w:tcPr>
          <w:p w14:paraId="541E7689" w14:textId="7188FA45" w:rsidR="005740BD" w:rsidRPr="00DF51DC" w:rsidRDefault="00E65EF7" w:rsidP="004E373B">
            <w:pPr>
              <w:pStyle w:val="051Tabletext2210pt"/>
              <w:rPr>
                <w:sz w:val="18"/>
                <w:szCs w:val="18"/>
              </w:rPr>
            </w:pPr>
            <w:r w:rsidRPr="00DF51DC">
              <w:rPr>
                <w:sz w:val="18"/>
                <w:szCs w:val="18"/>
              </w:rPr>
              <w:t>Pain intensity</w:t>
            </w:r>
          </w:p>
        </w:tc>
        <w:tc>
          <w:tcPr>
            <w:tcW w:w="647" w:type="pct"/>
          </w:tcPr>
          <w:p w14:paraId="00033AB5" w14:textId="2017E2E2" w:rsidR="005740BD" w:rsidRPr="00DF51DC" w:rsidRDefault="00E65EF7" w:rsidP="004E373B">
            <w:pPr>
              <w:pStyle w:val="051Tabletext2210pt"/>
              <w:rPr>
                <w:sz w:val="18"/>
                <w:szCs w:val="18"/>
              </w:rPr>
            </w:pPr>
            <w:r w:rsidRPr="00DF51DC">
              <w:rPr>
                <w:sz w:val="18"/>
                <w:szCs w:val="18"/>
              </w:rPr>
              <w:t>No</w:t>
            </w:r>
            <w:r w:rsidR="00802777">
              <w:rPr>
                <w:sz w:val="18"/>
                <w:szCs w:val="18"/>
              </w:rPr>
              <w:br/>
            </w:r>
            <w:proofErr w:type="spellStart"/>
            <w:r w:rsidRPr="00DF51DC">
              <w:rPr>
                <w:sz w:val="18"/>
                <w:szCs w:val="18"/>
              </w:rPr>
              <w:t>No</w:t>
            </w:r>
            <w:proofErr w:type="spellEnd"/>
          </w:p>
        </w:tc>
        <w:tc>
          <w:tcPr>
            <w:tcW w:w="529" w:type="pct"/>
          </w:tcPr>
          <w:p w14:paraId="16EFDFD6" w14:textId="7C292C8C" w:rsidR="005740BD" w:rsidRPr="00DF51DC" w:rsidRDefault="00E65EF7" w:rsidP="004E373B">
            <w:pPr>
              <w:pStyle w:val="051Tabletext2210pt"/>
              <w:rPr>
                <w:sz w:val="18"/>
                <w:szCs w:val="18"/>
              </w:rPr>
            </w:pPr>
            <w:r w:rsidRPr="00DF51DC">
              <w:rPr>
                <w:sz w:val="18"/>
                <w:szCs w:val="18"/>
              </w:rPr>
              <w:t xml:space="preserve">1 </w:t>
            </w:r>
            <w:proofErr w:type="spellStart"/>
            <w:r w:rsidRPr="00DF51DC">
              <w:rPr>
                <w:sz w:val="18"/>
                <w:szCs w:val="18"/>
              </w:rPr>
              <w:t>wk</w:t>
            </w:r>
            <w:proofErr w:type="spellEnd"/>
            <w:r w:rsidR="00322217" w:rsidRPr="00DF51DC">
              <w:rPr>
                <w:sz w:val="18"/>
                <w:szCs w:val="18"/>
              </w:rPr>
              <w:t xml:space="preserve"> per treatment</w:t>
            </w:r>
          </w:p>
        </w:tc>
      </w:tr>
      <w:tr w:rsidR="00BB1E54" w:rsidRPr="00DF51DC" w14:paraId="597DACEE" w14:textId="77777777" w:rsidTr="005A05B8">
        <w:tc>
          <w:tcPr>
            <w:tcW w:w="693" w:type="pct"/>
          </w:tcPr>
          <w:p w14:paraId="1B6C41BF" w14:textId="77777777" w:rsidR="00BB1E54" w:rsidRPr="00DF51DC" w:rsidRDefault="00BB1E54" w:rsidP="004E373B">
            <w:pPr>
              <w:pStyle w:val="051Tabletext2210pt"/>
              <w:rPr>
                <w:sz w:val="18"/>
                <w:szCs w:val="18"/>
              </w:rPr>
            </w:pPr>
            <w:r w:rsidRPr="00DF51DC">
              <w:rPr>
                <w:sz w:val="18"/>
                <w:szCs w:val="18"/>
              </w:rPr>
              <w:t>Eisenberg 2015</w:t>
            </w:r>
            <w:r w:rsidRPr="00DF51DC">
              <w:rPr>
                <w:sz w:val="18"/>
                <w:szCs w:val="18"/>
              </w:rPr>
              <w:br/>
            </w:r>
          </w:p>
        </w:tc>
        <w:tc>
          <w:tcPr>
            <w:tcW w:w="692" w:type="pct"/>
          </w:tcPr>
          <w:p w14:paraId="23230EA9" w14:textId="77777777" w:rsidR="00BB1E54" w:rsidRPr="00DF51DC" w:rsidRDefault="00BB1E54" w:rsidP="004E373B">
            <w:pPr>
              <w:pStyle w:val="051Tabletext2210pt"/>
              <w:rPr>
                <w:sz w:val="18"/>
                <w:szCs w:val="18"/>
              </w:rPr>
            </w:pPr>
            <w:r w:rsidRPr="00DF51DC">
              <w:rPr>
                <w:sz w:val="18"/>
                <w:szCs w:val="18"/>
              </w:rPr>
              <w:t>Cross-over RCT</w:t>
            </w:r>
          </w:p>
        </w:tc>
        <w:tc>
          <w:tcPr>
            <w:tcW w:w="822" w:type="pct"/>
          </w:tcPr>
          <w:p w14:paraId="12F62DCF" w14:textId="77777777" w:rsidR="00BB1E54" w:rsidRDefault="00BB1E54" w:rsidP="004E373B">
            <w:pPr>
              <w:pStyle w:val="051Tabletext2210pt"/>
              <w:rPr>
                <w:sz w:val="18"/>
                <w:szCs w:val="18"/>
              </w:rPr>
            </w:pPr>
            <w:r w:rsidRPr="00DF51DC">
              <w:rPr>
                <w:sz w:val="18"/>
                <w:szCs w:val="18"/>
              </w:rPr>
              <w:t>Radicular leg pain</w:t>
            </w:r>
          </w:p>
          <w:p w14:paraId="09480B76" w14:textId="77777777" w:rsidR="00BB1E54" w:rsidRPr="00DF51DC" w:rsidRDefault="00BB1E54" w:rsidP="004E373B">
            <w:pPr>
              <w:pStyle w:val="051Tabletext2210pt"/>
              <w:rPr>
                <w:sz w:val="18"/>
                <w:szCs w:val="18"/>
              </w:rPr>
            </w:pPr>
            <w:r w:rsidRPr="00DF51DC">
              <w:rPr>
                <w:sz w:val="18"/>
                <w:szCs w:val="18"/>
              </w:rPr>
              <w:t>18</w:t>
            </w:r>
          </w:p>
        </w:tc>
        <w:tc>
          <w:tcPr>
            <w:tcW w:w="661" w:type="pct"/>
          </w:tcPr>
          <w:p w14:paraId="2BEC5641" w14:textId="77777777" w:rsidR="00BB1E54" w:rsidRPr="00DF51DC" w:rsidRDefault="00BB1E54" w:rsidP="004E373B">
            <w:pPr>
              <w:pStyle w:val="051Tabletext2210pt"/>
              <w:rPr>
                <w:sz w:val="18"/>
                <w:szCs w:val="18"/>
              </w:rPr>
            </w:pPr>
            <w:r w:rsidRPr="00DF51DC">
              <w:rPr>
                <w:sz w:val="18"/>
                <w:szCs w:val="18"/>
              </w:rPr>
              <w:t>SCS (conventional)</w:t>
            </w:r>
            <w:r w:rsidRPr="00DF51DC">
              <w:rPr>
                <w:sz w:val="18"/>
                <w:szCs w:val="18"/>
              </w:rPr>
              <w:br/>
              <w:t>Sham</w:t>
            </w:r>
          </w:p>
        </w:tc>
        <w:tc>
          <w:tcPr>
            <w:tcW w:w="957" w:type="pct"/>
          </w:tcPr>
          <w:p w14:paraId="24B5D1C8" w14:textId="77777777" w:rsidR="00BB1E54" w:rsidRPr="00DF51DC" w:rsidRDefault="00BB1E54" w:rsidP="004E373B">
            <w:pPr>
              <w:pStyle w:val="051Tabletext2210pt"/>
              <w:rPr>
                <w:sz w:val="18"/>
                <w:szCs w:val="18"/>
              </w:rPr>
            </w:pPr>
            <w:r w:rsidRPr="00DF51DC">
              <w:rPr>
                <w:sz w:val="18"/>
                <w:szCs w:val="18"/>
              </w:rPr>
              <w:t>Clinical (radicular) pain</w:t>
            </w:r>
          </w:p>
        </w:tc>
        <w:tc>
          <w:tcPr>
            <w:tcW w:w="647" w:type="pct"/>
          </w:tcPr>
          <w:p w14:paraId="6E3DBB26" w14:textId="77777777" w:rsidR="00BB1E54" w:rsidRPr="00DF51DC" w:rsidRDefault="00BB1E54" w:rsidP="004E373B">
            <w:pPr>
              <w:pStyle w:val="051Tabletext2210pt"/>
              <w:rPr>
                <w:sz w:val="18"/>
                <w:szCs w:val="18"/>
              </w:rPr>
            </w:pPr>
            <w:r w:rsidRPr="00DF51DC">
              <w:rPr>
                <w:sz w:val="18"/>
                <w:szCs w:val="18"/>
              </w:rPr>
              <w:t>NR</w:t>
            </w:r>
            <w:r w:rsidRPr="00DF51DC">
              <w:rPr>
                <w:sz w:val="18"/>
                <w:szCs w:val="18"/>
              </w:rPr>
              <w:br/>
              <w:t>No</w:t>
            </w:r>
          </w:p>
        </w:tc>
        <w:tc>
          <w:tcPr>
            <w:tcW w:w="529" w:type="pct"/>
          </w:tcPr>
          <w:p w14:paraId="5141844F" w14:textId="77777777" w:rsidR="00BB1E54" w:rsidRPr="00DF51DC" w:rsidRDefault="00BB1E54" w:rsidP="004E373B">
            <w:pPr>
              <w:pStyle w:val="051Tabletext2210pt"/>
              <w:rPr>
                <w:sz w:val="18"/>
                <w:szCs w:val="18"/>
              </w:rPr>
            </w:pPr>
            <w:r w:rsidRPr="00DF51DC">
              <w:rPr>
                <w:sz w:val="18"/>
                <w:szCs w:val="18"/>
              </w:rPr>
              <w:t>2 hrs per treatment</w:t>
            </w:r>
          </w:p>
        </w:tc>
      </w:tr>
    </w:tbl>
    <w:p w14:paraId="7F25DF88" w14:textId="30CE0D57" w:rsidR="008616E2" w:rsidRDefault="008616E2" w:rsidP="008616E2">
      <w:pPr>
        <w:pStyle w:val="111Tablefootnoteslast-nostick8pt"/>
      </w:pPr>
      <w:r w:rsidRPr="00D05DB6">
        <w:t xml:space="preserve">Abbreviations: </w:t>
      </w:r>
      <w:r>
        <w:t xml:space="preserve"> </w:t>
      </w:r>
      <w:r w:rsidRPr="00D05DB6">
        <w:t xml:space="preserve">AE, adverse event; </w:t>
      </w:r>
      <w:r w:rsidR="00062A02">
        <w:t>C</w:t>
      </w:r>
      <w:r w:rsidR="00062A02" w:rsidRPr="00D05DB6">
        <w:t xml:space="preserve">MM, </w:t>
      </w:r>
      <w:r w:rsidR="00062A02">
        <w:t>c</w:t>
      </w:r>
      <w:r w:rsidR="00FF3CDF">
        <w:t>onventional</w:t>
      </w:r>
      <w:r w:rsidR="00062A02">
        <w:t xml:space="preserve"> </w:t>
      </w:r>
      <w:r w:rsidR="00062A02" w:rsidRPr="00D05DB6">
        <w:t xml:space="preserve">medical management; </w:t>
      </w:r>
      <w:r w:rsidR="002A1CE8" w:rsidRPr="002D4C6D">
        <w:t xml:space="preserve">COI, </w:t>
      </w:r>
      <w:r w:rsidR="002D4C6D" w:rsidRPr="002D4C6D">
        <w:t>conflicts of interest</w:t>
      </w:r>
      <w:r w:rsidR="00B27383">
        <w:t xml:space="preserve">; </w:t>
      </w:r>
      <w:r w:rsidRPr="00D05DB6">
        <w:t xml:space="preserve">CRPS, complex regional pain syndrome; </w:t>
      </w:r>
      <w:r w:rsidR="00465008">
        <w:t xml:space="preserve">EQ-5D, </w:t>
      </w:r>
      <w:proofErr w:type="spellStart"/>
      <w:r w:rsidR="00F51006" w:rsidRPr="00F51006">
        <w:t>EuroQOL</w:t>
      </w:r>
      <w:proofErr w:type="spellEnd"/>
      <w:r w:rsidR="00F51006">
        <w:t xml:space="preserve"> </w:t>
      </w:r>
      <w:r w:rsidR="009809E5">
        <w:t>5</w:t>
      </w:r>
      <w:r w:rsidR="00F70057">
        <w:t>-</w:t>
      </w:r>
      <w:r w:rsidR="00DE1F07">
        <w:t>dimension</w:t>
      </w:r>
      <w:r w:rsidR="009809E5">
        <w:t xml:space="preserve"> </w:t>
      </w:r>
      <w:r w:rsidR="00F70057">
        <w:t>questionnaire</w:t>
      </w:r>
      <w:r w:rsidR="00465008">
        <w:t xml:space="preserve">; </w:t>
      </w:r>
      <w:r>
        <w:t>FBSS, failed back surgery syndrome; HF, high</w:t>
      </w:r>
      <w:r w:rsidR="00572B21">
        <w:t>-</w:t>
      </w:r>
      <w:r>
        <w:t xml:space="preserve">frequency; </w:t>
      </w:r>
      <w:proofErr w:type="spellStart"/>
      <w:r w:rsidR="002D0CC2">
        <w:t>hrs</w:t>
      </w:r>
      <w:proofErr w:type="spellEnd"/>
      <w:r w:rsidR="002D0CC2">
        <w:t xml:space="preserve">, hours; </w:t>
      </w:r>
      <w:proofErr w:type="spellStart"/>
      <w:r>
        <w:t>HRQoL</w:t>
      </w:r>
      <w:proofErr w:type="spellEnd"/>
      <w:r>
        <w:t xml:space="preserve">, health-related quality of life; </w:t>
      </w:r>
      <w:proofErr w:type="spellStart"/>
      <w:r w:rsidR="002D0CC2">
        <w:t>mo</w:t>
      </w:r>
      <w:proofErr w:type="spellEnd"/>
      <w:r w:rsidR="002D0CC2">
        <w:t xml:space="preserve">, months; </w:t>
      </w:r>
      <w:r>
        <w:t xml:space="preserve">NR, not reported; </w:t>
      </w:r>
      <w:r w:rsidR="00465008">
        <w:t xml:space="preserve">OMM, </w:t>
      </w:r>
      <w:r w:rsidR="00465008" w:rsidRPr="00CF1668">
        <w:t>optimal medical management</w:t>
      </w:r>
      <w:r w:rsidR="00465008">
        <w:t xml:space="preserve">; </w:t>
      </w:r>
      <w:r>
        <w:t>QoL, quality of life; RCT, randomi</w:t>
      </w:r>
      <w:r w:rsidR="00375593">
        <w:t>s</w:t>
      </w:r>
      <w:r>
        <w:t>ed controlled trial; SCS, spinal cord stimulat</w:t>
      </w:r>
      <w:r w:rsidR="00FF3CDF">
        <w:t>ion</w:t>
      </w:r>
      <w:r>
        <w:t xml:space="preserve">; </w:t>
      </w:r>
      <w:proofErr w:type="spellStart"/>
      <w:r w:rsidR="002D0CC2">
        <w:t>wk</w:t>
      </w:r>
      <w:proofErr w:type="spellEnd"/>
      <w:r w:rsidR="002D0CC2">
        <w:t>(s), weeks.</w:t>
      </w:r>
    </w:p>
    <w:p w14:paraId="071F651A" w14:textId="1F261119" w:rsidR="000436BC" w:rsidRDefault="00647E33" w:rsidP="00815750">
      <w:pPr>
        <w:pStyle w:val="BodyText"/>
      </w:pPr>
      <w:r w:rsidDel="0097331C">
        <w:t xml:space="preserve">The </w:t>
      </w:r>
      <w:r w:rsidR="003C6250">
        <w:t>authors</w:t>
      </w:r>
      <w:r w:rsidR="00B74C76" w:rsidDel="00401972">
        <w:t xml:space="preserve"> </w:t>
      </w:r>
      <w:r w:rsidR="00B211C3">
        <w:t>considered</w:t>
      </w:r>
      <w:r w:rsidR="00401972">
        <w:t xml:space="preserve"> </w:t>
      </w:r>
      <w:r w:rsidR="00B74C76">
        <w:t>that</w:t>
      </w:r>
      <w:r w:rsidR="00C17707">
        <w:t xml:space="preserve"> all three parallel-group </w:t>
      </w:r>
      <w:r w:rsidR="002F33CD">
        <w:t>RCTs</w:t>
      </w:r>
      <w:r w:rsidR="00C17707">
        <w:t xml:space="preserve"> were at high risk of performance and detection bias due to lack of blinding, th</w:t>
      </w:r>
      <w:r w:rsidR="00822109">
        <w:t xml:space="preserve">ree of the cross-over </w:t>
      </w:r>
      <w:r w:rsidR="00C712DA">
        <w:t>RCTs</w:t>
      </w:r>
      <w:r w:rsidR="00822109">
        <w:t xml:space="preserve"> were considered adequately blinded whereas the remaining seven were at either unclear or high risk</w:t>
      </w:r>
      <w:r w:rsidR="00DA247E">
        <w:t xml:space="preserve">. </w:t>
      </w:r>
      <w:r w:rsidR="005939E5">
        <w:t>E</w:t>
      </w:r>
      <w:r w:rsidR="000436BC">
        <w:t>leven</w:t>
      </w:r>
      <w:r w:rsidR="005939E5">
        <w:t xml:space="preserve"> of the 13 trials</w:t>
      </w:r>
      <w:r w:rsidR="000436BC">
        <w:t xml:space="preserve"> (84%) were</w:t>
      </w:r>
      <w:r w:rsidR="005939E5">
        <w:t xml:space="preserve"> judged to be</w:t>
      </w:r>
      <w:r w:rsidR="000436BC">
        <w:t xml:space="preserve"> at </w:t>
      </w:r>
      <w:r w:rsidR="001920EE">
        <w:t xml:space="preserve">unclear or high </w:t>
      </w:r>
      <w:r w:rsidR="000436BC">
        <w:t>risk of selective reporting bias, and twelve (92%) were at risk of other potential bias</w:t>
      </w:r>
      <w:r w:rsidR="002E5BFE">
        <w:t xml:space="preserve"> </w:t>
      </w:r>
      <w:r w:rsidR="00E62778">
        <w:t>predominately due to</w:t>
      </w:r>
      <w:r w:rsidR="002E5BFE">
        <w:t xml:space="preserve"> failure to describe methods </w:t>
      </w:r>
      <w:r w:rsidR="0044062D">
        <w:t>used to account for carryover and period effects in cross-over studies</w:t>
      </w:r>
      <w:r w:rsidR="000436BC" w:rsidDel="002E5BFE">
        <w:t>.</w:t>
      </w:r>
    </w:p>
    <w:p w14:paraId="6CB3452A" w14:textId="40B79295" w:rsidR="00355845" w:rsidRDefault="00B17A0B" w:rsidP="00815750">
      <w:pPr>
        <w:pStyle w:val="BodyText"/>
      </w:pPr>
      <w:r>
        <w:t>T</w:t>
      </w:r>
      <w:r w:rsidR="009968DD">
        <w:t xml:space="preserve">he </w:t>
      </w:r>
      <w:r w:rsidR="003603D9">
        <w:t>t</w:t>
      </w:r>
      <w:r>
        <w:t xml:space="preserve">en </w:t>
      </w:r>
      <w:r w:rsidR="00E80A86">
        <w:t xml:space="preserve">cross-over </w:t>
      </w:r>
      <w:r w:rsidR="00F614D0">
        <w:t>RCTs</w:t>
      </w:r>
      <w:r w:rsidR="00E80A86">
        <w:t xml:space="preserve"> </w:t>
      </w:r>
      <w:r w:rsidR="0098078A">
        <w:t xml:space="preserve">compared SCS with </w:t>
      </w:r>
      <w:r w:rsidR="00672D2F">
        <w:t xml:space="preserve">sham treatment </w:t>
      </w:r>
      <w:r w:rsidR="00263667" w:rsidRPr="00263667">
        <w:t>(</w:t>
      </w:r>
      <w:r w:rsidR="00EE449E">
        <w:t>e.g</w:t>
      </w:r>
      <w:r w:rsidR="002D0CC2" w:rsidRPr="00263667">
        <w:t>.</w:t>
      </w:r>
      <w:r w:rsidR="00263667" w:rsidRPr="00263667">
        <w:t xml:space="preserve"> device is switched off</w:t>
      </w:r>
      <w:r w:rsidR="00EE449E">
        <w:t xml:space="preserve">, switched to low amplitude, </w:t>
      </w:r>
      <w:r w:rsidR="0066327B">
        <w:t>discharging without transmitting to the lead etc.</w:t>
      </w:r>
      <w:r w:rsidR="00263667" w:rsidRPr="00263667">
        <w:t>)</w:t>
      </w:r>
      <w:r w:rsidR="00B0088D">
        <w:t>.</w:t>
      </w:r>
      <w:r w:rsidR="0098078A">
        <w:t xml:space="preserve"> </w:t>
      </w:r>
      <w:r w:rsidR="00A77F5F">
        <w:t>The</w:t>
      </w:r>
      <w:r w:rsidR="0098078A">
        <w:t xml:space="preserve"> three parallel trials evaluated </w:t>
      </w:r>
      <w:r w:rsidR="00D559D7">
        <w:t xml:space="preserve">the addition of SCS to </w:t>
      </w:r>
      <w:r w:rsidR="000966FD">
        <w:t>conventional medical management (</w:t>
      </w:r>
      <w:r w:rsidR="00D559D7">
        <w:t>CMM</w:t>
      </w:r>
      <w:r w:rsidR="000966FD">
        <w:t>)</w:t>
      </w:r>
      <w:r w:rsidR="00D559D7">
        <w:t xml:space="preserve">. </w:t>
      </w:r>
      <w:r w:rsidR="003A33F0">
        <w:t xml:space="preserve">The parallel trials </w:t>
      </w:r>
      <w:r w:rsidR="00961621">
        <w:t xml:space="preserve">were not initially eligible for inclusion </w:t>
      </w:r>
      <w:r w:rsidR="00D32D93">
        <w:t xml:space="preserve">based on the </w:t>
      </w:r>
      <w:r w:rsidR="00E16639">
        <w:t>pre</w:t>
      </w:r>
      <w:r w:rsidR="002265BA">
        <w:t>-specified</w:t>
      </w:r>
      <w:r w:rsidR="00E16639">
        <w:t xml:space="preserve"> </w:t>
      </w:r>
      <w:r w:rsidR="00016B7A">
        <w:t>criteria of ‘no intervention’ as a comparator</w:t>
      </w:r>
      <w:r w:rsidR="00777623">
        <w:t>;</w:t>
      </w:r>
      <w:r w:rsidR="00016B7A">
        <w:t xml:space="preserve"> however</w:t>
      </w:r>
      <w:r w:rsidR="00777623">
        <w:t>,</w:t>
      </w:r>
      <w:r w:rsidR="00016B7A">
        <w:t xml:space="preserve"> the authors </w:t>
      </w:r>
      <w:r w:rsidR="0097419C">
        <w:t xml:space="preserve">have </w:t>
      </w:r>
      <w:r w:rsidR="003A411C">
        <w:t>ultimately included these studies.</w:t>
      </w:r>
      <w:r w:rsidR="0097419C">
        <w:t xml:space="preserve"> </w:t>
      </w:r>
    </w:p>
    <w:p w14:paraId="3D251894" w14:textId="5DE12100" w:rsidR="00A309BF" w:rsidRDefault="00680878" w:rsidP="00815750">
      <w:pPr>
        <w:pStyle w:val="BodyText"/>
      </w:pPr>
      <w:r>
        <w:t xml:space="preserve">The SR </w:t>
      </w:r>
      <w:r w:rsidR="00156666">
        <w:t xml:space="preserve">characterised the type of frequency stimulation for the included </w:t>
      </w:r>
      <w:r w:rsidR="00392535">
        <w:t>RCTs</w:t>
      </w:r>
      <w:r w:rsidR="00CB0D64">
        <w:t>;</w:t>
      </w:r>
      <w:r w:rsidR="00156666">
        <w:t xml:space="preserve"> nine studies </w:t>
      </w:r>
      <w:r w:rsidR="00CB0D64">
        <w:t>delivered</w:t>
      </w:r>
      <w:r w:rsidR="00BC41A7">
        <w:t xml:space="preserve"> conventional frequency</w:t>
      </w:r>
      <w:r w:rsidR="00CB0D64">
        <w:t xml:space="preserve"> stimulation</w:t>
      </w:r>
      <w:r w:rsidR="00D04F37">
        <w:t xml:space="preserve">, </w:t>
      </w:r>
      <w:r w:rsidR="000F2FA7">
        <w:t xml:space="preserve">five studies </w:t>
      </w:r>
      <w:r w:rsidR="00CB0D64">
        <w:t>delivered</w:t>
      </w:r>
      <w:r w:rsidR="00AE1E66">
        <w:t xml:space="preserve"> high</w:t>
      </w:r>
      <w:r w:rsidR="00572B21">
        <w:t>-</w:t>
      </w:r>
      <w:r w:rsidR="00AE1E66">
        <w:t xml:space="preserve">frequency stimulation, and </w:t>
      </w:r>
      <w:r w:rsidR="00E50013">
        <w:t>five</w:t>
      </w:r>
      <w:r w:rsidR="00405F14">
        <w:t xml:space="preserve"> studies </w:t>
      </w:r>
      <w:r w:rsidR="00CB0D64">
        <w:t>delivered</w:t>
      </w:r>
      <w:r w:rsidR="00340B90">
        <w:t xml:space="preserve"> burst stimulation. </w:t>
      </w:r>
      <w:r w:rsidR="002E3108">
        <w:t xml:space="preserve">Four studies included SCS systems </w:t>
      </w:r>
      <w:r w:rsidR="00F023D2">
        <w:t xml:space="preserve">that </w:t>
      </w:r>
      <w:r w:rsidR="002E3108">
        <w:t>deliver</w:t>
      </w:r>
      <w:r w:rsidR="00F023D2">
        <w:t>ed</w:t>
      </w:r>
      <w:r w:rsidR="002E3108">
        <w:t xml:space="preserve"> more than one type of frequency stimulation.</w:t>
      </w:r>
      <w:r w:rsidR="005B1C13" w:rsidRPr="005B1C13">
        <w:t xml:space="preserve"> </w:t>
      </w:r>
      <w:r w:rsidR="005B1C13">
        <w:t>Seven studies required participants to already be implanted with an SCS and have achieved stable pain control.</w:t>
      </w:r>
    </w:p>
    <w:p w14:paraId="0FD23EF4" w14:textId="07A61E18" w:rsidR="001E1C3E" w:rsidRDefault="002A3188" w:rsidP="001E1C3E">
      <w:pPr>
        <w:pStyle w:val="BodyText"/>
      </w:pPr>
      <w:r>
        <w:t xml:space="preserve">Thirteen ongoing studies </w:t>
      </w:r>
      <w:r w:rsidR="00B021BE">
        <w:t>evaluating</w:t>
      </w:r>
      <w:r>
        <w:t xml:space="preserve"> SCS were identified in the SR and are listed in</w:t>
      </w:r>
      <w:r w:rsidR="001E1C3E">
        <w:t xml:space="preserve"> </w:t>
      </w:r>
      <w:r w:rsidR="00701F84">
        <w:fldChar w:fldCharType="begin"/>
      </w:r>
      <w:r w:rsidR="00701F84">
        <w:instrText xml:space="preserve"> REF _Ref135048213 \h </w:instrText>
      </w:r>
      <w:r w:rsidR="00701F84">
        <w:fldChar w:fldCharType="separate"/>
      </w:r>
      <w:r w:rsidR="00CE6ACA">
        <w:t xml:space="preserve">Table App </w:t>
      </w:r>
      <w:r w:rsidR="00CE6ACA">
        <w:rPr>
          <w:noProof/>
        </w:rPr>
        <w:t>5</w:t>
      </w:r>
      <w:r w:rsidR="00701F84">
        <w:fldChar w:fldCharType="end"/>
      </w:r>
      <w:r w:rsidR="00701F84">
        <w:t xml:space="preserve"> and </w:t>
      </w:r>
      <w:r w:rsidR="001E1C3E">
        <w:fldChar w:fldCharType="begin"/>
      </w:r>
      <w:r w:rsidR="001E1C3E">
        <w:instrText xml:space="preserve"> REF _Ref165465451 \h  \* MERGEFORMAT </w:instrText>
      </w:r>
      <w:r w:rsidR="001E1C3E">
        <w:fldChar w:fldCharType="separate"/>
      </w:r>
      <w:r w:rsidR="00CE6ACA">
        <w:t xml:space="preserve">Table App </w:t>
      </w:r>
      <w:r w:rsidR="00CE6ACA">
        <w:rPr>
          <w:noProof/>
        </w:rPr>
        <w:t>6</w:t>
      </w:r>
      <w:r w:rsidR="001E1C3E">
        <w:fldChar w:fldCharType="end"/>
      </w:r>
      <w:r w:rsidR="00701F84">
        <w:t>.</w:t>
      </w:r>
    </w:p>
    <w:p w14:paraId="576E0314" w14:textId="39D1C447" w:rsidR="000D690D" w:rsidRDefault="000D690D" w:rsidP="00DD260A">
      <w:pPr>
        <w:pStyle w:val="Heading4"/>
      </w:pPr>
      <w:r>
        <w:lastRenderedPageBreak/>
        <w:t>Findings</w:t>
      </w:r>
    </w:p>
    <w:p w14:paraId="0107731E" w14:textId="2163120C" w:rsidR="0081490C" w:rsidRDefault="0081490C" w:rsidP="0081490C">
      <w:pPr>
        <w:pStyle w:val="Heading5"/>
      </w:pPr>
      <w:r>
        <w:t>Spinal cord stimulation versus placebo</w:t>
      </w:r>
      <w:r w:rsidR="000D18C5">
        <w:t xml:space="preserve"> (sham stimulation)</w:t>
      </w:r>
    </w:p>
    <w:p w14:paraId="44E461C0" w14:textId="0135DE25" w:rsidR="0081490C" w:rsidRDefault="0070300F" w:rsidP="0081490C">
      <w:pPr>
        <w:pStyle w:val="BodyText"/>
      </w:pPr>
      <w:r>
        <w:t>Nine of the ten</w:t>
      </w:r>
      <w:r w:rsidR="0042626E">
        <w:t xml:space="preserve"> cross-over RCTs </w:t>
      </w:r>
      <w:r w:rsidR="004F0D8F">
        <w:t>that</w:t>
      </w:r>
      <w:r w:rsidR="0042626E">
        <w:t xml:space="preserve"> compared SCS with sham stimulation reported immediate term outcomes</w:t>
      </w:r>
      <w:r w:rsidR="00814E76">
        <w:t xml:space="preserve"> (</w:t>
      </w:r>
      <w:r w:rsidR="00F44C8F">
        <w:t>at less than one</w:t>
      </w:r>
      <w:r w:rsidR="00D76B43">
        <w:t xml:space="preserve"> month)</w:t>
      </w:r>
      <w:r w:rsidR="0056697C">
        <w:t xml:space="preserve">. </w:t>
      </w:r>
      <w:r w:rsidR="00D163FA">
        <w:t xml:space="preserve">Eight were eligible </w:t>
      </w:r>
      <w:r w:rsidR="001F3650">
        <w:t>for pooling</w:t>
      </w:r>
      <w:r w:rsidR="00B32592" w:rsidRPr="00B32592">
        <w:t xml:space="preserve"> </w:t>
      </w:r>
      <w:r w:rsidR="00B32592">
        <w:t>in a meta-analysis</w:t>
      </w:r>
      <w:r w:rsidR="00705046">
        <w:t>;</w:t>
      </w:r>
      <w:r w:rsidR="00D252F1">
        <w:t xml:space="preserve"> Eisenberg (2015)</w:t>
      </w:r>
      <w:r w:rsidR="001949B0">
        <w:t xml:space="preserve"> </w:t>
      </w:r>
      <w:r w:rsidR="00A51360">
        <w:t xml:space="preserve">measured </w:t>
      </w:r>
      <w:r w:rsidR="008D33B3">
        <w:t xml:space="preserve">outcomes </w:t>
      </w:r>
      <w:r w:rsidR="00A51360">
        <w:t>on the same day</w:t>
      </w:r>
      <w:r w:rsidR="001F3650">
        <w:t xml:space="preserve"> and was excluded.</w:t>
      </w:r>
      <w:r w:rsidR="00A51360">
        <w:t xml:space="preserve"> </w:t>
      </w:r>
    </w:p>
    <w:p w14:paraId="3BD29ED0" w14:textId="644DDD86" w:rsidR="00D163FA" w:rsidRDefault="00653E71" w:rsidP="0081490C">
      <w:pPr>
        <w:pStyle w:val="BodyText"/>
      </w:pPr>
      <w:r>
        <w:t>O</w:t>
      </w:r>
      <w:r w:rsidR="00D163FA">
        <w:t xml:space="preserve">ne </w:t>
      </w:r>
      <w:r w:rsidR="00DF209A">
        <w:t>sham-controlled</w:t>
      </w:r>
      <w:r w:rsidR="00D163FA">
        <w:t xml:space="preserve"> study reported a treatment period of </w:t>
      </w:r>
      <w:r w:rsidR="00330E4A">
        <w:t>three months</w:t>
      </w:r>
      <w:r w:rsidR="00D163FA">
        <w:t xml:space="preserve"> (Hara 2022</w:t>
      </w:r>
      <w:r w:rsidR="0047376B">
        <w:t>);</w:t>
      </w:r>
      <w:r>
        <w:t xml:space="preserve"> </w:t>
      </w:r>
      <w:r w:rsidR="00330E4A">
        <w:t xml:space="preserve">therefore the outcomes are classified by the review as medium term. </w:t>
      </w:r>
    </w:p>
    <w:p w14:paraId="46FAAB97" w14:textId="41F7B30A" w:rsidR="006E0431" w:rsidRDefault="00112AC6" w:rsidP="0081490C">
      <w:pPr>
        <w:pStyle w:val="BodyText"/>
      </w:pPr>
      <w:r>
        <w:t>AEs</w:t>
      </w:r>
      <w:r w:rsidR="006E0431">
        <w:t xml:space="preserve"> were poorly reported in the sham trials and given all participants were implanted with an SCS device, they do not provide comparative data on </w:t>
      </w:r>
      <w:r>
        <w:t>AEs</w:t>
      </w:r>
      <w:r w:rsidR="006E0431">
        <w:t>.</w:t>
      </w:r>
    </w:p>
    <w:p w14:paraId="32B77E66" w14:textId="11C4BB26" w:rsidR="008D33B3" w:rsidRDefault="00091047" w:rsidP="00091047">
      <w:pPr>
        <w:pStyle w:val="Heading6"/>
      </w:pPr>
      <w:r>
        <w:t>Pain intensity</w:t>
      </w:r>
    </w:p>
    <w:p w14:paraId="5ED4B0D0" w14:textId="118D4AB2" w:rsidR="008A6C48" w:rsidRDefault="008A6C48" w:rsidP="008A6C48">
      <w:pPr>
        <w:pStyle w:val="BodyText"/>
      </w:pPr>
      <w:r>
        <w:t>There was evidence in favour of SCS compared to sham at less than one month follow</w:t>
      </w:r>
      <w:r w:rsidR="00857A5C">
        <w:t>-</w:t>
      </w:r>
      <w:r>
        <w:t>up in reducing pain intensity (mean difference (MD) -13.8, 95% confidence interval (CI) -20.6 to -7.0, P&lt;0.0001, I</w:t>
      </w:r>
      <w:r>
        <w:rPr>
          <w:vertAlign w:val="superscript"/>
        </w:rPr>
        <w:t>2</w:t>
      </w:r>
      <w:r>
        <w:t>=80% [8 RCTs, 139 participants]).</w:t>
      </w:r>
      <w:r w:rsidR="00A25A69">
        <w:t xml:space="preserve"> </w:t>
      </w:r>
      <w:r w:rsidR="00F6252C">
        <w:t xml:space="preserve">In </w:t>
      </w:r>
      <w:r>
        <w:t>trials at low risk of detection bias (i.e., blinded), there was no benefit of SCS compared with sham at less than one month (MD -3.00, 95% CI -9.3 to 3.2, I</w:t>
      </w:r>
      <w:r>
        <w:rPr>
          <w:vertAlign w:val="superscript"/>
        </w:rPr>
        <w:t>2</w:t>
      </w:r>
      <w:r>
        <w:t>=0% [2 RCTs, 62 participants]). The authors rated the outcome as very</w:t>
      </w:r>
      <w:r w:rsidR="00880265">
        <w:t xml:space="preserve"> </w:t>
      </w:r>
      <w:r>
        <w:t>low certainty (</w:t>
      </w:r>
      <w:r w:rsidR="00CD5FF7">
        <w:t>Grading of Recommendations, Assessment, Development and Evaluation [</w:t>
      </w:r>
      <w:r>
        <w:t>GRADE</w:t>
      </w:r>
      <w:r w:rsidR="00CD5FF7">
        <w:t>]</w:t>
      </w:r>
      <w:r>
        <w:t>).</w:t>
      </w:r>
    </w:p>
    <w:p w14:paraId="5AE6DBA8" w14:textId="6EC7B84F" w:rsidR="00A25A69" w:rsidRDefault="00F6252C" w:rsidP="00091047">
      <w:pPr>
        <w:pStyle w:val="BodyText"/>
      </w:pPr>
      <w:r>
        <w:t>In a single study (</w:t>
      </w:r>
      <w:r w:rsidR="00A25A69">
        <w:t>Hara</w:t>
      </w:r>
      <w:r>
        <w:t xml:space="preserve"> </w:t>
      </w:r>
      <w:r w:rsidR="00882497">
        <w:t>2022)</w:t>
      </w:r>
      <w:r w:rsidR="00EF0709">
        <w:t>,</w:t>
      </w:r>
      <w:r w:rsidR="00882497">
        <w:t xml:space="preserve"> </w:t>
      </w:r>
      <w:r w:rsidR="00360050">
        <w:t>SCS</w:t>
      </w:r>
      <w:r w:rsidR="0047270E">
        <w:t xml:space="preserve"> </w:t>
      </w:r>
      <w:r w:rsidR="00EE1156">
        <w:t xml:space="preserve">was not superior </w:t>
      </w:r>
      <w:r w:rsidR="003E0B02">
        <w:t xml:space="preserve">compared to </w:t>
      </w:r>
      <w:r w:rsidR="00EE1156">
        <w:t>sham</w:t>
      </w:r>
      <w:r w:rsidR="00744150">
        <w:t xml:space="preserve"> in reducing low back pain</w:t>
      </w:r>
      <w:r w:rsidR="003E0B02">
        <w:t xml:space="preserve"> </w:t>
      </w:r>
      <w:r w:rsidR="00091D47">
        <w:t xml:space="preserve">at three months </w:t>
      </w:r>
      <w:r w:rsidR="003E0B02">
        <w:t>(</w:t>
      </w:r>
      <w:r w:rsidR="00D62609">
        <w:t xml:space="preserve">MD </w:t>
      </w:r>
      <w:r w:rsidR="00685254">
        <w:t>-</w:t>
      </w:r>
      <w:r w:rsidR="00D62609">
        <w:t xml:space="preserve">4.0, 95% CI </w:t>
      </w:r>
      <w:r w:rsidR="00685254">
        <w:t>-</w:t>
      </w:r>
      <w:r w:rsidR="00D62609">
        <w:t>8.9 to 0.19</w:t>
      </w:r>
      <w:r w:rsidR="00F33999">
        <w:t>, P=0.06</w:t>
      </w:r>
      <w:r w:rsidR="00D62609">
        <w:t>).</w:t>
      </w:r>
      <w:r w:rsidR="0099681C">
        <w:t xml:space="preserve"> The study demonstrated </w:t>
      </w:r>
      <w:r w:rsidR="00234D1B">
        <w:t xml:space="preserve">similar </w:t>
      </w:r>
      <w:r w:rsidR="0099681C">
        <w:t>results on reducing leg pain intensity (</w:t>
      </w:r>
      <w:r w:rsidR="000D104C">
        <w:t xml:space="preserve">MD </w:t>
      </w:r>
      <w:r w:rsidR="00744150">
        <w:t>-</w:t>
      </w:r>
      <w:r w:rsidR="000D104C">
        <w:t xml:space="preserve">2.0, </w:t>
      </w:r>
      <w:r w:rsidR="001A0BE2">
        <w:t xml:space="preserve">95% CI </w:t>
      </w:r>
      <w:r w:rsidR="00744150">
        <w:t>-</w:t>
      </w:r>
      <w:r w:rsidR="001A0BE2">
        <w:t>6.47 to 2.47</w:t>
      </w:r>
      <w:r w:rsidR="00B53524">
        <w:t>, P=</w:t>
      </w:r>
      <w:r w:rsidR="00F33999">
        <w:t>0.38</w:t>
      </w:r>
      <w:r w:rsidR="001A0BE2">
        <w:t>).</w:t>
      </w:r>
      <w:r w:rsidRPr="00F6252C">
        <w:t xml:space="preserve"> </w:t>
      </w:r>
      <w:r w:rsidR="00744150">
        <w:t>The authors rated the outcomes as</w:t>
      </w:r>
      <w:r>
        <w:t xml:space="preserve"> of moderate certainty</w:t>
      </w:r>
      <w:r w:rsidR="00744150">
        <w:t xml:space="preserve"> (GRADE)</w:t>
      </w:r>
      <w:r w:rsidR="00CF24EE">
        <w:t>.</w:t>
      </w:r>
    </w:p>
    <w:p w14:paraId="5DAB0686" w14:textId="28D99516" w:rsidR="00D62609" w:rsidRDefault="004A60FB" w:rsidP="004A60FB">
      <w:pPr>
        <w:pStyle w:val="Heading6"/>
      </w:pPr>
      <w:r>
        <w:t>Function</w:t>
      </w:r>
    </w:p>
    <w:p w14:paraId="389BB862" w14:textId="5E0EE6FE" w:rsidR="000801B7" w:rsidRDefault="00E42841" w:rsidP="004A60FB">
      <w:pPr>
        <w:pStyle w:val="BodyText"/>
      </w:pPr>
      <w:r>
        <w:t>In a single</w:t>
      </w:r>
      <w:r w:rsidR="000801B7">
        <w:t xml:space="preserve"> study (Hara 2022)</w:t>
      </w:r>
      <w:r w:rsidR="00EC214C">
        <w:t>,</w:t>
      </w:r>
      <w:r w:rsidR="000801B7">
        <w:t xml:space="preserve"> </w:t>
      </w:r>
      <w:r w:rsidR="00682322">
        <w:t xml:space="preserve">SCS was </w:t>
      </w:r>
      <w:r>
        <w:t>not superior compared</w:t>
      </w:r>
      <w:r w:rsidR="00C50222">
        <w:t xml:space="preserve"> to </w:t>
      </w:r>
      <w:r>
        <w:t>sham</w:t>
      </w:r>
      <w:r w:rsidR="00C50222">
        <w:t xml:space="preserve"> </w:t>
      </w:r>
      <w:r>
        <w:t xml:space="preserve">in </w:t>
      </w:r>
      <w:r w:rsidR="00FC1ADB">
        <w:t xml:space="preserve">improving function </w:t>
      </w:r>
      <w:r w:rsidR="00091D47">
        <w:t xml:space="preserve">at three months </w:t>
      </w:r>
      <w:r w:rsidR="00FC1ADB">
        <w:t>(MD -1.30, 95%CI -3.91 to 1.31</w:t>
      </w:r>
      <w:r w:rsidR="00B53524">
        <w:t>, P=0.33)</w:t>
      </w:r>
      <w:r w:rsidR="00C50222">
        <w:t>.</w:t>
      </w:r>
    </w:p>
    <w:p w14:paraId="097187BB" w14:textId="4B9C52D3" w:rsidR="00C50222" w:rsidRDefault="002076B6" w:rsidP="00673CA7">
      <w:pPr>
        <w:pStyle w:val="Heading6"/>
      </w:pPr>
      <w:r>
        <w:t>Health-related quality of life</w:t>
      </w:r>
    </w:p>
    <w:p w14:paraId="58B679B5" w14:textId="0395B618" w:rsidR="00A871A0" w:rsidRDefault="00213CC1" w:rsidP="002076B6">
      <w:pPr>
        <w:pStyle w:val="BodyText"/>
      </w:pPr>
      <w:r>
        <w:t>In a single study</w:t>
      </w:r>
      <w:r w:rsidR="00A871A0">
        <w:t xml:space="preserve"> </w:t>
      </w:r>
      <w:r>
        <w:t>(</w:t>
      </w:r>
      <w:r w:rsidR="00A871A0">
        <w:t>Hara 2022</w:t>
      </w:r>
      <w:r>
        <w:t>)</w:t>
      </w:r>
      <w:r w:rsidR="00783F91">
        <w:t>,</w:t>
      </w:r>
      <w:r w:rsidR="00A871A0">
        <w:t xml:space="preserve"> </w:t>
      </w:r>
      <w:r w:rsidR="00CE7929">
        <w:t xml:space="preserve">SCS </w:t>
      </w:r>
      <w:r w:rsidR="003156BB">
        <w:t>was not superior</w:t>
      </w:r>
      <w:r w:rsidR="00F94B69">
        <w:t xml:space="preserve"> </w:t>
      </w:r>
      <w:r w:rsidR="00FD31F4">
        <w:t>compared</w:t>
      </w:r>
      <w:r w:rsidR="00F94B69">
        <w:t xml:space="preserve"> to sham in </w:t>
      </w:r>
      <w:r w:rsidR="006609D2">
        <w:t>improv</w:t>
      </w:r>
      <w:r w:rsidR="00F94B69">
        <w:t>ing</w:t>
      </w:r>
      <w:r w:rsidR="006609D2">
        <w:t xml:space="preserve"> </w:t>
      </w:r>
      <w:proofErr w:type="spellStart"/>
      <w:r w:rsidR="006609D2">
        <w:t>HRQoL</w:t>
      </w:r>
      <w:proofErr w:type="spellEnd"/>
      <w:r w:rsidR="006609D2">
        <w:t xml:space="preserve"> </w:t>
      </w:r>
      <w:r w:rsidR="00091D47">
        <w:t xml:space="preserve">at three months </w:t>
      </w:r>
      <w:r w:rsidR="000E5A99">
        <w:t>(MD 0.04, 95% CI -0.08 to 0.16</w:t>
      </w:r>
      <w:r w:rsidR="005471E9">
        <w:t>, P=0.53</w:t>
      </w:r>
      <w:r w:rsidR="00580DE5">
        <w:t>).</w:t>
      </w:r>
    </w:p>
    <w:p w14:paraId="42E84B89" w14:textId="32E8DF5B" w:rsidR="00D8027C" w:rsidRDefault="00D31BEF" w:rsidP="00D8027C">
      <w:pPr>
        <w:pStyle w:val="Heading5"/>
      </w:pPr>
      <w:r>
        <w:t>Spinal cord stimulation plus medical management versus medical management alone</w:t>
      </w:r>
    </w:p>
    <w:p w14:paraId="2625C7AE" w14:textId="260326B0" w:rsidR="00E87C3E" w:rsidRDefault="00226614" w:rsidP="00D31BEF">
      <w:pPr>
        <w:pStyle w:val="BodyText"/>
      </w:pPr>
      <w:r>
        <w:t xml:space="preserve">Three </w:t>
      </w:r>
      <w:r w:rsidR="00E35C5E">
        <w:t xml:space="preserve">unblinded, </w:t>
      </w:r>
      <w:r>
        <w:t xml:space="preserve">parallel </w:t>
      </w:r>
      <w:r w:rsidR="00312462">
        <w:t xml:space="preserve">RCTS </w:t>
      </w:r>
      <w:r w:rsidR="00D16953">
        <w:t>that</w:t>
      </w:r>
      <w:r w:rsidR="00312462">
        <w:t xml:space="preserve"> compared </w:t>
      </w:r>
      <w:r w:rsidR="003E6F29">
        <w:t xml:space="preserve">SCS plus medical management to medical management alone </w:t>
      </w:r>
      <w:r w:rsidR="00BB7157">
        <w:t xml:space="preserve">reported on outcomes </w:t>
      </w:r>
      <w:r w:rsidR="00313A67">
        <w:t>at short</w:t>
      </w:r>
      <w:r w:rsidR="00FC6CA4">
        <w:t>,</w:t>
      </w:r>
      <w:r w:rsidR="00313A67">
        <w:t xml:space="preserve"> medium </w:t>
      </w:r>
      <w:r w:rsidR="00A16103">
        <w:t>and long-</w:t>
      </w:r>
      <w:r w:rsidR="00313A67">
        <w:t>term follow-up</w:t>
      </w:r>
      <w:r w:rsidR="003E75D0">
        <w:t>.</w:t>
      </w:r>
      <w:r w:rsidR="00B90E04">
        <w:t xml:space="preserve"> </w:t>
      </w:r>
    </w:p>
    <w:p w14:paraId="5690ADDD" w14:textId="5ACEE95E" w:rsidR="00C35CB0" w:rsidRDefault="00C35CB0" w:rsidP="00C35CB0">
      <w:pPr>
        <w:pStyle w:val="Heading6"/>
      </w:pPr>
      <w:r>
        <w:t>Pain intensity</w:t>
      </w:r>
    </w:p>
    <w:p w14:paraId="3855049D" w14:textId="3794F22A" w:rsidR="00E902A4" w:rsidRDefault="002C3A50" w:rsidP="00C35CB0">
      <w:pPr>
        <w:pStyle w:val="BodyText"/>
      </w:pPr>
      <w:r>
        <w:t>M</w:t>
      </w:r>
      <w:r w:rsidR="00095AC6">
        <w:t xml:space="preserve">ean back pain intensity was </w:t>
      </w:r>
      <w:r w:rsidR="001E372C">
        <w:t>better</w:t>
      </w:r>
      <w:r w:rsidR="00E05B17">
        <w:t>, though not statistically significant,</w:t>
      </w:r>
      <w:r w:rsidR="00BC7899">
        <w:t xml:space="preserve"> </w:t>
      </w:r>
      <w:r w:rsidR="0011227F">
        <w:t>with the addition of SCS when compared to medical management alone at medium</w:t>
      </w:r>
      <w:r w:rsidR="008361EE">
        <w:t>-</w:t>
      </w:r>
      <w:r w:rsidR="0011227F">
        <w:t>term follow</w:t>
      </w:r>
      <w:r w:rsidR="00857A5C">
        <w:t>-</w:t>
      </w:r>
      <w:r w:rsidR="0011227F">
        <w:t>up</w:t>
      </w:r>
      <w:r w:rsidR="00A30A40">
        <w:t xml:space="preserve">, defined as </w:t>
      </w:r>
      <w:r w:rsidR="00A30A40">
        <w:rPr>
          <w:rFonts w:cs="Calibri"/>
        </w:rPr>
        <w:t>≥</w:t>
      </w:r>
      <w:r w:rsidR="00A30A40">
        <w:t xml:space="preserve"> 3 months to &lt;12 months</w:t>
      </w:r>
      <w:r w:rsidR="0011227F">
        <w:t xml:space="preserve"> (</w:t>
      </w:r>
      <w:r>
        <w:t xml:space="preserve">MD -26.0, </w:t>
      </w:r>
      <w:r w:rsidR="005C3BE7">
        <w:t xml:space="preserve">95% CI </w:t>
      </w:r>
      <w:r w:rsidR="008B19E0">
        <w:t>-</w:t>
      </w:r>
      <w:r w:rsidR="005C3BE7">
        <w:t xml:space="preserve">56.2 </w:t>
      </w:r>
      <w:r w:rsidR="008622A8">
        <w:t xml:space="preserve">to </w:t>
      </w:r>
      <w:r w:rsidR="005C3BE7">
        <w:t>4.2 points worse</w:t>
      </w:r>
      <w:r w:rsidR="00FE54DA">
        <w:t>, I</w:t>
      </w:r>
      <w:r w:rsidR="00FE54DA">
        <w:rPr>
          <w:vertAlign w:val="superscript"/>
        </w:rPr>
        <w:t>2</w:t>
      </w:r>
      <w:r w:rsidR="00FE54DA">
        <w:t>=98%</w:t>
      </w:r>
      <w:r w:rsidR="00EA483B">
        <w:t>, P=</w:t>
      </w:r>
      <w:r w:rsidR="009E774D">
        <w:t>0.09</w:t>
      </w:r>
      <w:r w:rsidR="00FE54DA">
        <w:t xml:space="preserve"> [3 </w:t>
      </w:r>
      <w:r w:rsidR="00BB3369">
        <w:t>RCTs</w:t>
      </w:r>
      <w:r w:rsidR="00FE54DA">
        <w:t>, 430 participants]).</w:t>
      </w:r>
      <w:r w:rsidR="00B075EB">
        <w:t xml:space="preserve"> </w:t>
      </w:r>
      <w:r w:rsidR="00E902A4">
        <w:t xml:space="preserve">Mean leg pain intensity </w:t>
      </w:r>
      <w:r w:rsidR="008A0082">
        <w:t xml:space="preserve">was </w:t>
      </w:r>
      <w:r w:rsidR="002C68DA">
        <w:t>significantly improved</w:t>
      </w:r>
      <w:r w:rsidR="008A0082">
        <w:t xml:space="preserve"> with the addition of SCS </w:t>
      </w:r>
      <w:r w:rsidR="00C6495E">
        <w:t>when</w:t>
      </w:r>
      <w:r w:rsidR="008A0082">
        <w:t xml:space="preserve"> compared to medical management </w:t>
      </w:r>
      <w:r w:rsidR="00776262">
        <w:t xml:space="preserve">alone </w:t>
      </w:r>
      <w:r w:rsidR="00E902A4">
        <w:t>at medium</w:t>
      </w:r>
      <w:r w:rsidR="008361EE">
        <w:t>-</w:t>
      </w:r>
      <w:r w:rsidR="00E902A4">
        <w:t>term follow</w:t>
      </w:r>
      <w:r w:rsidR="0056775A">
        <w:t>-</w:t>
      </w:r>
      <w:r w:rsidR="00E902A4">
        <w:t>up (</w:t>
      </w:r>
      <w:r w:rsidR="00E46695">
        <w:t xml:space="preserve">MD -18.8, </w:t>
      </w:r>
      <w:r w:rsidR="00E902A4">
        <w:t xml:space="preserve">95% CI </w:t>
      </w:r>
      <w:r w:rsidR="00E46695">
        <w:t>-</w:t>
      </w:r>
      <w:r w:rsidR="00E902A4">
        <w:t xml:space="preserve">33.2 </w:t>
      </w:r>
      <w:r w:rsidR="00E46695">
        <w:t>-</w:t>
      </w:r>
      <w:r w:rsidR="00E902A4">
        <w:t xml:space="preserve"> to </w:t>
      </w:r>
      <w:r w:rsidR="00E46695">
        <w:t>-</w:t>
      </w:r>
      <w:r w:rsidR="00E902A4">
        <w:t>4.5, I</w:t>
      </w:r>
      <w:r w:rsidR="00E902A4">
        <w:rPr>
          <w:vertAlign w:val="superscript"/>
        </w:rPr>
        <w:t>2</w:t>
      </w:r>
      <w:r w:rsidR="00E902A4">
        <w:t>=82%</w:t>
      </w:r>
      <w:r w:rsidR="00E46695">
        <w:t>, P=</w:t>
      </w:r>
      <w:r w:rsidR="002A5790">
        <w:t>0.01</w:t>
      </w:r>
      <w:r w:rsidR="00E902A4">
        <w:t xml:space="preserve"> [</w:t>
      </w:r>
      <w:r w:rsidR="00A7186A">
        <w:t>2 RCTs</w:t>
      </w:r>
      <w:r w:rsidR="00E902A4">
        <w:t>, 290 participants]).</w:t>
      </w:r>
      <w:r w:rsidR="0035046B">
        <w:t xml:space="preserve"> The authors rate</w:t>
      </w:r>
      <w:r w:rsidR="00960FBF">
        <w:t>d</w:t>
      </w:r>
      <w:r w:rsidR="0035046B">
        <w:t xml:space="preserve"> the outcomes as very low certainty (GRADE).</w:t>
      </w:r>
    </w:p>
    <w:p w14:paraId="1025E3D8" w14:textId="3A8C1C3B" w:rsidR="00A643CF" w:rsidRDefault="00A643CF" w:rsidP="00C35CB0">
      <w:pPr>
        <w:pStyle w:val="BodyText"/>
      </w:pPr>
      <w:r>
        <w:t xml:space="preserve">Participants in the SCS group were 7.4 times more likely to report </w:t>
      </w:r>
      <w:r w:rsidR="00592A9D">
        <w:rPr>
          <w:rFonts w:cs="Calibri"/>
        </w:rPr>
        <w:t>≥</w:t>
      </w:r>
      <w:r>
        <w:t xml:space="preserve">50% </w:t>
      </w:r>
      <w:r w:rsidR="00592A9D">
        <w:t>pain reduction</w:t>
      </w:r>
      <w:r>
        <w:t xml:space="preserve"> compared to the medical management </w:t>
      </w:r>
      <w:r w:rsidR="00E02D3E">
        <w:t xml:space="preserve">alone </w:t>
      </w:r>
      <w:r>
        <w:t>group (95% CI 23.4 to 2.3, I</w:t>
      </w:r>
      <w:r>
        <w:rPr>
          <w:vertAlign w:val="superscript"/>
        </w:rPr>
        <w:t>2</w:t>
      </w:r>
      <w:r>
        <w:t>=70%</w:t>
      </w:r>
      <w:r w:rsidR="00E52DBE">
        <w:t>,</w:t>
      </w:r>
      <w:r>
        <w:t xml:space="preserve"> </w:t>
      </w:r>
      <w:r w:rsidR="00E52DBE" w:rsidRPr="00E52DBE">
        <w:t xml:space="preserve">P = 0.0007 </w:t>
      </w:r>
      <w:r>
        <w:t>[</w:t>
      </w:r>
      <w:r w:rsidR="000703A9">
        <w:t>3 RCTs</w:t>
      </w:r>
      <w:r>
        <w:t>, 430 participants])</w:t>
      </w:r>
      <w:r w:rsidR="00E52DBE">
        <w:t xml:space="preserve"> at medium</w:t>
      </w:r>
      <w:r w:rsidR="008361EE">
        <w:t>-</w:t>
      </w:r>
      <w:r w:rsidR="00E52DBE">
        <w:t xml:space="preserve">term </w:t>
      </w:r>
      <w:r w:rsidR="001D16F6">
        <w:t>follow-up</w:t>
      </w:r>
      <w:r>
        <w:t>.</w:t>
      </w:r>
    </w:p>
    <w:p w14:paraId="5F5A2CD4" w14:textId="75152D4F" w:rsidR="00A643CF" w:rsidRDefault="00EC2F1D" w:rsidP="00C35CB0">
      <w:pPr>
        <w:pStyle w:val="BodyText"/>
      </w:pPr>
      <w:r>
        <w:t>A</w:t>
      </w:r>
      <w:r w:rsidR="00A643CF">
        <w:t>t 24</w:t>
      </w:r>
      <w:r w:rsidR="00662E25">
        <w:t>-</w:t>
      </w:r>
      <w:r w:rsidR="00A643CF">
        <w:t>month (long</w:t>
      </w:r>
      <w:r w:rsidR="000532FE">
        <w:t>-</w:t>
      </w:r>
      <w:r w:rsidR="00A643CF">
        <w:t>term) follow</w:t>
      </w:r>
      <w:r w:rsidR="006541C2">
        <w:t>-</w:t>
      </w:r>
      <w:r w:rsidR="00A643CF">
        <w:t>up</w:t>
      </w:r>
      <w:r w:rsidR="003102F5">
        <w:t>,</w:t>
      </w:r>
      <w:r>
        <w:t xml:space="preserve"> a single trial reported</w:t>
      </w:r>
      <w:r w:rsidR="00A643CF">
        <w:t xml:space="preserve"> </w:t>
      </w:r>
      <w:r>
        <w:t>a</w:t>
      </w:r>
      <w:r w:rsidR="00A643CF">
        <w:t xml:space="preserve"> greater number of participants in the SCS group (17/52) achieved </w:t>
      </w:r>
      <w:r w:rsidR="004113EB">
        <w:rPr>
          <w:rFonts w:cs="Calibri"/>
        </w:rPr>
        <w:t>≥</w:t>
      </w:r>
      <w:r w:rsidR="004113EB">
        <w:t xml:space="preserve">50% pain reduction </w:t>
      </w:r>
      <w:r w:rsidR="00A643CF">
        <w:t xml:space="preserve">compared with participants in the medical management </w:t>
      </w:r>
      <w:r w:rsidR="000E77EA">
        <w:t xml:space="preserve">alone </w:t>
      </w:r>
      <w:r w:rsidR="00A643CF">
        <w:t>group (8/48)</w:t>
      </w:r>
      <w:r w:rsidR="000A1412">
        <w:t>, although this difference failed to reach statistical significance</w:t>
      </w:r>
      <w:r w:rsidR="00A643CF">
        <w:t xml:space="preserve"> (RR 1.96, 95% CI 0.93 to 4.12</w:t>
      </w:r>
      <w:r w:rsidR="004113EB">
        <w:t>,</w:t>
      </w:r>
      <w:r w:rsidR="004113EB" w:rsidRPr="004113EB">
        <w:t xml:space="preserve"> P = 0.08</w:t>
      </w:r>
      <w:r w:rsidR="00A643CF">
        <w:t>).</w:t>
      </w:r>
      <w:r w:rsidR="004113EB">
        <w:t xml:space="preserve"> These outcomes were rated as very low certainty (GRADE)</w:t>
      </w:r>
    </w:p>
    <w:p w14:paraId="4625E6CA" w14:textId="402B470F" w:rsidR="009F6156" w:rsidRDefault="00CB2B50" w:rsidP="00CB2B50">
      <w:pPr>
        <w:pStyle w:val="Heading6"/>
      </w:pPr>
      <w:r>
        <w:lastRenderedPageBreak/>
        <w:t>Function</w:t>
      </w:r>
    </w:p>
    <w:p w14:paraId="56CD5FD0" w14:textId="438DDCCA" w:rsidR="007F1F45" w:rsidRDefault="00C16B54" w:rsidP="00CB2B50">
      <w:pPr>
        <w:pStyle w:val="BodyText"/>
      </w:pPr>
      <w:r>
        <w:t>At</w:t>
      </w:r>
      <w:r w:rsidR="007F1F45">
        <w:t xml:space="preserve"> medium</w:t>
      </w:r>
      <w:r w:rsidR="008361EE">
        <w:t>-</w:t>
      </w:r>
      <w:r w:rsidR="007F1F45">
        <w:t>term follow</w:t>
      </w:r>
      <w:r w:rsidR="006541C2">
        <w:t>-</w:t>
      </w:r>
      <w:r w:rsidR="007F1F45">
        <w:t xml:space="preserve">up, </w:t>
      </w:r>
      <w:r w:rsidR="00DA665E">
        <w:t xml:space="preserve">mean function was </w:t>
      </w:r>
      <w:r w:rsidR="00841511">
        <w:t>better with the addition of SCS compared to medical management alone (</w:t>
      </w:r>
      <w:r w:rsidR="00C966D5">
        <w:t>MD -</w:t>
      </w:r>
      <w:r>
        <w:t>16.2</w:t>
      </w:r>
      <w:r w:rsidR="00C966D5">
        <w:t>,</w:t>
      </w:r>
      <w:r>
        <w:t xml:space="preserve"> </w:t>
      </w:r>
      <w:r w:rsidR="00841511">
        <w:t xml:space="preserve">95% CI </w:t>
      </w:r>
      <w:r w:rsidR="00C966D5">
        <w:t>-</w:t>
      </w:r>
      <w:r w:rsidR="00841511">
        <w:t>19.4 to</w:t>
      </w:r>
      <w:r w:rsidR="00C966D5">
        <w:t xml:space="preserve"> -</w:t>
      </w:r>
      <w:r w:rsidR="00841511">
        <w:t>13.0 points better, I</w:t>
      </w:r>
      <w:r w:rsidR="00841511">
        <w:rPr>
          <w:vertAlign w:val="superscript"/>
        </w:rPr>
        <w:t>2</w:t>
      </w:r>
      <w:r w:rsidR="00841511">
        <w:t>=</w:t>
      </w:r>
      <w:r w:rsidR="00642BBD">
        <w:t>95%</w:t>
      </w:r>
      <w:r w:rsidR="00B91123">
        <w:t xml:space="preserve">, </w:t>
      </w:r>
      <w:r w:rsidR="00B91123" w:rsidRPr="00B91123">
        <w:t>P &lt; 0.00001</w:t>
      </w:r>
      <w:r w:rsidR="00642BBD">
        <w:t xml:space="preserve"> [</w:t>
      </w:r>
      <w:r w:rsidR="006D1FF7">
        <w:t>3 RCTs</w:t>
      </w:r>
      <w:r w:rsidR="00642BBD">
        <w:t>, 430 participants])</w:t>
      </w:r>
      <w:r w:rsidR="0027770B">
        <w:t xml:space="preserve"> (low certainty)</w:t>
      </w:r>
      <w:r w:rsidR="00642BBD">
        <w:t>.</w:t>
      </w:r>
    </w:p>
    <w:p w14:paraId="610C9FA6" w14:textId="34F1E557" w:rsidR="00642BBD" w:rsidRDefault="00906CA2" w:rsidP="00906CA2">
      <w:pPr>
        <w:pStyle w:val="Heading6"/>
      </w:pPr>
      <w:r>
        <w:t>Health-related quality of life</w:t>
      </w:r>
    </w:p>
    <w:p w14:paraId="06F39B88" w14:textId="4966C40B" w:rsidR="003F6045" w:rsidRDefault="00607061" w:rsidP="00CB341D">
      <w:pPr>
        <w:pStyle w:val="BodyText"/>
      </w:pPr>
      <w:r>
        <w:t>I</w:t>
      </w:r>
      <w:r w:rsidR="005B6F76">
        <w:t xml:space="preserve">t is unclear whether the addition of SCS to medical management has a positive effect on </w:t>
      </w:r>
      <w:proofErr w:type="spellStart"/>
      <w:r w:rsidR="005B6F76">
        <w:t>HRQoL</w:t>
      </w:r>
      <w:proofErr w:type="spellEnd"/>
      <w:r w:rsidR="005B6F76">
        <w:t xml:space="preserve"> compared to medical management alone</w:t>
      </w:r>
      <w:r>
        <w:t xml:space="preserve"> (MD</w:t>
      </w:r>
      <w:r w:rsidR="005F3FAC">
        <w:t xml:space="preserve"> 7.6</w:t>
      </w:r>
      <w:r w:rsidR="00A35DD1">
        <w:t xml:space="preserve">, </w:t>
      </w:r>
      <w:r w:rsidR="00A54A6F">
        <w:t xml:space="preserve">95% CI 15.8 to </w:t>
      </w:r>
      <w:r w:rsidR="001B4D6F">
        <w:t>-</w:t>
      </w:r>
      <w:r w:rsidR="00A54A6F">
        <w:t>0.6, I</w:t>
      </w:r>
      <w:r w:rsidR="00A54A6F">
        <w:rPr>
          <w:vertAlign w:val="superscript"/>
        </w:rPr>
        <w:t>2</w:t>
      </w:r>
      <w:r w:rsidR="00A54A6F">
        <w:t>=53%</w:t>
      </w:r>
      <w:r w:rsidR="001B4D6F">
        <w:t xml:space="preserve">, </w:t>
      </w:r>
      <w:r w:rsidR="001B4D6F" w:rsidRPr="001B4D6F">
        <w:t>P = 0.07</w:t>
      </w:r>
      <w:r w:rsidR="00A54A6F">
        <w:t xml:space="preserve"> [</w:t>
      </w:r>
      <w:r w:rsidR="003E0563">
        <w:t>2 RCTs</w:t>
      </w:r>
      <w:r w:rsidR="00A54A6F">
        <w:t>, 289 participants]) at medium</w:t>
      </w:r>
      <w:r w:rsidR="008361EE">
        <w:t>-</w:t>
      </w:r>
      <w:r w:rsidR="00A54A6F">
        <w:t>term follow</w:t>
      </w:r>
      <w:r w:rsidR="006541C2">
        <w:t>-</w:t>
      </w:r>
      <w:r w:rsidR="00A54A6F">
        <w:t>up</w:t>
      </w:r>
      <w:r w:rsidR="006E501F">
        <w:rPr>
          <w:rStyle w:val="FootnoteReference"/>
        </w:rPr>
        <w:footnoteReference w:id="14"/>
      </w:r>
      <w:r w:rsidR="00110578">
        <w:t xml:space="preserve"> (very low certainty)</w:t>
      </w:r>
      <w:r w:rsidR="00A54A6F">
        <w:t>.</w:t>
      </w:r>
    </w:p>
    <w:p w14:paraId="53C10235" w14:textId="067BBAF5" w:rsidR="00BB7ECE" w:rsidRDefault="00BB7ECE" w:rsidP="00BB7ECE">
      <w:pPr>
        <w:pStyle w:val="Heading6"/>
      </w:pPr>
      <w:r>
        <w:t>A</w:t>
      </w:r>
      <w:r w:rsidR="005D459F">
        <w:t>dverse events</w:t>
      </w:r>
    </w:p>
    <w:p w14:paraId="33DFE01A" w14:textId="7EA3D96D" w:rsidR="00461708" w:rsidRDefault="005330A4" w:rsidP="00BB7ECE">
      <w:pPr>
        <w:pStyle w:val="BodyText"/>
      </w:pPr>
      <w:r>
        <w:t>A</w:t>
      </w:r>
      <w:r w:rsidR="000148CA">
        <w:t>t longest follow-up, a</w:t>
      </w:r>
      <w:r>
        <w:t xml:space="preserve"> larger number of participants in the SCS group (65/157, 41.4%) experienced </w:t>
      </w:r>
      <w:r w:rsidR="00112AC6">
        <w:t xml:space="preserve">AEs </w:t>
      </w:r>
      <w:r>
        <w:t xml:space="preserve">compared to the medical management </w:t>
      </w:r>
      <w:r w:rsidR="00BA48D0">
        <w:t xml:space="preserve">alone </w:t>
      </w:r>
      <w:r>
        <w:t>group (49/179, 27.4%)</w:t>
      </w:r>
      <w:r w:rsidR="003E342C">
        <w:t>, although this difference is not statistically significant</w:t>
      </w:r>
      <w:r>
        <w:t xml:space="preserve"> (RR 2.32, 95% CI 0.39 to 13.79, I</w:t>
      </w:r>
      <w:r>
        <w:rPr>
          <w:vertAlign w:val="superscript"/>
        </w:rPr>
        <w:t>2</w:t>
      </w:r>
      <w:r>
        <w:t>= 90%</w:t>
      </w:r>
      <w:r w:rsidR="007D0105">
        <w:t>,</w:t>
      </w:r>
      <w:r w:rsidR="007D0105" w:rsidRPr="007D0105">
        <w:t xml:space="preserve"> P = 0.35</w:t>
      </w:r>
      <w:r>
        <w:t xml:space="preserve"> [</w:t>
      </w:r>
      <w:r w:rsidR="00C8566B">
        <w:t>2 RCTs</w:t>
      </w:r>
      <w:r>
        <w:t xml:space="preserve">, 336 participants]). </w:t>
      </w:r>
      <w:r w:rsidR="00FF13CF">
        <w:t xml:space="preserve">A larger number of participants in the SCS group also experienced </w:t>
      </w:r>
      <w:r w:rsidR="0058672B">
        <w:t>S</w:t>
      </w:r>
      <w:r w:rsidR="00112AC6">
        <w:t xml:space="preserve">AEs </w:t>
      </w:r>
      <w:r w:rsidR="002E62E4">
        <w:t>(6/</w:t>
      </w:r>
      <w:r w:rsidR="008D5EA4">
        <w:t>65</w:t>
      </w:r>
      <w:r w:rsidR="00D55931">
        <w:t>, 9.2%</w:t>
      </w:r>
      <w:r w:rsidR="008D5EA4">
        <w:t xml:space="preserve">) </w:t>
      </w:r>
      <w:r w:rsidR="00461708">
        <w:t>compared to the medical management group</w:t>
      </w:r>
      <w:r w:rsidR="00C465DB">
        <w:t xml:space="preserve"> (</w:t>
      </w:r>
      <w:r w:rsidR="00EA2957">
        <w:t>4/76</w:t>
      </w:r>
      <w:r w:rsidR="00C46BE3">
        <w:t>, 5.3%</w:t>
      </w:r>
      <w:r w:rsidR="00EA2957">
        <w:t>)</w:t>
      </w:r>
      <w:r w:rsidR="00461708">
        <w:t xml:space="preserve"> at medium</w:t>
      </w:r>
      <w:r w:rsidR="008361EE">
        <w:t>-</w:t>
      </w:r>
      <w:r w:rsidR="00461708">
        <w:t>term follow</w:t>
      </w:r>
      <w:r w:rsidR="006541C2">
        <w:t>-</w:t>
      </w:r>
      <w:r w:rsidR="00461708">
        <w:t>up (RR 1.73, 95% CI 0.51 to 5.87</w:t>
      </w:r>
      <w:r w:rsidR="00C91515">
        <w:t xml:space="preserve">, </w:t>
      </w:r>
      <w:r w:rsidR="00C91515" w:rsidRPr="00C91515">
        <w:t>P = 0.38</w:t>
      </w:r>
      <w:r w:rsidR="00461708">
        <w:t xml:space="preserve"> [</w:t>
      </w:r>
      <w:r w:rsidR="00193A74">
        <w:t>1 RCT</w:t>
      </w:r>
      <w:r w:rsidR="00461708">
        <w:t xml:space="preserve"> 140 participants]).</w:t>
      </w:r>
    </w:p>
    <w:p w14:paraId="045E3361" w14:textId="72A5680D" w:rsidR="00BB7ECE" w:rsidRDefault="00597C77" w:rsidP="00BB7ECE">
      <w:pPr>
        <w:pStyle w:val="BodyText"/>
      </w:pPr>
      <w:r>
        <w:t xml:space="preserve">Results from one </w:t>
      </w:r>
      <w:r w:rsidR="00A4053E">
        <w:t xml:space="preserve">RCT </w:t>
      </w:r>
      <w:r w:rsidR="003D0FC2">
        <w:t>compared with</w:t>
      </w:r>
      <w:r w:rsidR="00F91459">
        <w:t xml:space="preserve">drawals due to </w:t>
      </w:r>
      <w:r w:rsidR="00112AC6">
        <w:t xml:space="preserve">AEs </w:t>
      </w:r>
      <w:r w:rsidR="006A5C6C">
        <w:t>in the high</w:t>
      </w:r>
      <w:r w:rsidR="00572B21">
        <w:t>-</w:t>
      </w:r>
      <w:r w:rsidR="006A5C6C">
        <w:t xml:space="preserve">frequency SCS group </w:t>
      </w:r>
      <w:r w:rsidR="002F573D">
        <w:t>(2/</w:t>
      </w:r>
      <w:r w:rsidR="00711374">
        <w:t xml:space="preserve">83) </w:t>
      </w:r>
      <w:r w:rsidR="00735F2D">
        <w:t>versus</w:t>
      </w:r>
      <w:r w:rsidR="00711374">
        <w:t xml:space="preserve"> the medical management group (0/76).</w:t>
      </w:r>
      <w:r w:rsidR="00836E23">
        <w:t xml:space="preserve"> All adverse event outcomes were rated very low certainty (GRADE)</w:t>
      </w:r>
      <w:r w:rsidR="00D3297D">
        <w:t>.</w:t>
      </w:r>
    </w:p>
    <w:p w14:paraId="518CDB6D" w14:textId="4E0F9E26" w:rsidR="001A554A" w:rsidRDefault="002200C9" w:rsidP="001A554A">
      <w:pPr>
        <w:pStyle w:val="Heading6"/>
      </w:pPr>
      <w:r>
        <w:t>Minor outcomes</w:t>
      </w:r>
    </w:p>
    <w:p w14:paraId="6430E6D6" w14:textId="25596E3C" w:rsidR="002200C9" w:rsidRDefault="00724B53" w:rsidP="002200C9">
      <w:pPr>
        <w:pStyle w:val="BodyText"/>
      </w:pPr>
      <w:r>
        <w:t xml:space="preserve">Three studies reported on medication use </w:t>
      </w:r>
      <w:r w:rsidR="001877DA">
        <w:t>at medium</w:t>
      </w:r>
      <w:r w:rsidR="008361EE">
        <w:t>-</w:t>
      </w:r>
      <w:r w:rsidR="001877DA">
        <w:t>term follow</w:t>
      </w:r>
      <w:r w:rsidR="006541C2">
        <w:t>-</w:t>
      </w:r>
      <w:r w:rsidR="001877DA">
        <w:t xml:space="preserve">up. </w:t>
      </w:r>
      <w:r w:rsidR="009C2ED1">
        <w:t>T</w:t>
      </w:r>
      <w:r w:rsidR="001877DA">
        <w:t xml:space="preserve">he addition of SCS may </w:t>
      </w:r>
      <w:r w:rsidR="00D96CDD">
        <w:t xml:space="preserve">reduce </w:t>
      </w:r>
      <w:r w:rsidR="00C512C5">
        <w:t>opio</w:t>
      </w:r>
      <w:r w:rsidR="008A74F3">
        <w:t>i</w:t>
      </w:r>
      <w:r w:rsidR="00C512C5">
        <w:t xml:space="preserve">d </w:t>
      </w:r>
      <w:r w:rsidR="008A74F3">
        <w:t>use</w:t>
      </w:r>
      <w:r w:rsidR="00B85E9F">
        <w:t xml:space="preserve"> and daily morphine </w:t>
      </w:r>
      <w:r w:rsidR="00C72D8B">
        <w:t>equivalents (MME)</w:t>
      </w:r>
      <w:r w:rsidR="008A74F3">
        <w:t xml:space="preserve"> in participants. </w:t>
      </w:r>
      <w:r w:rsidR="00053684">
        <w:t xml:space="preserve">The number of participants using </w:t>
      </w:r>
      <w:r w:rsidR="007D2B72">
        <w:t>opioids</w:t>
      </w:r>
      <w:r w:rsidR="00053684">
        <w:t xml:space="preserve"> </w:t>
      </w:r>
      <w:r w:rsidR="00E42CF9">
        <w:t xml:space="preserve">was 15% lower in the SCS group </w:t>
      </w:r>
      <w:r w:rsidR="00191F1D">
        <w:t>compared to the medical management group (</w:t>
      </w:r>
      <w:r w:rsidR="000769DE">
        <w:t>95% CI 27% to 0%, I</w:t>
      </w:r>
      <w:r w:rsidR="000769DE">
        <w:rPr>
          <w:vertAlign w:val="superscript"/>
        </w:rPr>
        <w:t>2</w:t>
      </w:r>
      <w:r w:rsidR="000769DE">
        <w:t>=</w:t>
      </w:r>
      <w:r w:rsidR="00C75B43">
        <w:t>0%</w:t>
      </w:r>
      <w:r w:rsidR="00AF491B">
        <w:t xml:space="preserve">, </w:t>
      </w:r>
      <w:r w:rsidR="00AF491B" w:rsidRPr="00AF491B">
        <w:t>P</w:t>
      </w:r>
      <w:r w:rsidR="00F215DA">
        <w:t> </w:t>
      </w:r>
      <w:r w:rsidR="00AF491B" w:rsidRPr="00AF491B">
        <w:t>= 0.05</w:t>
      </w:r>
      <w:r w:rsidR="00C75B43">
        <w:t xml:space="preserve"> [</w:t>
      </w:r>
      <w:r w:rsidR="00F215DA">
        <w:t>3 RCTs</w:t>
      </w:r>
      <w:r w:rsidR="00C75B43">
        <w:t xml:space="preserve">, 430 participants]). </w:t>
      </w:r>
      <w:r w:rsidR="00CB24E3">
        <w:t>D</w:t>
      </w:r>
      <w:r w:rsidR="008138A9">
        <w:t xml:space="preserve">aily MMEs </w:t>
      </w:r>
      <w:r w:rsidR="00C608AA">
        <w:t xml:space="preserve">were 9.4 points lower in the SCS group compared to the medical management group (95% CI </w:t>
      </w:r>
      <w:r w:rsidR="000C7EAB">
        <w:t>-</w:t>
      </w:r>
      <w:r w:rsidR="00C608AA">
        <w:t>19.9 to 1.2</w:t>
      </w:r>
      <w:r w:rsidR="00B24FDD">
        <w:t>, I</w:t>
      </w:r>
      <w:r w:rsidR="00B24FDD">
        <w:rPr>
          <w:vertAlign w:val="superscript"/>
        </w:rPr>
        <w:t>2</w:t>
      </w:r>
      <w:r w:rsidR="00B24FDD">
        <w:t>=0%</w:t>
      </w:r>
      <w:r w:rsidR="009C18EE">
        <w:t xml:space="preserve">, </w:t>
      </w:r>
      <w:r w:rsidR="009C18EE" w:rsidRPr="009C18EE">
        <w:t>P = 0.08</w:t>
      </w:r>
      <w:r w:rsidR="00B24FDD">
        <w:t xml:space="preserve"> [</w:t>
      </w:r>
      <w:r w:rsidR="00A606CF">
        <w:t>3 RCTs</w:t>
      </w:r>
      <w:r w:rsidR="00B24FDD">
        <w:t xml:space="preserve">, 430 participants]). </w:t>
      </w:r>
      <w:r w:rsidR="003F2421">
        <w:t>Both outcomes were rated low certainty (GRADE).</w:t>
      </w:r>
    </w:p>
    <w:p w14:paraId="1AD3ED76" w14:textId="319DECB7" w:rsidR="006A1EBF" w:rsidRDefault="006A1EBF" w:rsidP="006A1EBF">
      <w:pPr>
        <w:pStyle w:val="Heading3"/>
      </w:pPr>
      <w:bookmarkStart w:id="75" w:name="_Toc126153518"/>
      <w:bookmarkStart w:id="76" w:name="_Toc165634669"/>
      <w:r>
        <w:t xml:space="preserve">Included </w:t>
      </w:r>
      <w:r w:rsidR="002971AA">
        <w:t xml:space="preserve">Cochrane </w:t>
      </w:r>
      <w:r>
        <w:t>review (O’Connell 2021)</w:t>
      </w:r>
      <w:bookmarkEnd w:id="75"/>
      <w:bookmarkEnd w:id="76"/>
    </w:p>
    <w:p w14:paraId="4F499917" w14:textId="4B038A96" w:rsidR="006A1EBF" w:rsidRDefault="006A1EBF" w:rsidP="006A1EBF">
      <w:pPr>
        <w:pStyle w:val="BodyText"/>
      </w:pPr>
      <w:r>
        <w:t xml:space="preserve">O’Connell (2021) evaluated the efficacy, effectiveness, </w:t>
      </w:r>
      <w:r w:rsidR="00112AC6">
        <w:t>AEs</w:t>
      </w:r>
      <w:r>
        <w:t>, and cost</w:t>
      </w:r>
      <w:r w:rsidR="00AD29EE">
        <w:t>-</w:t>
      </w:r>
      <w:r>
        <w:t>effectiveness of SCS for people with chronic pain. The study did not include patients with chronic cancer pain or chronic ischaemic pain. The SR assessed SCS and DRGS by evaluating RCTs that compared:</w:t>
      </w:r>
    </w:p>
    <w:p w14:paraId="5582DD4C" w14:textId="128EF223" w:rsidR="006A1EBF" w:rsidRDefault="00D257C4" w:rsidP="006A1EBF">
      <w:pPr>
        <w:pStyle w:val="Bulletpoint"/>
      </w:pPr>
      <w:r>
        <w:t>a</w:t>
      </w:r>
      <w:r w:rsidR="006A1EBF">
        <w:t>ctive stimulation versus placebo (sham) stimulation</w:t>
      </w:r>
    </w:p>
    <w:p w14:paraId="18709390" w14:textId="10EBF166" w:rsidR="006A1EBF" w:rsidRDefault="00D257C4" w:rsidP="006A1EBF">
      <w:pPr>
        <w:pStyle w:val="Bulletpoint"/>
      </w:pPr>
      <w:r>
        <w:t>a</w:t>
      </w:r>
      <w:r w:rsidR="006A1EBF">
        <w:t>ctive stimulation versus usual care or no treatment</w:t>
      </w:r>
    </w:p>
    <w:p w14:paraId="31D9C4D1" w14:textId="469890E0" w:rsidR="006A1EBF" w:rsidRDefault="00D257C4" w:rsidP="006A1EBF">
      <w:pPr>
        <w:pStyle w:val="Bulletpoint"/>
      </w:pPr>
      <w:r>
        <w:t>a</w:t>
      </w:r>
      <w:r w:rsidR="006A1EBF">
        <w:t>ctive stimulation plus another intervention v</w:t>
      </w:r>
      <w:r w:rsidR="00576CCA">
        <w:t>ersu</w:t>
      </w:r>
      <w:r w:rsidR="006A1EBF">
        <w:t>s that intervention alone</w:t>
      </w:r>
      <w:r w:rsidR="00576CCA">
        <w:t>.</w:t>
      </w:r>
      <w:r w:rsidR="006A1EBF">
        <w:t xml:space="preserve"> </w:t>
      </w:r>
    </w:p>
    <w:p w14:paraId="0A606709" w14:textId="18BA51F2" w:rsidR="006A1EBF" w:rsidRDefault="006A1EBF" w:rsidP="006A1EBF">
      <w:pPr>
        <w:pStyle w:val="BodyText"/>
      </w:pPr>
      <w:r>
        <w:t>The data w</w:t>
      </w:r>
      <w:r w:rsidR="00CE4857">
        <w:t>ere</w:t>
      </w:r>
      <w:r>
        <w:t xml:space="preserve"> reported on across three different time points – short term (within a month), medium term (three to six months), and long term (at one year or greater than a year)</w:t>
      </w:r>
      <w:r w:rsidR="004946F7">
        <w:t xml:space="preserve"> which differed to the Traeger (2023) definitions</w:t>
      </w:r>
      <w:r>
        <w:t xml:space="preserve">. The primary outcomes were pain intensity and </w:t>
      </w:r>
      <w:r w:rsidR="00112AC6">
        <w:t>AEs</w:t>
      </w:r>
      <w:r>
        <w:t xml:space="preserve">. Pain intensity was dichotomised where possible with a 30% or greater reduction in pain intensity considered to represent a moderately important benefit, and a 50% or greater reduction in pain intensity considered to represent a substantially important benefit. Secondary outcomes were disability, analgesic medication use, </w:t>
      </w:r>
      <w:proofErr w:type="spellStart"/>
      <w:r>
        <w:t>HRQoL</w:t>
      </w:r>
      <w:proofErr w:type="spellEnd"/>
      <w:r>
        <w:t xml:space="preserve">, and health economic outcomes. The study characteristics are summarised in </w:t>
      </w:r>
      <w:r>
        <w:fldChar w:fldCharType="begin"/>
      </w:r>
      <w:r>
        <w:instrText xml:space="preserve"> REF _Ref128399556 \h </w:instrText>
      </w:r>
      <w:r>
        <w:fldChar w:fldCharType="separate"/>
      </w:r>
      <w:r w:rsidR="00CE6ACA">
        <w:t xml:space="preserve">Table </w:t>
      </w:r>
      <w:r w:rsidR="00CE6ACA">
        <w:rPr>
          <w:noProof/>
        </w:rPr>
        <w:t>7</w:t>
      </w:r>
      <w:r>
        <w:fldChar w:fldCharType="end"/>
      </w:r>
      <w:r>
        <w:t>.</w:t>
      </w:r>
    </w:p>
    <w:p w14:paraId="2F5D8755" w14:textId="26B627CC" w:rsidR="006A1EBF" w:rsidRDefault="006A1EBF" w:rsidP="006A1EBF">
      <w:pPr>
        <w:pStyle w:val="Caption"/>
      </w:pPr>
      <w:bookmarkStart w:id="77" w:name="_Ref128399556"/>
      <w:r>
        <w:lastRenderedPageBreak/>
        <w:t xml:space="preserve">Table </w:t>
      </w:r>
      <w:r>
        <w:fldChar w:fldCharType="begin"/>
      </w:r>
      <w:r>
        <w:instrText>SEQ Table \* ARABIC</w:instrText>
      </w:r>
      <w:r>
        <w:fldChar w:fldCharType="separate"/>
      </w:r>
      <w:r w:rsidR="00CE6ACA">
        <w:rPr>
          <w:noProof/>
        </w:rPr>
        <w:t>7</w:t>
      </w:r>
      <w:r>
        <w:fldChar w:fldCharType="end"/>
      </w:r>
      <w:bookmarkEnd w:id="77"/>
      <w:r>
        <w:tab/>
        <w:t>Study characteristics of O’Connell (2021)</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Study characteristics of O'Connell (2021)"/>
        <w:tblDescription w:val="Table showing the search dates, patient population, interventions, comparator, outcomes, and time points in O'Connell (2021)."/>
      </w:tblPr>
      <w:tblGrid>
        <w:gridCol w:w="957"/>
        <w:gridCol w:w="1028"/>
        <w:gridCol w:w="1575"/>
        <w:gridCol w:w="1827"/>
        <w:gridCol w:w="1276"/>
        <w:gridCol w:w="1559"/>
        <w:gridCol w:w="1416"/>
      </w:tblGrid>
      <w:tr w:rsidR="006A1EBF" w:rsidRPr="00DF51DC" w14:paraId="22BDF17F" w14:textId="77777777" w:rsidTr="00C20B46">
        <w:trPr>
          <w:tblHeader/>
        </w:trPr>
        <w:tc>
          <w:tcPr>
            <w:tcW w:w="0" w:type="auto"/>
            <w:shd w:val="clear" w:color="auto" w:fill="BFBFBF"/>
          </w:tcPr>
          <w:p w14:paraId="321D9129" w14:textId="7728C4BD" w:rsidR="006A1EBF" w:rsidRPr="00DF51DC" w:rsidRDefault="006A1EBF" w:rsidP="008B5A33">
            <w:pPr>
              <w:pStyle w:val="011TableHeading10pt"/>
              <w:rPr>
                <w:sz w:val="18"/>
                <w:szCs w:val="18"/>
              </w:rPr>
            </w:pPr>
            <w:r w:rsidRPr="00DF51DC">
              <w:rPr>
                <w:sz w:val="18"/>
                <w:szCs w:val="18"/>
              </w:rPr>
              <w:t>Study ID</w:t>
            </w:r>
          </w:p>
        </w:tc>
        <w:tc>
          <w:tcPr>
            <w:tcW w:w="1028" w:type="dxa"/>
            <w:shd w:val="clear" w:color="auto" w:fill="BFBFBF"/>
          </w:tcPr>
          <w:p w14:paraId="33569E19" w14:textId="77777777" w:rsidR="006A1EBF" w:rsidRPr="00DF51DC" w:rsidRDefault="006A1EBF" w:rsidP="008B5A33">
            <w:pPr>
              <w:pStyle w:val="011TableHeading10pt"/>
              <w:rPr>
                <w:sz w:val="18"/>
                <w:szCs w:val="18"/>
              </w:rPr>
            </w:pPr>
            <w:r w:rsidRPr="00DF51DC">
              <w:rPr>
                <w:sz w:val="18"/>
                <w:szCs w:val="18"/>
              </w:rPr>
              <w:t>Search dates</w:t>
            </w:r>
          </w:p>
        </w:tc>
        <w:tc>
          <w:tcPr>
            <w:tcW w:w="1575" w:type="dxa"/>
            <w:shd w:val="clear" w:color="auto" w:fill="BFBFBF"/>
          </w:tcPr>
          <w:p w14:paraId="1CFBF482" w14:textId="77777777" w:rsidR="006A1EBF" w:rsidRPr="00DF51DC" w:rsidRDefault="006A1EBF" w:rsidP="008B5A33">
            <w:pPr>
              <w:pStyle w:val="011TableHeading10pt"/>
              <w:rPr>
                <w:sz w:val="18"/>
                <w:szCs w:val="18"/>
              </w:rPr>
            </w:pPr>
            <w:r w:rsidRPr="00DF51DC">
              <w:rPr>
                <w:sz w:val="18"/>
                <w:szCs w:val="18"/>
              </w:rPr>
              <w:t>Patient population</w:t>
            </w:r>
          </w:p>
        </w:tc>
        <w:tc>
          <w:tcPr>
            <w:tcW w:w="1827" w:type="dxa"/>
            <w:shd w:val="clear" w:color="auto" w:fill="BFBFBF"/>
          </w:tcPr>
          <w:p w14:paraId="08DFE763" w14:textId="77777777" w:rsidR="006A1EBF" w:rsidRPr="00DF51DC" w:rsidRDefault="006A1EBF" w:rsidP="008B5A33">
            <w:pPr>
              <w:pStyle w:val="011TableHeading10pt"/>
              <w:rPr>
                <w:sz w:val="18"/>
                <w:szCs w:val="18"/>
              </w:rPr>
            </w:pPr>
            <w:r w:rsidRPr="00DF51DC">
              <w:rPr>
                <w:sz w:val="18"/>
                <w:szCs w:val="18"/>
              </w:rPr>
              <w:t>Interventions</w:t>
            </w:r>
          </w:p>
        </w:tc>
        <w:tc>
          <w:tcPr>
            <w:tcW w:w="1276" w:type="dxa"/>
            <w:shd w:val="clear" w:color="auto" w:fill="BFBFBF"/>
          </w:tcPr>
          <w:p w14:paraId="10BC715F" w14:textId="77777777" w:rsidR="006A1EBF" w:rsidRPr="00DF51DC" w:rsidRDefault="006A1EBF" w:rsidP="008B5A33">
            <w:pPr>
              <w:pStyle w:val="011TableHeading10pt"/>
              <w:rPr>
                <w:sz w:val="18"/>
                <w:szCs w:val="18"/>
              </w:rPr>
            </w:pPr>
            <w:r w:rsidRPr="00DF51DC">
              <w:rPr>
                <w:sz w:val="18"/>
                <w:szCs w:val="18"/>
              </w:rPr>
              <w:t>Comparator</w:t>
            </w:r>
          </w:p>
        </w:tc>
        <w:tc>
          <w:tcPr>
            <w:tcW w:w="1559" w:type="dxa"/>
            <w:shd w:val="clear" w:color="auto" w:fill="BFBFBF"/>
          </w:tcPr>
          <w:p w14:paraId="28560A07" w14:textId="77777777" w:rsidR="006A1EBF" w:rsidRPr="00DF51DC" w:rsidRDefault="006A1EBF" w:rsidP="008B5A33">
            <w:pPr>
              <w:pStyle w:val="011TableHeading10pt"/>
              <w:rPr>
                <w:sz w:val="18"/>
                <w:szCs w:val="18"/>
              </w:rPr>
            </w:pPr>
            <w:r w:rsidRPr="00DF51DC">
              <w:rPr>
                <w:sz w:val="18"/>
                <w:szCs w:val="18"/>
              </w:rPr>
              <w:t>Outcomes</w:t>
            </w:r>
          </w:p>
        </w:tc>
        <w:tc>
          <w:tcPr>
            <w:tcW w:w="1416" w:type="dxa"/>
            <w:shd w:val="clear" w:color="auto" w:fill="BFBFBF"/>
          </w:tcPr>
          <w:p w14:paraId="07CB7115" w14:textId="77777777" w:rsidR="006A1EBF" w:rsidRPr="00DF51DC" w:rsidRDefault="006A1EBF" w:rsidP="008B5A33">
            <w:pPr>
              <w:pStyle w:val="011TableHeading10pt"/>
              <w:rPr>
                <w:sz w:val="18"/>
                <w:szCs w:val="18"/>
              </w:rPr>
            </w:pPr>
            <w:r w:rsidRPr="00DF51DC">
              <w:rPr>
                <w:sz w:val="18"/>
                <w:szCs w:val="18"/>
              </w:rPr>
              <w:t>Time points</w:t>
            </w:r>
          </w:p>
        </w:tc>
      </w:tr>
      <w:tr w:rsidR="006A1EBF" w:rsidRPr="00DF51DC" w14:paraId="0CF8E1AF" w14:textId="77777777" w:rsidTr="00C20B46">
        <w:tc>
          <w:tcPr>
            <w:tcW w:w="0" w:type="auto"/>
            <w:shd w:val="clear" w:color="auto" w:fill="auto"/>
          </w:tcPr>
          <w:p w14:paraId="6BE657D2" w14:textId="2CDC0884" w:rsidR="006A1EBF" w:rsidRPr="00DF51DC" w:rsidRDefault="006A1EBF" w:rsidP="008E49BE">
            <w:pPr>
              <w:pStyle w:val="051Tabletext2210pt"/>
              <w:rPr>
                <w:sz w:val="18"/>
                <w:szCs w:val="18"/>
              </w:rPr>
            </w:pPr>
            <w:r w:rsidRPr="00DF51DC">
              <w:rPr>
                <w:sz w:val="18"/>
                <w:szCs w:val="18"/>
              </w:rPr>
              <w:t>O’Connell 2021</w:t>
            </w:r>
            <w:r w:rsidRPr="00DF51DC">
              <w:rPr>
                <w:sz w:val="18"/>
                <w:szCs w:val="18"/>
              </w:rPr>
              <w:br/>
            </w:r>
            <w:r w:rsidR="00C140E7">
              <w:rPr>
                <w:sz w:val="18"/>
                <w:szCs w:val="18"/>
              </w:rPr>
              <w:t>Cochrane Review</w:t>
            </w:r>
          </w:p>
        </w:tc>
        <w:tc>
          <w:tcPr>
            <w:tcW w:w="1028" w:type="dxa"/>
            <w:shd w:val="clear" w:color="auto" w:fill="auto"/>
          </w:tcPr>
          <w:p w14:paraId="7EC40673" w14:textId="63BBDA0A" w:rsidR="006A1EBF" w:rsidRPr="00DF51DC" w:rsidRDefault="000551BA" w:rsidP="008E49BE">
            <w:pPr>
              <w:pStyle w:val="051Tabletext2210pt"/>
              <w:rPr>
                <w:sz w:val="18"/>
                <w:szCs w:val="18"/>
              </w:rPr>
            </w:pPr>
            <w:r>
              <w:rPr>
                <w:sz w:val="18"/>
                <w:szCs w:val="18"/>
              </w:rPr>
              <w:t xml:space="preserve">From inception to </w:t>
            </w:r>
            <w:r w:rsidR="006A1EBF" w:rsidRPr="00DF51DC">
              <w:rPr>
                <w:sz w:val="18"/>
                <w:szCs w:val="18"/>
              </w:rPr>
              <w:t>October 2020 and updated in September 2021</w:t>
            </w:r>
          </w:p>
        </w:tc>
        <w:tc>
          <w:tcPr>
            <w:tcW w:w="1575" w:type="dxa"/>
            <w:shd w:val="clear" w:color="auto" w:fill="auto"/>
          </w:tcPr>
          <w:p w14:paraId="41387106" w14:textId="0785AA68" w:rsidR="006A1EBF" w:rsidRPr="00DF51DC" w:rsidRDefault="006A1EBF" w:rsidP="008E49BE">
            <w:pPr>
              <w:pStyle w:val="051Tabletext2210pt"/>
              <w:rPr>
                <w:sz w:val="18"/>
                <w:szCs w:val="18"/>
              </w:rPr>
            </w:pPr>
            <w:r w:rsidRPr="00DF51DC">
              <w:rPr>
                <w:sz w:val="18"/>
                <w:szCs w:val="18"/>
              </w:rPr>
              <w:t xml:space="preserve">Participants </w:t>
            </w:r>
            <w:r w:rsidRPr="00DF51DC">
              <w:rPr>
                <w:rFonts w:cs="Calibri"/>
                <w:sz w:val="18"/>
                <w:szCs w:val="18"/>
              </w:rPr>
              <w:t>≥</w:t>
            </w:r>
            <w:r w:rsidRPr="00DF51DC">
              <w:rPr>
                <w:sz w:val="18"/>
                <w:szCs w:val="18"/>
              </w:rPr>
              <w:t xml:space="preserve"> 18 </w:t>
            </w:r>
            <w:proofErr w:type="spellStart"/>
            <w:r w:rsidRPr="00DF51DC">
              <w:rPr>
                <w:sz w:val="18"/>
                <w:szCs w:val="18"/>
              </w:rPr>
              <w:t>y</w:t>
            </w:r>
            <w:r w:rsidR="00760AFA">
              <w:rPr>
                <w:sz w:val="18"/>
                <w:szCs w:val="18"/>
              </w:rPr>
              <w:t>r</w:t>
            </w:r>
            <w:r w:rsidRPr="00DF51DC">
              <w:rPr>
                <w:sz w:val="18"/>
                <w:szCs w:val="18"/>
              </w:rPr>
              <w:t>s</w:t>
            </w:r>
            <w:proofErr w:type="spellEnd"/>
            <w:r w:rsidRPr="00DF51DC">
              <w:rPr>
                <w:sz w:val="18"/>
                <w:szCs w:val="18"/>
              </w:rPr>
              <w:t xml:space="preserve"> old with non-cancer and non-ischaemic pain of &gt;3 </w:t>
            </w:r>
            <w:proofErr w:type="spellStart"/>
            <w:r w:rsidRPr="00DF51DC">
              <w:rPr>
                <w:sz w:val="18"/>
                <w:szCs w:val="18"/>
              </w:rPr>
              <w:t>mo</w:t>
            </w:r>
            <w:proofErr w:type="spellEnd"/>
            <w:r w:rsidRPr="00DF51DC">
              <w:rPr>
                <w:sz w:val="18"/>
                <w:szCs w:val="18"/>
              </w:rPr>
              <w:t xml:space="preserve"> durations</w:t>
            </w:r>
          </w:p>
        </w:tc>
        <w:tc>
          <w:tcPr>
            <w:tcW w:w="1827" w:type="dxa"/>
            <w:shd w:val="clear" w:color="auto" w:fill="auto"/>
          </w:tcPr>
          <w:p w14:paraId="2D54C7C6" w14:textId="77777777" w:rsidR="006A1EBF" w:rsidRPr="00DF51DC" w:rsidRDefault="006A1EBF" w:rsidP="008E49BE">
            <w:pPr>
              <w:pStyle w:val="051Tabletext2210pt"/>
              <w:rPr>
                <w:sz w:val="18"/>
                <w:szCs w:val="18"/>
              </w:rPr>
            </w:pPr>
            <w:r w:rsidRPr="00DF51DC">
              <w:rPr>
                <w:sz w:val="18"/>
                <w:szCs w:val="18"/>
              </w:rPr>
              <w:t>Any electrical spinal neuromodulation technique that involves the implanting of electrodes in the epidural space around the spinal cord (e.g., SCS and DRGS)</w:t>
            </w:r>
          </w:p>
        </w:tc>
        <w:tc>
          <w:tcPr>
            <w:tcW w:w="1276" w:type="dxa"/>
            <w:shd w:val="clear" w:color="auto" w:fill="auto"/>
          </w:tcPr>
          <w:p w14:paraId="2880D38B" w14:textId="617D91DE" w:rsidR="006A1EBF" w:rsidRPr="00DF51DC" w:rsidRDefault="00652CA9" w:rsidP="008E49BE">
            <w:pPr>
              <w:pStyle w:val="051Tabletext2210pt"/>
              <w:rPr>
                <w:sz w:val="18"/>
                <w:szCs w:val="18"/>
              </w:rPr>
            </w:pPr>
            <w:r w:rsidRPr="00652CA9">
              <w:rPr>
                <w:sz w:val="18"/>
                <w:szCs w:val="18"/>
              </w:rPr>
              <w:t>1.</w:t>
            </w:r>
            <w:r>
              <w:rPr>
                <w:sz w:val="18"/>
                <w:szCs w:val="18"/>
              </w:rPr>
              <w:t xml:space="preserve"> </w:t>
            </w:r>
            <w:r w:rsidR="006A1EBF" w:rsidRPr="00DF51DC">
              <w:rPr>
                <w:sz w:val="18"/>
                <w:szCs w:val="18"/>
              </w:rPr>
              <w:t>Placebo stimulation</w:t>
            </w:r>
            <w:r w:rsidR="006A1EBF" w:rsidRPr="00DF51DC">
              <w:rPr>
                <w:sz w:val="18"/>
                <w:szCs w:val="18"/>
              </w:rPr>
              <w:br/>
            </w:r>
            <w:r>
              <w:rPr>
                <w:sz w:val="18"/>
                <w:szCs w:val="18"/>
              </w:rPr>
              <w:t xml:space="preserve">2. </w:t>
            </w:r>
            <w:r w:rsidR="006A1EBF" w:rsidRPr="00DF51DC">
              <w:rPr>
                <w:sz w:val="18"/>
                <w:szCs w:val="18"/>
              </w:rPr>
              <w:t>No treatment</w:t>
            </w:r>
            <w:r w:rsidR="006A1EBF" w:rsidRPr="00DF51DC">
              <w:rPr>
                <w:sz w:val="18"/>
                <w:szCs w:val="18"/>
              </w:rPr>
              <w:br/>
            </w:r>
            <w:r>
              <w:rPr>
                <w:sz w:val="18"/>
                <w:szCs w:val="18"/>
              </w:rPr>
              <w:t xml:space="preserve">3. </w:t>
            </w:r>
            <w:r w:rsidR="006A1EBF" w:rsidRPr="00DF51DC">
              <w:rPr>
                <w:sz w:val="18"/>
                <w:szCs w:val="18"/>
              </w:rPr>
              <w:t>Usual care</w:t>
            </w:r>
            <w:r w:rsidR="006A1EBF" w:rsidRPr="00DF51DC">
              <w:rPr>
                <w:sz w:val="18"/>
                <w:szCs w:val="18"/>
              </w:rPr>
              <w:br/>
            </w:r>
            <w:r>
              <w:rPr>
                <w:sz w:val="18"/>
                <w:szCs w:val="18"/>
              </w:rPr>
              <w:t xml:space="preserve">4. </w:t>
            </w:r>
            <w:r w:rsidR="006A1EBF" w:rsidRPr="00DF51DC">
              <w:rPr>
                <w:sz w:val="18"/>
                <w:szCs w:val="18"/>
              </w:rPr>
              <w:t>Treatment alone (in studies where S</w:t>
            </w:r>
            <w:r w:rsidR="000551BA">
              <w:rPr>
                <w:sz w:val="18"/>
                <w:szCs w:val="18"/>
              </w:rPr>
              <w:t>CS</w:t>
            </w:r>
            <w:r w:rsidR="006A1EBF" w:rsidRPr="00DF51DC">
              <w:rPr>
                <w:sz w:val="18"/>
                <w:szCs w:val="18"/>
              </w:rPr>
              <w:t xml:space="preserve"> + another treatment)</w:t>
            </w:r>
          </w:p>
        </w:tc>
        <w:tc>
          <w:tcPr>
            <w:tcW w:w="1559" w:type="dxa"/>
            <w:shd w:val="clear" w:color="auto" w:fill="auto"/>
          </w:tcPr>
          <w:p w14:paraId="71404273" w14:textId="246C9BD2" w:rsidR="006A1EBF" w:rsidRPr="00DF51DC" w:rsidRDefault="006A1EBF" w:rsidP="008E49BE">
            <w:pPr>
              <w:pStyle w:val="051Tabletext2210pt"/>
              <w:rPr>
                <w:sz w:val="18"/>
                <w:szCs w:val="18"/>
              </w:rPr>
            </w:pPr>
            <w:r w:rsidRPr="00DF51DC">
              <w:rPr>
                <w:sz w:val="18"/>
                <w:szCs w:val="18"/>
                <w:u w:val="single"/>
              </w:rPr>
              <w:t>Primary:</w:t>
            </w:r>
            <w:r w:rsidRPr="00DF51DC">
              <w:rPr>
                <w:sz w:val="18"/>
                <w:szCs w:val="18"/>
              </w:rPr>
              <w:t xml:space="preserve"> Pain intensity and </w:t>
            </w:r>
            <w:r w:rsidR="00112AC6">
              <w:rPr>
                <w:sz w:val="18"/>
                <w:szCs w:val="18"/>
              </w:rPr>
              <w:t>A</w:t>
            </w:r>
            <w:r w:rsidR="00112AC6" w:rsidRPr="00DF51DC">
              <w:rPr>
                <w:sz w:val="18"/>
                <w:szCs w:val="18"/>
              </w:rPr>
              <w:t>Es</w:t>
            </w:r>
          </w:p>
          <w:p w14:paraId="49423681" w14:textId="77777777" w:rsidR="006A1EBF" w:rsidRPr="00DF51DC" w:rsidRDefault="006A1EBF" w:rsidP="008E49BE">
            <w:pPr>
              <w:pStyle w:val="051Tabletext2210pt"/>
              <w:rPr>
                <w:sz w:val="18"/>
                <w:szCs w:val="18"/>
              </w:rPr>
            </w:pPr>
            <w:r w:rsidRPr="00DF51DC">
              <w:rPr>
                <w:sz w:val="18"/>
                <w:szCs w:val="18"/>
                <w:u w:val="single"/>
              </w:rPr>
              <w:t>Secondary:</w:t>
            </w:r>
            <w:r w:rsidRPr="00DF51DC">
              <w:rPr>
                <w:b/>
                <w:bCs/>
                <w:sz w:val="18"/>
                <w:szCs w:val="18"/>
                <w:u w:val="single"/>
              </w:rPr>
              <w:t xml:space="preserve"> </w:t>
            </w:r>
            <w:r w:rsidRPr="00DF51DC">
              <w:rPr>
                <w:sz w:val="18"/>
                <w:szCs w:val="18"/>
              </w:rPr>
              <w:t xml:space="preserve">Disability, analgesic medication use, </w:t>
            </w:r>
            <w:proofErr w:type="spellStart"/>
            <w:r w:rsidRPr="00DF51DC">
              <w:rPr>
                <w:sz w:val="18"/>
                <w:szCs w:val="18"/>
              </w:rPr>
              <w:t>HRQoL</w:t>
            </w:r>
            <w:proofErr w:type="spellEnd"/>
            <w:r w:rsidRPr="00DF51DC">
              <w:rPr>
                <w:sz w:val="18"/>
                <w:szCs w:val="18"/>
              </w:rPr>
              <w:t>, health economic outcomes</w:t>
            </w:r>
          </w:p>
        </w:tc>
        <w:tc>
          <w:tcPr>
            <w:tcW w:w="1416" w:type="dxa"/>
          </w:tcPr>
          <w:p w14:paraId="0C31CF1A" w14:textId="75C6941F" w:rsidR="006A1EBF" w:rsidRPr="00DF51DC" w:rsidRDefault="006A1EBF" w:rsidP="008E49BE">
            <w:pPr>
              <w:pStyle w:val="051Tabletext2210pt"/>
              <w:rPr>
                <w:sz w:val="18"/>
                <w:szCs w:val="18"/>
              </w:rPr>
            </w:pPr>
            <w:r w:rsidRPr="00DF51DC">
              <w:rPr>
                <w:sz w:val="18"/>
                <w:szCs w:val="18"/>
              </w:rPr>
              <w:t xml:space="preserve">Short term: within a </w:t>
            </w:r>
            <w:proofErr w:type="spellStart"/>
            <w:r w:rsidRPr="00DF51DC">
              <w:rPr>
                <w:sz w:val="18"/>
                <w:szCs w:val="18"/>
              </w:rPr>
              <w:t>mo</w:t>
            </w:r>
            <w:proofErr w:type="spellEnd"/>
            <w:r w:rsidRPr="00DF51DC">
              <w:rPr>
                <w:sz w:val="18"/>
                <w:szCs w:val="18"/>
              </w:rPr>
              <w:t xml:space="preserve"> of implantation</w:t>
            </w:r>
          </w:p>
          <w:p w14:paraId="6DE2E2EC" w14:textId="1A6623A8" w:rsidR="006A1EBF" w:rsidRPr="00DF51DC" w:rsidRDefault="006A1EBF" w:rsidP="008E49BE">
            <w:pPr>
              <w:pStyle w:val="051Tabletext2210pt"/>
              <w:rPr>
                <w:sz w:val="18"/>
                <w:szCs w:val="18"/>
              </w:rPr>
            </w:pPr>
            <w:r w:rsidRPr="00DF51DC">
              <w:rPr>
                <w:sz w:val="18"/>
                <w:szCs w:val="18"/>
              </w:rPr>
              <w:t>Medium</w:t>
            </w:r>
            <w:r w:rsidR="008B27E2">
              <w:rPr>
                <w:sz w:val="18"/>
                <w:szCs w:val="18"/>
              </w:rPr>
              <w:t xml:space="preserve"> </w:t>
            </w:r>
            <w:r w:rsidRPr="00DF51DC">
              <w:rPr>
                <w:sz w:val="18"/>
                <w:szCs w:val="18"/>
              </w:rPr>
              <w:t xml:space="preserve">term: 4-8 </w:t>
            </w:r>
            <w:proofErr w:type="spellStart"/>
            <w:r w:rsidRPr="00DF51DC">
              <w:rPr>
                <w:sz w:val="18"/>
                <w:szCs w:val="18"/>
              </w:rPr>
              <w:t>mo</w:t>
            </w:r>
            <w:proofErr w:type="spellEnd"/>
            <w:r w:rsidRPr="00DF51DC">
              <w:rPr>
                <w:sz w:val="18"/>
                <w:szCs w:val="18"/>
              </w:rPr>
              <w:t xml:space="preserve"> post-implantation</w:t>
            </w:r>
          </w:p>
          <w:p w14:paraId="342866B4" w14:textId="5B72B4E1" w:rsidR="006A1EBF" w:rsidRPr="00DF51DC" w:rsidRDefault="006A1EBF" w:rsidP="008E49BE">
            <w:pPr>
              <w:pStyle w:val="051Tabletext2210pt"/>
              <w:rPr>
                <w:sz w:val="18"/>
                <w:szCs w:val="18"/>
              </w:rPr>
            </w:pPr>
            <w:r w:rsidRPr="00DF51DC">
              <w:rPr>
                <w:sz w:val="18"/>
                <w:szCs w:val="18"/>
              </w:rPr>
              <w:t>Long</w:t>
            </w:r>
            <w:r w:rsidR="000216DC">
              <w:rPr>
                <w:sz w:val="18"/>
                <w:szCs w:val="18"/>
              </w:rPr>
              <w:t xml:space="preserve"> </w:t>
            </w:r>
            <w:r w:rsidRPr="00DF51DC">
              <w:rPr>
                <w:sz w:val="18"/>
                <w:szCs w:val="18"/>
              </w:rPr>
              <w:t xml:space="preserve">term: &gt;1 </w:t>
            </w:r>
            <w:proofErr w:type="spellStart"/>
            <w:r w:rsidRPr="00DF51DC">
              <w:rPr>
                <w:sz w:val="18"/>
                <w:szCs w:val="18"/>
              </w:rPr>
              <w:t>yr</w:t>
            </w:r>
            <w:proofErr w:type="spellEnd"/>
            <w:r w:rsidRPr="00DF51DC">
              <w:rPr>
                <w:sz w:val="18"/>
                <w:szCs w:val="18"/>
              </w:rPr>
              <w:t xml:space="preserve"> post-implantation</w:t>
            </w:r>
          </w:p>
        </w:tc>
      </w:tr>
    </w:tbl>
    <w:p w14:paraId="42F6A554" w14:textId="6CE92121" w:rsidR="006A1EBF" w:rsidRDefault="006A1EBF" w:rsidP="006A1EBF">
      <w:pPr>
        <w:pStyle w:val="111Tablefootnoteslast-nostick8pt"/>
      </w:pPr>
      <w:r w:rsidRPr="001D3390">
        <w:t xml:space="preserve">Abbreviations: AE, adverse event; DRGS, dorsal root ganglion stimulation; </w:t>
      </w:r>
      <w:proofErr w:type="spellStart"/>
      <w:r w:rsidRPr="001D3390">
        <w:t>HRQoL</w:t>
      </w:r>
      <w:proofErr w:type="spellEnd"/>
      <w:r w:rsidRPr="001D3390">
        <w:t xml:space="preserve">, health-related quality of life; </w:t>
      </w:r>
      <w:proofErr w:type="spellStart"/>
      <w:r w:rsidR="00760AFA">
        <w:t>mo</w:t>
      </w:r>
      <w:proofErr w:type="spellEnd"/>
      <w:r w:rsidR="00760AFA">
        <w:t xml:space="preserve">, months; </w:t>
      </w:r>
      <w:r w:rsidRPr="001D3390">
        <w:t>SCS, spinal cord stimulat</w:t>
      </w:r>
      <w:r w:rsidR="00B70E2F">
        <w:t>ion</w:t>
      </w:r>
      <w:r w:rsidRPr="001D3390">
        <w:t xml:space="preserve">; </w:t>
      </w:r>
      <w:proofErr w:type="spellStart"/>
      <w:r w:rsidR="00760AFA">
        <w:t>yrs</w:t>
      </w:r>
      <w:proofErr w:type="spellEnd"/>
      <w:r w:rsidR="00760AFA">
        <w:t>, years.</w:t>
      </w:r>
    </w:p>
    <w:p w14:paraId="0B316E8C" w14:textId="77777777" w:rsidR="006A1EBF" w:rsidRDefault="006A1EBF" w:rsidP="00DD260A">
      <w:pPr>
        <w:pStyle w:val="Heading4"/>
      </w:pPr>
      <w:r>
        <w:t>Included studies</w:t>
      </w:r>
    </w:p>
    <w:p w14:paraId="026A9AF9" w14:textId="5E8C928E" w:rsidR="006A1EBF" w:rsidRDefault="006A1EBF" w:rsidP="006A1EBF">
      <w:pPr>
        <w:pStyle w:val="BodyText"/>
      </w:pPr>
      <w:r>
        <w:t>Fifteen published studies with 908 randomised participants met the inclusion criteria (</w:t>
      </w:r>
      <w:r>
        <w:fldChar w:fldCharType="begin"/>
      </w:r>
      <w:r>
        <w:instrText xml:space="preserve"> REF _Ref128403728 \h </w:instrText>
      </w:r>
      <w:r>
        <w:fldChar w:fldCharType="separate"/>
      </w:r>
      <w:r w:rsidR="00CE6ACA">
        <w:t xml:space="preserve">Table </w:t>
      </w:r>
      <w:r w:rsidR="00CE6ACA">
        <w:rPr>
          <w:noProof/>
        </w:rPr>
        <w:t>8</w:t>
      </w:r>
      <w:r>
        <w:fldChar w:fldCharType="end"/>
      </w:r>
      <w:r>
        <w:t xml:space="preserve">). Of the 15 </w:t>
      </w:r>
      <w:r w:rsidR="004542A5">
        <w:t>RCTs</w:t>
      </w:r>
      <w:r>
        <w:t xml:space="preserve">, 11 declared some form of industry funding. Nine of the trials were cross-over studies where study size ranged from 10 to 41 participants. Six trials were parallel studies, study size ranged from 36 to 218 participants. </w:t>
      </w:r>
    </w:p>
    <w:p w14:paraId="4EC7F914" w14:textId="094CE9E4" w:rsidR="006A1EBF" w:rsidRDefault="006A1EBF" w:rsidP="006A1EBF">
      <w:pPr>
        <w:pStyle w:val="Caption"/>
      </w:pPr>
      <w:bookmarkStart w:id="78" w:name="_Ref128403728"/>
      <w:r>
        <w:t xml:space="preserve">Table </w:t>
      </w:r>
      <w:r>
        <w:fldChar w:fldCharType="begin"/>
      </w:r>
      <w:r>
        <w:instrText>SEQ Table \* ARABIC</w:instrText>
      </w:r>
      <w:r>
        <w:fldChar w:fldCharType="separate"/>
      </w:r>
      <w:r w:rsidR="00CE6ACA">
        <w:rPr>
          <w:noProof/>
        </w:rPr>
        <w:t>8</w:t>
      </w:r>
      <w:r>
        <w:fldChar w:fldCharType="end"/>
      </w:r>
      <w:bookmarkEnd w:id="78"/>
      <w:r>
        <w:tab/>
        <w:t>Characteristics of studies included in O’Connell (2021)</w:t>
      </w:r>
    </w:p>
    <w:tbl>
      <w:tblPr>
        <w:tblStyle w:val="TableGrid"/>
        <w:tblW w:w="0" w:type="auto"/>
        <w:tblLook w:val="04A0" w:firstRow="1" w:lastRow="0" w:firstColumn="1" w:lastColumn="0" w:noHBand="0" w:noVBand="1"/>
        <w:tblCaption w:val="Characteristics of studies included in O'Connell (2021)"/>
        <w:tblDescription w:val="Table showing the study characteristics of the studies included in O'Connell (2021). "/>
      </w:tblPr>
      <w:tblGrid>
        <w:gridCol w:w="1277"/>
        <w:gridCol w:w="1047"/>
        <w:gridCol w:w="1363"/>
        <w:gridCol w:w="1680"/>
        <w:gridCol w:w="1757"/>
        <w:gridCol w:w="1272"/>
        <w:gridCol w:w="1242"/>
      </w:tblGrid>
      <w:tr w:rsidR="00535E5A" w:rsidRPr="002A36A6" w14:paraId="79DB1F54" w14:textId="77777777" w:rsidTr="00535E5A">
        <w:trPr>
          <w:cnfStyle w:val="100000000000" w:firstRow="1" w:lastRow="0" w:firstColumn="0" w:lastColumn="0" w:oddVBand="0" w:evenVBand="0" w:oddHBand="0" w:evenHBand="0" w:firstRowFirstColumn="0" w:firstRowLastColumn="0" w:lastRowFirstColumn="0" w:lastRowLastColumn="0"/>
        </w:trPr>
        <w:tc>
          <w:tcPr>
            <w:tcW w:w="1276" w:type="dxa"/>
          </w:tcPr>
          <w:p w14:paraId="0E2C6216" w14:textId="22D5D858" w:rsidR="006A1EBF" w:rsidRPr="002A36A6" w:rsidRDefault="006A1EBF" w:rsidP="008B5A33">
            <w:pPr>
              <w:pStyle w:val="011TableHeading10pt"/>
              <w:rPr>
                <w:sz w:val="18"/>
                <w:szCs w:val="18"/>
              </w:rPr>
            </w:pPr>
            <w:r w:rsidRPr="002A36A6">
              <w:rPr>
                <w:sz w:val="18"/>
                <w:szCs w:val="18"/>
              </w:rPr>
              <w:t>Study ID</w:t>
            </w:r>
            <w:r w:rsidR="001F5846">
              <w:rPr>
                <w:sz w:val="18"/>
                <w:szCs w:val="18"/>
              </w:rPr>
              <w:br/>
            </w:r>
          </w:p>
        </w:tc>
        <w:tc>
          <w:tcPr>
            <w:tcW w:w="1047" w:type="dxa"/>
          </w:tcPr>
          <w:p w14:paraId="57BB91C0" w14:textId="77777777" w:rsidR="006A1EBF" w:rsidRPr="002A36A6" w:rsidRDefault="006A1EBF" w:rsidP="008B5A33">
            <w:pPr>
              <w:pStyle w:val="011TableHeading10pt"/>
              <w:rPr>
                <w:sz w:val="18"/>
                <w:szCs w:val="18"/>
              </w:rPr>
            </w:pPr>
            <w:r w:rsidRPr="002A36A6">
              <w:rPr>
                <w:sz w:val="18"/>
                <w:szCs w:val="18"/>
              </w:rPr>
              <w:t>Design</w:t>
            </w:r>
          </w:p>
        </w:tc>
        <w:tc>
          <w:tcPr>
            <w:tcW w:w="1363" w:type="dxa"/>
          </w:tcPr>
          <w:p w14:paraId="4056B7DB" w14:textId="77777777" w:rsidR="006A1EBF" w:rsidRDefault="006A1EBF" w:rsidP="008B5A33">
            <w:pPr>
              <w:pStyle w:val="011TableHeading10pt"/>
              <w:rPr>
                <w:sz w:val="18"/>
                <w:szCs w:val="18"/>
              </w:rPr>
            </w:pPr>
            <w:r w:rsidRPr="002A36A6">
              <w:rPr>
                <w:sz w:val="18"/>
                <w:szCs w:val="18"/>
              </w:rPr>
              <w:t>Participants</w:t>
            </w:r>
          </w:p>
          <w:p w14:paraId="51D34F96" w14:textId="462BBF00" w:rsidR="006A1EBF" w:rsidRPr="002A36A6" w:rsidRDefault="00BD39C6" w:rsidP="008B5A33">
            <w:pPr>
              <w:pStyle w:val="011TableHeading10pt"/>
              <w:rPr>
                <w:sz w:val="18"/>
                <w:szCs w:val="18"/>
              </w:rPr>
            </w:pPr>
            <w:r w:rsidRPr="002A36A6">
              <w:rPr>
                <w:sz w:val="18"/>
                <w:szCs w:val="18"/>
              </w:rPr>
              <w:t>N</w:t>
            </w:r>
          </w:p>
        </w:tc>
        <w:tc>
          <w:tcPr>
            <w:tcW w:w="1680" w:type="dxa"/>
          </w:tcPr>
          <w:p w14:paraId="66F0B60F" w14:textId="5494DAD3" w:rsidR="006A1EBF" w:rsidRPr="002A36A6" w:rsidRDefault="006A1EBF" w:rsidP="008B5A33">
            <w:pPr>
              <w:pStyle w:val="011TableHeading10pt"/>
              <w:rPr>
                <w:sz w:val="18"/>
                <w:szCs w:val="18"/>
              </w:rPr>
            </w:pPr>
            <w:r w:rsidRPr="002A36A6">
              <w:rPr>
                <w:sz w:val="18"/>
                <w:szCs w:val="18"/>
              </w:rPr>
              <w:t>Intervention</w:t>
            </w:r>
            <w:r w:rsidR="001F5846">
              <w:rPr>
                <w:sz w:val="18"/>
                <w:szCs w:val="18"/>
              </w:rPr>
              <w:br/>
            </w:r>
            <w:r w:rsidRPr="002A36A6">
              <w:rPr>
                <w:sz w:val="18"/>
                <w:szCs w:val="18"/>
              </w:rPr>
              <w:t>Comparator</w:t>
            </w:r>
          </w:p>
        </w:tc>
        <w:tc>
          <w:tcPr>
            <w:tcW w:w="0" w:type="auto"/>
          </w:tcPr>
          <w:p w14:paraId="3B853AA9" w14:textId="77777777" w:rsidR="006A1EBF" w:rsidRPr="002A36A6" w:rsidRDefault="006A1EBF" w:rsidP="008B5A33">
            <w:pPr>
              <w:pStyle w:val="011TableHeading10pt"/>
              <w:rPr>
                <w:sz w:val="18"/>
                <w:szCs w:val="18"/>
              </w:rPr>
            </w:pPr>
            <w:r w:rsidRPr="002A36A6">
              <w:rPr>
                <w:sz w:val="18"/>
                <w:szCs w:val="18"/>
              </w:rPr>
              <w:t>Outcomes</w:t>
            </w:r>
          </w:p>
        </w:tc>
        <w:tc>
          <w:tcPr>
            <w:tcW w:w="0" w:type="auto"/>
          </w:tcPr>
          <w:p w14:paraId="7FD5350D" w14:textId="334AE9FB" w:rsidR="006A1EBF" w:rsidRPr="002A36A6" w:rsidRDefault="006A1EBF" w:rsidP="008B5A33">
            <w:pPr>
              <w:pStyle w:val="011TableHeading10pt"/>
              <w:rPr>
                <w:sz w:val="18"/>
                <w:szCs w:val="18"/>
              </w:rPr>
            </w:pPr>
            <w:r w:rsidRPr="002A36A6">
              <w:rPr>
                <w:sz w:val="18"/>
                <w:szCs w:val="18"/>
              </w:rPr>
              <w:t>Funding</w:t>
            </w:r>
            <w:r w:rsidR="001F5846">
              <w:rPr>
                <w:sz w:val="18"/>
                <w:szCs w:val="18"/>
              </w:rPr>
              <w:br/>
            </w:r>
            <w:r w:rsidRPr="002A36A6">
              <w:rPr>
                <w:sz w:val="18"/>
                <w:szCs w:val="18"/>
              </w:rPr>
              <w:t>Author COIs</w:t>
            </w:r>
          </w:p>
        </w:tc>
        <w:tc>
          <w:tcPr>
            <w:tcW w:w="0" w:type="auto"/>
          </w:tcPr>
          <w:p w14:paraId="3161392C" w14:textId="77777777" w:rsidR="006A1EBF" w:rsidRPr="002A36A6" w:rsidRDefault="006A1EBF" w:rsidP="008B5A33">
            <w:pPr>
              <w:pStyle w:val="011TableHeading10pt"/>
              <w:rPr>
                <w:sz w:val="18"/>
                <w:szCs w:val="18"/>
              </w:rPr>
            </w:pPr>
            <w:r w:rsidRPr="002A36A6">
              <w:rPr>
                <w:sz w:val="18"/>
                <w:szCs w:val="18"/>
              </w:rPr>
              <w:t>Treatment duration</w:t>
            </w:r>
          </w:p>
        </w:tc>
      </w:tr>
      <w:tr w:rsidR="00AD0F93" w:rsidRPr="002A36A6" w14:paraId="4C6C51EA" w14:textId="77777777" w:rsidTr="00535E5A">
        <w:tc>
          <w:tcPr>
            <w:tcW w:w="1276" w:type="dxa"/>
          </w:tcPr>
          <w:p w14:paraId="1DA123AE" w14:textId="77777777" w:rsidR="00AD0F93" w:rsidRPr="002A36A6" w:rsidRDefault="00AD0F93" w:rsidP="008B5A33">
            <w:pPr>
              <w:pStyle w:val="051Tabletext2210pt"/>
              <w:rPr>
                <w:sz w:val="18"/>
                <w:szCs w:val="18"/>
              </w:rPr>
            </w:pPr>
            <w:proofErr w:type="spellStart"/>
            <w:r w:rsidRPr="002A36A6">
              <w:rPr>
                <w:sz w:val="18"/>
                <w:szCs w:val="18"/>
              </w:rPr>
              <w:t>Kemler</w:t>
            </w:r>
            <w:proofErr w:type="spellEnd"/>
            <w:r w:rsidRPr="002A36A6">
              <w:rPr>
                <w:sz w:val="18"/>
                <w:szCs w:val="18"/>
              </w:rPr>
              <w:t xml:space="preserve"> 2000</w:t>
            </w:r>
          </w:p>
          <w:p w14:paraId="49E2888D" w14:textId="77777777" w:rsidR="00AD0F93" w:rsidRPr="002A36A6" w:rsidRDefault="00AD0F93" w:rsidP="008B5A33">
            <w:pPr>
              <w:pStyle w:val="051Tabletext2210pt"/>
              <w:rPr>
                <w:sz w:val="18"/>
                <w:szCs w:val="18"/>
              </w:rPr>
            </w:pPr>
          </w:p>
        </w:tc>
        <w:tc>
          <w:tcPr>
            <w:tcW w:w="1047" w:type="dxa"/>
          </w:tcPr>
          <w:p w14:paraId="129D67DC" w14:textId="77777777" w:rsidR="00AD0F93" w:rsidRPr="002A36A6" w:rsidRDefault="00AD0F93" w:rsidP="008B5A33">
            <w:pPr>
              <w:pStyle w:val="051Tabletext2210pt"/>
              <w:rPr>
                <w:sz w:val="18"/>
                <w:szCs w:val="18"/>
              </w:rPr>
            </w:pPr>
            <w:r w:rsidRPr="002A36A6">
              <w:rPr>
                <w:sz w:val="18"/>
                <w:szCs w:val="18"/>
              </w:rPr>
              <w:t>Parallel RCT</w:t>
            </w:r>
          </w:p>
        </w:tc>
        <w:tc>
          <w:tcPr>
            <w:tcW w:w="1363" w:type="dxa"/>
          </w:tcPr>
          <w:p w14:paraId="3BA62635" w14:textId="77777777" w:rsidR="00AD0F93" w:rsidRDefault="00AD0F93" w:rsidP="008B5A33">
            <w:pPr>
              <w:pStyle w:val="051Tabletext2210pt"/>
              <w:rPr>
                <w:sz w:val="18"/>
                <w:szCs w:val="18"/>
              </w:rPr>
            </w:pPr>
            <w:r w:rsidRPr="002A36A6">
              <w:rPr>
                <w:sz w:val="18"/>
                <w:szCs w:val="18"/>
              </w:rPr>
              <w:t>CRPS</w:t>
            </w:r>
          </w:p>
          <w:p w14:paraId="70149D70" w14:textId="77777777" w:rsidR="00AD0F93" w:rsidRPr="002A36A6" w:rsidRDefault="00AD0F93" w:rsidP="008B5A33">
            <w:pPr>
              <w:pStyle w:val="051Tabletext2210pt"/>
              <w:rPr>
                <w:sz w:val="18"/>
                <w:szCs w:val="18"/>
              </w:rPr>
            </w:pPr>
            <w:r w:rsidRPr="002A36A6">
              <w:rPr>
                <w:sz w:val="18"/>
                <w:szCs w:val="18"/>
              </w:rPr>
              <w:t>54</w:t>
            </w:r>
          </w:p>
        </w:tc>
        <w:tc>
          <w:tcPr>
            <w:tcW w:w="1680" w:type="dxa"/>
          </w:tcPr>
          <w:p w14:paraId="61E8B7E3" w14:textId="77777777" w:rsidR="00AD0F93" w:rsidRPr="002A36A6" w:rsidRDefault="00AD0F93" w:rsidP="008B5A33">
            <w:pPr>
              <w:pStyle w:val="051Tabletext2210pt"/>
              <w:rPr>
                <w:sz w:val="18"/>
                <w:szCs w:val="18"/>
              </w:rPr>
            </w:pPr>
            <w:r w:rsidRPr="002A36A6">
              <w:rPr>
                <w:sz w:val="18"/>
                <w:szCs w:val="18"/>
              </w:rPr>
              <w:t>SCS (conventional) + Physical therapy</w:t>
            </w:r>
          </w:p>
          <w:p w14:paraId="37E37660" w14:textId="77777777" w:rsidR="00AD0F93" w:rsidRPr="002A36A6" w:rsidRDefault="00AD0F93" w:rsidP="008B5A33">
            <w:pPr>
              <w:pStyle w:val="051Tabletext2210pt"/>
              <w:rPr>
                <w:sz w:val="18"/>
                <w:szCs w:val="18"/>
              </w:rPr>
            </w:pPr>
            <w:r w:rsidRPr="002A36A6">
              <w:rPr>
                <w:sz w:val="18"/>
                <w:szCs w:val="18"/>
              </w:rPr>
              <w:t>Physical therapy</w:t>
            </w:r>
          </w:p>
        </w:tc>
        <w:tc>
          <w:tcPr>
            <w:tcW w:w="0" w:type="auto"/>
          </w:tcPr>
          <w:p w14:paraId="2C4124D5" w14:textId="248E9A4A" w:rsidR="00AD0F93" w:rsidRPr="002A36A6" w:rsidRDefault="00AD0F93"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proofErr w:type="spellStart"/>
            <w:r w:rsidRPr="002A36A6">
              <w:rPr>
                <w:sz w:val="18"/>
                <w:szCs w:val="18"/>
              </w:rPr>
              <w:t>HRQoL</w:t>
            </w:r>
            <w:proofErr w:type="spellEnd"/>
            <w:r w:rsidRPr="002A36A6">
              <w:rPr>
                <w:sz w:val="18"/>
                <w:szCs w:val="18"/>
              </w:rPr>
              <w:t xml:space="preserve">, </w:t>
            </w:r>
            <w:r>
              <w:rPr>
                <w:sz w:val="18"/>
                <w:szCs w:val="18"/>
              </w:rPr>
              <w:t>c</w:t>
            </w:r>
            <w:r w:rsidRPr="002A36A6">
              <w:rPr>
                <w:sz w:val="18"/>
                <w:szCs w:val="18"/>
              </w:rPr>
              <w:t xml:space="preserve">osts, </w:t>
            </w:r>
            <w:r>
              <w:rPr>
                <w:sz w:val="18"/>
                <w:szCs w:val="18"/>
              </w:rPr>
              <w:t>c</w:t>
            </w:r>
            <w:r w:rsidRPr="002A36A6">
              <w:rPr>
                <w:sz w:val="18"/>
                <w:szCs w:val="18"/>
              </w:rPr>
              <w:t>osts per QALY</w:t>
            </w:r>
          </w:p>
        </w:tc>
        <w:tc>
          <w:tcPr>
            <w:tcW w:w="0" w:type="auto"/>
          </w:tcPr>
          <w:p w14:paraId="5A2EBEB1" w14:textId="77777777" w:rsidR="00AD0F93" w:rsidRPr="002A36A6" w:rsidRDefault="00AD0F93" w:rsidP="008B5A33">
            <w:pPr>
              <w:pStyle w:val="051Tabletext2210pt"/>
              <w:rPr>
                <w:sz w:val="18"/>
                <w:szCs w:val="18"/>
              </w:rPr>
            </w:pPr>
            <w:r w:rsidRPr="002A36A6">
              <w:rPr>
                <w:sz w:val="18"/>
                <w:szCs w:val="18"/>
              </w:rPr>
              <w:t>Dutch Health Insurance Council</w:t>
            </w:r>
          </w:p>
          <w:p w14:paraId="4E5678CC" w14:textId="77777777" w:rsidR="00AD0F93" w:rsidRPr="002A36A6" w:rsidRDefault="00AD0F93" w:rsidP="008B5A33">
            <w:pPr>
              <w:pStyle w:val="051Tabletext2210pt"/>
              <w:rPr>
                <w:sz w:val="18"/>
                <w:szCs w:val="18"/>
              </w:rPr>
            </w:pPr>
            <w:r w:rsidRPr="002A36A6">
              <w:rPr>
                <w:sz w:val="18"/>
                <w:szCs w:val="18"/>
              </w:rPr>
              <w:t>NR</w:t>
            </w:r>
          </w:p>
        </w:tc>
        <w:tc>
          <w:tcPr>
            <w:tcW w:w="0" w:type="auto"/>
          </w:tcPr>
          <w:p w14:paraId="6665048C" w14:textId="77777777" w:rsidR="00AD0F93" w:rsidRPr="002A36A6" w:rsidRDefault="00AD0F93" w:rsidP="008B5A33">
            <w:pPr>
              <w:pStyle w:val="051Tabletext2210pt"/>
              <w:rPr>
                <w:sz w:val="18"/>
                <w:szCs w:val="18"/>
              </w:rPr>
            </w:pPr>
            <w:r w:rsidRPr="002A36A6">
              <w:rPr>
                <w:sz w:val="18"/>
                <w:szCs w:val="18"/>
              </w:rPr>
              <w:t xml:space="preserve">6 </w:t>
            </w:r>
            <w:proofErr w:type="spellStart"/>
            <w:r w:rsidRPr="002A36A6">
              <w:rPr>
                <w:sz w:val="18"/>
                <w:szCs w:val="18"/>
              </w:rPr>
              <w:t>mo</w:t>
            </w:r>
            <w:proofErr w:type="spellEnd"/>
            <w:r w:rsidRPr="002A36A6">
              <w:rPr>
                <w:sz w:val="18"/>
                <w:szCs w:val="18"/>
              </w:rPr>
              <w:t xml:space="preserve"> (up to 5</w:t>
            </w:r>
            <w:r>
              <w:rPr>
                <w:sz w:val="18"/>
                <w:szCs w:val="18"/>
              </w:rPr>
              <w:t xml:space="preserve"> </w:t>
            </w:r>
            <w:proofErr w:type="spellStart"/>
            <w:r>
              <w:rPr>
                <w:sz w:val="18"/>
                <w:szCs w:val="18"/>
              </w:rPr>
              <w:t>yrs</w:t>
            </w:r>
            <w:proofErr w:type="spellEnd"/>
            <w:r w:rsidRPr="002A36A6">
              <w:rPr>
                <w:sz w:val="18"/>
                <w:szCs w:val="18"/>
              </w:rPr>
              <w:t xml:space="preserve"> follow-up)</w:t>
            </w:r>
          </w:p>
        </w:tc>
      </w:tr>
      <w:tr w:rsidR="00AD0F93" w:rsidRPr="002A36A6" w14:paraId="244C9223" w14:textId="77777777" w:rsidTr="00535E5A">
        <w:tc>
          <w:tcPr>
            <w:tcW w:w="1276" w:type="dxa"/>
          </w:tcPr>
          <w:p w14:paraId="005A9ED4" w14:textId="77777777" w:rsidR="00AD0F93" w:rsidRPr="002A36A6" w:rsidRDefault="00AD0F93" w:rsidP="008B5A33">
            <w:pPr>
              <w:pStyle w:val="051Tabletext2210pt"/>
              <w:rPr>
                <w:sz w:val="18"/>
                <w:szCs w:val="18"/>
              </w:rPr>
            </w:pPr>
            <w:r w:rsidRPr="002A36A6">
              <w:rPr>
                <w:sz w:val="18"/>
                <w:szCs w:val="18"/>
              </w:rPr>
              <w:t>PROMISE (</w:t>
            </w:r>
            <w:proofErr w:type="spellStart"/>
            <w:r w:rsidRPr="002A36A6">
              <w:rPr>
                <w:sz w:val="18"/>
                <w:szCs w:val="18"/>
              </w:rPr>
              <w:t>Rigoard</w:t>
            </w:r>
            <w:proofErr w:type="spellEnd"/>
            <w:r w:rsidRPr="002A36A6">
              <w:rPr>
                <w:sz w:val="18"/>
                <w:szCs w:val="18"/>
              </w:rPr>
              <w:t xml:space="preserve"> 2019</w:t>
            </w:r>
            <w:r>
              <w:rPr>
                <w:sz w:val="18"/>
                <w:szCs w:val="18"/>
              </w:rPr>
              <w:t>)</w:t>
            </w:r>
          </w:p>
          <w:p w14:paraId="2F8BD5BA" w14:textId="77777777" w:rsidR="00AD0F93" w:rsidRPr="002A36A6" w:rsidRDefault="00AD0F93" w:rsidP="008B5A33">
            <w:pPr>
              <w:pStyle w:val="051Tabletext2210pt"/>
              <w:rPr>
                <w:sz w:val="18"/>
                <w:szCs w:val="18"/>
              </w:rPr>
            </w:pPr>
          </w:p>
        </w:tc>
        <w:tc>
          <w:tcPr>
            <w:tcW w:w="1047" w:type="dxa"/>
          </w:tcPr>
          <w:p w14:paraId="22930894" w14:textId="77777777" w:rsidR="00AD0F93" w:rsidRPr="002A36A6" w:rsidRDefault="00AD0F93" w:rsidP="008B5A33">
            <w:pPr>
              <w:pStyle w:val="051Tabletext2210pt"/>
              <w:rPr>
                <w:sz w:val="18"/>
                <w:szCs w:val="18"/>
              </w:rPr>
            </w:pPr>
            <w:r w:rsidRPr="002A36A6">
              <w:rPr>
                <w:sz w:val="18"/>
                <w:szCs w:val="18"/>
              </w:rPr>
              <w:t>Parallel RCT</w:t>
            </w:r>
          </w:p>
        </w:tc>
        <w:tc>
          <w:tcPr>
            <w:tcW w:w="1363" w:type="dxa"/>
          </w:tcPr>
          <w:p w14:paraId="7DBCECFB" w14:textId="77777777" w:rsidR="00AD0F93" w:rsidRDefault="00AD0F93" w:rsidP="008B5A33">
            <w:pPr>
              <w:pStyle w:val="051Tabletext2210pt"/>
              <w:rPr>
                <w:sz w:val="18"/>
                <w:szCs w:val="18"/>
              </w:rPr>
            </w:pPr>
            <w:r w:rsidRPr="002A36A6">
              <w:rPr>
                <w:sz w:val="18"/>
                <w:szCs w:val="18"/>
              </w:rPr>
              <w:t>FBSS</w:t>
            </w:r>
          </w:p>
          <w:p w14:paraId="53DC4382" w14:textId="77777777" w:rsidR="00AD0F93" w:rsidRPr="002A36A6" w:rsidRDefault="00AD0F93" w:rsidP="008B5A33">
            <w:pPr>
              <w:pStyle w:val="051Tabletext2210pt"/>
              <w:rPr>
                <w:sz w:val="18"/>
                <w:szCs w:val="18"/>
              </w:rPr>
            </w:pPr>
            <w:r w:rsidRPr="002A36A6">
              <w:rPr>
                <w:sz w:val="18"/>
                <w:szCs w:val="18"/>
              </w:rPr>
              <w:t>218</w:t>
            </w:r>
          </w:p>
        </w:tc>
        <w:tc>
          <w:tcPr>
            <w:tcW w:w="1680" w:type="dxa"/>
          </w:tcPr>
          <w:p w14:paraId="4416A27A" w14:textId="77777777" w:rsidR="00AD0F93" w:rsidRPr="002A36A6" w:rsidRDefault="00AD0F93" w:rsidP="008B5A33">
            <w:pPr>
              <w:pStyle w:val="051Tabletext2210pt"/>
              <w:rPr>
                <w:sz w:val="18"/>
                <w:szCs w:val="18"/>
              </w:rPr>
            </w:pPr>
            <w:r w:rsidRPr="002A36A6">
              <w:rPr>
                <w:sz w:val="18"/>
                <w:szCs w:val="18"/>
              </w:rPr>
              <w:t>SCS (conventional) + OMM</w:t>
            </w:r>
          </w:p>
          <w:p w14:paraId="3363EA67" w14:textId="77777777" w:rsidR="00AD0F93" w:rsidRPr="002A36A6" w:rsidRDefault="00AD0F93" w:rsidP="008B5A33">
            <w:pPr>
              <w:pStyle w:val="051Tabletext2210pt"/>
              <w:rPr>
                <w:sz w:val="18"/>
                <w:szCs w:val="18"/>
              </w:rPr>
            </w:pPr>
            <w:r w:rsidRPr="002A36A6">
              <w:rPr>
                <w:sz w:val="18"/>
                <w:szCs w:val="18"/>
              </w:rPr>
              <w:t>OMM</w:t>
            </w:r>
          </w:p>
        </w:tc>
        <w:tc>
          <w:tcPr>
            <w:tcW w:w="0" w:type="auto"/>
          </w:tcPr>
          <w:p w14:paraId="1B244138" w14:textId="607A3804" w:rsidR="00AD0F93" w:rsidRPr="002A36A6" w:rsidRDefault="00AD0F93"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proofErr w:type="spellStart"/>
            <w:r w:rsidRPr="002A36A6">
              <w:rPr>
                <w:sz w:val="18"/>
                <w:szCs w:val="18"/>
              </w:rPr>
              <w:t>HRQoL</w:t>
            </w:r>
            <w:proofErr w:type="spellEnd"/>
            <w:r w:rsidRPr="002A36A6">
              <w:rPr>
                <w:sz w:val="18"/>
                <w:szCs w:val="18"/>
              </w:rPr>
              <w:t>, disability</w:t>
            </w:r>
          </w:p>
        </w:tc>
        <w:tc>
          <w:tcPr>
            <w:tcW w:w="0" w:type="auto"/>
          </w:tcPr>
          <w:p w14:paraId="58E6C5FA" w14:textId="77777777" w:rsidR="00AD0F93" w:rsidRPr="002A36A6" w:rsidRDefault="00AD0F93" w:rsidP="008B5A33">
            <w:pPr>
              <w:pStyle w:val="051Tabletext2210pt"/>
              <w:rPr>
                <w:sz w:val="18"/>
                <w:szCs w:val="18"/>
              </w:rPr>
            </w:pPr>
            <w:r w:rsidRPr="002A36A6">
              <w:rPr>
                <w:sz w:val="18"/>
                <w:szCs w:val="18"/>
              </w:rPr>
              <w:t>Medtronic</w:t>
            </w:r>
          </w:p>
          <w:p w14:paraId="2845F059" w14:textId="77777777" w:rsidR="00AD0F93" w:rsidRPr="002A36A6" w:rsidRDefault="00AD0F93" w:rsidP="008B5A33">
            <w:pPr>
              <w:pStyle w:val="051Tabletext2210pt"/>
              <w:rPr>
                <w:sz w:val="18"/>
                <w:szCs w:val="18"/>
              </w:rPr>
            </w:pPr>
            <w:r w:rsidRPr="002A36A6">
              <w:rPr>
                <w:sz w:val="18"/>
                <w:szCs w:val="18"/>
              </w:rPr>
              <w:t>Yes</w:t>
            </w:r>
          </w:p>
        </w:tc>
        <w:tc>
          <w:tcPr>
            <w:tcW w:w="0" w:type="auto"/>
          </w:tcPr>
          <w:p w14:paraId="1E2248B9" w14:textId="77777777" w:rsidR="00AD0F93" w:rsidRPr="002A36A6" w:rsidRDefault="00AD0F93" w:rsidP="008B5A33">
            <w:pPr>
              <w:pStyle w:val="051Tabletext2210pt"/>
              <w:rPr>
                <w:sz w:val="18"/>
                <w:szCs w:val="18"/>
              </w:rPr>
            </w:pPr>
            <w:r w:rsidRPr="002A36A6">
              <w:rPr>
                <w:sz w:val="18"/>
                <w:szCs w:val="18"/>
              </w:rPr>
              <w:t xml:space="preserve">Up to 24 </w:t>
            </w:r>
            <w:proofErr w:type="spellStart"/>
            <w:r w:rsidRPr="002A36A6">
              <w:rPr>
                <w:sz w:val="18"/>
                <w:szCs w:val="18"/>
              </w:rPr>
              <w:t>mo</w:t>
            </w:r>
            <w:proofErr w:type="spellEnd"/>
          </w:p>
        </w:tc>
      </w:tr>
      <w:tr w:rsidR="00AD0F93" w:rsidRPr="002A36A6" w14:paraId="211083F5" w14:textId="77777777" w:rsidTr="00535E5A">
        <w:tc>
          <w:tcPr>
            <w:tcW w:w="1276" w:type="dxa"/>
          </w:tcPr>
          <w:p w14:paraId="5E4E7820" w14:textId="6675EA7E" w:rsidR="00AD0F93" w:rsidRPr="002A36A6" w:rsidRDefault="00AD0F93" w:rsidP="008B5A33">
            <w:pPr>
              <w:pStyle w:val="051Tabletext2210pt"/>
              <w:rPr>
                <w:sz w:val="18"/>
                <w:szCs w:val="18"/>
              </w:rPr>
            </w:pPr>
            <w:r w:rsidRPr="002A36A6">
              <w:rPr>
                <w:sz w:val="18"/>
                <w:szCs w:val="18"/>
              </w:rPr>
              <w:t>PROCESS (Kumar 2007)</w:t>
            </w:r>
          </w:p>
          <w:p w14:paraId="03634D6E" w14:textId="77777777" w:rsidR="00AD0F93" w:rsidRPr="002A36A6" w:rsidRDefault="00AD0F93" w:rsidP="008B5A33">
            <w:pPr>
              <w:pStyle w:val="051Tabletext2210pt"/>
              <w:rPr>
                <w:sz w:val="18"/>
                <w:szCs w:val="18"/>
              </w:rPr>
            </w:pPr>
          </w:p>
        </w:tc>
        <w:tc>
          <w:tcPr>
            <w:tcW w:w="1047" w:type="dxa"/>
          </w:tcPr>
          <w:p w14:paraId="139E145C" w14:textId="77777777" w:rsidR="00AD0F93" w:rsidRPr="002A36A6" w:rsidRDefault="00AD0F93" w:rsidP="008B5A33">
            <w:pPr>
              <w:pStyle w:val="051Tabletext2210pt"/>
              <w:rPr>
                <w:sz w:val="18"/>
                <w:szCs w:val="18"/>
              </w:rPr>
            </w:pPr>
            <w:r w:rsidRPr="002A36A6">
              <w:rPr>
                <w:sz w:val="18"/>
                <w:szCs w:val="18"/>
              </w:rPr>
              <w:t>Parallel RCT</w:t>
            </w:r>
          </w:p>
        </w:tc>
        <w:tc>
          <w:tcPr>
            <w:tcW w:w="1363" w:type="dxa"/>
          </w:tcPr>
          <w:p w14:paraId="327FC505" w14:textId="77777777" w:rsidR="00AD0F93" w:rsidRDefault="00AD0F93" w:rsidP="008B5A33">
            <w:pPr>
              <w:pStyle w:val="051Tabletext2210pt"/>
              <w:rPr>
                <w:sz w:val="18"/>
                <w:szCs w:val="18"/>
              </w:rPr>
            </w:pPr>
            <w:r w:rsidRPr="002A36A6">
              <w:rPr>
                <w:sz w:val="18"/>
                <w:szCs w:val="18"/>
              </w:rPr>
              <w:t>FBSS</w:t>
            </w:r>
          </w:p>
          <w:p w14:paraId="6AB6221C" w14:textId="77777777" w:rsidR="00AD0F93" w:rsidRPr="002A36A6" w:rsidRDefault="00AD0F93" w:rsidP="008B5A33">
            <w:pPr>
              <w:pStyle w:val="051Tabletext2210pt"/>
              <w:rPr>
                <w:sz w:val="18"/>
                <w:szCs w:val="18"/>
              </w:rPr>
            </w:pPr>
            <w:r w:rsidRPr="002A36A6">
              <w:rPr>
                <w:sz w:val="18"/>
                <w:szCs w:val="18"/>
              </w:rPr>
              <w:t>100</w:t>
            </w:r>
          </w:p>
        </w:tc>
        <w:tc>
          <w:tcPr>
            <w:tcW w:w="1680" w:type="dxa"/>
          </w:tcPr>
          <w:p w14:paraId="68478F72" w14:textId="77777777" w:rsidR="00AD0F93" w:rsidRPr="002A36A6" w:rsidRDefault="00AD0F93" w:rsidP="008B5A33">
            <w:pPr>
              <w:pStyle w:val="051Tabletext2210pt"/>
              <w:rPr>
                <w:sz w:val="18"/>
                <w:szCs w:val="18"/>
              </w:rPr>
            </w:pPr>
            <w:r w:rsidRPr="002A36A6">
              <w:rPr>
                <w:sz w:val="18"/>
                <w:szCs w:val="18"/>
              </w:rPr>
              <w:t>SCS (conventional) + CMM</w:t>
            </w:r>
          </w:p>
          <w:p w14:paraId="1C56EB3F" w14:textId="77777777" w:rsidR="00AD0F93" w:rsidRPr="002A36A6" w:rsidRDefault="00AD0F93" w:rsidP="008B5A33">
            <w:pPr>
              <w:pStyle w:val="051Tabletext2210pt"/>
              <w:rPr>
                <w:sz w:val="18"/>
                <w:szCs w:val="18"/>
              </w:rPr>
            </w:pPr>
            <w:r w:rsidRPr="002A36A6">
              <w:rPr>
                <w:sz w:val="18"/>
                <w:szCs w:val="18"/>
              </w:rPr>
              <w:t>CMM</w:t>
            </w:r>
          </w:p>
        </w:tc>
        <w:tc>
          <w:tcPr>
            <w:tcW w:w="0" w:type="auto"/>
          </w:tcPr>
          <w:p w14:paraId="4D8B99C4" w14:textId="3673D334" w:rsidR="00AD0F93" w:rsidRPr="002A36A6" w:rsidRDefault="00AD0F93" w:rsidP="008B5A33">
            <w:pPr>
              <w:pStyle w:val="051Tabletext2210pt"/>
              <w:rPr>
                <w:sz w:val="18"/>
                <w:szCs w:val="18"/>
              </w:rPr>
            </w:pPr>
            <w:r w:rsidRPr="002A36A6">
              <w:rPr>
                <w:sz w:val="18"/>
                <w:szCs w:val="18"/>
              </w:rPr>
              <w:t xml:space="preserve">Pain relief, </w:t>
            </w:r>
            <w:r w:rsidR="00112AC6">
              <w:rPr>
                <w:sz w:val="18"/>
                <w:szCs w:val="18"/>
              </w:rPr>
              <w:t>A</w:t>
            </w:r>
            <w:r w:rsidR="00112AC6" w:rsidRPr="002A36A6">
              <w:rPr>
                <w:sz w:val="18"/>
                <w:szCs w:val="18"/>
              </w:rPr>
              <w:t>Es</w:t>
            </w:r>
            <w:r w:rsidRPr="002A36A6">
              <w:rPr>
                <w:sz w:val="18"/>
                <w:szCs w:val="18"/>
              </w:rPr>
              <w:t xml:space="preserve">, disability, ODI, </w:t>
            </w:r>
            <w:proofErr w:type="spellStart"/>
            <w:r w:rsidRPr="002A36A6">
              <w:rPr>
                <w:sz w:val="18"/>
                <w:szCs w:val="18"/>
              </w:rPr>
              <w:t>HRQoL</w:t>
            </w:r>
            <w:proofErr w:type="spellEnd"/>
            <w:r w:rsidRPr="002A36A6">
              <w:rPr>
                <w:sz w:val="18"/>
                <w:szCs w:val="18"/>
              </w:rPr>
              <w:t>, Cost</w:t>
            </w:r>
          </w:p>
        </w:tc>
        <w:tc>
          <w:tcPr>
            <w:tcW w:w="0" w:type="auto"/>
          </w:tcPr>
          <w:p w14:paraId="7F96D1C9" w14:textId="77777777" w:rsidR="00AD0F93" w:rsidRPr="002A36A6" w:rsidRDefault="00AD0F93" w:rsidP="008B5A33">
            <w:pPr>
              <w:pStyle w:val="051Tabletext2210pt"/>
              <w:rPr>
                <w:sz w:val="18"/>
                <w:szCs w:val="18"/>
              </w:rPr>
            </w:pPr>
            <w:r w:rsidRPr="002A36A6">
              <w:rPr>
                <w:sz w:val="18"/>
                <w:szCs w:val="18"/>
              </w:rPr>
              <w:t>Medtronic</w:t>
            </w:r>
          </w:p>
          <w:p w14:paraId="57FB0733" w14:textId="77777777" w:rsidR="00AD0F93" w:rsidRPr="002A36A6" w:rsidRDefault="00AD0F93" w:rsidP="008B5A33">
            <w:pPr>
              <w:pStyle w:val="051Tabletext2210pt"/>
              <w:rPr>
                <w:sz w:val="18"/>
                <w:szCs w:val="18"/>
              </w:rPr>
            </w:pPr>
            <w:r w:rsidRPr="002A36A6">
              <w:rPr>
                <w:sz w:val="18"/>
                <w:szCs w:val="18"/>
              </w:rPr>
              <w:t>Yes</w:t>
            </w:r>
          </w:p>
        </w:tc>
        <w:tc>
          <w:tcPr>
            <w:tcW w:w="0" w:type="auto"/>
          </w:tcPr>
          <w:p w14:paraId="5450210B" w14:textId="77777777" w:rsidR="00AD0F93" w:rsidRPr="002A36A6" w:rsidRDefault="00AD0F93" w:rsidP="008B5A33">
            <w:pPr>
              <w:pStyle w:val="051Tabletext2210pt"/>
              <w:rPr>
                <w:sz w:val="18"/>
                <w:szCs w:val="18"/>
              </w:rPr>
            </w:pPr>
            <w:r w:rsidRPr="002A36A6">
              <w:rPr>
                <w:sz w:val="18"/>
                <w:szCs w:val="18"/>
              </w:rPr>
              <w:t xml:space="preserve">Up to 24 </w:t>
            </w:r>
            <w:proofErr w:type="spellStart"/>
            <w:r w:rsidRPr="002A36A6">
              <w:rPr>
                <w:sz w:val="18"/>
                <w:szCs w:val="18"/>
              </w:rPr>
              <w:t>mo</w:t>
            </w:r>
            <w:proofErr w:type="spellEnd"/>
          </w:p>
        </w:tc>
      </w:tr>
      <w:tr w:rsidR="00AD0F93" w:rsidRPr="002A36A6" w14:paraId="405558FD" w14:textId="77777777" w:rsidTr="00535E5A">
        <w:tc>
          <w:tcPr>
            <w:tcW w:w="1276" w:type="dxa"/>
          </w:tcPr>
          <w:p w14:paraId="66DDDD6F" w14:textId="77777777" w:rsidR="00AD0F93" w:rsidRDefault="00AD0F93" w:rsidP="008B5A33">
            <w:pPr>
              <w:pStyle w:val="051Tabletext2210pt"/>
              <w:rPr>
                <w:sz w:val="18"/>
                <w:szCs w:val="18"/>
              </w:rPr>
            </w:pPr>
            <w:r w:rsidRPr="002A36A6">
              <w:rPr>
                <w:sz w:val="18"/>
                <w:szCs w:val="18"/>
              </w:rPr>
              <w:t>SENZA-PDN</w:t>
            </w:r>
          </w:p>
          <w:p w14:paraId="6884CA2E" w14:textId="77777777" w:rsidR="00AD0F93" w:rsidRPr="002A36A6" w:rsidRDefault="00AD0F93" w:rsidP="008B5A33">
            <w:pPr>
              <w:pStyle w:val="051Tabletext2210pt"/>
              <w:rPr>
                <w:sz w:val="18"/>
                <w:szCs w:val="18"/>
              </w:rPr>
            </w:pPr>
            <w:r>
              <w:rPr>
                <w:sz w:val="18"/>
                <w:szCs w:val="18"/>
              </w:rPr>
              <w:t>(Petersen 2021)</w:t>
            </w:r>
          </w:p>
          <w:p w14:paraId="494D4544" w14:textId="77777777" w:rsidR="00AD0F93" w:rsidRPr="002A36A6" w:rsidRDefault="00AD0F93" w:rsidP="008B5A33">
            <w:pPr>
              <w:pStyle w:val="051Tabletext2210pt"/>
              <w:rPr>
                <w:sz w:val="18"/>
                <w:szCs w:val="18"/>
              </w:rPr>
            </w:pPr>
          </w:p>
        </w:tc>
        <w:tc>
          <w:tcPr>
            <w:tcW w:w="1047" w:type="dxa"/>
          </w:tcPr>
          <w:p w14:paraId="34671387" w14:textId="77777777" w:rsidR="00AD0F93" w:rsidRPr="002A36A6" w:rsidRDefault="00AD0F93" w:rsidP="008B5A33">
            <w:pPr>
              <w:pStyle w:val="051Tabletext2210pt"/>
              <w:rPr>
                <w:sz w:val="18"/>
                <w:szCs w:val="18"/>
              </w:rPr>
            </w:pPr>
            <w:r w:rsidRPr="002A36A6">
              <w:rPr>
                <w:sz w:val="18"/>
                <w:szCs w:val="18"/>
              </w:rPr>
              <w:t>Parallel RCT</w:t>
            </w:r>
          </w:p>
        </w:tc>
        <w:tc>
          <w:tcPr>
            <w:tcW w:w="1363" w:type="dxa"/>
          </w:tcPr>
          <w:p w14:paraId="7164E301" w14:textId="77777777" w:rsidR="00AD0F93" w:rsidRDefault="00AD0F93" w:rsidP="008B5A33">
            <w:pPr>
              <w:pStyle w:val="051Tabletext2210pt"/>
              <w:rPr>
                <w:sz w:val="18"/>
                <w:szCs w:val="18"/>
              </w:rPr>
            </w:pPr>
            <w:r w:rsidRPr="002A36A6">
              <w:rPr>
                <w:sz w:val="18"/>
                <w:szCs w:val="18"/>
              </w:rPr>
              <w:t>PDN</w:t>
            </w:r>
          </w:p>
          <w:p w14:paraId="466589B6" w14:textId="77777777" w:rsidR="00AD0F93" w:rsidRPr="002A36A6" w:rsidRDefault="00AD0F93" w:rsidP="008B5A33">
            <w:pPr>
              <w:pStyle w:val="051Tabletext2210pt"/>
              <w:rPr>
                <w:sz w:val="18"/>
                <w:szCs w:val="18"/>
              </w:rPr>
            </w:pPr>
            <w:r w:rsidRPr="002A36A6">
              <w:rPr>
                <w:sz w:val="18"/>
                <w:szCs w:val="18"/>
              </w:rPr>
              <w:t>216</w:t>
            </w:r>
          </w:p>
        </w:tc>
        <w:tc>
          <w:tcPr>
            <w:tcW w:w="1680" w:type="dxa"/>
          </w:tcPr>
          <w:p w14:paraId="4060D7C5" w14:textId="77777777" w:rsidR="00AD0F93" w:rsidRPr="002A36A6" w:rsidRDefault="00AD0F93" w:rsidP="008B5A33">
            <w:pPr>
              <w:pStyle w:val="051Tabletext2210pt"/>
              <w:rPr>
                <w:sz w:val="18"/>
                <w:szCs w:val="18"/>
              </w:rPr>
            </w:pPr>
            <w:r w:rsidRPr="002A36A6">
              <w:rPr>
                <w:sz w:val="18"/>
                <w:szCs w:val="18"/>
              </w:rPr>
              <w:t>SCS (HF) + CMM</w:t>
            </w:r>
          </w:p>
          <w:p w14:paraId="5E427370" w14:textId="77777777" w:rsidR="00AD0F93" w:rsidRPr="002A36A6" w:rsidRDefault="00AD0F93" w:rsidP="008B5A33">
            <w:pPr>
              <w:pStyle w:val="051Tabletext2210pt"/>
              <w:rPr>
                <w:sz w:val="18"/>
                <w:szCs w:val="18"/>
              </w:rPr>
            </w:pPr>
            <w:r w:rsidRPr="002A36A6">
              <w:rPr>
                <w:sz w:val="18"/>
                <w:szCs w:val="18"/>
              </w:rPr>
              <w:t>CMM</w:t>
            </w:r>
          </w:p>
        </w:tc>
        <w:tc>
          <w:tcPr>
            <w:tcW w:w="0" w:type="auto"/>
          </w:tcPr>
          <w:p w14:paraId="3653657B" w14:textId="33FA081F" w:rsidR="00AD0F93" w:rsidRPr="002A36A6" w:rsidRDefault="00AD0F93"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proofErr w:type="spellStart"/>
            <w:r w:rsidRPr="002A36A6">
              <w:rPr>
                <w:sz w:val="18"/>
                <w:szCs w:val="18"/>
              </w:rPr>
              <w:t>HRQoL</w:t>
            </w:r>
            <w:proofErr w:type="spellEnd"/>
          </w:p>
        </w:tc>
        <w:tc>
          <w:tcPr>
            <w:tcW w:w="0" w:type="auto"/>
          </w:tcPr>
          <w:p w14:paraId="3868F8B3" w14:textId="77777777" w:rsidR="00AD0F93" w:rsidRPr="002A36A6" w:rsidRDefault="00AD0F93" w:rsidP="008B5A33">
            <w:pPr>
              <w:pStyle w:val="051Tabletext2210pt"/>
              <w:rPr>
                <w:sz w:val="18"/>
                <w:szCs w:val="18"/>
              </w:rPr>
            </w:pPr>
            <w:r w:rsidRPr="002A36A6">
              <w:rPr>
                <w:sz w:val="18"/>
                <w:szCs w:val="18"/>
              </w:rPr>
              <w:t>Nevro Corp.</w:t>
            </w:r>
          </w:p>
          <w:p w14:paraId="2E19BCC7" w14:textId="77777777" w:rsidR="00AD0F93" w:rsidRPr="002A36A6" w:rsidRDefault="00AD0F93" w:rsidP="008B5A33">
            <w:pPr>
              <w:pStyle w:val="051Tabletext2210pt"/>
              <w:rPr>
                <w:sz w:val="18"/>
                <w:szCs w:val="18"/>
              </w:rPr>
            </w:pPr>
            <w:r w:rsidRPr="002A36A6">
              <w:rPr>
                <w:sz w:val="18"/>
                <w:szCs w:val="18"/>
              </w:rPr>
              <w:t>Yes</w:t>
            </w:r>
          </w:p>
        </w:tc>
        <w:tc>
          <w:tcPr>
            <w:tcW w:w="0" w:type="auto"/>
          </w:tcPr>
          <w:p w14:paraId="2C6BD84A" w14:textId="77777777" w:rsidR="00AD0F93" w:rsidRPr="002A36A6" w:rsidRDefault="00AD0F93" w:rsidP="008B5A33">
            <w:pPr>
              <w:pStyle w:val="051Tabletext2210pt"/>
              <w:rPr>
                <w:sz w:val="18"/>
                <w:szCs w:val="18"/>
              </w:rPr>
            </w:pPr>
            <w:r w:rsidRPr="002A36A6">
              <w:rPr>
                <w:sz w:val="18"/>
                <w:szCs w:val="18"/>
              </w:rPr>
              <w:t xml:space="preserve">Up to 24 </w:t>
            </w:r>
            <w:proofErr w:type="spellStart"/>
            <w:r w:rsidRPr="002A36A6">
              <w:rPr>
                <w:sz w:val="18"/>
                <w:szCs w:val="18"/>
              </w:rPr>
              <w:t>mo</w:t>
            </w:r>
            <w:proofErr w:type="spellEnd"/>
          </w:p>
        </w:tc>
      </w:tr>
      <w:tr w:rsidR="00AD0F93" w:rsidRPr="002A36A6" w14:paraId="660D9B7C" w14:textId="77777777" w:rsidTr="00535E5A">
        <w:tc>
          <w:tcPr>
            <w:tcW w:w="1276" w:type="dxa"/>
          </w:tcPr>
          <w:p w14:paraId="0431517F" w14:textId="77777777" w:rsidR="00AD0F93" w:rsidRPr="002A36A6" w:rsidRDefault="00AD0F93" w:rsidP="008B5A33">
            <w:pPr>
              <w:pStyle w:val="051Tabletext2210pt"/>
              <w:rPr>
                <w:sz w:val="18"/>
                <w:szCs w:val="18"/>
              </w:rPr>
            </w:pPr>
            <w:proofErr w:type="spellStart"/>
            <w:r w:rsidRPr="002A36A6">
              <w:rPr>
                <w:sz w:val="18"/>
                <w:szCs w:val="18"/>
              </w:rPr>
              <w:t>Slangen</w:t>
            </w:r>
            <w:proofErr w:type="spellEnd"/>
            <w:r w:rsidRPr="002A36A6">
              <w:rPr>
                <w:sz w:val="18"/>
                <w:szCs w:val="18"/>
              </w:rPr>
              <w:t xml:space="preserve"> 2014</w:t>
            </w:r>
          </w:p>
          <w:p w14:paraId="731015CD" w14:textId="77777777" w:rsidR="00AD0F93" w:rsidRPr="002A36A6" w:rsidRDefault="00AD0F93" w:rsidP="008B5A33">
            <w:pPr>
              <w:pStyle w:val="051Tabletext2210pt"/>
              <w:rPr>
                <w:sz w:val="18"/>
                <w:szCs w:val="18"/>
              </w:rPr>
            </w:pPr>
          </w:p>
        </w:tc>
        <w:tc>
          <w:tcPr>
            <w:tcW w:w="1047" w:type="dxa"/>
          </w:tcPr>
          <w:p w14:paraId="4B21612B" w14:textId="77777777" w:rsidR="00AD0F93" w:rsidRPr="002A36A6" w:rsidRDefault="00AD0F93" w:rsidP="008B5A33">
            <w:pPr>
              <w:pStyle w:val="051Tabletext2210pt"/>
              <w:rPr>
                <w:sz w:val="18"/>
                <w:szCs w:val="18"/>
              </w:rPr>
            </w:pPr>
            <w:r w:rsidRPr="002A36A6">
              <w:rPr>
                <w:sz w:val="18"/>
                <w:szCs w:val="18"/>
              </w:rPr>
              <w:t>Parallel RCT</w:t>
            </w:r>
          </w:p>
        </w:tc>
        <w:tc>
          <w:tcPr>
            <w:tcW w:w="1363" w:type="dxa"/>
          </w:tcPr>
          <w:p w14:paraId="5A9986A9" w14:textId="77777777" w:rsidR="00AD0F93" w:rsidRDefault="00AD0F93" w:rsidP="008B5A33">
            <w:pPr>
              <w:pStyle w:val="051Tabletext2210pt"/>
              <w:rPr>
                <w:sz w:val="18"/>
                <w:szCs w:val="18"/>
              </w:rPr>
            </w:pPr>
            <w:r w:rsidRPr="002A36A6">
              <w:rPr>
                <w:sz w:val="18"/>
                <w:szCs w:val="18"/>
              </w:rPr>
              <w:t>PDN</w:t>
            </w:r>
          </w:p>
          <w:p w14:paraId="4ECFEBA4" w14:textId="77777777" w:rsidR="00AD0F93" w:rsidRPr="002A36A6" w:rsidRDefault="00AD0F93" w:rsidP="008B5A33">
            <w:pPr>
              <w:pStyle w:val="051Tabletext2210pt"/>
              <w:rPr>
                <w:sz w:val="18"/>
                <w:szCs w:val="18"/>
              </w:rPr>
            </w:pPr>
            <w:r w:rsidRPr="002A36A6">
              <w:rPr>
                <w:sz w:val="18"/>
                <w:szCs w:val="18"/>
              </w:rPr>
              <w:t>34</w:t>
            </w:r>
          </w:p>
        </w:tc>
        <w:tc>
          <w:tcPr>
            <w:tcW w:w="1680" w:type="dxa"/>
          </w:tcPr>
          <w:p w14:paraId="198FE226" w14:textId="77777777" w:rsidR="00AD0F93" w:rsidRPr="002A36A6" w:rsidRDefault="00AD0F93" w:rsidP="008B5A33">
            <w:pPr>
              <w:pStyle w:val="051Tabletext2210pt"/>
              <w:rPr>
                <w:sz w:val="18"/>
                <w:szCs w:val="18"/>
              </w:rPr>
            </w:pPr>
            <w:r w:rsidRPr="002A36A6">
              <w:rPr>
                <w:sz w:val="18"/>
                <w:szCs w:val="18"/>
              </w:rPr>
              <w:t>SCS (conventional) + BMT</w:t>
            </w:r>
          </w:p>
          <w:p w14:paraId="3FE3910A" w14:textId="77777777" w:rsidR="00AD0F93" w:rsidRPr="002A36A6" w:rsidRDefault="00AD0F93" w:rsidP="008B5A33">
            <w:pPr>
              <w:pStyle w:val="051Tabletext2210pt"/>
              <w:rPr>
                <w:sz w:val="18"/>
                <w:szCs w:val="18"/>
              </w:rPr>
            </w:pPr>
            <w:r w:rsidRPr="002A36A6">
              <w:rPr>
                <w:sz w:val="18"/>
                <w:szCs w:val="18"/>
              </w:rPr>
              <w:t>BMT</w:t>
            </w:r>
          </w:p>
        </w:tc>
        <w:tc>
          <w:tcPr>
            <w:tcW w:w="0" w:type="auto"/>
          </w:tcPr>
          <w:p w14:paraId="1840002E" w14:textId="683EE4F6" w:rsidR="00AD0F93" w:rsidRPr="002A36A6" w:rsidRDefault="00AD0F93"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proofErr w:type="spellStart"/>
            <w:r w:rsidRPr="002A36A6">
              <w:rPr>
                <w:sz w:val="18"/>
                <w:szCs w:val="18"/>
              </w:rPr>
              <w:t>HRQoL</w:t>
            </w:r>
            <w:proofErr w:type="spellEnd"/>
            <w:r w:rsidRPr="002A36A6">
              <w:rPr>
                <w:sz w:val="18"/>
                <w:szCs w:val="18"/>
              </w:rPr>
              <w:t xml:space="preserve">, </w:t>
            </w:r>
            <w:r>
              <w:rPr>
                <w:sz w:val="18"/>
                <w:szCs w:val="18"/>
              </w:rPr>
              <w:t>m</w:t>
            </w:r>
            <w:r w:rsidRPr="002A36A6">
              <w:rPr>
                <w:sz w:val="18"/>
                <w:szCs w:val="18"/>
              </w:rPr>
              <w:t>edication use</w:t>
            </w:r>
          </w:p>
        </w:tc>
        <w:tc>
          <w:tcPr>
            <w:tcW w:w="0" w:type="auto"/>
          </w:tcPr>
          <w:p w14:paraId="6A53AC7D" w14:textId="77777777" w:rsidR="00AD0F93" w:rsidRPr="002A36A6" w:rsidRDefault="00AD0F93" w:rsidP="008B5A33">
            <w:pPr>
              <w:pStyle w:val="051Tabletext2210pt"/>
              <w:rPr>
                <w:sz w:val="18"/>
                <w:szCs w:val="18"/>
              </w:rPr>
            </w:pPr>
            <w:r w:rsidRPr="002A36A6">
              <w:rPr>
                <w:sz w:val="18"/>
                <w:szCs w:val="18"/>
              </w:rPr>
              <w:t>Medtronic</w:t>
            </w:r>
          </w:p>
          <w:p w14:paraId="270D3810" w14:textId="77777777" w:rsidR="00AD0F93" w:rsidRPr="002A36A6" w:rsidRDefault="00AD0F93" w:rsidP="008B5A33">
            <w:pPr>
              <w:pStyle w:val="051Tabletext2210pt"/>
              <w:rPr>
                <w:sz w:val="18"/>
                <w:szCs w:val="18"/>
              </w:rPr>
            </w:pPr>
            <w:r w:rsidRPr="002A36A6">
              <w:rPr>
                <w:sz w:val="18"/>
                <w:szCs w:val="18"/>
              </w:rPr>
              <w:t>Yes</w:t>
            </w:r>
          </w:p>
        </w:tc>
        <w:tc>
          <w:tcPr>
            <w:tcW w:w="0" w:type="auto"/>
          </w:tcPr>
          <w:p w14:paraId="412C92EE" w14:textId="12AB3852" w:rsidR="00AD0F93" w:rsidRPr="002A36A6" w:rsidRDefault="00AD0F93" w:rsidP="008B5A33">
            <w:pPr>
              <w:pStyle w:val="051Tabletext2210pt"/>
              <w:rPr>
                <w:sz w:val="18"/>
                <w:szCs w:val="18"/>
              </w:rPr>
            </w:pPr>
            <w:r w:rsidRPr="002A36A6">
              <w:rPr>
                <w:sz w:val="18"/>
                <w:szCs w:val="18"/>
              </w:rPr>
              <w:t>6</w:t>
            </w:r>
            <w:r>
              <w:rPr>
                <w:sz w:val="18"/>
                <w:szCs w:val="18"/>
              </w:rPr>
              <w:t xml:space="preserve"> </w:t>
            </w:r>
            <w:proofErr w:type="spellStart"/>
            <w:r w:rsidRPr="002A36A6">
              <w:rPr>
                <w:sz w:val="18"/>
                <w:szCs w:val="18"/>
              </w:rPr>
              <w:t>mo</w:t>
            </w:r>
            <w:proofErr w:type="spellEnd"/>
          </w:p>
        </w:tc>
      </w:tr>
      <w:tr w:rsidR="00AD0F93" w:rsidRPr="002A36A6" w14:paraId="4222B459" w14:textId="77777777" w:rsidTr="00535E5A">
        <w:tc>
          <w:tcPr>
            <w:tcW w:w="1276" w:type="dxa"/>
          </w:tcPr>
          <w:p w14:paraId="17B3C08D" w14:textId="77777777" w:rsidR="00AD0F93" w:rsidRPr="002A36A6" w:rsidRDefault="00AD0F93" w:rsidP="008B5A33">
            <w:pPr>
              <w:pStyle w:val="051Tabletext2210pt"/>
              <w:rPr>
                <w:sz w:val="18"/>
                <w:szCs w:val="18"/>
              </w:rPr>
            </w:pPr>
            <w:r w:rsidRPr="002A36A6">
              <w:rPr>
                <w:sz w:val="18"/>
                <w:szCs w:val="18"/>
              </w:rPr>
              <w:t>de Vos 2014</w:t>
            </w:r>
          </w:p>
          <w:p w14:paraId="65EEB07F" w14:textId="77777777" w:rsidR="00AD0F93" w:rsidRPr="002A36A6" w:rsidRDefault="00AD0F93" w:rsidP="008B5A33">
            <w:pPr>
              <w:pStyle w:val="051Tabletext2210pt"/>
              <w:rPr>
                <w:sz w:val="18"/>
                <w:szCs w:val="18"/>
              </w:rPr>
            </w:pPr>
          </w:p>
        </w:tc>
        <w:tc>
          <w:tcPr>
            <w:tcW w:w="1047" w:type="dxa"/>
          </w:tcPr>
          <w:p w14:paraId="10F5D8B9" w14:textId="77777777" w:rsidR="00AD0F93" w:rsidRPr="002A36A6" w:rsidRDefault="00AD0F93" w:rsidP="008B5A33">
            <w:pPr>
              <w:pStyle w:val="051Tabletext2210pt"/>
              <w:rPr>
                <w:sz w:val="18"/>
                <w:szCs w:val="18"/>
              </w:rPr>
            </w:pPr>
            <w:r w:rsidRPr="002A36A6">
              <w:rPr>
                <w:sz w:val="18"/>
                <w:szCs w:val="18"/>
              </w:rPr>
              <w:t>Parallel RCT</w:t>
            </w:r>
          </w:p>
        </w:tc>
        <w:tc>
          <w:tcPr>
            <w:tcW w:w="1363" w:type="dxa"/>
          </w:tcPr>
          <w:p w14:paraId="4287E9DA" w14:textId="77777777" w:rsidR="00AD0F93" w:rsidRDefault="00AD0F93" w:rsidP="008B5A33">
            <w:pPr>
              <w:pStyle w:val="051Tabletext2210pt"/>
              <w:rPr>
                <w:sz w:val="18"/>
                <w:szCs w:val="18"/>
              </w:rPr>
            </w:pPr>
            <w:r w:rsidRPr="002A36A6">
              <w:rPr>
                <w:sz w:val="18"/>
                <w:szCs w:val="18"/>
              </w:rPr>
              <w:t>PDN</w:t>
            </w:r>
          </w:p>
          <w:p w14:paraId="73233652" w14:textId="77777777" w:rsidR="00AD0F93" w:rsidRPr="002A36A6" w:rsidRDefault="00AD0F93" w:rsidP="008B5A33">
            <w:pPr>
              <w:pStyle w:val="051Tabletext2210pt"/>
              <w:rPr>
                <w:sz w:val="18"/>
                <w:szCs w:val="18"/>
              </w:rPr>
            </w:pPr>
            <w:r w:rsidRPr="002A36A6">
              <w:rPr>
                <w:sz w:val="18"/>
                <w:szCs w:val="18"/>
              </w:rPr>
              <w:t>60</w:t>
            </w:r>
          </w:p>
        </w:tc>
        <w:tc>
          <w:tcPr>
            <w:tcW w:w="1680" w:type="dxa"/>
          </w:tcPr>
          <w:p w14:paraId="28E7D7BC" w14:textId="77777777" w:rsidR="00AD0F93" w:rsidRPr="002A36A6" w:rsidRDefault="00AD0F93" w:rsidP="008B5A33">
            <w:pPr>
              <w:pStyle w:val="051Tabletext2210pt"/>
              <w:rPr>
                <w:sz w:val="18"/>
                <w:szCs w:val="18"/>
              </w:rPr>
            </w:pPr>
            <w:r w:rsidRPr="002A36A6">
              <w:rPr>
                <w:sz w:val="18"/>
                <w:szCs w:val="18"/>
              </w:rPr>
              <w:t>SCS (conventional) + CMM</w:t>
            </w:r>
          </w:p>
          <w:p w14:paraId="614C0928" w14:textId="77777777" w:rsidR="00AD0F93" w:rsidRPr="002A36A6" w:rsidRDefault="00AD0F93" w:rsidP="008B5A33">
            <w:pPr>
              <w:pStyle w:val="051Tabletext2210pt"/>
              <w:rPr>
                <w:sz w:val="18"/>
                <w:szCs w:val="18"/>
              </w:rPr>
            </w:pPr>
            <w:r w:rsidRPr="002A36A6">
              <w:rPr>
                <w:sz w:val="18"/>
                <w:szCs w:val="18"/>
              </w:rPr>
              <w:t>CMM</w:t>
            </w:r>
          </w:p>
        </w:tc>
        <w:tc>
          <w:tcPr>
            <w:tcW w:w="0" w:type="auto"/>
          </w:tcPr>
          <w:p w14:paraId="3D0836C5" w14:textId="4308AAA6" w:rsidR="00AD0F93" w:rsidRPr="002A36A6" w:rsidRDefault="00AD0F93"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proofErr w:type="spellStart"/>
            <w:r w:rsidRPr="002A36A6">
              <w:rPr>
                <w:sz w:val="18"/>
                <w:szCs w:val="18"/>
              </w:rPr>
              <w:t>HRQoL</w:t>
            </w:r>
            <w:proofErr w:type="spellEnd"/>
            <w:r w:rsidRPr="002A36A6">
              <w:rPr>
                <w:sz w:val="18"/>
                <w:szCs w:val="18"/>
              </w:rPr>
              <w:t xml:space="preserve">, </w:t>
            </w:r>
            <w:r>
              <w:rPr>
                <w:sz w:val="18"/>
                <w:szCs w:val="18"/>
              </w:rPr>
              <w:t>m</w:t>
            </w:r>
            <w:r w:rsidRPr="002A36A6">
              <w:rPr>
                <w:sz w:val="18"/>
                <w:szCs w:val="18"/>
              </w:rPr>
              <w:t>edication use</w:t>
            </w:r>
          </w:p>
        </w:tc>
        <w:tc>
          <w:tcPr>
            <w:tcW w:w="0" w:type="auto"/>
          </w:tcPr>
          <w:p w14:paraId="7F2A0B57" w14:textId="77777777" w:rsidR="00AD0F93" w:rsidRPr="002A36A6" w:rsidRDefault="00AD0F93" w:rsidP="008B5A33">
            <w:pPr>
              <w:pStyle w:val="051Tabletext2210pt"/>
              <w:rPr>
                <w:sz w:val="18"/>
                <w:szCs w:val="18"/>
              </w:rPr>
            </w:pPr>
            <w:r w:rsidRPr="002A36A6">
              <w:rPr>
                <w:sz w:val="18"/>
                <w:szCs w:val="18"/>
              </w:rPr>
              <w:t>St Jude Medical</w:t>
            </w:r>
          </w:p>
          <w:p w14:paraId="0B01F867" w14:textId="77777777" w:rsidR="00AD0F93" w:rsidRPr="002A36A6" w:rsidRDefault="00AD0F93" w:rsidP="008B5A33">
            <w:pPr>
              <w:pStyle w:val="051Tabletext2210pt"/>
              <w:rPr>
                <w:sz w:val="18"/>
                <w:szCs w:val="18"/>
              </w:rPr>
            </w:pPr>
            <w:r w:rsidRPr="002A36A6">
              <w:rPr>
                <w:sz w:val="18"/>
                <w:szCs w:val="18"/>
              </w:rPr>
              <w:t>Yes</w:t>
            </w:r>
          </w:p>
        </w:tc>
        <w:tc>
          <w:tcPr>
            <w:tcW w:w="0" w:type="auto"/>
          </w:tcPr>
          <w:p w14:paraId="65A33B31" w14:textId="4577A545" w:rsidR="00AD0F93" w:rsidRPr="002A36A6" w:rsidRDefault="00AD0F93" w:rsidP="008B5A33">
            <w:pPr>
              <w:pStyle w:val="051Tabletext2210pt"/>
              <w:rPr>
                <w:sz w:val="18"/>
                <w:szCs w:val="18"/>
              </w:rPr>
            </w:pPr>
            <w:r w:rsidRPr="002A36A6">
              <w:rPr>
                <w:sz w:val="18"/>
                <w:szCs w:val="18"/>
              </w:rPr>
              <w:t>6</w:t>
            </w:r>
            <w:r>
              <w:rPr>
                <w:sz w:val="18"/>
                <w:szCs w:val="18"/>
              </w:rPr>
              <w:t xml:space="preserve"> </w:t>
            </w:r>
            <w:proofErr w:type="spellStart"/>
            <w:r w:rsidRPr="002A36A6">
              <w:rPr>
                <w:sz w:val="18"/>
                <w:szCs w:val="18"/>
              </w:rPr>
              <w:t>mo</w:t>
            </w:r>
            <w:proofErr w:type="spellEnd"/>
          </w:p>
        </w:tc>
      </w:tr>
      <w:tr w:rsidR="007D771B" w:rsidRPr="002A36A6" w14:paraId="01306A0D" w14:textId="77777777" w:rsidTr="00535E5A">
        <w:tc>
          <w:tcPr>
            <w:tcW w:w="1276" w:type="dxa"/>
          </w:tcPr>
          <w:p w14:paraId="1379C018" w14:textId="77777777" w:rsidR="007D771B" w:rsidRPr="002A36A6" w:rsidRDefault="007D771B" w:rsidP="008B5A33">
            <w:pPr>
              <w:pStyle w:val="051Tabletext2210pt"/>
              <w:rPr>
                <w:sz w:val="18"/>
                <w:szCs w:val="18"/>
              </w:rPr>
            </w:pPr>
            <w:r w:rsidRPr="002A36A6">
              <w:rPr>
                <w:sz w:val="18"/>
                <w:szCs w:val="18"/>
              </w:rPr>
              <w:t>Lind 2015</w:t>
            </w:r>
          </w:p>
          <w:p w14:paraId="40CB2419" w14:textId="77777777" w:rsidR="007D771B" w:rsidRPr="002A36A6" w:rsidRDefault="007D771B" w:rsidP="008B5A33">
            <w:pPr>
              <w:pStyle w:val="051Tabletext2210pt"/>
              <w:rPr>
                <w:sz w:val="18"/>
                <w:szCs w:val="18"/>
              </w:rPr>
            </w:pPr>
          </w:p>
        </w:tc>
        <w:tc>
          <w:tcPr>
            <w:tcW w:w="1047" w:type="dxa"/>
          </w:tcPr>
          <w:p w14:paraId="4C34A295" w14:textId="77777777" w:rsidR="007D771B" w:rsidRPr="002A36A6" w:rsidRDefault="007D771B" w:rsidP="008B5A33">
            <w:pPr>
              <w:pStyle w:val="051Tabletext2210pt"/>
              <w:rPr>
                <w:sz w:val="18"/>
                <w:szCs w:val="18"/>
              </w:rPr>
            </w:pPr>
            <w:r w:rsidRPr="002A36A6">
              <w:rPr>
                <w:sz w:val="18"/>
                <w:szCs w:val="18"/>
              </w:rPr>
              <w:t>Cross-over RCT</w:t>
            </w:r>
          </w:p>
        </w:tc>
        <w:tc>
          <w:tcPr>
            <w:tcW w:w="1363" w:type="dxa"/>
          </w:tcPr>
          <w:p w14:paraId="1A4DFD41" w14:textId="77777777" w:rsidR="007D771B" w:rsidRDefault="007D771B" w:rsidP="008B5A33">
            <w:pPr>
              <w:pStyle w:val="051Tabletext2210pt"/>
              <w:rPr>
                <w:sz w:val="18"/>
                <w:szCs w:val="18"/>
              </w:rPr>
            </w:pPr>
            <w:r w:rsidRPr="002A36A6">
              <w:rPr>
                <w:sz w:val="18"/>
                <w:szCs w:val="18"/>
              </w:rPr>
              <w:t>Irritable bowel syndrome</w:t>
            </w:r>
          </w:p>
          <w:p w14:paraId="3CF97942" w14:textId="77777777" w:rsidR="007D771B" w:rsidRPr="002A36A6" w:rsidRDefault="007D771B" w:rsidP="008B5A33">
            <w:pPr>
              <w:pStyle w:val="051Tabletext2210pt"/>
              <w:rPr>
                <w:sz w:val="18"/>
                <w:szCs w:val="18"/>
              </w:rPr>
            </w:pPr>
            <w:r w:rsidRPr="002A36A6">
              <w:rPr>
                <w:sz w:val="18"/>
                <w:szCs w:val="18"/>
              </w:rPr>
              <w:t>10</w:t>
            </w:r>
          </w:p>
        </w:tc>
        <w:tc>
          <w:tcPr>
            <w:tcW w:w="1680" w:type="dxa"/>
          </w:tcPr>
          <w:p w14:paraId="49ADC03A" w14:textId="77777777" w:rsidR="007D771B" w:rsidRPr="002A36A6" w:rsidRDefault="007D771B" w:rsidP="008B5A33">
            <w:pPr>
              <w:pStyle w:val="051Tabletext2210pt"/>
              <w:rPr>
                <w:sz w:val="18"/>
                <w:szCs w:val="18"/>
              </w:rPr>
            </w:pPr>
            <w:r w:rsidRPr="002A36A6">
              <w:rPr>
                <w:sz w:val="18"/>
                <w:szCs w:val="18"/>
              </w:rPr>
              <w:t>SCS (conventional)</w:t>
            </w:r>
          </w:p>
          <w:p w14:paraId="29B45673" w14:textId="77777777" w:rsidR="007D771B" w:rsidRPr="002A36A6" w:rsidRDefault="007D771B" w:rsidP="008B5A33">
            <w:pPr>
              <w:pStyle w:val="051Tabletext2210pt"/>
              <w:rPr>
                <w:sz w:val="18"/>
                <w:szCs w:val="18"/>
              </w:rPr>
            </w:pPr>
            <w:r w:rsidRPr="002A36A6">
              <w:rPr>
                <w:sz w:val="18"/>
                <w:szCs w:val="18"/>
              </w:rPr>
              <w:t>Sham</w:t>
            </w:r>
          </w:p>
        </w:tc>
        <w:tc>
          <w:tcPr>
            <w:tcW w:w="0" w:type="auto"/>
          </w:tcPr>
          <w:p w14:paraId="06654A67" w14:textId="6CB2C021" w:rsidR="007D771B" w:rsidRPr="002A36A6" w:rsidRDefault="007D771B"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proofErr w:type="spellStart"/>
            <w:r w:rsidRPr="002A36A6">
              <w:rPr>
                <w:sz w:val="18"/>
                <w:szCs w:val="18"/>
              </w:rPr>
              <w:t>HRQoL</w:t>
            </w:r>
            <w:proofErr w:type="spellEnd"/>
          </w:p>
        </w:tc>
        <w:tc>
          <w:tcPr>
            <w:tcW w:w="0" w:type="auto"/>
          </w:tcPr>
          <w:p w14:paraId="76E415F9" w14:textId="77777777" w:rsidR="007D771B" w:rsidRPr="002A36A6" w:rsidRDefault="007D771B" w:rsidP="008B5A33">
            <w:pPr>
              <w:pStyle w:val="051Tabletext2210pt"/>
              <w:rPr>
                <w:sz w:val="18"/>
                <w:szCs w:val="18"/>
              </w:rPr>
            </w:pPr>
            <w:r w:rsidRPr="002A36A6">
              <w:rPr>
                <w:sz w:val="18"/>
                <w:szCs w:val="18"/>
              </w:rPr>
              <w:t>Medtronic</w:t>
            </w:r>
          </w:p>
          <w:p w14:paraId="272BF961" w14:textId="77777777" w:rsidR="007D771B" w:rsidRPr="002A36A6" w:rsidRDefault="007D771B" w:rsidP="008B5A33">
            <w:pPr>
              <w:pStyle w:val="051Tabletext2210pt"/>
              <w:rPr>
                <w:sz w:val="18"/>
                <w:szCs w:val="18"/>
              </w:rPr>
            </w:pPr>
            <w:r w:rsidRPr="002A36A6">
              <w:rPr>
                <w:sz w:val="18"/>
                <w:szCs w:val="18"/>
              </w:rPr>
              <w:t>No</w:t>
            </w:r>
          </w:p>
        </w:tc>
        <w:tc>
          <w:tcPr>
            <w:tcW w:w="0" w:type="auto"/>
          </w:tcPr>
          <w:p w14:paraId="5D0AC4E5" w14:textId="3408EA9D" w:rsidR="007D771B" w:rsidRPr="002A36A6" w:rsidRDefault="007D771B" w:rsidP="008B5A33">
            <w:pPr>
              <w:pStyle w:val="051Tabletext2210pt"/>
              <w:rPr>
                <w:sz w:val="18"/>
                <w:szCs w:val="18"/>
              </w:rPr>
            </w:pPr>
            <w:r w:rsidRPr="002A36A6">
              <w:rPr>
                <w:sz w:val="18"/>
                <w:szCs w:val="18"/>
              </w:rPr>
              <w:t>6</w:t>
            </w:r>
            <w:r>
              <w:rPr>
                <w:sz w:val="18"/>
                <w:szCs w:val="18"/>
              </w:rPr>
              <w:t xml:space="preserve"> </w:t>
            </w:r>
            <w:proofErr w:type="spellStart"/>
            <w:r w:rsidRPr="002A36A6">
              <w:rPr>
                <w:sz w:val="18"/>
                <w:szCs w:val="18"/>
              </w:rPr>
              <w:t>wks</w:t>
            </w:r>
            <w:proofErr w:type="spellEnd"/>
            <w:r w:rsidRPr="002A36A6">
              <w:rPr>
                <w:sz w:val="18"/>
                <w:szCs w:val="18"/>
              </w:rPr>
              <w:t xml:space="preserve"> per treatment</w:t>
            </w:r>
          </w:p>
        </w:tc>
      </w:tr>
      <w:tr w:rsidR="006A1EBF" w:rsidRPr="002A36A6" w14:paraId="2DC607D5" w14:textId="77777777" w:rsidTr="00535E5A">
        <w:tc>
          <w:tcPr>
            <w:tcW w:w="1276" w:type="dxa"/>
          </w:tcPr>
          <w:p w14:paraId="664DCB41" w14:textId="0148C023" w:rsidR="006A1EBF" w:rsidRPr="002A36A6" w:rsidRDefault="006A1EBF" w:rsidP="008B5A33">
            <w:pPr>
              <w:pStyle w:val="051Tabletext2210pt"/>
              <w:rPr>
                <w:sz w:val="18"/>
                <w:szCs w:val="18"/>
              </w:rPr>
            </w:pPr>
            <w:r w:rsidRPr="002A36A6">
              <w:rPr>
                <w:sz w:val="18"/>
                <w:szCs w:val="18"/>
              </w:rPr>
              <w:t>Al-</w:t>
            </w:r>
            <w:proofErr w:type="spellStart"/>
            <w:r w:rsidRPr="002A36A6">
              <w:rPr>
                <w:sz w:val="18"/>
                <w:szCs w:val="18"/>
              </w:rPr>
              <w:t>Kaisy</w:t>
            </w:r>
            <w:proofErr w:type="spellEnd"/>
            <w:r w:rsidRPr="002A36A6">
              <w:rPr>
                <w:sz w:val="18"/>
                <w:szCs w:val="18"/>
              </w:rPr>
              <w:t xml:space="preserve"> 2018</w:t>
            </w:r>
          </w:p>
          <w:p w14:paraId="517B72A0" w14:textId="00D96843" w:rsidR="006A1EBF" w:rsidRPr="002A36A6" w:rsidRDefault="006A1EBF" w:rsidP="008B5A33">
            <w:pPr>
              <w:pStyle w:val="051Tabletext2210pt"/>
              <w:rPr>
                <w:sz w:val="18"/>
                <w:szCs w:val="18"/>
              </w:rPr>
            </w:pPr>
          </w:p>
        </w:tc>
        <w:tc>
          <w:tcPr>
            <w:tcW w:w="1047" w:type="dxa"/>
          </w:tcPr>
          <w:p w14:paraId="07E94131" w14:textId="77777777" w:rsidR="006A1EBF" w:rsidRPr="002A36A6" w:rsidRDefault="006A1EBF" w:rsidP="008B5A33">
            <w:pPr>
              <w:pStyle w:val="051Tabletext2210pt"/>
              <w:rPr>
                <w:sz w:val="18"/>
                <w:szCs w:val="18"/>
              </w:rPr>
            </w:pPr>
            <w:r w:rsidRPr="002A36A6">
              <w:rPr>
                <w:sz w:val="18"/>
                <w:szCs w:val="18"/>
              </w:rPr>
              <w:t>Cross-over RCT</w:t>
            </w:r>
          </w:p>
        </w:tc>
        <w:tc>
          <w:tcPr>
            <w:tcW w:w="1363" w:type="dxa"/>
          </w:tcPr>
          <w:p w14:paraId="0598BDF7" w14:textId="77777777" w:rsidR="006A1EBF" w:rsidRDefault="006A1EBF" w:rsidP="008B5A33">
            <w:pPr>
              <w:pStyle w:val="051Tabletext2210pt"/>
              <w:rPr>
                <w:sz w:val="18"/>
                <w:szCs w:val="18"/>
              </w:rPr>
            </w:pPr>
            <w:r w:rsidRPr="002A36A6">
              <w:rPr>
                <w:sz w:val="18"/>
                <w:szCs w:val="18"/>
              </w:rPr>
              <w:t>FBSS</w:t>
            </w:r>
          </w:p>
          <w:p w14:paraId="1A7698D8" w14:textId="3F945386" w:rsidR="006A1EBF" w:rsidRPr="002A36A6" w:rsidRDefault="00BD39C6" w:rsidP="008B5A33">
            <w:pPr>
              <w:pStyle w:val="051Tabletext2210pt"/>
              <w:rPr>
                <w:sz w:val="18"/>
                <w:szCs w:val="18"/>
              </w:rPr>
            </w:pPr>
            <w:r w:rsidRPr="002A36A6">
              <w:rPr>
                <w:sz w:val="18"/>
                <w:szCs w:val="18"/>
              </w:rPr>
              <w:t>30</w:t>
            </w:r>
          </w:p>
        </w:tc>
        <w:tc>
          <w:tcPr>
            <w:tcW w:w="1680" w:type="dxa"/>
          </w:tcPr>
          <w:p w14:paraId="52D2581B" w14:textId="77777777" w:rsidR="006A1EBF" w:rsidRPr="002A36A6" w:rsidRDefault="006A1EBF" w:rsidP="008B5A33">
            <w:pPr>
              <w:pStyle w:val="051Tabletext2210pt"/>
              <w:rPr>
                <w:sz w:val="18"/>
                <w:szCs w:val="18"/>
              </w:rPr>
            </w:pPr>
            <w:r w:rsidRPr="002A36A6">
              <w:rPr>
                <w:sz w:val="18"/>
                <w:szCs w:val="18"/>
              </w:rPr>
              <w:t>SCS (HF)</w:t>
            </w:r>
          </w:p>
          <w:p w14:paraId="6A8AE224" w14:textId="77777777" w:rsidR="006A1EBF" w:rsidRPr="002A36A6" w:rsidRDefault="006A1EBF" w:rsidP="008B5A33">
            <w:pPr>
              <w:pStyle w:val="051Tabletext2210pt"/>
              <w:rPr>
                <w:sz w:val="18"/>
                <w:szCs w:val="18"/>
              </w:rPr>
            </w:pPr>
            <w:r w:rsidRPr="002A36A6">
              <w:rPr>
                <w:sz w:val="18"/>
                <w:szCs w:val="18"/>
              </w:rPr>
              <w:t>Sham</w:t>
            </w:r>
          </w:p>
        </w:tc>
        <w:tc>
          <w:tcPr>
            <w:tcW w:w="0" w:type="auto"/>
          </w:tcPr>
          <w:p w14:paraId="6D127337" w14:textId="2B3ECC4F" w:rsidR="006A1EBF" w:rsidRPr="002A36A6" w:rsidRDefault="006A1EBF"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p>
        </w:tc>
        <w:tc>
          <w:tcPr>
            <w:tcW w:w="0" w:type="auto"/>
          </w:tcPr>
          <w:p w14:paraId="77DAF3A5" w14:textId="77777777" w:rsidR="006A1EBF" w:rsidRPr="002A36A6" w:rsidRDefault="006A1EBF" w:rsidP="008B5A33">
            <w:pPr>
              <w:pStyle w:val="051Tabletext2210pt"/>
              <w:rPr>
                <w:sz w:val="18"/>
                <w:szCs w:val="18"/>
              </w:rPr>
            </w:pPr>
            <w:r w:rsidRPr="002A36A6">
              <w:rPr>
                <w:sz w:val="18"/>
                <w:szCs w:val="18"/>
              </w:rPr>
              <w:t>Medtronic</w:t>
            </w:r>
          </w:p>
          <w:p w14:paraId="25C20C16" w14:textId="77777777" w:rsidR="006A1EBF" w:rsidRPr="002A36A6" w:rsidRDefault="006A1EBF" w:rsidP="008B5A33">
            <w:pPr>
              <w:pStyle w:val="051Tabletext2210pt"/>
              <w:rPr>
                <w:sz w:val="18"/>
                <w:szCs w:val="18"/>
              </w:rPr>
            </w:pPr>
            <w:r w:rsidRPr="002A36A6">
              <w:rPr>
                <w:sz w:val="18"/>
                <w:szCs w:val="18"/>
              </w:rPr>
              <w:t>Yes</w:t>
            </w:r>
          </w:p>
        </w:tc>
        <w:tc>
          <w:tcPr>
            <w:tcW w:w="0" w:type="auto"/>
          </w:tcPr>
          <w:p w14:paraId="2056674F" w14:textId="4E915713" w:rsidR="006A1EBF" w:rsidRPr="002A36A6" w:rsidRDefault="006A1EBF" w:rsidP="008B5A33">
            <w:pPr>
              <w:pStyle w:val="051Tabletext2210pt"/>
              <w:rPr>
                <w:sz w:val="18"/>
                <w:szCs w:val="18"/>
              </w:rPr>
            </w:pPr>
            <w:r w:rsidRPr="002A36A6">
              <w:rPr>
                <w:sz w:val="18"/>
                <w:szCs w:val="18"/>
              </w:rPr>
              <w:t>3</w:t>
            </w:r>
            <w:r w:rsidR="00203AEA">
              <w:rPr>
                <w:sz w:val="18"/>
                <w:szCs w:val="18"/>
              </w:rPr>
              <w:t xml:space="preserve"> </w:t>
            </w:r>
            <w:proofErr w:type="spellStart"/>
            <w:r w:rsidRPr="002A36A6">
              <w:rPr>
                <w:sz w:val="18"/>
                <w:szCs w:val="18"/>
              </w:rPr>
              <w:t>wks</w:t>
            </w:r>
            <w:proofErr w:type="spellEnd"/>
            <w:r w:rsidRPr="002A36A6">
              <w:rPr>
                <w:sz w:val="18"/>
                <w:szCs w:val="18"/>
              </w:rPr>
              <w:t xml:space="preserve"> per </w:t>
            </w:r>
            <w:r w:rsidR="009C738E" w:rsidRPr="002A36A6">
              <w:rPr>
                <w:sz w:val="18"/>
                <w:szCs w:val="18"/>
              </w:rPr>
              <w:t>treatment</w:t>
            </w:r>
          </w:p>
        </w:tc>
      </w:tr>
      <w:tr w:rsidR="006A1EBF" w:rsidRPr="002A36A6" w14:paraId="33907CAD" w14:textId="77777777" w:rsidTr="00535E5A">
        <w:tc>
          <w:tcPr>
            <w:tcW w:w="1276" w:type="dxa"/>
          </w:tcPr>
          <w:p w14:paraId="39B67993" w14:textId="104AE67E" w:rsidR="006A1EBF" w:rsidRPr="002A36A6" w:rsidRDefault="006A1EBF" w:rsidP="008B5A33">
            <w:pPr>
              <w:pStyle w:val="051Tabletext2210pt"/>
              <w:rPr>
                <w:sz w:val="18"/>
                <w:szCs w:val="18"/>
              </w:rPr>
            </w:pPr>
            <w:proofErr w:type="spellStart"/>
            <w:r w:rsidRPr="002A36A6">
              <w:rPr>
                <w:sz w:val="18"/>
                <w:szCs w:val="18"/>
              </w:rPr>
              <w:lastRenderedPageBreak/>
              <w:t>Eldabe</w:t>
            </w:r>
            <w:proofErr w:type="spellEnd"/>
            <w:r w:rsidRPr="002A36A6">
              <w:rPr>
                <w:sz w:val="18"/>
                <w:szCs w:val="18"/>
              </w:rPr>
              <w:t xml:space="preserve"> 2021</w:t>
            </w:r>
          </w:p>
          <w:p w14:paraId="2862CFF3" w14:textId="14CCB301" w:rsidR="006A1EBF" w:rsidRPr="002A36A6" w:rsidRDefault="006A1EBF" w:rsidP="008B5A33">
            <w:pPr>
              <w:pStyle w:val="051Tabletext2210pt"/>
              <w:rPr>
                <w:sz w:val="18"/>
                <w:szCs w:val="18"/>
              </w:rPr>
            </w:pPr>
          </w:p>
        </w:tc>
        <w:tc>
          <w:tcPr>
            <w:tcW w:w="1047" w:type="dxa"/>
          </w:tcPr>
          <w:p w14:paraId="71D0650E" w14:textId="77777777" w:rsidR="006A1EBF" w:rsidRPr="002A36A6" w:rsidRDefault="006A1EBF" w:rsidP="008B5A33">
            <w:pPr>
              <w:pStyle w:val="051Tabletext2210pt"/>
              <w:rPr>
                <w:sz w:val="18"/>
                <w:szCs w:val="18"/>
              </w:rPr>
            </w:pPr>
            <w:r w:rsidRPr="002A36A6">
              <w:rPr>
                <w:sz w:val="18"/>
                <w:szCs w:val="18"/>
              </w:rPr>
              <w:t>Cross-over RCT</w:t>
            </w:r>
          </w:p>
        </w:tc>
        <w:tc>
          <w:tcPr>
            <w:tcW w:w="1363" w:type="dxa"/>
          </w:tcPr>
          <w:p w14:paraId="62C1CABC" w14:textId="77777777" w:rsidR="006A1EBF" w:rsidRPr="002A36A6" w:rsidRDefault="006A1EBF" w:rsidP="008B5A33">
            <w:pPr>
              <w:pStyle w:val="051Tabletext2210pt"/>
              <w:rPr>
                <w:sz w:val="18"/>
                <w:szCs w:val="18"/>
              </w:rPr>
            </w:pPr>
            <w:r w:rsidRPr="002A36A6">
              <w:rPr>
                <w:sz w:val="18"/>
                <w:szCs w:val="18"/>
              </w:rPr>
              <w:t>Chronic back pain</w:t>
            </w:r>
          </w:p>
          <w:p w14:paraId="168DDEE9" w14:textId="77777777" w:rsidR="006A1EBF" w:rsidRDefault="00FE5033" w:rsidP="008B5A33">
            <w:pPr>
              <w:pStyle w:val="051Tabletext2210pt"/>
              <w:rPr>
                <w:sz w:val="18"/>
                <w:szCs w:val="18"/>
              </w:rPr>
            </w:pPr>
            <w:r>
              <w:rPr>
                <w:sz w:val="18"/>
                <w:szCs w:val="18"/>
              </w:rPr>
              <w:t>(</w:t>
            </w:r>
            <w:r w:rsidR="006A1EBF" w:rsidRPr="002A36A6">
              <w:rPr>
                <w:sz w:val="18"/>
                <w:szCs w:val="18"/>
              </w:rPr>
              <w:t>SCS responders</w:t>
            </w:r>
            <w:r>
              <w:rPr>
                <w:sz w:val="18"/>
                <w:szCs w:val="18"/>
              </w:rPr>
              <w:t>)</w:t>
            </w:r>
          </w:p>
          <w:p w14:paraId="3F8B89DB" w14:textId="51CEA7E6" w:rsidR="006A1EBF" w:rsidRPr="002A36A6" w:rsidRDefault="00BD39C6" w:rsidP="008B5A33">
            <w:pPr>
              <w:pStyle w:val="051Tabletext2210pt"/>
              <w:rPr>
                <w:sz w:val="18"/>
                <w:szCs w:val="18"/>
              </w:rPr>
            </w:pPr>
            <w:r w:rsidRPr="002A36A6">
              <w:rPr>
                <w:sz w:val="18"/>
                <w:szCs w:val="18"/>
              </w:rPr>
              <w:t>19</w:t>
            </w:r>
          </w:p>
        </w:tc>
        <w:tc>
          <w:tcPr>
            <w:tcW w:w="1680" w:type="dxa"/>
          </w:tcPr>
          <w:p w14:paraId="67345E30" w14:textId="77777777" w:rsidR="006A1EBF" w:rsidRPr="002A36A6" w:rsidRDefault="006A1EBF" w:rsidP="008B5A33">
            <w:pPr>
              <w:pStyle w:val="051Tabletext2210pt"/>
              <w:rPr>
                <w:sz w:val="18"/>
                <w:szCs w:val="18"/>
              </w:rPr>
            </w:pPr>
            <w:r w:rsidRPr="002A36A6">
              <w:rPr>
                <w:sz w:val="18"/>
                <w:szCs w:val="18"/>
              </w:rPr>
              <w:t>SCS (burst)</w:t>
            </w:r>
          </w:p>
          <w:p w14:paraId="5F0E4A27" w14:textId="77777777" w:rsidR="006A1EBF" w:rsidRPr="002A36A6" w:rsidRDefault="006A1EBF" w:rsidP="008B5A33">
            <w:pPr>
              <w:pStyle w:val="051Tabletext2210pt"/>
              <w:rPr>
                <w:sz w:val="18"/>
                <w:szCs w:val="18"/>
              </w:rPr>
            </w:pPr>
            <w:r w:rsidRPr="002A36A6">
              <w:rPr>
                <w:sz w:val="18"/>
                <w:szCs w:val="18"/>
              </w:rPr>
              <w:t>Sham</w:t>
            </w:r>
          </w:p>
        </w:tc>
        <w:tc>
          <w:tcPr>
            <w:tcW w:w="0" w:type="auto"/>
          </w:tcPr>
          <w:p w14:paraId="423F9787" w14:textId="1D46F3CE" w:rsidR="006A1EBF" w:rsidRPr="002A36A6" w:rsidRDefault="006A1EBF"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proofErr w:type="spellStart"/>
            <w:r w:rsidRPr="002A36A6">
              <w:rPr>
                <w:sz w:val="18"/>
                <w:szCs w:val="18"/>
              </w:rPr>
              <w:t>HRQoL</w:t>
            </w:r>
            <w:proofErr w:type="spellEnd"/>
          </w:p>
        </w:tc>
        <w:tc>
          <w:tcPr>
            <w:tcW w:w="0" w:type="auto"/>
          </w:tcPr>
          <w:p w14:paraId="1CA4FC53" w14:textId="77777777" w:rsidR="006A1EBF" w:rsidRPr="002A36A6" w:rsidRDefault="006A1EBF" w:rsidP="008B5A33">
            <w:pPr>
              <w:pStyle w:val="051Tabletext2210pt"/>
              <w:rPr>
                <w:sz w:val="18"/>
                <w:szCs w:val="18"/>
              </w:rPr>
            </w:pPr>
            <w:r w:rsidRPr="002A36A6">
              <w:rPr>
                <w:sz w:val="18"/>
                <w:szCs w:val="18"/>
              </w:rPr>
              <w:t>Medtronic</w:t>
            </w:r>
          </w:p>
          <w:p w14:paraId="0070AD4F" w14:textId="77777777" w:rsidR="006A1EBF" w:rsidRPr="002A36A6" w:rsidRDefault="006A1EBF" w:rsidP="008B5A33">
            <w:pPr>
              <w:pStyle w:val="051Tabletext2210pt"/>
              <w:rPr>
                <w:sz w:val="18"/>
                <w:szCs w:val="18"/>
              </w:rPr>
            </w:pPr>
            <w:r w:rsidRPr="002A36A6">
              <w:rPr>
                <w:sz w:val="18"/>
                <w:szCs w:val="18"/>
              </w:rPr>
              <w:t>Yes</w:t>
            </w:r>
          </w:p>
        </w:tc>
        <w:tc>
          <w:tcPr>
            <w:tcW w:w="0" w:type="auto"/>
          </w:tcPr>
          <w:p w14:paraId="7DB5692A" w14:textId="0BD2576B" w:rsidR="006A1EBF" w:rsidRPr="002A36A6" w:rsidRDefault="006A1EBF" w:rsidP="008B5A33">
            <w:pPr>
              <w:pStyle w:val="051Tabletext2210pt"/>
              <w:rPr>
                <w:sz w:val="18"/>
                <w:szCs w:val="18"/>
              </w:rPr>
            </w:pPr>
            <w:r w:rsidRPr="002A36A6">
              <w:rPr>
                <w:sz w:val="18"/>
                <w:szCs w:val="18"/>
              </w:rPr>
              <w:t>2</w:t>
            </w:r>
            <w:r w:rsidR="00AD0F93">
              <w:rPr>
                <w:sz w:val="18"/>
                <w:szCs w:val="18"/>
              </w:rPr>
              <w:t xml:space="preserve"> </w:t>
            </w:r>
            <w:proofErr w:type="spellStart"/>
            <w:r w:rsidRPr="002A36A6">
              <w:rPr>
                <w:sz w:val="18"/>
                <w:szCs w:val="18"/>
              </w:rPr>
              <w:t>wks</w:t>
            </w:r>
            <w:proofErr w:type="spellEnd"/>
            <w:r w:rsidRPr="002A36A6">
              <w:rPr>
                <w:sz w:val="18"/>
                <w:szCs w:val="18"/>
              </w:rPr>
              <w:t xml:space="preserve"> per </w:t>
            </w:r>
            <w:r w:rsidR="009C738E" w:rsidRPr="002A36A6">
              <w:rPr>
                <w:sz w:val="18"/>
                <w:szCs w:val="18"/>
              </w:rPr>
              <w:t>treatment</w:t>
            </w:r>
          </w:p>
        </w:tc>
      </w:tr>
      <w:tr w:rsidR="006A1EBF" w:rsidRPr="002A36A6" w14:paraId="0D308B52" w14:textId="77777777" w:rsidTr="00535E5A">
        <w:tc>
          <w:tcPr>
            <w:tcW w:w="1276" w:type="dxa"/>
          </w:tcPr>
          <w:p w14:paraId="3FA4A0AA" w14:textId="7299EF17" w:rsidR="006A1EBF" w:rsidRPr="002A36A6" w:rsidRDefault="006A1EBF" w:rsidP="008B5A33">
            <w:pPr>
              <w:pStyle w:val="051Tabletext2210pt"/>
              <w:rPr>
                <w:sz w:val="18"/>
                <w:szCs w:val="18"/>
              </w:rPr>
            </w:pPr>
            <w:proofErr w:type="spellStart"/>
            <w:r w:rsidRPr="002A36A6">
              <w:rPr>
                <w:sz w:val="18"/>
                <w:szCs w:val="18"/>
              </w:rPr>
              <w:t>Kriek</w:t>
            </w:r>
            <w:proofErr w:type="spellEnd"/>
            <w:r w:rsidRPr="002A36A6">
              <w:rPr>
                <w:sz w:val="18"/>
                <w:szCs w:val="18"/>
              </w:rPr>
              <w:t xml:space="preserve"> 2017</w:t>
            </w:r>
          </w:p>
          <w:p w14:paraId="29B46C2E" w14:textId="5AC084C3" w:rsidR="006A1EBF" w:rsidRPr="002A36A6" w:rsidRDefault="006A1EBF" w:rsidP="008B5A33">
            <w:pPr>
              <w:pStyle w:val="051Tabletext2210pt"/>
              <w:rPr>
                <w:sz w:val="18"/>
                <w:szCs w:val="18"/>
              </w:rPr>
            </w:pPr>
          </w:p>
        </w:tc>
        <w:tc>
          <w:tcPr>
            <w:tcW w:w="1047" w:type="dxa"/>
          </w:tcPr>
          <w:p w14:paraId="09A6F310" w14:textId="77777777" w:rsidR="006A1EBF" w:rsidRPr="002A36A6" w:rsidRDefault="006A1EBF" w:rsidP="008B5A33">
            <w:pPr>
              <w:pStyle w:val="051Tabletext2210pt"/>
              <w:rPr>
                <w:sz w:val="18"/>
                <w:szCs w:val="18"/>
              </w:rPr>
            </w:pPr>
            <w:r w:rsidRPr="002A36A6">
              <w:rPr>
                <w:sz w:val="18"/>
                <w:szCs w:val="18"/>
              </w:rPr>
              <w:t>Cross-over RCT</w:t>
            </w:r>
          </w:p>
        </w:tc>
        <w:tc>
          <w:tcPr>
            <w:tcW w:w="1363" w:type="dxa"/>
          </w:tcPr>
          <w:p w14:paraId="34E67559" w14:textId="77777777" w:rsidR="006A1EBF" w:rsidRDefault="006A1EBF" w:rsidP="008B5A33">
            <w:pPr>
              <w:pStyle w:val="051Tabletext2210pt"/>
              <w:rPr>
                <w:sz w:val="18"/>
                <w:szCs w:val="18"/>
              </w:rPr>
            </w:pPr>
            <w:r w:rsidRPr="002A36A6">
              <w:rPr>
                <w:sz w:val="18"/>
                <w:szCs w:val="18"/>
              </w:rPr>
              <w:t>CRPS</w:t>
            </w:r>
          </w:p>
          <w:p w14:paraId="64C751D3" w14:textId="690E4EF0" w:rsidR="006A1EBF" w:rsidRPr="002A36A6" w:rsidRDefault="00BD39C6" w:rsidP="008B5A33">
            <w:pPr>
              <w:pStyle w:val="051Tabletext2210pt"/>
              <w:rPr>
                <w:sz w:val="18"/>
                <w:szCs w:val="18"/>
              </w:rPr>
            </w:pPr>
            <w:r w:rsidRPr="002A36A6">
              <w:rPr>
                <w:sz w:val="18"/>
                <w:szCs w:val="18"/>
              </w:rPr>
              <w:t>33</w:t>
            </w:r>
          </w:p>
        </w:tc>
        <w:tc>
          <w:tcPr>
            <w:tcW w:w="1680" w:type="dxa"/>
          </w:tcPr>
          <w:p w14:paraId="4D9B0184" w14:textId="77777777" w:rsidR="006A1EBF" w:rsidRPr="002A36A6" w:rsidRDefault="006A1EBF" w:rsidP="008B5A33">
            <w:pPr>
              <w:pStyle w:val="051Tabletext2210pt"/>
              <w:rPr>
                <w:sz w:val="18"/>
                <w:szCs w:val="18"/>
              </w:rPr>
            </w:pPr>
            <w:r w:rsidRPr="002A36A6">
              <w:rPr>
                <w:sz w:val="18"/>
                <w:szCs w:val="18"/>
              </w:rPr>
              <w:t>SCS (conventional, HF, burst)</w:t>
            </w:r>
          </w:p>
          <w:p w14:paraId="4E95F414" w14:textId="77777777" w:rsidR="006A1EBF" w:rsidRPr="002A36A6" w:rsidRDefault="006A1EBF" w:rsidP="008B5A33">
            <w:pPr>
              <w:pStyle w:val="051Tabletext2210pt"/>
              <w:rPr>
                <w:sz w:val="18"/>
                <w:szCs w:val="18"/>
              </w:rPr>
            </w:pPr>
            <w:r w:rsidRPr="002A36A6">
              <w:rPr>
                <w:sz w:val="18"/>
                <w:szCs w:val="18"/>
              </w:rPr>
              <w:t>Sham</w:t>
            </w:r>
          </w:p>
        </w:tc>
        <w:tc>
          <w:tcPr>
            <w:tcW w:w="0" w:type="auto"/>
          </w:tcPr>
          <w:p w14:paraId="69C175E9" w14:textId="1F976280" w:rsidR="006A1EBF" w:rsidRPr="002A36A6" w:rsidRDefault="006A1EBF"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r w:rsidR="004E69A4">
              <w:rPr>
                <w:sz w:val="18"/>
                <w:szCs w:val="18"/>
              </w:rPr>
              <w:t>m</w:t>
            </w:r>
            <w:r w:rsidRPr="002A36A6">
              <w:rPr>
                <w:sz w:val="18"/>
                <w:szCs w:val="18"/>
              </w:rPr>
              <w:t>edication use, DASH, walking ability, costs</w:t>
            </w:r>
          </w:p>
        </w:tc>
        <w:tc>
          <w:tcPr>
            <w:tcW w:w="0" w:type="auto"/>
          </w:tcPr>
          <w:p w14:paraId="3DD552E5" w14:textId="77777777" w:rsidR="006A1EBF" w:rsidRPr="002A36A6" w:rsidRDefault="006A1EBF" w:rsidP="008B5A33">
            <w:pPr>
              <w:pStyle w:val="051Tabletext2210pt"/>
              <w:rPr>
                <w:sz w:val="18"/>
                <w:szCs w:val="18"/>
              </w:rPr>
            </w:pPr>
            <w:r w:rsidRPr="002A36A6">
              <w:rPr>
                <w:sz w:val="18"/>
                <w:szCs w:val="18"/>
              </w:rPr>
              <w:t>St Jude Medical</w:t>
            </w:r>
          </w:p>
          <w:p w14:paraId="3BDA0092" w14:textId="77777777" w:rsidR="006A1EBF" w:rsidRPr="002A36A6" w:rsidRDefault="006A1EBF" w:rsidP="008B5A33">
            <w:pPr>
              <w:pStyle w:val="051Tabletext2210pt"/>
              <w:rPr>
                <w:sz w:val="18"/>
                <w:szCs w:val="18"/>
              </w:rPr>
            </w:pPr>
            <w:r w:rsidRPr="002A36A6">
              <w:rPr>
                <w:sz w:val="18"/>
                <w:szCs w:val="18"/>
              </w:rPr>
              <w:t>Yes</w:t>
            </w:r>
          </w:p>
        </w:tc>
        <w:tc>
          <w:tcPr>
            <w:tcW w:w="0" w:type="auto"/>
          </w:tcPr>
          <w:p w14:paraId="3554B1AA" w14:textId="544BB840" w:rsidR="006A1EBF" w:rsidRPr="002A36A6" w:rsidRDefault="006A1EBF" w:rsidP="008B5A33">
            <w:pPr>
              <w:pStyle w:val="051Tabletext2210pt"/>
              <w:rPr>
                <w:sz w:val="18"/>
                <w:szCs w:val="18"/>
              </w:rPr>
            </w:pPr>
            <w:r w:rsidRPr="002A36A6">
              <w:rPr>
                <w:sz w:val="18"/>
                <w:szCs w:val="18"/>
              </w:rPr>
              <w:t>2</w:t>
            </w:r>
            <w:r w:rsidR="007D771B">
              <w:rPr>
                <w:sz w:val="18"/>
                <w:szCs w:val="18"/>
              </w:rPr>
              <w:t xml:space="preserve"> </w:t>
            </w:r>
            <w:proofErr w:type="spellStart"/>
            <w:r w:rsidRPr="002A36A6">
              <w:rPr>
                <w:sz w:val="18"/>
                <w:szCs w:val="18"/>
              </w:rPr>
              <w:t>wks</w:t>
            </w:r>
            <w:proofErr w:type="spellEnd"/>
            <w:r w:rsidRPr="002A36A6">
              <w:rPr>
                <w:sz w:val="18"/>
                <w:szCs w:val="18"/>
              </w:rPr>
              <w:t xml:space="preserve"> per </w:t>
            </w:r>
            <w:r w:rsidR="009C738E" w:rsidRPr="002A36A6">
              <w:rPr>
                <w:sz w:val="18"/>
                <w:szCs w:val="18"/>
              </w:rPr>
              <w:t>treatment</w:t>
            </w:r>
          </w:p>
        </w:tc>
      </w:tr>
      <w:tr w:rsidR="006A1EBF" w:rsidRPr="002A36A6" w14:paraId="4D96C805" w14:textId="77777777" w:rsidTr="00535E5A">
        <w:tc>
          <w:tcPr>
            <w:tcW w:w="1276" w:type="dxa"/>
          </w:tcPr>
          <w:p w14:paraId="1FBC3FAC" w14:textId="0496F0D0" w:rsidR="006A1EBF" w:rsidRPr="002A36A6" w:rsidRDefault="006A1EBF" w:rsidP="008B5A33">
            <w:pPr>
              <w:pStyle w:val="051Tabletext2210pt"/>
              <w:rPr>
                <w:sz w:val="18"/>
                <w:szCs w:val="18"/>
              </w:rPr>
            </w:pPr>
            <w:proofErr w:type="spellStart"/>
            <w:r w:rsidRPr="002A36A6">
              <w:rPr>
                <w:sz w:val="18"/>
                <w:szCs w:val="18"/>
              </w:rPr>
              <w:t>Perruchoud</w:t>
            </w:r>
            <w:proofErr w:type="spellEnd"/>
            <w:r w:rsidRPr="002A36A6">
              <w:rPr>
                <w:sz w:val="18"/>
                <w:szCs w:val="18"/>
              </w:rPr>
              <w:t xml:space="preserve"> 2013</w:t>
            </w:r>
          </w:p>
          <w:p w14:paraId="13E360C9" w14:textId="16E680B7" w:rsidR="006A1EBF" w:rsidRPr="002A36A6" w:rsidRDefault="006A1EBF" w:rsidP="008B5A33">
            <w:pPr>
              <w:pStyle w:val="051Tabletext2210pt"/>
              <w:rPr>
                <w:sz w:val="18"/>
                <w:szCs w:val="18"/>
              </w:rPr>
            </w:pPr>
          </w:p>
        </w:tc>
        <w:tc>
          <w:tcPr>
            <w:tcW w:w="1047" w:type="dxa"/>
          </w:tcPr>
          <w:p w14:paraId="1504B472" w14:textId="37BB907C" w:rsidR="006A1EBF" w:rsidRPr="002A36A6" w:rsidRDefault="005E52EC" w:rsidP="008B5A33">
            <w:pPr>
              <w:pStyle w:val="051Tabletext2210pt"/>
              <w:rPr>
                <w:sz w:val="18"/>
                <w:szCs w:val="18"/>
              </w:rPr>
            </w:pPr>
            <w:r>
              <w:rPr>
                <w:sz w:val="18"/>
                <w:szCs w:val="18"/>
              </w:rPr>
              <w:t>C</w:t>
            </w:r>
            <w:r w:rsidR="006A1EBF" w:rsidRPr="002A36A6">
              <w:rPr>
                <w:sz w:val="18"/>
                <w:szCs w:val="18"/>
              </w:rPr>
              <w:t>ross-over RCT</w:t>
            </w:r>
          </w:p>
        </w:tc>
        <w:tc>
          <w:tcPr>
            <w:tcW w:w="1363" w:type="dxa"/>
          </w:tcPr>
          <w:p w14:paraId="72FE02F0" w14:textId="77777777" w:rsidR="006A1EBF" w:rsidRDefault="006A1EBF" w:rsidP="008B5A33">
            <w:pPr>
              <w:pStyle w:val="051Tabletext2210pt"/>
              <w:rPr>
                <w:sz w:val="18"/>
                <w:szCs w:val="18"/>
              </w:rPr>
            </w:pPr>
            <w:r w:rsidRPr="002A36A6">
              <w:rPr>
                <w:sz w:val="18"/>
                <w:szCs w:val="18"/>
              </w:rPr>
              <w:t>Persistent pain (already receiving SCS)</w:t>
            </w:r>
          </w:p>
          <w:p w14:paraId="708B4072" w14:textId="277765FF" w:rsidR="006A1EBF" w:rsidRPr="002A36A6" w:rsidRDefault="00BD39C6" w:rsidP="008B5A33">
            <w:pPr>
              <w:pStyle w:val="051Tabletext2210pt"/>
              <w:rPr>
                <w:sz w:val="18"/>
                <w:szCs w:val="18"/>
              </w:rPr>
            </w:pPr>
            <w:r w:rsidRPr="002A36A6">
              <w:rPr>
                <w:sz w:val="18"/>
                <w:szCs w:val="18"/>
              </w:rPr>
              <w:t>38</w:t>
            </w:r>
          </w:p>
        </w:tc>
        <w:tc>
          <w:tcPr>
            <w:tcW w:w="1680" w:type="dxa"/>
          </w:tcPr>
          <w:p w14:paraId="293436BF" w14:textId="77777777" w:rsidR="006A1EBF" w:rsidRPr="002A36A6" w:rsidRDefault="006A1EBF" w:rsidP="008B5A33">
            <w:pPr>
              <w:pStyle w:val="051Tabletext2210pt"/>
              <w:rPr>
                <w:sz w:val="18"/>
                <w:szCs w:val="18"/>
              </w:rPr>
            </w:pPr>
            <w:r w:rsidRPr="002A36A6">
              <w:rPr>
                <w:sz w:val="18"/>
                <w:szCs w:val="18"/>
              </w:rPr>
              <w:t>SCS (HF)</w:t>
            </w:r>
          </w:p>
          <w:p w14:paraId="5325156D" w14:textId="77777777" w:rsidR="006A1EBF" w:rsidRPr="002A36A6" w:rsidRDefault="006A1EBF" w:rsidP="008B5A33">
            <w:pPr>
              <w:pStyle w:val="051Tabletext2210pt"/>
              <w:rPr>
                <w:sz w:val="18"/>
                <w:szCs w:val="18"/>
              </w:rPr>
            </w:pPr>
            <w:r w:rsidRPr="002A36A6">
              <w:rPr>
                <w:sz w:val="18"/>
                <w:szCs w:val="18"/>
              </w:rPr>
              <w:t>Sham</w:t>
            </w:r>
          </w:p>
        </w:tc>
        <w:tc>
          <w:tcPr>
            <w:tcW w:w="0" w:type="auto"/>
          </w:tcPr>
          <w:p w14:paraId="50B3E0D8" w14:textId="62937E46" w:rsidR="006A1EBF" w:rsidRPr="002A36A6" w:rsidRDefault="006A1EBF"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w:t>
            </w:r>
            <w:proofErr w:type="spellStart"/>
            <w:r w:rsidRPr="002A36A6">
              <w:rPr>
                <w:sz w:val="18"/>
                <w:szCs w:val="18"/>
              </w:rPr>
              <w:t>HRQoL</w:t>
            </w:r>
            <w:proofErr w:type="spellEnd"/>
            <w:r w:rsidRPr="002A36A6">
              <w:rPr>
                <w:sz w:val="18"/>
                <w:szCs w:val="18"/>
              </w:rPr>
              <w:t xml:space="preserve">, </w:t>
            </w:r>
            <w:r w:rsidR="00ED2C6A">
              <w:rPr>
                <w:sz w:val="18"/>
                <w:szCs w:val="18"/>
              </w:rPr>
              <w:t>m</w:t>
            </w:r>
            <w:r w:rsidRPr="002A36A6">
              <w:rPr>
                <w:sz w:val="18"/>
                <w:szCs w:val="18"/>
              </w:rPr>
              <w:t>edication use</w:t>
            </w:r>
          </w:p>
        </w:tc>
        <w:tc>
          <w:tcPr>
            <w:tcW w:w="0" w:type="auto"/>
          </w:tcPr>
          <w:p w14:paraId="1FC5AE0A" w14:textId="77777777" w:rsidR="006A1EBF" w:rsidRPr="002A36A6" w:rsidRDefault="006A1EBF" w:rsidP="008B5A33">
            <w:pPr>
              <w:pStyle w:val="051Tabletext2210pt"/>
              <w:rPr>
                <w:sz w:val="18"/>
                <w:szCs w:val="18"/>
              </w:rPr>
            </w:pPr>
            <w:r w:rsidRPr="002A36A6">
              <w:rPr>
                <w:sz w:val="18"/>
                <w:szCs w:val="18"/>
              </w:rPr>
              <w:t>Medtronic</w:t>
            </w:r>
          </w:p>
          <w:p w14:paraId="7DB27ADD" w14:textId="77777777" w:rsidR="006A1EBF" w:rsidRPr="002A36A6" w:rsidRDefault="006A1EBF" w:rsidP="008B5A33">
            <w:pPr>
              <w:pStyle w:val="051Tabletext2210pt"/>
              <w:rPr>
                <w:sz w:val="18"/>
                <w:szCs w:val="18"/>
              </w:rPr>
            </w:pPr>
            <w:r w:rsidRPr="002A36A6">
              <w:rPr>
                <w:sz w:val="18"/>
                <w:szCs w:val="18"/>
              </w:rPr>
              <w:t>Yes</w:t>
            </w:r>
          </w:p>
        </w:tc>
        <w:tc>
          <w:tcPr>
            <w:tcW w:w="0" w:type="auto"/>
          </w:tcPr>
          <w:p w14:paraId="43206A32" w14:textId="07BBFC0E" w:rsidR="006A1EBF" w:rsidRPr="002A36A6" w:rsidRDefault="006A1EBF" w:rsidP="008B5A33">
            <w:pPr>
              <w:pStyle w:val="051Tabletext2210pt"/>
              <w:rPr>
                <w:sz w:val="18"/>
                <w:szCs w:val="18"/>
              </w:rPr>
            </w:pPr>
            <w:r w:rsidRPr="002A36A6">
              <w:rPr>
                <w:sz w:val="18"/>
                <w:szCs w:val="18"/>
              </w:rPr>
              <w:t>2</w:t>
            </w:r>
            <w:r w:rsidR="007D771B">
              <w:rPr>
                <w:sz w:val="18"/>
                <w:szCs w:val="18"/>
              </w:rPr>
              <w:t xml:space="preserve"> </w:t>
            </w:r>
            <w:proofErr w:type="spellStart"/>
            <w:r w:rsidRPr="002A36A6">
              <w:rPr>
                <w:sz w:val="18"/>
                <w:szCs w:val="18"/>
              </w:rPr>
              <w:t>wks</w:t>
            </w:r>
            <w:proofErr w:type="spellEnd"/>
            <w:r w:rsidRPr="002A36A6">
              <w:rPr>
                <w:sz w:val="18"/>
                <w:szCs w:val="18"/>
              </w:rPr>
              <w:t xml:space="preserve"> per </w:t>
            </w:r>
            <w:r w:rsidR="00D3608B" w:rsidRPr="002A36A6">
              <w:rPr>
                <w:sz w:val="18"/>
                <w:szCs w:val="18"/>
              </w:rPr>
              <w:t>treatment</w:t>
            </w:r>
          </w:p>
        </w:tc>
      </w:tr>
      <w:tr w:rsidR="007D771B" w:rsidRPr="002A36A6" w14:paraId="22423D72" w14:textId="77777777" w:rsidTr="00535E5A">
        <w:tc>
          <w:tcPr>
            <w:tcW w:w="1276" w:type="dxa"/>
          </w:tcPr>
          <w:p w14:paraId="01B606E6" w14:textId="77777777" w:rsidR="007D771B" w:rsidRPr="002A36A6" w:rsidRDefault="007D771B" w:rsidP="008B5A33">
            <w:pPr>
              <w:pStyle w:val="051Tabletext2210pt"/>
              <w:rPr>
                <w:sz w:val="18"/>
                <w:szCs w:val="18"/>
              </w:rPr>
            </w:pPr>
            <w:proofErr w:type="spellStart"/>
            <w:r w:rsidRPr="002A36A6">
              <w:rPr>
                <w:sz w:val="18"/>
                <w:szCs w:val="18"/>
              </w:rPr>
              <w:t>Sokal</w:t>
            </w:r>
            <w:proofErr w:type="spellEnd"/>
            <w:r w:rsidRPr="002A36A6">
              <w:rPr>
                <w:sz w:val="18"/>
                <w:szCs w:val="18"/>
              </w:rPr>
              <w:t xml:space="preserve"> 2020</w:t>
            </w:r>
          </w:p>
          <w:p w14:paraId="3F33488C" w14:textId="77777777" w:rsidR="007D771B" w:rsidRPr="002A36A6" w:rsidRDefault="007D771B" w:rsidP="008B5A33">
            <w:pPr>
              <w:pStyle w:val="051Tabletext2210pt"/>
              <w:rPr>
                <w:sz w:val="18"/>
                <w:szCs w:val="18"/>
              </w:rPr>
            </w:pPr>
          </w:p>
        </w:tc>
        <w:tc>
          <w:tcPr>
            <w:tcW w:w="1047" w:type="dxa"/>
          </w:tcPr>
          <w:p w14:paraId="2D72F609" w14:textId="77777777" w:rsidR="007D771B" w:rsidRPr="002A36A6" w:rsidRDefault="007D771B" w:rsidP="008B5A33">
            <w:pPr>
              <w:pStyle w:val="051Tabletext2210pt"/>
              <w:rPr>
                <w:sz w:val="18"/>
                <w:szCs w:val="18"/>
              </w:rPr>
            </w:pPr>
            <w:r w:rsidRPr="002A36A6">
              <w:rPr>
                <w:sz w:val="18"/>
                <w:szCs w:val="18"/>
              </w:rPr>
              <w:t>Cross-over RCT</w:t>
            </w:r>
          </w:p>
        </w:tc>
        <w:tc>
          <w:tcPr>
            <w:tcW w:w="1363" w:type="dxa"/>
          </w:tcPr>
          <w:p w14:paraId="2E557337" w14:textId="77777777" w:rsidR="007D771B" w:rsidRDefault="007D771B" w:rsidP="008B5A33">
            <w:pPr>
              <w:pStyle w:val="051Tabletext2210pt"/>
              <w:rPr>
                <w:sz w:val="18"/>
                <w:szCs w:val="18"/>
              </w:rPr>
            </w:pPr>
            <w:r w:rsidRPr="002A36A6">
              <w:rPr>
                <w:sz w:val="18"/>
                <w:szCs w:val="18"/>
              </w:rPr>
              <w:t>Chronic pain</w:t>
            </w:r>
          </w:p>
          <w:p w14:paraId="1F31C472" w14:textId="77777777" w:rsidR="007D771B" w:rsidRPr="002A36A6" w:rsidRDefault="007D771B" w:rsidP="008B5A33">
            <w:pPr>
              <w:pStyle w:val="051Tabletext2210pt"/>
              <w:rPr>
                <w:sz w:val="18"/>
                <w:szCs w:val="18"/>
              </w:rPr>
            </w:pPr>
            <w:r w:rsidRPr="002A36A6">
              <w:rPr>
                <w:sz w:val="18"/>
                <w:szCs w:val="18"/>
              </w:rPr>
              <w:t>18</w:t>
            </w:r>
          </w:p>
        </w:tc>
        <w:tc>
          <w:tcPr>
            <w:tcW w:w="1680" w:type="dxa"/>
          </w:tcPr>
          <w:p w14:paraId="534A1D7C" w14:textId="77777777" w:rsidR="007D771B" w:rsidRPr="002A36A6" w:rsidRDefault="007D771B" w:rsidP="008B5A33">
            <w:pPr>
              <w:pStyle w:val="051Tabletext2210pt"/>
              <w:rPr>
                <w:sz w:val="18"/>
                <w:szCs w:val="18"/>
              </w:rPr>
            </w:pPr>
            <w:r w:rsidRPr="002A36A6">
              <w:rPr>
                <w:sz w:val="18"/>
                <w:szCs w:val="18"/>
              </w:rPr>
              <w:t>SCS (conventional, burst, HF)</w:t>
            </w:r>
          </w:p>
          <w:p w14:paraId="5D59F03E" w14:textId="77777777" w:rsidR="007D771B" w:rsidRPr="002A36A6" w:rsidRDefault="007D771B" w:rsidP="008B5A33">
            <w:pPr>
              <w:pStyle w:val="051Tabletext2210pt"/>
              <w:rPr>
                <w:sz w:val="18"/>
                <w:szCs w:val="18"/>
              </w:rPr>
            </w:pPr>
            <w:r w:rsidRPr="002A36A6">
              <w:rPr>
                <w:sz w:val="18"/>
                <w:szCs w:val="18"/>
              </w:rPr>
              <w:t>Sham</w:t>
            </w:r>
          </w:p>
        </w:tc>
        <w:tc>
          <w:tcPr>
            <w:tcW w:w="0" w:type="auto"/>
          </w:tcPr>
          <w:p w14:paraId="5E625E54" w14:textId="358C0F06" w:rsidR="007D771B" w:rsidRPr="002A36A6" w:rsidRDefault="007D771B"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xml:space="preserve">, disability, </w:t>
            </w:r>
            <w:proofErr w:type="spellStart"/>
            <w:r w:rsidRPr="002A36A6">
              <w:rPr>
                <w:sz w:val="18"/>
                <w:szCs w:val="18"/>
              </w:rPr>
              <w:t>HRQoL</w:t>
            </w:r>
            <w:proofErr w:type="spellEnd"/>
            <w:r w:rsidRPr="002A36A6">
              <w:rPr>
                <w:sz w:val="18"/>
                <w:szCs w:val="18"/>
              </w:rPr>
              <w:t xml:space="preserve">, </w:t>
            </w:r>
            <w:r>
              <w:rPr>
                <w:sz w:val="18"/>
                <w:szCs w:val="18"/>
              </w:rPr>
              <w:t>m</w:t>
            </w:r>
            <w:r w:rsidRPr="002A36A6">
              <w:rPr>
                <w:sz w:val="18"/>
                <w:szCs w:val="18"/>
              </w:rPr>
              <w:t>edication use</w:t>
            </w:r>
          </w:p>
        </w:tc>
        <w:tc>
          <w:tcPr>
            <w:tcW w:w="0" w:type="auto"/>
          </w:tcPr>
          <w:p w14:paraId="7EC99441" w14:textId="77777777" w:rsidR="007D771B" w:rsidRPr="002A36A6" w:rsidRDefault="007D771B" w:rsidP="008B5A33">
            <w:pPr>
              <w:pStyle w:val="051Tabletext2210pt"/>
              <w:rPr>
                <w:sz w:val="18"/>
                <w:szCs w:val="18"/>
              </w:rPr>
            </w:pPr>
            <w:r w:rsidRPr="002A36A6">
              <w:rPr>
                <w:sz w:val="18"/>
                <w:szCs w:val="18"/>
              </w:rPr>
              <w:t>None</w:t>
            </w:r>
          </w:p>
          <w:p w14:paraId="1649765B" w14:textId="77777777" w:rsidR="007D771B" w:rsidRPr="002A36A6" w:rsidRDefault="007D771B" w:rsidP="008B5A33">
            <w:pPr>
              <w:pStyle w:val="051Tabletext2210pt"/>
              <w:rPr>
                <w:sz w:val="18"/>
                <w:szCs w:val="18"/>
              </w:rPr>
            </w:pPr>
            <w:r w:rsidRPr="002A36A6">
              <w:rPr>
                <w:sz w:val="18"/>
                <w:szCs w:val="18"/>
              </w:rPr>
              <w:t>Yes</w:t>
            </w:r>
          </w:p>
        </w:tc>
        <w:tc>
          <w:tcPr>
            <w:tcW w:w="0" w:type="auto"/>
          </w:tcPr>
          <w:p w14:paraId="1B4E3489" w14:textId="77777777" w:rsidR="007D771B" w:rsidRPr="002A36A6" w:rsidRDefault="007D771B" w:rsidP="008B5A33">
            <w:pPr>
              <w:pStyle w:val="051Tabletext2210pt"/>
              <w:rPr>
                <w:sz w:val="18"/>
                <w:szCs w:val="18"/>
              </w:rPr>
            </w:pPr>
            <w:r w:rsidRPr="002A36A6">
              <w:rPr>
                <w:sz w:val="18"/>
                <w:szCs w:val="18"/>
              </w:rPr>
              <w:t>2</w:t>
            </w:r>
            <w:r>
              <w:rPr>
                <w:sz w:val="18"/>
                <w:szCs w:val="18"/>
              </w:rPr>
              <w:t xml:space="preserve"> </w:t>
            </w:r>
            <w:proofErr w:type="spellStart"/>
            <w:r w:rsidRPr="002A36A6">
              <w:rPr>
                <w:sz w:val="18"/>
                <w:szCs w:val="18"/>
              </w:rPr>
              <w:t>wks</w:t>
            </w:r>
            <w:proofErr w:type="spellEnd"/>
            <w:r w:rsidRPr="002A36A6">
              <w:rPr>
                <w:sz w:val="18"/>
                <w:szCs w:val="18"/>
              </w:rPr>
              <w:t xml:space="preserve"> per treatment</w:t>
            </w:r>
          </w:p>
        </w:tc>
      </w:tr>
      <w:tr w:rsidR="007D771B" w:rsidRPr="002A36A6" w14:paraId="4B43F4B7" w14:textId="77777777" w:rsidTr="00535E5A">
        <w:tc>
          <w:tcPr>
            <w:tcW w:w="1276" w:type="dxa"/>
          </w:tcPr>
          <w:p w14:paraId="623BF170" w14:textId="77777777" w:rsidR="007D771B" w:rsidRPr="002A36A6" w:rsidRDefault="007D771B" w:rsidP="008B5A33">
            <w:pPr>
              <w:pStyle w:val="051Tabletext2210pt"/>
              <w:rPr>
                <w:sz w:val="18"/>
                <w:szCs w:val="18"/>
              </w:rPr>
            </w:pPr>
            <w:proofErr w:type="spellStart"/>
            <w:r w:rsidRPr="002A36A6">
              <w:rPr>
                <w:sz w:val="18"/>
                <w:szCs w:val="18"/>
              </w:rPr>
              <w:t>Tjepkema-Cloostermans</w:t>
            </w:r>
            <w:proofErr w:type="spellEnd"/>
            <w:r w:rsidRPr="002A36A6">
              <w:rPr>
                <w:sz w:val="18"/>
                <w:szCs w:val="18"/>
              </w:rPr>
              <w:t xml:space="preserve"> 2016</w:t>
            </w:r>
          </w:p>
          <w:p w14:paraId="30AA4A47" w14:textId="77777777" w:rsidR="007D771B" w:rsidRPr="002A36A6" w:rsidRDefault="007D771B" w:rsidP="008B5A33">
            <w:pPr>
              <w:pStyle w:val="051Tabletext2210pt"/>
              <w:rPr>
                <w:sz w:val="18"/>
                <w:szCs w:val="18"/>
              </w:rPr>
            </w:pPr>
          </w:p>
        </w:tc>
        <w:tc>
          <w:tcPr>
            <w:tcW w:w="1047" w:type="dxa"/>
          </w:tcPr>
          <w:p w14:paraId="0FF0518C" w14:textId="77777777" w:rsidR="007D771B" w:rsidRPr="002A36A6" w:rsidRDefault="007D771B" w:rsidP="008B5A33">
            <w:pPr>
              <w:pStyle w:val="051Tabletext2210pt"/>
              <w:rPr>
                <w:sz w:val="18"/>
                <w:szCs w:val="18"/>
              </w:rPr>
            </w:pPr>
            <w:r w:rsidRPr="002A36A6">
              <w:rPr>
                <w:sz w:val="18"/>
                <w:szCs w:val="18"/>
              </w:rPr>
              <w:t>Cross-over RCT</w:t>
            </w:r>
          </w:p>
        </w:tc>
        <w:tc>
          <w:tcPr>
            <w:tcW w:w="1363" w:type="dxa"/>
          </w:tcPr>
          <w:p w14:paraId="117533D7" w14:textId="77777777" w:rsidR="007D771B" w:rsidRDefault="007D771B" w:rsidP="008B5A33">
            <w:pPr>
              <w:pStyle w:val="051Tabletext2210pt"/>
              <w:rPr>
                <w:sz w:val="18"/>
                <w:szCs w:val="18"/>
              </w:rPr>
            </w:pPr>
            <w:r w:rsidRPr="002A36A6">
              <w:rPr>
                <w:sz w:val="18"/>
                <w:szCs w:val="18"/>
              </w:rPr>
              <w:t>Chronic pain (already receiving SCS)</w:t>
            </w:r>
          </w:p>
          <w:p w14:paraId="585279A0" w14:textId="77777777" w:rsidR="007D771B" w:rsidRPr="002A36A6" w:rsidRDefault="007D771B" w:rsidP="008B5A33">
            <w:pPr>
              <w:pStyle w:val="051Tabletext2210pt"/>
              <w:rPr>
                <w:sz w:val="18"/>
                <w:szCs w:val="18"/>
              </w:rPr>
            </w:pPr>
            <w:r w:rsidRPr="002A36A6">
              <w:rPr>
                <w:sz w:val="18"/>
                <w:szCs w:val="18"/>
              </w:rPr>
              <w:t>41</w:t>
            </w:r>
          </w:p>
        </w:tc>
        <w:tc>
          <w:tcPr>
            <w:tcW w:w="1680" w:type="dxa"/>
          </w:tcPr>
          <w:p w14:paraId="6F10C3A4" w14:textId="77777777" w:rsidR="007D771B" w:rsidRPr="002A36A6" w:rsidRDefault="007D771B" w:rsidP="008B5A33">
            <w:pPr>
              <w:pStyle w:val="051Tabletext2210pt"/>
              <w:rPr>
                <w:sz w:val="18"/>
                <w:szCs w:val="18"/>
              </w:rPr>
            </w:pPr>
            <w:r w:rsidRPr="002A36A6">
              <w:rPr>
                <w:sz w:val="18"/>
                <w:szCs w:val="18"/>
              </w:rPr>
              <w:t>SCS (conventional, burst)</w:t>
            </w:r>
          </w:p>
          <w:p w14:paraId="712E6695" w14:textId="77777777" w:rsidR="007D771B" w:rsidRPr="002A36A6" w:rsidRDefault="007D771B" w:rsidP="008B5A33">
            <w:pPr>
              <w:pStyle w:val="051Tabletext2210pt"/>
              <w:rPr>
                <w:sz w:val="18"/>
                <w:szCs w:val="18"/>
              </w:rPr>
            </w:pPr>
            <w:r w:rsidRPr="002A36A6">
              <w:rPr>
                <w:sz w:val="18"/>
                <w:szCs w:val="18"/>
              </w:rPr>
              <w:t>Sham</w:t>
            </w:r>
          </w:p>
        </w:tc>
        <w:tc>
          <w:tcPr>
            <w:tcW w:w="0" w:type="auto"/>
          </w:tcPr>
          <w:p w14:paraId="1C2253A6" w14:textId="1B0D4A35" w:rsidR="007D771B" w:rsidRPr="002A36A6" w:rsidRDefault="007D771B"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QoL</w:t>
            </w:r>
          </w:p>
        </w:tc>
        <w:tc>
          <w:tcPr>
            <w:tcW w:w="0" w:type="auto"/>
          </w:tcPr>
          <w:p w14:paraId="6BEFC1F9" w14:textId="77777777" w:rsidR="007D771B" w:rsidRPr="002A36A6" w:rsidRDefault="007D771B" w:rsidP="008B5A33">
            <w:pPr>
              <w:pStyle w:val="051Tabletext2210pt"/>
              <w:rPr>
                <w:sz w:val="18"/>
                <w:szCs w:val="18"/>
              </w:rPr>
            </w:pPr>
            <w:r w:rsidRPr="002A36A6">
              <w:rPr>
                <w:sz w:val="18"/>
                <w:szCs w:val="18"/>
              </w:rPr>
              <w:t>None</w:t>
            </w:r>
          </w:p>
          <w:p w14:paraId="67F14FE9" w14:textId="77777777" w:rsidR="007D771B" w:rsidRPr="002A36A6" w:rsidRDefault="007D771B" w:rsidP="008B5A33">
            <w:pPr>
              <w:pStyle w:val="051Tabletext2210pt"/>
              <w:rPr>
                <w:sz w:val="18"/>
                <w:szCs w:val="18"/>
              </w:rPr>
            </w:pPr>
            <w:r w:rsidRPr="002A36A6">
              <w:rPr>
                <w:sz w:val="18"/>
                <w:szCs w:val="18"/>
              </w:rPr>
              <w:t>NR</w:t>
            </w:r>
          </w:p>
        </w:tc>
        <w:tc>
          <w:tcPr>
            <w:tcW w:w="0" w:type="auto"/>
          </w:tcPr>
          <w:p w14:paraId="2F93918F" w14:textId="77777777" w:rsidR="007D771B" w:rsidRPr="002A36A6" w:rsidRDefault="007D771B" w:rsidP="008B5A33">
            <w:pPr>
              <w:pStyle w:val="051Tabletext2210pt"/>
              <w:rPr>
                <w:sz w:val="18"/>
                <w:szCs w:val="18"/>
              </w:rPr>
            </w:pPr>
            <w:r w:rsidRPr="002A36A6">
              <w:rPr>
                <w:sz w:val="18"/>
                <w:szCs w:val="18"/>
              </w:rPr>
              <w:t>2</w:t>
            </w:r>
            <w:r>
              <w:rPr>
                <w:sz w:val="18"/>
                <w:szCs w:val="18"/>
              </w:rPr>
              <w:t xml:space="preserve"> </w:t>
            </w:r>
            <w:proofErr w:type="spellStart"/>
            <w:r w:rsidRPr="002A36A6">
              <w:rPr>
                <w:sz w:val="18"/>
                <w:szCs w:val="18"/>
              </w:rPr>
              <w:t>wks</w:t>
            </w:r>
            <w:proofErr w:type="spellEnd"/>
            <w:r w:rsidRPr="002A36A6">
              <w:rPr>
                <w:sz w:val="18"/>
                <w:szCs w:val="18"/>
              </w:rPr>
              <w:t xml:space="preserve"> per treatment</w:t>
            </w:r>
          </w:p>
        </w:tc>
      </w:tr>
      <w:tr w:rsidR="006A1EBF" w:rsidRPr="002A36A6" w14:paraId="61967733" w14:textId="77777777" w:rsidTr="00535E5A">
        <w:tc>
          <w:tcPr>
            <w:tcW w:w="1276" w:type="dxa"/>
          </w:tcPr>
          <w:p w14:paraId="564E2160" w14:textId="70F9B789" w:rsidR="006A1EBF" w:rsidRPr="002A36A6" w:rsidRDefault="006A1EBF" w:rsidP="008B5A33">
            <w:pPr>
              <w:pStyle w:val="051Tabletext2210pt"/>
              <w:rPr>
                <w:sz w:val="18"/>
                <w:szCs w:val="18"/>
              </w:rPr>
            </w:pPr>
            <w:proofErr w:type="spellStart"/>
            <w:r w:rsidRPr="002A36A6">
              <w:rPr>
                <w:sz w:val="18"/>
                <w:szCs w:val="18"/>
              </w:rPr>
              <w:t>Schu</w:t>
            </w:r>
            <w:proofErr w:type="spellEnd"/>
            <w:r w:rsidRPr="002A36A6">
              <w:rPr>
                <w:sz w:val="18"/>
                <w:szCs w:val="18"/>
              </w:rPr>
              <w:t xml:space="preserve"> 2014</w:t>
            </w:r>
          </w:p>
          <w:p w14:paraId="0E633E10" w14:textId="00D37E3E" w:rsidR="006A1EBF" w:rsidRPr="002A36A6" w:rsidRDefault="006A1EBF" w:rsidP="008B5A33">
            <w:pPr>
              <w:pStyle w:val="051Tabletext2210pt"/>
              <w:rPr>
                <w:sz w:val="18"/>
                <w:szCs w:val="18"/>
              </w:rPr>
            </w:pPr>
          </w:p>
        </w:tc>
        <w:tc>
          <w:tcPr>
            <w:tcW w:w="1047" w:type="dxa"/>
          </w:tcPr>
          <w:p w14:paraId="1050ABA8" w14:textId="77777777" w:rsidR="006A1EBF" w:rsidRPr="002A36A6" w:rsidRDefault="006A1EBF" w:rsidP="008B5A33">
            <w:pPr>
              <w:pStyle w:val="051Tabletext2210pt"/>
              <w:rPr>
                <w:sz w:val="18"/>
                <w:szCs w:val="18"/>
              </w:rPr>
            </w:pPr>
            <w:r w:rsidRPr="002A36A6">
              <w:rPr>
                <w:sz w:val="18"/>
                <w:szCs w:val="18"/>
              </w:rPr>
              <w:t>Cross-over RCT</w:t>
            </w:r>
          </w:p>
        </w:tc>
        <w:tc>
          <w:tcPr>
            <w:tcW w:w="1363" w:type="dxa"/>
          </w:tcPr>
          <w:p w14:paraId="6A412E55" w14:textId="77777777" w:rsidR="006A1EBF" w:rsidRDefault="006A1EBF" w:rsidP="008B5A33">
            <w:pPr>
              <w:pStyle w:val="051Tabletext2210pt"/>
              <w:rPr>
                <w:sz w:val="18"/>
                <w:szCs w:val="18"/>
              </w:rPr>
            </w:pPr>
            <w:r w:rsidRPr="002A36A6">
              <w:rPr>
                <w:sz w:val="18"/>
                <w:szCs w:val="18"/>
              </w:rPr>
              <w:t>FBSS (already receiving SCS)</w:t>
            </w:r>
          </w:p>
          <w:p w14:paraId="01D5F638" w14:textId="6C1A4653" w:rsidR="006A1EBF" w:rsidRPr="002A36A6" w:rsidRDefault="00BD39C6" w:rsidP="008B5A33">
            <w:pPr>
              <w:pStyle w:val="051Tabletext2210pt"/>
              <w:rPr>
                <w:sz w:val="18"/>
                <w:szCs w:val="18"/>
              </w:rPr>
            </w:pPr>
            <w:r w:rsidRPr="002A36A6">
              <w:rPr>
                <w:sz w:val="18"/>
                <w:szCs w:val="18"/>
              </w:rPr>
              <w:t>20</w:t>
            </w:r>
          </w:p>
        </w:tc>
        <w:tc>
          <w:tcPr>
            <w:tcW w:w="1680" w:type="dxa"/>
          </w:tcPr>
          <w:p w14:paraId="08537FF0" w14:textId="77777777" w:rsidR="006A1EBF" w:rsidRPr="002A36A6" w:rsidRDefault="006A1EBF" w:rsidP="008B5A33">
            <w:pPr>
              <w:pStyle w:val="051Tabletext2210pt"/>
              <w:rPr>
                <w:sz w:val="18"/>
                <w:szCs w:val="18"/>
              </w:rPr>
            </w:pPr>
            <w:r w:rsidRPr="002A36A6">
              <w:rPr>
                <w:sz w:val="18"/>
                <w:szCs w:val="18"/>
              </w:rPr>
              <w:t>SCS (conventional, burst)</w:t>
            </w:r>
          </w:p>
          <w:p w14:paraId="065FD982" w14:textId="77777777" w:rsidR="006A1EBF" w:rsidRPr="002A36A6" w:rsidRDefault="006A1EBF" w:rsidP="008B5A33">
            <w:pPr>
              <w:pStyle w:val="051Tabletext2210pt"/>
              <w:rPr>
                <w:sz w:val="18"/>
                <w:szCs w:val="18"/>
              </w:rPr>
            </w:pPr>
            <w:r w:rsidRPr="002A36A6">
              <w:rPr>
                <w:sz w:val="18"/>
                <w:szCs w:val="18"/>
              </w:rPr>
              <w:t>Sham</w:t>
            </w:r>
          </w:p>
        </w:tc>
        <w:tc>
          <w:tcPr>
            <w:tcW w:w="0" w:type="auto"/>
          </w:tcPr>
          <w:p w14:paraId="262806FE" w14:textId="491F36EB" w:rsidR="006A1EBF" w:rsidRPr="002A36A6" w:rsidRDefault="006A1EBF" w:rsidP="008B5A33">
            <w:pPr>
              <w:pStyle w:val="051Tabletext2210pt"/>
              <w:rPr>
                <w:sz w:val="18"/>
                <w:szCs w:val="18"/>
              </w:rPr>
            </w:pPr>
            <w:r w:rsidRPr="002A36A6">
              <w:rPr>
                <w:sz w:val="18"/>
                <w:szCs w:val="18"/>
              </w:rPr>
              <w:t xml:space="preserve">Pain intensity, </w:t>
            </w:r>
            <w:r w:rsidR="00112AC6">
              <w:rPr>
                <w:sz w:val="18"/>
                <w:szCs w:val="18"/>
              </w:rPr>
              <w:t>A</w:t>
            </w:r>
            <w:r w:rsidR="00112AC6" w:rsidRPr="002A36A6">
              <w:rPr>
                <w:sz w:val="18"/>
                <w:szCs w:val="18"/>
              </w:rPr>
              <w:t>Es</w:t>
            </w:r>
            <w:r w:rsidRPr="002A36A6">
              <w:rPr>
                <w:sz w:val="18"/>
                <w:szCs w:val="18"/>
              </w:rPr>
              <w:t>, disability</w:t>
            </w:r>
          </w:p>
        </w:tc>
        <w:tc>
          <w:tcPr>
            <w:tcW w:w="0" w:type="auto"/>
          </w:tcPr>
          <w:p w14:paraId="68A10063" w14:textId="77777777" w:rsidR="006A1EBF" w:rsidRPr="002A36A6" w:rsidRDefault="006A1EBF" w:rsidP="008B5A33">
            <w:pPr>
              <w:pStyle w:val="051Tabletext2210pt"/>
              <w:rPr>
                <w:sz w:val="18"/>
                <w:szCs w:val="18"/>
              </w:rPr>
            </w:pPr>
            <w:r w:rsidRPr="002A36A6">
              <w:rPr>
                <w:sz w:val="18"/>
                <w:szCs w:val="18"/>
              </w:rPr>
              <w:t>St Jude Medical</w:t>
            </w:r>
          </w:p>
          <w:p w14:paraId="0398BF2B" w14:textId="77777777" w:rsidR="006A1EBF" w:rsidRPr="002A36A6" w:rsidRDefault="006A1EBF" w:rsidP="008B5A33">
            <w:pPr>
              <w:pStyle w:val="051Tabletext2210pt"/>
              <w:rPr>
                <w:sz w:val="18"/>
                <w:szCs w:val="18"/>
              </w:rPr>
            </w:pPr>
            <w:r w:rsidRPr="002A36A6">
              <w:rPr>
                <w:sz w:val="18"/>
                <w:szCs w:val="18"/>
              </w:rPr>
              <w:t>Yes</w:t>
            </w:r>
          </w:p>
        </w:tc>
        <w:tc>
          <w:tcPr>
            <w:tcW w:w="0" w:type="auto"/>
          </w:tcPr>
          <w:p w14:paraId="15EA8900" w14:textId="1C51AB3D" w:rsidR="006A1EBF" w:rsidRPr="002A36A6" w:rsidRDefault="006A1EBF" w:rsidP="008B5A33">
            <w:pPr>
              <w:pStyle w:val="051Tabletext2210pt"/>
              <w:rPr>
                <w:sz w:val="18"/>
                <w:szCs w:val="18"/>
              </w:rPr>
            </w:pPr>
            <w:r w:rsidRPr="002A36A6">
              <w:rPr>
                <w:sz w:val="18"/>
                <w:szCs w:val="18"/>
              </w:rPr>
              <w:t xml:space="preserve">1 </w:t>
            </w:r>
            <w:proofErr w:type="spellStart"/>
            <w:r w:rsidRPr="002A36A6">
              <w:rPr>
                <w:sz w:val="18"/>
                <w:szCs w:val="18"/>
              </w:rPr>
              <w:t>wk</w:t>
            </w:r>
            <w:proofErr w:type="spellEnd"/>
            <w:r w:rsidRPr="002A36A6">
              <w:rPr>
                <w:sz w:val="18"/>
                <w:szCs w:val="18"/>
              </w:rPr>
              <w:t xml:space="preserve"> per </w:t>
            </w:r>
            <w:r w:rsidR="009C738E" w:rsidRPr="002A36A6">
              <w:rPr>
                <w:sz w:val="18"/>
                <w:szCs w:val="18"/>
              </w:rPr>
              <w:t>treatment</w:t>
            </w:r>
          </w:p>
        </w:tc>
      </w:tr>
      <w:tr w:rsidR="007D771B" w:rsidRPr="002A36A6" w14:paraId="1BFA028A" w14:textId="77777777" w:rsidTr="00535E5A">
        <w:tc>
          <w:tcPr>
            <w:tcW w:w="1276" w:type="dxa"/>
          </w:tcPr>
          <w:p w14:paraId="4BEDFBB0" w14:textId="77777777" w:rsidR="007D771B" w:rsidRPr="002A36A6" w:rsidRDefault="007D771B" w:rsidP="008B5A33">
            <w:pPr>
              <w:pStyle w:val="051Tabletext2210pt"/>
              <w:rPr>
                <w:sz w:val="18"/>
                <w:szCs w:val="18"/>
              </w:rPr>
            </w:pPr>
            <w:r w:rsidRPr="002A36A6">
              <w:rPr>
                <w:sz w:val="18"/>
                <w:szCs w:val="18"/>
              </w:rPr>
              <w:t>De Ridder 2013</w:t>
            </w:r>
          </w:p>
          <w:p w14:paraId="03DD5D8B" w14:textId="77777777" w:rsidR="007D771B" w:rsidRPr="002A36A6" w:rsidRDefault="007D771B" w:rsidP="008B5A33">
            <w:pPr>
              <w:pStyle w:val="051Tabletext2210pt"/>
              <w:rPr>
                <w:sz w:val="18"/>
                <w:szCs w:val="18"/>
              </w:rPr>
            </w:pPr>
          </w:p>
        </w:tc>
        <w:tc>
          <w:tcPr>
            <w:tcW w:w="1047" w:type="dxa"/>
          </w:tcPr>
          <w:p w14:paraId="5E5A3F5D" w14:textId="77777777" w:rsidR="007D771B" w:rsidRPr="002A36A6" w:rsidRDefault="007D771B" w:rsidP="008B5A33">
            <w:pPr>
              <w:pStyle w:val="051Tabletext2210pt"/>
              <w:rPr>
                <w:sz w:val="18"/>
                <w:szCs w:val="18"/>
              </w:rPr>
            </w:pPr>
            <w:r w:rsidRPr="002A36A6">
              <w:rPr>
                <w:sz w:val="18"/>
                <w:szCs w:val="18"/>
              </w:rPr>
              <w:t>Cross-over RCT</w:t>
            </w:r>
          </w:p>
        </w:tc>
        <w:tc>
          <w:tcPr>
            <w:tcW w:w="1363" w:type="dxa"/>
          </w:tcPr>
          <w:p w14:paraId="473DB085" w14:textId="77777777" w:rsidR="007D771B" w:rsidRDefault="007D771B" w:rsidP="008B5A33">
            <w:pPr>
              <w:pStyle w:val="051Tabletext2210pt"/>
              <w:rPr>
                <w:sz w:val="18"/>
                <w:szCs w:val="18"/>
              </w:rPr>
            </w:pPr>
            <w:r w:rsidRPr="002A36A6">
              <w:rPr>
                <w:sz w:val="18"/>
                <w:szCs w:val="18"/>
              </w:rPr>
              <w:t>Chronic limb or back pain</w:t>
            </w:r>
          </w:p>
          <w:p w14:paraId="24A9C113" w14:textId="77777777" w:rsidR="007D771B" w:rsidRPr="002A36A6" w:rsidRDefault="007D771B" w:rsidP="008B5A33">
            <w:pPr>
              <w:pStyle w:val="051Tabletext2210pt"/>
              <w:rPr>
                <w:sz w:val="18"/>
                <w:szCs w:val="18"/>
              </w:rPr>
            </w:pPr>
            <w:r w:rsidRPr="002A36A6">
              <w:rPr>
                <w:sz w:val="18"/>
                <w:szCs w:val="18"/>
              </w:rPr>
              <w:t>15</w:t>
            </w:r>
          </w:p>
        </w:tc>
        <w:tc>
          <w:tcPr>
            <w:tcW w:w="1680" w:type="dxa"/>
          </w:tcPr>
          <w:p w14:paraId="1F60B8D1" w14:textId="77777777" w:rsidR="007D771B" w:rsidRPr="002A36A6" w:rsidRDefault="007D771B" w:rsidP="008B5A33">
            <w:pPr>
              <w:pStyle w:val="051Tabletext2210pt"/>
              <w:rPr>
                <w:sz w:val="18"/>
                <w:szCs w:val="18"/>
              </w:rPr>
            </w:pPr>
            <w:r w:rsidRPr="002A36A6">
              <w:rPr>
                <w:sz w:val="18"/>
                <w:szCs w:val="18"/>
              </w:rPr>
              <w:t>SCS (conventional, burst)</w:t>
            </w:r>
          </w:p>
          <w:p w14:paraId="5C9EE544" w14:textId="77777777" w:rsidR="007D771B" w:rsidRPr="002A36A6" w:rsidRDefault="007D771B" w:rsidP="008B5A33">
            <w:pPr>
              <w:pStyle w:val="051Tabletext2210pt"/>
              <w:rPr>
                <w:sz w:val="18"/>
                <w:szCs w:val="18"/>
              </w:rPr>
            </w:pPr>
            <w:r w:rsidRPr="002A36A6">
              <w:rPr>
                <w:sz w:val="18"/>
                <w:szCs w:val="18"/>
              </w:rPr>
              <w:t>Placebo</w:t>
            </w:r>
          </w:p>
        </w:tc>
        <w:tc>
          <w:tcPr>
            <w:tcW w:w="0" w:type="auto"/>
          </w:tcPr>
          <w:p w14:paraId="56CE5C82" w14:textId="77777777" w:rsidR="007D771B" w:rsidRPr="002A36A6" w:rsidRDefault="007D771B" w:rsidP="008B5A33">
            <w:pPr>
              <w:pStyle w:val="051Tabletext2210pt"/>
              <w:rPr>
                <w:sz w:val="18"/>
                <w:szCs w:val="18"/>
              </w:rPr>
            </w:pPr>
            <w:r w:rsidRPr="002A36A6">
              <w:rPr>
                <w:sz w:val="18"/>
                <w:szCs w:val="18"/>
              </w:rPr>
              <w:t>Pain intensity</w:t>
            </w:r>
          </w:p>
        </w:tc>
        <w:tc>
          <w:tcPr>
            <w:tcW w:w="0" w:type="auto"/>
          </w:tcPr>
          <w:p w14:paraId="45BFDC44" w14:textId="77777777" w:rsidR="007D771B" w:rsidRPr="002A36A6" w:rsidRDefault="007D771B" w:rsidP="008B5A33">
            <w:pPr>
              <w:pStyle w:val="051Tabletext2210pt"/>
              <w:rPr>
                <w:sz w:val="18"/>
                <w:szCs w:val="18"/>
              </w:rPr>
            </w:pPr>
            <w:r w:rsidRPr="002A36A6">
              <w:rPr>
                <w:sz w:val="18"/>
                <w:szCs w:val="18"/>
              </w:rPr>
              <w:t>NR</w:t>
            </w:r>
          </w:p>
          <w:p w14:paraId="6C71EBE6" w14:textId="77777777" w:rsidR="007D771B" w:rsidRPr="002A36A6" w:rsidRDefault="007D771B" w:rsidP="008B5A33">
            <w:pPr>
              <w:pStyle w:val="051Tabletext2210pt"/>
              <w:rPr>
                <w:sz w:val="18"/>
                <w:szCs w:val="18"/>
              </w:rPr>
            </w:pPr>
            <w:r w:rsidRPr="002A36A6">
              <w:rPr>
                <w:sz w:val="18"/>
                <w:szCs w:val="18"/>
              </w:rPr>
              <w:t>Yes</w:t>
            </w:r>
          </w:p>
        </w:tc>
        <w:tc>
          <w:tcPr>
            <w:tcW w:w="0" w:type="auto"/>
          </w:tcPr>
          <w:p w14:paraId="6973D688" w14:textId="77777777" w:rsidR="007D771B" w:rsidRPr="002A36A6" w:rsidRDefault="007D771B" w:rsidP="008B5A33">
            <w:pPr>
              <w:pStyle w:val="051Tabletext2210pt"/>
              <w:rPr>
                <w:sz w:val="18"/>
                <w:szCs w:val="18"/>
              </w:rPr>
            </w:pPr>
            <w:r w:rsidRPr="002A36A6">
              <w:rPr>
                <w:sz w:val="18"/>
                <w:szCs w:val="18"/>
              </w:rPr>
              <w:t>1</w:t>
            </w:r>
            <w:r>
              <w:rPr>
                <w:sz w:val="18"/>
                <w:szCs w:val="18"/>
              </w:rPr>
              <w:t xml:space="preserve"> </w:t>
            </w:r>
            <w:proofErr w:type="spellStart"/>
            <w:r w:rsidRPr="002A36A6">
              <w:rPr>
                <w:sz w:val="18"/>
                <w:szCs w:val="18"/>
              </w:rPr>
              <w:t>wk</w:t>
            </w:r>
            <w:proofErr w:type="spellEnd"/>
            <w:r w:rsidRPr="002A36A6">
              <w:rPr>
                <w:sz w:val="18"/>
                <w:szCs w:val="18"/>
              </w:rPr>
              <w:t xml:space="preserve"> per treatment</w:t>
            </w:r>
          </w:p>
        </w:tc>
      </w:tr>
    </w:tbl>
    <w:p w14:paraId="08A0EF30" w14:textId="69A9777E" w:rsidR="006A1EBF" w:rsidRDefault="006A1EBF" w:rsidP="006A1EBF">
      <w:pPr>
        <w:pStyle w:val="111Tablefootnoteslast-nostick8pt"/>
      </w:pPr>
      <w:r w:rsidRPr="00D05DB6">
        <w:t>Abbreviations: AE, adverse event; BMT, best medical treatment; CMM, c</w:t>
      </w:r>
      <w:r w:rsidR="005B55BE">
        <w:t>onventional</w:t>
      </w:r>
      <w:r w:rsidRPr="00D05DB6">
        <w:t xml:space="preserve"> medical management; CRPS, complex regional pain syndrome; DASH,</w:t>
      </w:r>
      <w:r>
        <w:t xml:space="preserve"> </w:t>
      </w:r>
      <w:r w:rsidRPr="004C2970">
        <w:t>Disabilities of the Arm, Shoulder, and Hand Questionnaire</w:t>
      </w:r>
      <w:r>
        <w:t>; FBSS, failed back surgery syndrome; HF, high</w:t>
      </w:r>
      <w:r w:rsidR="00572B21">
        <w:t>-</w:t>
      </w:r>
      <w:r>
        <w:t xml:space="preserve">frequency; </w:t>
      </w:r>
      <w:proofErr w:type="spellStart"/>
      <w:r>
        <w:t>HRQoL</w:t>
      </w:r>
      <w:proofErr w:type="spellEnd"/>
      <w:r>
        <w:t>, health-related quality of life;</w:t>
      </w:r>
      <w:r w:rsidR="002914A6">
        <w:t xml:space="preserve"> </w:t>
      </w:r>
      <w:proofErr w:type="spellStart"/>
      <w:r w:rsidR="002914A6">
        <w:t>mo</w:t>
      </w:r>
      <w:proofErr w:type="spellEnd"/>
      <w:r w:rsidR="002914A6">
        <w:t>, months;</w:t>
      </w:r>
      <w:r>
        <w:t xml:space="preserve"> NR, not reported; ODI, </w:t>
      </w:r>
      <w:r w:rsidRPr="00F25A33">
        <w:t>Oswestry Disability Index</w:t>
      </w:r>
      <w:r>
        <w:t xml:space="preserve">; OMM, </w:t>
      </w:r>
      <w:r w:rsidRPr="00CF1668">
        <w:t>optimal medical management</w:t>
      </w:r>
      <w:r>
        <w:t xml:space="preserve">; QALY, quality-adjusted life year; QoL, quality of life; PDN, </w:t>
      </w:r>
      <w:r w:rsidRPr="00D413C9">
        <w:t>painful diabetic neuropathy</w:t>
      </w:r>
      <w:r>
        <w:t>; RCT, randomi</w:t>
      </w:r>
      <w:r w:rsidR="00375593">
        <w:t>s</w:t>
      </w:r>
      <w:r>
        <w:t>ed controlled trial; SCS, spinal cord stimulat</w:t>
      </w:r>
      <w:r w:rsidR="005B55BE">
        <w:t>ion</w:t>
      </w:r>
      <w:r w:rsidR="002914A6">
        <w:t xml:space="preserve">; </w:t>
      </w:r>
      <w:proofErr w:type="spellStart"/>
      <w:r w:rsidR="002914A6">
        <w:t>wk</w:t>
      </w:r>
      <w:proofErr w:type="spellEnd"/>
      <w:r w:rsidR="002914A6">
        <w:t>(s), weeks</w:t>
      </w:r>
      <w:r w:rsidR="00535E5A">
        <w:t xml:space="preserve">; </w:t>
      </w:r>
      <w:proofErr w:type="spellStart"/>
      <w:r w:rsidR="00535E5A">
        <w:t>yrs</w:t>
      </w:r>
      <w:proofErr w:type="spellEnd"/>
      <w:r w:rsidR="00535E5A">
        <w:t>, years.</w:t>
      </w:r>
    </w:p>
    <w:p w14:paraId="2104C3D4" w14:textId="396A03FF" w:rsidR="006A1EBF" w:rsidRDefault="006A1EBF" w:rsidP="006A1EBF">
      <w:pPr>
        <w:pStyle w:val="BodyText"/>
      </w:pPr>
      <w:r>
        <w:t xml:space="preserve">The SR did not find any eligible </w:t>
      </w:r>
      <w:r w:rsidR="009B3A2E">
        <w:t>RCTs</w:t>
      </w:r>
      <w:r>
        <w:t xml:space="preserve"> on DRGS. A range of pain conditions were included across the studies</w:t>
      </w:r>
      <w:r w:rsidR="00867CFA">
        <w:t>.</w:t>
      </w:r>
      <w:r>
        <w:t xml:space="preserve"> </w:t>
      </w:r>
      <w:r w:rsidR="000D66AB">
        <w:t>A</w:t>
      </w:r>
      <w:r>
        <w:t xml:space="preserve"> minimum pain level of at least 4/10 on a visual analogue scale</w:t>
      </w:r>
      <w:r w:rsidR="000D66AB">
        <w:t xml:space="preserve"> was required for inclusion in the review, although some studies had higher levels</w:t>
      </w:r>
      <w:r>
        <w:t xml:space="preserve">. Ten studies stated that pain must be refractory to previous treatment. Four studies included participants who were already implanted with SCS at the time of recruitment. </w:t>
      </w:r>
    </w:p>
    <w:p w14:paraId="4ED9691E" w14:textId="77B8D588" w:rsidR="006A1EBF" w:rsidRDefault="006A1EBF" w:rsidP="006A1EBF">
      <w:pPr>
        <w:pStyle w:val="BodyText"/>
      </w:pPr>
      <w:r>
        <w:t>All of the cross-over RCTs provided data on short</w:t>
      </w:r>
      <w:r w:rsidR="00251768">
        <w:t>-</w:t>
      </w:r>
      <w:r>
        <w:t>term outcomes only</w:t>
      </w:r>
      <w:r w:rsidR="006A7ABC">
        <w:t>,</w:t>
      </w:r>
      <w:r>
        <w:t xml:space="preserve"> with the comparator treatment being ‘sham’. Of the </w:t>
      </w:r>
      <w:r w:rsidR="006A7ABC">
        <w:t xml:space="preserve">six </w:t>
      </w:r>
      <w:r>
        <w:t>parallel trials</w:t>
      </w:r>
      <w:r w:rsidR="00310F01">
        <w:t>,</w:t>
      </w:r>
      <w:r>
        <w:t xml:space="preserve"> all compared SCS plus other management to other management alone</w:t>
      </w:r>
      <w:r w:rsidR="00417053">
        <w:t>;</w:t>
      </w:r>
      <w:r>
        <w:t xml:space="preserve"> none compared SCS to an alternative treatment. </w:t>
      </w:r>
    </w:p>
    <w:p w14:paraId="05A27A38" w14:textId="3794CB7B" w:rsidR="006A1EBF" w:rsidRDefault="006A1EBF" w:rsidP="006A1EBF">
      <w:pPr>
        <w:pStyle w:val="BodyText"/>
      </w:pPr>
      <w:r>
        <w:t>All of the included outcomes were rated as having an overall high risk of bias by the authors. All parallel studies were open-label with neither participants nor clinicians blinded to the interventions. Blinding in the cross-over, sham stimulation studies was broadly considered suboptimal</w:t>
      </w:r>
      <w:r w:rsidR="00417053">
        <w:t>;</w:t>
      </w:r>
      <w:r>
        <w:t xml:space="preserve"> furthermore</w:t>
      </w:r>
      <w:r w:rsidR="00417053">
        <w:t>,</w:t>
      </w:r>
      <w:r>
        <w:t xml:space="preserve"> these studies tended to lack washout periods and to utilise per-protocol type analyses. Most outcomes </w:t>
      </w:r>
      <w:r w:rsidR="00761C9A">
        <w:t>we</w:t>
      </w:r>
      <w:r>
        <w:t xml:space="preserve">re subjective and self-reported while information on how </w:t>
      </w:r>
      <w:r w:rsidR="00004217">
        <w:t xml:space="preserve">AEs </w:t>
      </w:r>
      <w:r>
        <w:t xml:space="preserve">were classified or surveyed was poorly reported.  </w:t>
      </w:r>
    </w:p>
    <w:p w14:paraId="7881C2EE" w14:textId="75631DA0" w:rsidR="00392D65" w:rsidRDefault="006A1EBF" w:rsidP="00392D65">
      <w:pPr>
        <w:pStyle w:val="BodyText"/>
      </w:pPr>
      <w:r>
        <w:t>Twenty ongoing studies that evaluated SCS or DRGS were identified</w:t>
      </w:r>
      <w:r w:rsidR="00DC7C3C">
        <w:t xml:space="preserve"> in the SR;</w:t>
      </w:r>
      <w:r>
        <w:t xml:space="preserve"> these are listed in</w:t>
      </w:r>
      <w:r w:rsidR="00A3535C">
        <w:t xml:space="preserve"> </w:t>
      </w:r>
      <w:r w:rsidR="00311D76">
        <w:t xml:space="preserve">Appendix </w:t>
      </w:r>
      <w:r w:rsidR="00311D76">
        <w:rPr>
          <w:highlight w:val="yellow"/>
        </w:rPr>
        <w:fldChar w:fldCharType="begin"/>
      </w:r>
      <w:r w:rsidR="00311D76">
        <w:instrText xml:space="preserve"> REF _Ref134615601 \n \h </w:instrText>
      </w:r>
      <w:r w:rsidR="00392D65">
        <w:rPr>
          <w:highlight w:val="yellow"/>
        </w:rPr>
        <w:instrText xml:space="preserve"> \* MERGEFORMAT </w:instrText>
      </w:r>
      <w:r w:rsidR="00311D76">
        <w:rPr>
          <w:highlight w:val="yellow"/>
        </w:rPr>
      </w:r>
      <w:r w:rsidR="00311D76">
        <w:rPr>
          <w:highlight w:val="yellow"/>
        </w:rPr>
        <w:fldChar w:fldCharType="separate"/>
      </w:r>
      <w:r w:rsidR="00CE6ACA">
        <w:t>C.1.1</w:t>
      </w:r>
      <w:r w:rsidR="00311D76">
        <w:rPr>
          <w:highlight w:val="yellow"/>
        </w:rPr>
        <w:fldChar w:fldCharType="end"/>
      </w:r>
      <w:r w:rsidR="00311D76">
        <w:t xml:space="preserve">, </w:t>
      </w:r>
      <w:r w:rsidR="00BF173B">
        <w:fldChar w:fldCharType="begin"/>
      </w:r>
      <w:r w:rsidR="00BF173B">
        <w:instrText xml:space="preserve"> REF _Ref135048213 \h </w:instrText>
      </w:r>
      <w:r w:rsidR="00BF173B">
        <w:fldChar w:fldCharType="separate"/>
      </w:r>
      <w:r w:rsidR="00CE6ACA">
        <w:t xml:space="preserve">Table App </w:t>
      </w:r>
      <w:r w:rsidR="00CE6ACA">
        <w:rPr>
          <w:noProof/>
        </w:rPr>
        <w:t>5</w:t>
      </w:r>
      <w:r w:rsidR="00BF173B">
        <w:fldChar w:fldCharType="end"/>
      </w:r>
      <w:r w:rsidR="00701F84">
        <w:t xml:space="preserve"> and </w:t>
      </w:r>
      <w:r w:rsidR="00392D65">
        <w:rPr>
          <w:b/>
          <w:iCs/>
          <w:sz w:val="20"/>
          <w:szCs w:val="18"/>
        </w:rPr>
        <w:fldChar w:fldCharType="begin"/>
      </w:r>
      <w:r w:rsidR="00392D65">
        <w:instrText xml:space="preserve"> REF _Ref165465451 \h </w:instrText>
      </w:r>
      <w:r w:rsidR="00392D65">
        <w:rPr>
          <w:b/>
          <w:iCs/>
          <w:sz w:val="20"/>
          <w:szCs w:val="18"/>
        </w:rPr>
      </w:r>
      <w:r w:rsidR="00392D65">
        <w:rPr>
          <w:b/>
          <w:iCs/>
          <w:sz w:val="20"/>
          <w:szCs w:val="18"/>
        </w:rPr>
        <w:fldChar w:fldCharType="separate"/>
      </w:r>
      <w:r w:rsidR="00CE6ACA">
        <w:t xml:space="preserve">Table App </w:t>
      </w:r>
      <w:r w:rsidR="00CE6ACA">
        <w:rPr>
          <w:noProof/>
        </w:rPr>
        <w:t>6</w:t>
      </w:r>
      <w:r w:rsidR="00392D65">
        <w:rPr>
          <w:b/>
          <w:iCs/>
          <w:sz w:val="20"/>
          <w:szCs w:val="18"/>
        </w:rPr>
        <w:fldChar w:fldCharType="end"/>
      </w:r>
      <w:r w:rsidR="00124998">
        <w:rPr>
          <w:b/>
          <w:iCs/>
          <w:sz w:val="20"/>
          <w:szCs w:val="18"/>
        </w:rPr>
        <w:t>.</w:t>
      </w:r>
    </w:p>
    <w:p w14:paraId="7B535E67" w14:textId="77777777" w:rsidR="006A1EBF" w:rsidRDefault="006A1EBF" w:rsidP="00DD260A">
      <w:pPr>
        <w:pStyle w:val="Heading4"/>
      </w:pPr>
      <w:r>
        <w:lastRenderedPageBreak/>
        <w:t>Findings</w:t>
      </w:r>
    </w:p>
    <w:p w14:paraId="48599EC3" w14:textId="0C9FCE00" w:rsidR="006A1EBF" w:rsidRDefault="006A1EBF" w:rsidP="006A1EBF">
      <w:pPr>
        <w:pStyle w:val="Heading5"/>
      </w:pPr>
      <w:r>
        <w:t>Spinal cord stimulation versus placebo</w:t>
      </w:r>
      <w:r w:rsidR="00396B35">
        <w:t xml:space="preserve"> (sham stimulation)</w:t>
      </w:r>
    </w:p>
    <w:p w14:paraId="312C76BB" w14:textId="254F2FE6" w:rsidR="006A1EBF" w:rsidRDefault="006A1EBF" w:rsidP="006A1EBF">
      <w:pPr>
        <w:pStyle w:val="BodyText"/>
      </w:pPr>
      <w:r>
        <w:t xml:space="preserve">The nine cross-over RCTs </w:t>
      </w:r>
      <w:r w:rsidR="00A01BED">
        <w:t>that</w:t>
      </w:r>
      <w:r>
        <w:t xml:space="preserve"> compared SCS with placebo/sham stimulation all reported short-term outcomes only and, as all participants were implanted with SCS devices, they do not provide comparative data on </w:t>
      </w:r>
      <w:r w:rsidR="00004217">
        <w:t>AEs</w:t>
      </w:r>
      <w:r>
        <w:t xml:space="preserve">. </w:t>
      </w:r>
    </w:p>
    <w:p w14:paraId="11D3C040" w14:textId="5D007ABA" w:rsidR="006A1EBF" w:rsidRDefault="006A1EBF" w:rsidP="006A1EBF">
      <w:pPr>
        <w:pStyle w:val="BodyText"/>
      </w:pPr>
      <w:r>
        <w:t xml:space="preserve">The was evidence of a small effect in favour of SCS for reduced pain intensity (MD -8.73, 95% CI -15.67 to </w:t>
      </w:r>
      <w:r w:rsidR="005B36D3">
        <w:t>-</w:t>
      </w:r>
      <w:r w:rsidR="00205D1D">
        <w:t> </w:t>
      </w:r>
      <w:r>
        <w:t>1.78, P = 0.005, I</w:t>
      </w:r>
      <w:r w:rsidRPr="00966CCE">
        <w:rPr>
          <w:vertAlign w:val="superscript"/>
        </w:rPr>
        <w:t>2</w:t>
      </w:r>
      <w:r>
        <w:t xml:space="preserve"> = 58% </w:t>
      </w:r>
      <w:r w:rsidR="003D0E57">
        <w:t>[</w:t>
      </w:r>
      <w:r w:rsidR="004F2393">
        <w:t>6 RCTs</w:t>
      </w:r>
      <w:r>
        <w:t>, 164</w:t>
      </w:r>
      <w:r w:rsidR="009760FF">
        <w:t xml:space="preserve"> participants]</w:t>
      </w:r>
      <w:r>
        <w:t>)</w:t>
      </w:r>
      <w:r w:rsidR="00A04A8E">
        <w:t>,</w:t>
      </w:r>
      <w:r>
        <w:t xml:space="preserve"> which is below the pre-specified threshold for a clinically important effect (MD of 10). The authors rated the outcome as very</w:t>
      </w:r>
      <w:r w:rsidR="00880265">
        <w:t xml:space="preserve"> </w:t>
      </w:r>
      <w:r>
        <w:t xml:space="preserve">low certainty (GRADE). </w:t>
      </w:r>
    </w:p>
    <w:p w14:paraId="03830256" w14:textId="77777777" w:rsidR="006A1EBF" w:rsidRDefault="006A1EBF" w:rsidP="006A1EBF">
      <w:pPr>
        <w:pStyle w:val="Heading5"/>
      </w:pPr>
      <w:r>
        <w:t>Spinal cord stimulation plus other intervention versus other intervention</w:t>
      </w:r>
    </w:p>
    <w:p w14:paraId="53FD61BA" w14:textId="17E650A5" w:rsidR="006A1EBF" w:rsidRPr="008D61E4" w:rsidRDefault="006A1EBF" w:rsidP="006A1EBF">
      <w:pPr>
        <w:pStyle w:val="BodyText"/>
      </w:pPr>
      <w:r>
        <w:t xml:space="preserve">The parallel RCTs </w:t>
      </w:r>
      <w:r w:rsidR="005C53F4">
        <w:t>that</w:t>
      </w:r>
      <w:r>
        <w:t xml:space="preserve"> compared SCS plus another intervention (medical management or physical therapy) against that intervention alone were informative at all time points, therefore the </w:t>
      </w:r>
      <w:r w:rsidR="0024684D">
        <w:t>medium- and long-term</w:t>
      </w:r>
      <w:r>
        <w:t xml:space="preserve"> outcomes are reported here. </w:t>
      </w:r>
    </w:p>
    <w:p w14:paraId="3A9AF729" w14:textId="77777777" w:rsidR="006A1EBF" w:rsidRPr="00110DA3" w:rsidRDefault="006A1EBF" w:rsidP="006A1EBF">
      <w:pPr>
        <w:pStyle w:val="Heading6"/>
      </w:pPr>
      <w:r>
        <w:t>Pain intensity</w:t>
      </w:r>
    </w:p>
    <w:p w14:paraId="6608AA85" w14:textId="7B6DB0A2" w:rsidR="006A1EBF" w:rsidRDefault="006A1EBF" w:rsidP="006A1EBF">
      <w:pPr>
        <w:pStyle w:val="BodyText"/>
      </w:pPr>
      <w:r>
        <w:t xml:space="preserve">Results from five </w:t>
      </w:r>
      <w:r w:rsidR="009F50F9">
        <w:t>RCTs</w:t>
      </w:r>
      <w:r>
        <w:t xml:space="preserve"> (N=635) provided evidence of a large reduction in pain intensity at medium</w:t>
      </w:r>
      <w:r w:rsidR="008361EE">
        <w:t>-</w:t>
      </w:r>
      <w:r>
        <w:t xml:space="preserve">term follow-up (MD </w:t>
      </w:r>
      <w:r w:rsidRPr="00F11D07">
        <w:t>-31.22</w:t>
      </w:r>
      <w:r w:rsidR="002D4A6B">
        <w:t>,</w:t>
      </w:r>
      <w:r w:rsidRPr="00F11D07">
        <w:t xml:space="preserve"> 95% CI -47</w:t>
      </w:r>
      <w:r w:rsidR="00262093">
        <w:t>.</w:t>
      </w:r>
      <w:r w:rsidRPr="00F11D07">
        <w:t>34 to -15.10, P &lt; 0.001, I</w:t>
      </w:r>
      <w:r w:rsidRPr="00F9328C">
        <w:rPr>
          <w:vertAlign w:val="superscript"/>
        </w:rPr>
        <w:t>2</w:t>
      </w:r>
      <w:r w:rsidRPr="00F11D07">
        <w:t xml:space="preserve"> = 95%)</w:t>
      </w:r>
      <w:r w:rsidR="00F77958">
        <w:t>.</w:t>
      </w:r>
      <w:r>
        <w:t xml:space="preserve"> </w:t>
      </w:r>
      <w:r w:rsidR="00F77958">
        <w:t>T</w:t>
      </w:r>
      <w:r>
        <w:t xml:space="preserve">here was also a significant effect in favour of SCS for the proportion of participants reporting </w:t>
      </w:r>
      <w:r>
        <w:rPr>
          <w:rFonts w:cs="Calibri"/>
        </w:rPr>
        <w:t>≥</w:t>
      </w:r>
      <w:r>
        <w:t xml:space="preserve">50% pain reduction </w:t>
      </w:r>
      <w:r w:rsidR="00F22EB0">
        <w:t>at medium</w:t>
      </w:r>
      <w:r w:rsidR="008361EE">
        <w:t>-</w:t>
      </w:r>
      <w:r w:rsidR="00F22EB0">
        <w:t xml:space="preserve">term follow-up </w:t>
      </w:r>
      <w:r>
        <w:t>(RR 7.08, 95% CI 3.40 to 14.71, P &lt; 0.001, I</w:t>
      </w:r>
      <w:r w:rsidRPr="00DB1A32">
        <w:rPr>
          <w:vertAlign w:val="superscript"/>
        </w:rPr>
        <w:t>2</w:t>
      </w:r>
      <w:r>
        <w:t xml:space="preserve"> = 43% </w:t>
      </w:r>
      <w:r w:rsidR="00AF38EC">
        <w:t>[</w:t>
      </w:r>
      <w:r>
        <w:t xml:space="preserve">5 </w:t>
      </w:r>
      <w:r w:rsidR="00327E2E">
        <w:t>RCTs</w:t>
      </w:r>
      <w:r>
        <w:t>, 597</w:t>
      </w:r>
      <w:r w:rsidR="00AF38EC">
        <w:t xml:space="preserve"> participants]</w:t>
      </w:r>
      <w:r>
        <w:t>). The authors rated both outcomes as low certainty (GRADE).</w:t>
      </w:r>
    </w:p>
    <w:p w14:paraId="7582AD38" w14:textId="6CFB5E15" w:rsidR="006A1EBF" w:rsidRDefault="006A1EBF" w:rsidP="006A1EBF">
      <w:pPr>
        <w:pStyle w:val="BodyText"/>
      </w:pPr>
      <w:r>
        <w:t>At long-term follow-up</w:t>
      </w:r>
      <w:r w:rsidR="00DB642E">
        <w:t>,</w:t>
      </w:r>
      <w:r>
        <w:t xml:space="preserve"> a single </w:t>
      </w:r>
      <w:r w:rsidR="00DB642E">
        <w:t>RCT</w:t>
      </w:r>
      <w:r>
        <w:t xml:space="preserve"> (N=44) provided results</w:t>
      </w:r>
      <w:r w:rsidR="006B01B6">
        <w:t>;</w:t>
      </w:r>
      <w:r>
        <w:t xml:space="preserve"> there was no clear evidence for an effect on mean difference in pain intensity (MD -7, 95% CI -24.76 to 10.76, P = 0.44). A different study (N=87) provided data on the proportion of participants reporting </w:t>
      </w:r>
      <w:r>
        <w:rPr>
          <w:rFonts w:cs="Calibri"/>
        </w:rPr>
        <w:t>≥</w:t>
      </w:r>
      <w:r>
        <w:t xml:space="preserve">50% pain reduction at </w:t>
      </w:r>
      <w:r w:rsidR="009C2A24">
        <w:t>long-term follow-up</w:t>
      </w:r>
      <w:r>
        <w:t xml:space="preserve"> and </w:t>
      </w:r>
      <w:r w:rsidR="008865D2">
        <w:t>found</w:t>
      </w:r>
      <w:r>
        <w:t xml:space="preserve"> a significant effect in favour of SCS (RR 15.15, 95% CI 2.11 to 108.91, P = 0.007). Both outcomes were rated as very low certainty (GRADE). </w:t>
      </w:r>
    </w:p>
    <w:p w14:paraId="313C35AE" w14:textId="3A1E42AB" w:rsidR="006A1EBF" w:rsidRDefault="006A1EBF" w:rsidP="006A1EBF">
      <w:pPr>
        <w:pStyle w:val="Heading6"/>
      </w:pPr>
      <w:r>
        <w:t>A</w:t>
      </w:r>
      <w:r w:rsidR="005D459F">
        <w:t>dverse events</w:t>
      </w:r>
    </w:p>
    <w:p w14:paraId="6DE42342" w14:textId="6D7E51F1" w:rsidR="006A1EBF" w:rsidRDefault="00004217" w:rsidP="006A1EBF">
      <w:pPr>
        <w:pStyle w:val="BodyText"/>
      </w:pPr>
      <w:r>
        <w:t xml:space="preserve">AEs </w:t>
      </w:r>
      <w:r w:rsidR="006A1EBF">
        <w:t xml:space="preserve">were reported variably and with a lack of detail in the included studies. It is likely they are incompletely reported. </w:t>
      </w:r>
    </w:p>
    <w:p w14:paraId="64298D04" w14:textId="644CF9A9" w:rsidR="006A1EBF" w:rsidRDefault="006A1EBF" w:rsidP="006A1EBF">
      <w:pPr>
        <w:pStyle w:val="BodyText"/>
      </w:pPr>
      <w:r>
        <w:t xml:space="preserve">The </w:t>
      </w:r>
      <w:r w:rsidR="000768BB">
        <w:t>SR</w:t>
      </w:r>
      <w:r>
        <w:t xml:space="preserve"> estimated that at medium</w:t>
      </w:r>
      <w:r w:rsidR="008361EE">
        <w:t>-</w:t>
      </w:r>
      <w:r>
        <w:t>term follow</w:t>
      </w:r>
      <w:r w:rsidR="006541C2">
        <w:t>-</w:t>
      </w:r>
      <w:r>
        <w:t>up</w:t>
      </w:r>
      <w:r w:rsidR="000D2DA9">
        <w:t>,</w:t>
      </w:r>
      <w:r>
        <w:t xml:space="preserve"> the risk of lead failure/displacement </w:t>
      </w:r>
      <w:r w:rsidR="009A5BC4">
        <w:t>wa</w:t>
      </w:r>
      <w:r>
        <w:t xml:space="preserve">s 4% (95%CI 4% fewer to 11% more </w:t>
      </w:r>
      <w:r w:rsidR="008B4E49">
        <w:t>[</w:t>
      </w:r>
      <w:r>
        <w:t xml:space="preserve">3 </w:t>
      </w:r>
      <w:r w:rsidR="00B15B38">
        <w:t>RCTs</w:t>
      </w:r>
      <w:r>
        <w:t>, 330</w:t>
      </w:r>
      <w:r w:rsidR="00B15B38">
        <w:t xml:space="preserve"> participants</w:t>
      </w:r>
      <w:r w:rsidR="008B4E49">
        <w:t>]</w:t>
      </w:r>
      <w:r>
        <w:t xml:space="preserve">), infection </w:t>
      </w:r>
      <w:r w:rsidR="009A5BC4">
        <w:t>wa</w:t>
      </w:r>
      <w:r>
        <w:t xml:space="preserve">s </w:t>
      </w:r>
      <w:r w:rsidRPr="007F15F6">
        <w:t>4.6%</w:t>
      </w:r>
      <w:r>
        <w:t xml:space="preserve"> </w:t>
      </w:r>
      <w:r w:rsidRPr="00F62272">
        <w:t>(95%CI 1</w:t>
      </w:r>
      <w:r>
        <w:t>% more to</w:t>
      </w:r>
      <w:r w:rsidRPr="00F62272">
        <w:t xml:space="preserve"> 7</w:t>
      </w:r>
      <w:r>
        <w:t xml:space="preserve">% more </w:t>
      </w:r>
      <w:r w:rsidR="008B4E49">
        <w:t>[</w:t>
      </w:r>
      <w:r>
        <w:t xml:space="preserve">4 </w:t>
      </w:r>
      <w:r w:rsidR="000D2DA9">
        <w:t>RCTs</w:t>
      </w:r>
      <w:r>
        <w:t>, 548</w:t>
      </w:r>
      <w:r w:rsidR="000D2DA9">
        <w:t xml:space="preserve"> participants</w:t>
      </w:r>
      <w:r w:rsidR="008B4E49">
        <w:t>]</w:t>
      </w:r>
      <w:r w:rsidRPr="00F62272">
        <w:t>)</w:t>
      </w:r>
      <w:r w:rsidRPr="007F15F6">
        <w:t>,</w:t>
      </w:r>
      <w:r>
        <w:t xml:space="preserve"> need for reoperation/reimplantation </w:t>
      </w:r>
      <w:r w:rsidR="009A5BC4">
        <w:t>wa</w:t>
      </w:r>
      <w:r>
        <w:t>s 11%</w:t>
      </w:r>
      <w:r w:rsidRPr="0032163B">
        <w:t xml:space="preserve"> (95%CI 2</w:t>
      </w:r>
      <w:r>
        <w:t>% more to</w:t>
      </w:r>
      <w:r w:rsidRPr="0032163B">
        <w:t xml:space="preserve"> 21</w:t>
      </w:r>
      <w:r>
        <w:t xml:space="preserve">% more </w:t>
      </w:r>
      <w:r w:rsidR="008B4E49">
        <w:t>[</w:t>
      </w:r>
      <w:r>
        <w:t xml:space="preserve">4 </w:t>
      </w:r>
      <w:r w:rsidR="000D2DA9">
        <w:t>RCTs</w:t>
      </w:r>
      <w:r>
        <w:t>, 548</w:t>
      </w:r>
      <w:r w:rsidR="000D2DA9">
        <w:t xml:space="preserve"> participants</w:t>
      </w:r>
      <w:r w:rsidR="008B4E49">
        <w:t>]</w:t>
      </w:r>
      <w:r w:rsidRPr="0032163B">
        <w:t>)</w:t>
      </w:r>
      <w:r w:rsidR="00903A2A">
        <w:t>;</w:t>
      </w:r>
      <w:r>
        <w:t xml:space="preserve"> however</w:t>
      </w:r>
      <w:r w:rsidR="00903A2A">
        <w:t>,</w:t>
      </w:r>
      <w:r>
        <w:t xml:space="preserve"> the certainty around these estimates is low or very low. </w:t>
      </w:r>
    </w:p>
    <w:p w14:paraId="2913BDFA" w14:textId="14021AA2" w:rsidR="006A1EBF" w:rsidRDefault="006A1EBF" w:rsidP="006A1EBF">
      <w:pPr>
        <w:pStyle w:val="BodyText"/>
      </w:pPr>
      <w:r>
        <w:t>It was estimated that at long</w:t>
      </w:r>
      <w:r w:rsidR="000532FE">
        <w:t>-</w:t>
      </w:r>
      <w:r>
        <w:t>term follow</w:t>
      </w:r>
      <w:r w:rsidR="006541C2">
        <w:t>-</w:t>
      </w:r>
      <w:r>
        <w:t xml:space="preserve">up the risk for lead failure/displacement </w:t>
      </w:r>
      <w:r w:rsidR="00DF164F">
        <w:t>wa</w:t>
      </w:r>
      <w:r>
        <w:t>s 55% (</w:t>
      </w:r>
      <w:r w:rsidRPr="00A26106">
        <w:t>95%</w:t>
      </w:r>
      <w:r>
        <w:t xml:space="preserve"> </w:t>
      </w:r>
      <w:r w:rsidRPr="00A26106">
        <w:t>CI 35</w:t>
      </w:r>
      <w:r>
        <w:t>% to</w:t>
      </w:r>
      <w:r w:rsidRPr="00A26106">
        <w:t xml:space="preserve"> 75</w:t>
      </w:r>
      <w:r>
        <w:t xml:space="preserve">% </w:t>
      </w:r>
      <w:r w:rsidR="001A4B70">
        <w:t>[</w:t>
      </w:r>
      <w:r>
        <w:t xml:space="preserve">1 </w:t>
      </w:r>
      <w:r w:rsidR="00903A2A">
        <w:t>RCT</w:t>
      </w:r>
      <w:r>
        <w:t>, 44</w:t>
      </w:r>
      <w:r w:rsidR="00903A2A">
        <w:t xml:space="preserve"> participants</w:t>
      </w:r>
      <w:r w:rsidR="001A4B70">
        <w:t>])</w:t>
      </w:r>
      <w:r>
        <w:t xml:space="preserve"> and the risk for reoperation/reimplantation </w:t>
      </w:r>
      <w:r w:rsidR="00DF164F">
        <w:t>wa</w:t>
      </w:r>
      <w:r>
        <w:t>s 94% (</w:t>
      </w:r>
      <w:r w:rsidRPr="00F52035">
        <w:t>95%</w:t>
      </w:r>
      <w:r>
        <w:t xml:space="preserve"> </w:t>
      </w:r>
      <w:r w:rsidRPr="00F52035">
        <w:t>CI 80</w:t>
      </w:r>
      <w:r>
        <w:t>% to</w:t>
      </w:r>
      <w:r w:rsidRPr="00F52035">
        <w:t xml:space="preserve"> 107</w:t>
      </w:r>
      <w:r>
        <w:t xml:space="preserve">% </w:t>
      </w:r>
      <w:r w:rsidR="001A4B70">
        <w:t>[</w:t>
      </w:r>
      <w:r>
        <w:t xml:space="preserve">1 </w:t>
      </w:r>
      <w:r w:rsidR="00903A2A">
        <w:t>RCT</w:t>
      </w:r>
      <w:r>
        <w:t>, 44</w:t>
      </w:r>
      <w:r w:rsidR="00903A2A">
        <w:t xml:space="preserve"> participants</w:t>
      </w:r>
      <w:r w:rsidR="001A4B70">
        <w:t>])</w:t>
      </w:r>
      <w:r>
        <w:t xml:space="preserve">, both very low certainty.  </w:t>
      </w:r>
    </w:p>
    <w:p w14:paraId="756BEC65" w14:textId="21D7FA18" w:rsidR="006A1EBF" w:rsidRDefault="006A1EBF" w:rsidP="006A1EBF">
      <w:pPr>
        <w:pStyle w:val="BodyText"/>
      </w:pPr>
      <w:r>
        <w:t xml:space="preserve">The </w:t>
      </w:r>
      <w:r w:rsidR="000768BB">
        <w:t>SR</w:t>
      </w:r>
      <w:r>
        <w:t xml:space="preserve"> identified reports of </w:t>
      </w:r>
      <w:r w:rsidR="00DE0386">
        <w:t>S</w:t>
      </w:r>
      <w:r w:rsidR="00004217">
        <w:t xml:space="preserve">AEs </w:t>
      </w:r>
      <w:r>
        <w:t xml:space="preserve">in the included studies that were highly likely to be associated with SCS, including “one death resulting from a subdural haematoma following a </w:t>
      </w:r>
      <w:proofErr w:type="spellStart"/>
      <w:r>
        <w:t>dural</w:t>
      </w:r>
      <w:proofErr w:type="spellEnd"/>
      <w:r>
        <w:t xml:space="preserve"> puncture</w:t>
      </w:r>
      <w:r w:rsidR="00D04FA0">
        <w:t>;</w:t>
      </w:r>
      <w:r>
        <w:t xml:space="preserve"> autonomic neuropathy resulting from a procedure-related infection, prolonged hospitalisation due to a coagulopathy that resulted in procedural complications, an extradural abscess leading to prolonged </w:t>
      </w:r>
      <w:proofErr w:type="spellStart"/>
      <w:r>
        <w:t>monoparesis</w:t>
      </w:r>
      <w:proofErr w:type="spellEnd"/>
      <w:r>
        <w:t>, a case of pulmonary oedema, wound infection, and an incident of device extrusion (O’Connell 2021).”</w:t>
      </w:r>
    </w:p>
    <w:p w14:paraId="4858D0F5" w14:textId="1FC8DA4D" w:rsidR="006A1EBF" w:rsidRDefault="006A1EBF" w:rsidP="006A1EBF">
      <w:pPr>
        <w:pStyle w:val="Heading6"/>
      </w:pPr>
      <w:r>
        <w:t>Secondary outcomes</w:t>
      </w:r>
    </w:p>
    <w:p w14:paraId="46064CB8" w14:textId="1E097DDA" w:rsidR="0060195E" w:rsidRDefault="006A1EBF" w:rsidP="0060195E">
      <w:pPr>
        <w:pStyle w:val="BodyText"/>
      </w:pPr>
      <w:r>
        <w:t>No clear evidence (low to very low certainty evidence) was found to evaluate the effect of SCS on medication use</w:t>
      </w:r>
      <w:r w:rsidR="0060195E">
        <w:t xml:space="preserve"> (for example, opioids: RR 0.77, 95% CI 0.58 to 1.01, P = 0.06, I</w:t>
      </w:r>
      <w:r w:rsidR="0060195E" w:rsidRPr="0060195E">
        <w:rPr>
          <w:vertAlign w:val="superscript"/>
        </w:rPr>
        <w:t>2</w:t>
      </w:r>
      <w:r w:rsidR="0060195E">
        <w:t xml:space="preserve"> 0%</w:t>
      </w:r>
      <w:r w:rsidR="001332CE">
        <w:t xml:space="preserve"> [2 </w:t>
      </w:r>
      <w:r w:rsidR="00A67C36">
        <w:t>RCTs</w:t>
      </w:r>
      <w:r w:rsidR="001332CE">
        <w:t>, 154</w:t>
      </w:r>
      <w:r w:rsidR="00A67C36">
        <w:t xml:space="preserve"> participants</w:t>
      </w:r>
      <w:r w:rsidR="001332CE">
        <w:t>]</w:t>
      </w:r>
      <w:r w:rsidR="0060195E">
        <w:t>)</w:t>
      </w:r>
      <w:r>
        <w:t xml:space="preserve">, or on disability </w:t>
      </w:r>
      <w:r w:rsidR="00FC0736">
        <w:t>(MD -15.93, 95% CI -35.99 to 4.13, P = 0.12, I</w:t>
      </w:r>
      <w:r w:rsidR="00FC0736" w:rsidRPr="003E4B35">
        <w:rPr>
          <w:vertAlign w:val="superscript"/>
        </w:rPr>
        <w:t>2</w:t>
      </w:r>
      <w:r w:rsidR="003E4B35">
        <w:t xml:space="preserve"> </w:t>
      </w:r>
      <w:r w:rsidR="00FB5FDB">
        <w:t xml:space="preserve">= </w:t>
      </w:r>
      <w:r w:rsidR="00FC0736">
        <w:t>92%</w:t>
      </w:r>
      <w:r w:rsidR="001332CE">
        <w:t xml:space="preserve"> [</w:t>
      </w:r>
      <w:r w:rsidR="005D22F9">
        <w:t xml:space="preserve">2 </w:t>
      </w:r>
      <w:r w:rsidR="00A67C36">
        <w:t>RCTs</w:t>
      </w:r>
      <w:r w:rsidR="005D22F9">
        <w:t>, 312</w:t>
      </w:r>
      <w:r w:rsidR="00A67C36">
        <w:t xml:space="preserve"> participants</w:t>
      </w:r>
      <w:r w:rsidR="005D22F9">
        <w:t>]</w:t>
      </w:r>
      <w:r w:rsidR="00FC0736">
        <w:t xml:space="preserve">) </w:t>
      </w:r>
      <w:r>
        <w:t>(very low certainty)</w:t>
      </w:r>
      <w:r w:rsidR="002106CF" w:rsidRPr="002106CF">
        <w:t xml:space="preserve"> </w:t>
      </w:r>
      <w:r w:rsidR="002106CF">
        <w:t>at medium</w:t>
      </w:r>
      <w:r w:rsidR="008361EE">
        <w:t>-</w:t>
      </w:r>
      <w:r w:rsidR="002106CF">
        <w:t>term follow</w:t>
      </w:r>
      <w:r w:rsidR="006541C2">
        <w:t>-</w:t>
      </w:r>
      <w:r w:rsidR="002106CF">
        <w:t>up</w:t>
      </w:r>
      <w:r>
        <w:t xml:space="preserve">. </w:t>
      </w:r>
    </w:p>
    <w:p w14:paraId="125520FF" w14:textId="266F9D0F" w:rsidR="006A1EBF" w:rsidRDefault="006A1EBF" w:rsidP="00F54F0A">
      <w:pPr>
        <w:pStyle w:val="BodyText"/>
      </w:pPr>
      <w:r>
        <w:lastRenderedPageBreak/>
        <w:t xml:space="preserve">The SR found positive effects on </w:t>
      </w:r>
      <w:proofErr w:type="spellStart"/>
      <w:r>
        <w:t>HRQoL</w:t>
      </w:r>
      <w:proofErr w:type="spellEnd"/>
      <w:r>
        <w:t xml:space="preserve"> at medium</w:t>
      </w:r>
      <w:r w:rsidR="008361EE">
        <w:t>-</w:t>
      </w:r>
      <w:r>
        <w:t>term follow</w:t>
      </w:r>
      <w:r w:rsidR="006541C2">
        <w:t>-</w:t>
      </w:r>
      <w:r>
        <w:t xml:space="preserve">up </w:t>
      </w:r>
      <w:r w:rsidR="00F54F0A">
        <w:t>(SMD 0.73, 95% CI 0.46 to 0.99, P</w:t>
      </w:r>
      <w:r w:rsidR="00235094">
        <w:t> </w:t>
      </w:r>
      <w:r w:rsidR="00F54F0A">
        <w:t>&lt;</w:t>
      </w:r>
      <w:r w:rsidR="00235094">
        <w:t> </w:t>
      </w:r>
      <w:r w:rsidR="00F54F0A">
        <w:t>0.001, I</w:t>
      </w:r>
      <w:r w:rsidR="00F54F0A" w:rsidRPr="00F54F0A">
        <w:rPr>
          <w:vertAlign w:val="superscript"/>
        </w:rPr>
        <w:t>2</w:t>
      </w:r>
      <w:r w:rsidR="00F54F0A">
        <w:t xml:space="preserve"> = 54% [</w:t>
      </w:r>
      <w:r w:rsidR="00FC66A9">
        <w:t xml:space="preserve">5 </w:t>
      </w:r>
      <w:r w:rsidR="00505C2A">
        <w:t>RCTs</w:t>
      </w:r>
      <w:r w:rsidR="00FC66A9">
        <w:t>, 595</w:t>
      </w:r>
      <w:r w:rsidR="00505C2A">
        <w:t xml:space="preserve"> participants</w:t>
      </w:r>
      <w:r w:rsidR="00FC66A9">
        <w:t>]</w:t>
      </w:r>
      <w:r w:rsidR="00F54F0A">
        <w:t xml:space="preserve">) </w:t>
      </w:r>
      <w:r>
        <w:t>(low certainty) and no evidence for an effect at long</w:t>
      </w:r>
      <w:r w:rsidR="000532FE">
        <w:t>-</w:t>
      </w:r>
      <w:r>
        <w:t>term follow</w:t>
      </w:r>
      <w:r w:rsidR="006541C2">
        <w:t>-</w:t>
      </w:r>
      <w:r>
        <w:t xml:space="preserve">up </w:t>
      </w:r>
      <w:r w:rsidR="00775B25" w:rsidRPr="00775B25">
        <w:t>(MD -0.09, 95% CI -0.74 to 0.56</w:t>
      </w:r>
      <w:r w:rsidR="00775B25">
        <w:t xml:space="preserve"> [1 </w:t>
      </w:r>
      <w:r w:rsidR="008D6F78">
        <w:t>RCT</w:t>
      </w:r>
      <w:r w:rsidR="00775B25">
        <w:t>,</w:t>
      </w:r>
      <w:r w:rsidR="00775B25" w:rsidRPr="00775B25">
        <w:t xml:space="preserve"> 44</w:t>
      </w:r>
      <w:r w:rsidR="008D6F78">
        <w:t xml:space="preserve"> participants</w:t>
      </w:r>
      <w:r w:rsidR="00775B25">
        <w:t>]</w:t>
      </w:r>
      <w:r w:rsidR="00775B25" w:rsidRPr="00775B25">
        <w:t xml:space="preserve">) </w:t>
      </w:r>
      <w:r>
        <w:t xml:space="preserve">(very low certainty evidence). </w:t>
      </w:r>
    </w:p>
    <w:p w14:paraId="0BDB62F4" w14:textId="13129AA4" w:rsidR="004E70A9" w:rsidRDefault="00A35271" w:rsidP="00A35271">
      <w:pPr>
        <w:pStyle w:val="Heading3"/>
      </w:pPr>
      <w:bookmarkStart w:id="79" w:name="_Toc165634670"/>
      <w:r>
        <w:t xml:space="preserve">Included systematic review </w:t>
      </w:r>
      <w:r w:rsidR="00831A60">
        <w:t>on</w:t>
      </w:r>
      <w:r>
        <w:t xml:space="preserve"> i</w:t>
      </w:r>
      <w:r w:rsidR="004E70A9">
        <w:t>schaemic pain</w:t>
      </w:r>
      <w:r w:rsidR="00831A60">
        <w:t xml:space="preserve"> </w:t>
      </w:r>
      <w:r>
        <w:t>(NICE 2008)</w:t>
      </w:r>
      <w:bookmarkEnd w:id="79"/>
    </w:p>
    <w:p w14:paraId="7A6FDA24" w14:textId="6EE4BF00" w:rsidR="004E70A9" w:rsidRPr="007B483B" w:rsidRDefault="004E70A9" w:rsidP="004E70A9">
      <w:pPr>
        <w:pStyle w:val="BodyText"/>
      </w:pPr>
      <w:r>
        <w:t xml:space="preserve">The included Cochrane reviews (O’Connell 2021 and Traeger 2023) did not consider patients with ischaemic pain and no </w:t>
      </w:r>
      <w:r w:rsidR="004228E4">
        <w:t>SR</w:t>
      </w:r>
      <w:r>
        <w:t xml:space="preserve"> was identified in the rapid evidence scan to address this indication</w:t>
      </w:r>
      <w:r w:rsidR="00D33B5C">
        <w:t>. This indication was also not discussed in any detail in submissions from sponsors or stakeholders. Nevertheless,</w:t>
      </w:r>
      <w:r>
        <w:t xml:space="preserve"> the MBS items</w:t>
      </w:r>
      <w:r w:rsidR="00D33B5C">
        <w:t xml:space="preserve"> (</w:t>
      </w:r>
      <w:r w:rsidR="00D33B5C">
        <w:fldChar w:fldCharType="begin"/>
      </w:r>
      <w:r w:rsidR="00D33B5C">
        <w:instrText xml:space="preserve"> REF _Ref129611479 \n \h </w:instrText>
      </w:r>
      <w:r w:rsidR="00D33B5C">
        <w:fldChar w:fldCharType="separate"/>
      </w:r>
      <w:r w:rsidR="00CE6ACA">
        <w:t>Appendix B</w:t>
      </w:r>
      <w:r w:rsidR="00D33B5C">
        <w:fldChar w:fldCharType="end"/>
      </w:r>
      <w:r w:rsidR="00D33B5C">
        <w:t>)</w:t>
      </w:r>
      <w:r>
        <w:t xml:space="preserve"> </w:t>
      </w:r>
      <w:r w:rsidR="009C11DE">
        <w:t xml:space="preserve">refer to </w:t>
      </w:r>
      <w:r w:rsidR="00950AFA">
        <w:t>‘</w:t>
      </w:r>
      <w:r w:rsidR="009C11DE">
        <w:t>pain from refractory ang</w:t>
      </w:r>
      <w:r w:rsidR="00950AFA">
        <w:t>ina pectoris’ in some item</w:t>
      </w:r>
      <w:r w:rsidDel="00950AFA">
        <w:t xml:space="preserve"> </w:t>
      </w:r>
      <w:r>
        <w:t>descriptors.</w:t>
      </w:r>
    </w:p>
    <w:p w14:paraId="67A14FC0" w14:textId="61C7713B" w:rsidR="00F9360B" w:rsidRDefault="004E70A9" w:rsidP="004E70A9">
      <w:pPr>
        <w:pStyle w:val="BodyText"/>
      </w:pPr>
      <w:r>
        <w:t xml:space="preserve">NICE </w:t>
      </w:r>
      <w:r w:rsidR="00EB6713">
        <w:t>technology appraisal guidance</w:t>
      </w:r>
      <w:r w:rsidR="00D062BE">
        <w:t xml:space="preserve"> (TA159)</w:t>
      </w:r>
      <w:r>
        <w:t xml:space="preserve"> </w:t>
      </w:r>
      <w:r w:rsidR="00265BCA">
        <w:t xml:space="preserve">(2008) </w:t>
      </w:r>
      <w:r>
        <w:t>evaluated the clinical and cost</w:t>
      </w:r>
      <w:r w:rsidR="00AD29EE">
        <w:t>-</w:t>
      </w:r>
      <w:r>
        <w:t>effectiveness of SCS in the management of chronic</w:t>
      </w:r>
      <w:r w:rsidR="00423B82">
        <w:t xml:space="preserve"> pain of neuropathic or ischaemic origin</w:t>
      </w:r>
      <w:r w:rsidR="00D07786">
        <w:t>.</w:t>
      </w:r>
      <w:r w:rsidR="00EB6713">
        <w:t xml:space="preserve"> </w:t>
      </w:r>
      <w:r w:rsidR="00D07786">
        <w:t>A</w:t>
      </w:r>
      <w:r w:rsidR="00EB6713">
        <w:t xml:space="preserve">lthough published in 2008, this guidance was </w:t>
      </w:r>
      <w:r w:rsidR="001514AA">
        <w:t>considered for review in 201</w:t>
      </w:r>
      <w:r w:rsidR="00F953FC">
        <w:t>4</w:t>
      </w:r>
      <w:r w:rsidR="001514AA">
        <w:t xml:space="preserve"> and </w:t>
      </w:r>
      <w:r w:rsidR="00291E94">
        <w:t>transferred to the ‘static guidance list</w:t>
      </w:r>
      <w:r w:rsidR="00423B82">
        <w:t>.</w:t>
      </w:r>
      <w:r w:rsidR="00C268B7">
        <w:t>’</w:t>
      </w:r>
      <w:r w:rsidR="00423B82">
        <w:t xml:space="preserve"> </w:t>
      </w:r>
      <w:r w:rsidR="00903C32">
        <w:t xml:space="preserve">In the absence of more recent </w:t>
      </w:r>
      <w:r w:rsidR="004A24DF">
        <w:t>SRs</w:t>
      </w:r>
      <w:r w:rsidR="00903C32">
        <w:t xml:space="preserve">, or studies identified by stakeholders or sponsors, the NICE </w:t>
      </w:r>
      <w:r w:rsidR="004A24DF">
        <w:t>SR</w:t>
      </w:r>
      <w:r w:rsidR="00903C32">
        <w:t xml:space="preserve"> is considered the most comprehensive summary of evidence on the role of SCS in the treatment of ischaemic pain and is included in light of the MBS item descriptors. </w:t>
      </w:r>
      <w:r w:rsidR="005E48BF">
        <w:t>The NICE evaluation of SCS for pain of neuropathic origin is not reported as it is superseded by the Cochrane reviews (O’Connell</w:t>
      </w:r>
      <w:r w:rsidR="00F9360B">
        <w:t xml:space="preserve"> 2022; Traeger 2023).</w:t>
      </w:r>
    </w:p>
    <w:p w14:paraId="5CCF4600" w14:textId="616AF867" w:rsidR="00A8279C" w:rsidRDefault="004E70A9" w:rsidP="004E70A9">
      <w:pPr>
        <w:pStyle w:val="BodyText"/>
      </w:pPr>
      <w:r>
        <w:t xml:space="preserve">The </w:t>
      </w:r>
      <w:r w:rsidR="00521D6C">
        <w:t xml:space="preserve">NICE </w:t>
      </w:r>
      <w:r w:rsidR="009F7AA3">
        <w:t>guidance</w:t>
      </w:r>
      <w:r>
        <w:t xml:space="preserve"> </w:t>
      </w:r>
      <w:r w:rsidR="00170325">
        <w:t>included</w:t>
      </w:r>
      <w:r>
        <w:t xml:space="preserve"> RCTs that compared SCS with medical and/or surgical treatment appropriate to</w:t>
      </w:r>
      <w:r w:rsidR="000858D0">
        <w:t xml:space="preserve"> the patient’s</w:t>
      </w:r>
      <w:r>
        <w:t xml:space="preserve"> condition. </w:t>
      </w:r>
      <w:r w:rsidR="007D1618">
        <w:t xml:space="preserve">The patient population of the NICE review (ischaemic pain) is broader than that of the MBS item number (refractory angina). </w:t>
      </w:r>
      <w:r w:rsidR="00362E73">
        <w:t xml:space="preserve">The study characteristics are reported in </w:t>
      </w:r>
      <w:r w:rsidR="000413FD">
        <w:fldChar w:fldCharType="begin"/>
      </w:r>
      <w:r w:rsidR="000413FD">
        <w:instrText xml:space="preserve"> REF _Ref134611339 \h </w:instrText>
      </w:r>
      <w:r w:rsidR="000413FD">
        <w:fldChar w:fldCharType="separate"/>
      </w:r>
      <w:r w:rsidR="00CE6ACA">
        <w:t xml:space="preserve">Table </w:t>
      </w:r>
      <w:r w:rsidR="00CE6ACA">
        <w:rPr>
          <w:noProof/>
        </w:rPr>
        <w:t>9</w:t>
      </w:r>
      <w:r w:rsidR="000413FD">
        <w:fldChar w:fldCharType="end"/>
      </w:r>
      <w:r w:rsidR="00362E73">
        <w:t xml:space="preserve">. </w:t>
      </w:r>
    </w:p>
    <w:p w14:paraId="57636FD5" w14:textId="37C3510C" w:rsidR="0025150E" w:rsidRDefault="0025150E" w:rsidP="0025150E">
      <w:pPr>
        <w:pStyle w:val="Caption"/>
      </w:pPr>
      <w:bookmarkStart w:id="80" w:name="_Ref134611339"/>
      <w:r>
        <w:t xml:space="preserve">Table </w:t>
      </w:r>
      <w:r>
        <w:fldChar w:fldCharType="begin"/>
      </w:r>
      <w:r>
        <w:instrText>SEQ Table \* ARABIC</w:instrText>
      </w:r>
      <w:r>
        <w:fldChar w:fldCharType="separate"/>
      </w:r>
      <w:r w:rsidR="00CE6ACA">
        <w:rPr>
          <w:noProof/>
        </w:rPr>
        <w:t>9</w:t>
      </w:r>
      <w:r>
        <w:fldChar w:fldCharType="end"/>
      </w:r>
      <w:bookmarkEnd w:id="80"/>
      <w:r>
        <w:tab/>
        <w:t>Study characteristics of NICE (2008)</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tudy characteristics of NICE (2008)"/>
        <w:tblDescription w:val="Table showing the search dates, patient population, interventions, comparator and outcomes of NICE (2008)."/>
      </w:tblPr>
      <w:tblGrid>
        <w:gridCol w:w="994"/>
        <w:gridCol w:w="1078"/>
        <w:gridCol w:w="2519"/>
        <w:gridCol w:w="1222"/>
        <w:gridCol w:w="1419"/>
        <w:gridCol w:w="2406"/>
      </w:tblGrid>
      <w:tr w:rsidR="00D62CED" w:rsidRPr="00DF51DC" w14:paraId="2307717A" w14:textId="77777777" w:rsidTr="00663022">
        <w:trPr>
          <w:tblHeader/>
        </w:trPr>
        <w:tc>
          <w:tcPr>
            <w:tcW w:w="515" w:type="pct"/>
            <w:shd w:val="clear" w:color="auto" w:fill="BFBFBF"/>
          </w:tcPr>
          <w:p w14:paraId="1CC61F57" w14:textId="77777777" w:rsidR="007C54A2" w:rsidRPr="00DF51DC" w:rsidRDefault="007C54A2">
            <w:pPr>
              <w:pStyle w:val="011TableHeading8pt"/>
              <w:rPr>
                <w:sz w:val="18"/>
                <w:szCs w:val="18"/>
              </w:rPr>
            </w:pPr>
            <w:r w:rsidRPr="00DF51DC">
              <w:rPr>
                <w:sz w:val="18"/>
                <w:szCs w:val="18"/>
              </w:rPr>
              <w:t>Study ID</w:t>
            </w:r>
            <w:r w:rsidRPr="00DF51DC">
              <w:rPr>
                <w:sz w:val="18"/>
                <w:szCs w:val="18"/>
              </w:rPr>
              <w:br/>
              <w:t>Country</w:t>
            </w:r>
          </w:p>
        </w:tc>
        <w:tc>
          <w:tcPr>
            <w:tcW w:w="559" w:type="pct"/>
            <w:shd w:val="clear" w:color="auto" w:fill="BFBFBF"/>
          </w:tcPr>
          <w:p w14:paraId="77AD01BA" w14:textId="77777777" w:rsidR="007C54A2" w:rsidRPr="00DF51DC" w:rsidRDefault="007C54A2">
            <w:pPr>
              <w:pStyle w:val="011TableHeading8pt"/>
              <w:rPr>
                <w:sz w:val="18"/>
                <w:szCs w:val="18"/>
              </w:rPr>
            </w:pPr>
            <w:r w:rsidRPr="00DF51DC">
              <w:rPr>
                <w:sz w:val="18"/>
                <w:szCs w:val="18"/>
              </w:rPr>
              <w:t>Search dates</w:t>
            </w:r>
          </w:p>
        </w:tc>
        <w:tc>
          <w:tcPr>
            <w:tcW w:w="1307" w:type="pct"/>
            <w:shd w:val="clear" w:color="auto" w:fill="BFBFBF"/>
          </w:tcPr>
          <w:p w14:paraId="43283475" w14:textId="77777777" w:rsidR="007C54A2" w:rsidRPr="00DF51DC" w:rsidRDefault="007C54A2">
            <w:pPr>
              <w:pStyle w:val="011TableHeading8pt"/>
              <w:rPr>
                <w:sz w:val="18"/>
                <w:szCs w:val="18"/>
              </w:rPr>
            </w:pPr>
            <w:r w:rsidRPr="00DF51DC">
              <w:rPr>
                <w:sz w:val="18"/>
                <w:szCs w:val="18"/>
              </w:rPr>
              <w:t>Patient population</w:t>
            </w:r>
          </w:p>
        </w:tc>
        <w:tc>
          <w:tcPr>
            <w:tcW w:w="634" w:type="pct"/>
            <w:shd w:val="clear" w:color="auto" w:fill="BFBFBF"/>
          </w:tcPr>
          <w:p w14:paraId="787137F4" w14:textId="77777777" w:rsidR="007C54A2" w:rsidRPr="00DF51DC" w:rsidRDefault="007C54A2">
            <w:pPr>
              <w:pStyle w:val="011TableHeading8pt"/>
              <w:rPr>
                <w:sz w:val="18"/>
                <w:szCs w:val="18"/>
              </w:rPr>
            </w:pPr>
            <w:r w:rsidRPr="00DF51DC">
              <w:rPr>
                <w:sz w:val="18"/>
                <w:szCs w:val="18"/>
              </w:rPr>
              <w:t>Interventions</w:t>
            </w:r>
          </w:p>
        </w:tc>
        <w:tc>
          <w:tcPr>
            <w:tcW w:w="736" w:type="pct"/>
            <w:shd w:val="clear" w:color="auto" w:fill="BFBFBF"/>
          </w:tcPr>
          <w:p w14:paraId="2A7C8879" w14:textId="77777777" w:rsidR="007C54A2" w:rsidRPr="00DF51DC" w:rsidRDefault="007C54A2">
            <w:pPr>
              <w:pStyle w:val="011TableHeading8pt"/>
              <w:rPr>
                <w:sz w:val="18"/>
                <w:szCs w:val="18"/>
              </w:rPr>
            </w:pPr>
            <w:r w:rsidRPr="00DF51DC">
              <w:rPr>
                <w:sz w:val="18"/>
                <w:szCs w:val="18"/>
              </w:rPr>
              <w:t>Comparator</w:t>
            </w:r>
          </w:p>
        </w:tc>
        <w:tc>
          <w:tcPr>
            <w:tcW w:w="1248" w:type="pct"/>
            <w:shd w:val="clear" w:color="auto" w:fill="BFBFBF"/>
          </w:tcPr>
          <w:p w14:paraId="068C551D" w14:textId="77777777" w:rsidR="007C54A2" w:rsidRPr="00DF51DC" w:rsidRDefault="007C54A2">
            <w:pPr>
              <w:pStyle w:val="011TableHeading8pt"/>
              <w:rPr>
                <w:sz w:val="18"/>
                <w:szCs w:val="18"/>
              </w:rPr>
            </w:pPr>
            <w:r w:rsidRPr="00DF51DC">
              <w:rPr>
                <w:sz w:val="18"/>
                <w:szCs w:val="18"/>
              </w:rPr>
              <w:t>Outcomes</w:t>
            </w:r>
          </w:p>
        </w:tc>
      </w:tr>
      <w:tr w:rsidR="0087712C" w:rsidRPr="00DF51DC" w14:paraId="0155A017" w14:textId="77777777" w:rsidTr="00663022">
        <w:tc>
          <w:tcPr>
            <w:tcW w:w="515" w:type="pct"/>
            <w:shd w:val="clear" w:color="auto" w:fill="auto"/>
          </w:tcPr>
          <w:p w14:paraId="6F9926D7" w14:textId="46B28BFA" w:rsidR="007C54A2" w:rsidRPr="00DF51DC" w:rsidRDefault="007C54A2">
            <w:pPr>
              <w:pStyle w:val="051Tabletext228pt"/>
              <w:rPr>
                <w:sz w:val="18"/>
                <w:szCs w:val="18"/>
              </w:rPr>
            </w:pPr>
            <w:r w:rsidRPr="00DF51DC">
              <w:rPr>
                <w:sz w:val="18"/>
                <w:szCs w:val="18"/>
              </w:rPr>
              <w:t>NICE 2008</w:t>
            </w:r>
            <w:r w:rsidRPr="00DF51DC">
              <w:rPr>
                <w:sz w:val="18"/>
                <w:szCs w:val="18"/>
              </w:rPr>
              <w:br/>
              <w:t>UK</w:t>
            </w:r>
          </w:p>
        </w:tc>
        <w:tc>
          <w:tcPr>
            <w:tcW w:w="559" w:type="pct"/>
            <w:shd w:val="clear" w:color="auto" w:fill="auto"/>
          </w:tcPr>
          <w:p w14:paraId="6173F7EB" w14:textId="4176D102" w:rsidR="007C54A2" w:rsidRPr="00DF51DC" w:rsidRDefault="009B59BA">
            <w:pPr>
              <w:pStyle w:val="051Tabletext228pt"/>
              <w:rPr>
                <w:sz w:val="18"/>
                <w:szCs w:val="18"/>
              </w:rPr>
            </w:pPr>
            <w:r>
              <w:rPr>
                <w:sz w:val="18"/>
                <w:szCs w:val="18"/>
              </w:rPr>
              <w:t>Inception t</w:t>
            </w:r>
            <w:r w:rsidR="007C54A2" w:rsidRPr="00DF51DC">
              <w:rPr>
                <w:sz w:val="18"/>
                <w:szCs w:val="18"/>
              </w:rPr>
              <w:t>o September 2007</w:t>
            </w:r>
          </w:p>
        </w:tc>
        <w:tc>
          <w:tcPr>
            <w:tcW w:w="1307" w:type="pct"/>
            <w:shd w:val="clear" w:color="auto" w:fill="auto"/>
          </w:tcPr>
          <w:p w14:paraId="38FAEF47" w14:textId="22832C0E" w:rsidR="007C54A2" w:rsidRPr="00DF51DC" w:rsidRDefault="007C54A2">
            <w:pPr>
              <w:pStyle w:val="051Tabletext228pt"/>
              <w:rPr>
                <w:sz w:val="18"/>
                <w:szCs w:val="18"/>
              </w:rPr>
            </w:pPr>
            <w:r w:rsidRPr="00DF51DC">
              <w:rPr>
                <w:sz w:val="18"/>
                <w:szCs w:val="18"/>
              </w:rPr>
              <w:t xml:space="preserve">Adults with chronic </w:t>
            </w:r>
            <w:r w:rsidRPr="00DF51DC">
              <w:rPr>
                <w:color w:val="808080" w:themeColor="background1" w:themeShade="80"/>
                <w:sz w:val="18"/>
                <w:szCs w:val="18"/>
              </w:rPr>
              <w:t>neuropathic</w:t>
            </w:r>
            <w:r w:rsidRPr="00DF51DC">
              <w:rPr>
                <w:sz w:val="18"/>
                <w:szCs w:val="18"/>
              </w:rPr>
              <w:t xml:space="preserve"> or ischaemic pain who have had an inadequate response to medical or surgical treatment (appropriate to condition) other than spinal cord stimulation</w:t>
            </w:r>
          </w:p>
        </w:tc>
        <w:tc>
          <w:tcPr>
            <w:tcW w:w="634" w:type="pct"/>
            <w:shd w:val="clear" w:color="auto" w:fill="auto"/>
          </w:tcPr>
          <w:p w14:paraId="0DBA48C5" w14:textId="288C7DEF" w:rsidR="007C54A2" w:rsidRPr="00DF51DC" w:rsidRDefault="007C54A2">
            <w:pPr>
              <w:pStyle w:val="051Tabletext228pt"/>
              <w:rPr>
                <w:sz w:val="18"/>
                <w:szCs w:val="18"/>
              </w:rPr>
            </w:pPr>
            <w:r w:rsidRPr="00DF51DC">
              <w:rPr>
                <w:sz w:val="18"/>
                <w:szCs w:val="18"/>
              </w:rPr>
              <w:t>SCS</w:t>
            </w:r>
          </w:p>
        </w:tc>
        <w:tc>
          <w:tcPr>
            <w:tcW w:w="736" w:type="pct"/>
            <w:shd w:val="clear" w:color="auto" w:fill="auto"/>
          </w:tcPr>
          <w:p w14:paraId="3E86561A" w14:textId="0ED11D9F" w:rsidR="007C54A2" w:rsidRPr="00DF51DC" w:rsidRDefault="005C47BF">
            <w:pPr>
              <w:pStyle w:val="051Tabletext228pt"/>
              <w:rPr>
                <w:sz w:val="18"/>
                <w:szCs w:val="18"/>
              </w:rPr>
            </w:pPr>
            <w:r w:rsidRPr="00DF51DC">
              <w:rPr>
                <w:sz w:val="18"/>
                <w:szCs w:val="18"/>
              </w:rPr>
              <w:t>M</w:t>
            </w:r>
            <w:r w:rsidR="007C54A2" w:rsidRPr="00DF51DC">
              <w:rPr>
                <w:sz w:val="18"/>
                <w:szCs w:val="18"/>
              </w:rPr>
              <w:t>edical and/or surgical treatment (appropriate to condition) that does not include SCS</w:t>
            </w:r>
          </w:p>
        </w:tc>
        <w:tc>
          <w:tcPr>
            <w:tcW w:w="1248" w:type="pct"/>
            <w:shd w:val="clear" w:color="auto" w:fill="auto"/>
          </w:tcPr>
          <w:p w14:paraId="5D087979" w14:textId="6756DACB" w:rsidR="007C54A2" w:rsidRPr="00DF51DC" w:rsidRDefault="005C47BF" w:rsidP="007C54A2">
            <w:pPr>
              <w:pStyle w:val="051Tabletext228pt"/>
              <w:rPr>
                <w:sz w:val="18"/>
                <w:szCs w:val="18"/>
              </w:rPr>
            </w:pPr>
            <w:r w:rsidRPr="00DF51DC">
              <w:rPr>
                <w:sz w:val="18"/>
                <w:szCs w:val="18"/>
              </w:rPr>
              <w:t>P</w:t>
            </w:r>
            <w:r w:rsidR="007C54A2" w:rsidRPr="00DF51DC">
              <w:rPr>
                <w:sz w:val="18"/>
                <w:szCs w:val="18"/>
              </w:rPr>
              <w:t>ain</w:t>
            </w:r>
            <w:r w:rsidRPr="00DF51DC">
              <w:rPr>
                <w:sz w:val="18"/>
                <w:szCs w:val="18"/>
              </w:rPr>
              <w:t xml:space="preserve">; </w:t>
            </w:r>
            <w:proofErr w:type="spellStart"/>
            <w:r w:rsidRPr="00DF51DC">
              <w:rPr>
                <w:sz w:val="18"/>
                <w:szCs w:val="18"/>
              </w:rPr>
              <w:t>HRQoL</w:t>
            </w:r>
            <w:proofErr w:type="spellEnd"/>
            <w:r w:rsidRPr="00DF51DC">
              <w:rPr>
                <w:sz w:val="18"/>
                <w:szCs w:val="18"/>
              </w:rPr>
              <w:t>;</w:t>
            </w:r>
            <w:r w:rsidR="007C54A2" w:rsidRPr="00DF51DC">
              <w:rPr>
                <w:sz w:val="18"/>
                <w:szCs w:val="18"/>
              </w:rPr>
              <w:t xml:space="preserve"> physical and functional abilities</w:t>
            </w:r>
            <w:r w:rsidRPr="00DF51DC">
              <w:rPr>
                <w:sz w:val="18"/>
                <w:szCs w:val="18"/>
              </w:rPr>
              <w:t>;</w:t>
            </w:r>
            <w:r w:rsidR="007C54A2" w:rsidRPr="00DF51DC">
              <w:rPr>
                <w:sz w:val="18"/>
                <w:szCs w:val="18"/>
              </w:rPr>
              <w:t xml:space="preserve"> anxiety and depression</w:t>
            </w:r>
            <w:r w:rsidRPr="00DF51DC">
              <w:rPr>
                <w:sz w:val="18"/>
                <w:szCs w:val="18"/>
              </w:rPr>
              <w:t>;</w:t>
            </w:r>
            <w:r w:rsidR="007C54A2" w:rsidRPr="00DF51DC">
              <w:rPr>
                <w:sz w:val="18"/>
                <w:szCs w:val="18"/>
              </w:rPr>
              <w:t xml:space="preserve"> medication use</w:t>
            </w:r>
            <w:r w:rsidRPr="00DF51DC">
              <w:rPr>
                <w:sz w:val="18"/>
                <w:szCs w:val="18"/>
              </w:rPr>
              <w:t>;</w:t>
            </w:r>
            <w:r w:rsidR="007C54A2" w:rsidRPr="00DF51DC">
              <w:rPr>
                <w:sz w:val="18"/>
                <w:szCs w:val="18"/>
              </w:rPr>
              <w:t xml:space="preserve"> complications and adverse effects (e.g.</w:t>
            </w:r>
            <w:r w:rsidR="008E0A72" w:rsidRPr="00DF51DC">
              <w:rPr>
                <w:sz w:val="18"/>
                <w:szCs w:val="18"/>
              </w:rPr>
              <w:t>,</w:t>
            </w:r>
            <w:r w:rsidR="007C54A2" w:rsidRPr="00DF51DC">
              <w:rPr>
                <w:sz w:val="18"/>
                <w:szCs w:val="18"/>
              </w:rPr>
              <w:t xml:space="preserve"> procedural complications and technical failures)</w:t>
            </w:r>
          </w:p>
        </w:tc>
      </w:tr>
    </w:tbl>
    <w:p w14:paraId="70F406BF" w14:textId="3B4FD4DD" w:rsidR="0025150E" w:rsidRDefault="0025150E" w:rsidP="008E0A72">
      <w:pPr>
        <w:pStyle w:val="111Tablefootnoteslast-nostick8pt"/>
      </w:pPr>
      <w:r w:rsidRPr="005147BC">
        <w:t>Abbreviations:</w:t>
      </w:r>
      <w:r w:rsidRPr="00CA5DAA">
        <w:t xml:space="preserve"> </w:t>
      </w:r>
      <w:proofErr w:type="spellStart"/>
      <w:r w:rsidR="008E0A72">
        <w:t>HRQoL</w:t>
      </w:r>
      <w:proofErr w:type="spellEnd"/>
      <w:r w:rsidR="008E0A72">
        <w:t>, health</w:t>
      </w:r>
      <w:r w:rsidR="00340CE3">
        <w:t>-</w:t>
      </w:r>
      <w:r w:rsidR="008E0A72">
        <w:t>related quality of life;</w:t>
      </w:r>
      <w:r w:rsidRPr="00CA5DAA">
        <w:t xml:space="preserve"> </w:t>
      </w:r>
      <w:r w:rsidR="005147BC">
        <w:t>SCS, spinal cord stimulation</w:t>
      </w:r>
      <w:r w:rsidR="00EE2535">
        <w:br/>
        <w:t>Note:</w:t>
      </w:r>
      <w:r w:rsidR="0042664A">
        <w:t xml:space="preserve"> </w:t>
      </w:r>
      <w:r w:rsidR="00DE7476">
        <w:t xml:space="preserve">this review will focus on the findings in the </w:t>
      </w:r>
      <w:proofErr w:type="spellStart"/>
      <w:r w:rsidR="00DE7476">
        <w:t>ischaemic</w:t>
      </w:r>
      <w:proofErr w:type="spellEnd"/>
      <w:r w:rsidR="00DE7476">
        <w:t xml:space="preserve"> pain population therefore the neuropathic population is greyed out</w:t>
      </w:r>
    </w:p>
    <w:p w14:paraId="231E8454" w14:textId="6D7DF544" w:rsidR="00C76F10" w:rsidRDefault="00C76F10" w:rsidP="008E0A72">
      <w:pPr>
        <w:pStyle w:val="Heading5"/>
      </w:pPr>
      <w:r>
        <w:t>Included studies</w:t>
      </w:r>
    </w:p>
    <w:p w14:paraId="0915C13B" w14:textId="0CBB2123" w:rsidR="00DF2C97" w:rsidRDefault="00F9360B" w:rsidP="004E70A9">
      <w:pPr>
        <w:pStyle w:val="BodyText"/>
      </w:pPr>
      <w:r>
        <w:t>E</w:t>
      </w:r>
      <w:r w:rsidR="004E70A9">
        <w:t xml:space="preserve">ight </w:t>
      </w:r>
      <w:r w:rsidR="006D1ECD">
        <w:t>RCTs</w:t>
      </w:r>
      <w:r w:rsidR="004E70A9">
        <w:t xml:space="preserve"> </w:t>
      </w:r>
      <w:r w:rsidR="00080725">
        <w:t xml:space="preserve">that </w:t>
      </w:r>
      <w:r w:rsidR="004E70A9">
        <w:t>evaluat</w:t>
      </w:r>
      <w:r w:rsidR="00080725">
        <w:t>ed</w:t>
      </w:r>
      <w:r w:rsidR="004E70A9">
        <w:t xml:space="preserve"> the effect of SCS on chronic ischaemic pain</w:t>
      </w:r>
      <w:r w:rsidR="006D1ECD">
        <w:t xml:space="preserve"> were included</w:t>
      </w:r>
      <w:r w:rsidR="006B2E7D">
        <w:t xml:space="preserve"> (</w:t>
      </w:r>
      <w:r w:rsidR="006B2E7D">
        <w:fldChar w:fldCharType="begin"/>
      </w:r>
      <w:r w:rsidR="006B2E7D">
        <w:instrText xml:space="preserve"> REF _Ref134428510 \h </w:instrText>
      </w:r>
      <w:r w:rsidR="006B2E7D">
        <w:fldChar w:fldCharType="separate"/>
      </w:r>
      <w:r w:rsidR="00CE6ACA">
        <w:t xml:space="preserve">Table </w:t>
      </w:r>
      <w:r w:rsidR="00CE6ACA">
        <w:rPr>
          <w:noProof/>
        </w:rPr>
        <w:t>10</w:t>
      </w:r>
      <w:r w:rsidR="006B2E7D">
        <w:fldChar w:fldCharType="end"/>
      </w:r>
      <w:r w:rsidR="006B2E7D">
        <w:t>)</w:t>
      </w:r>
      <w:r w:rsidR="004E70A9">
        <w:t>. Four RCTs evaluate</w:t>
      </w:r>
      <w:r w:rsidR="00DB038F">
        <w:t>d</w:t>
      </w:r>
      <w:r w:rsidR="004E70A9">
        <w:t xml:space="preserve"> </w:t>
      </w:r>
      <w:r w:rsidR="00680EFE">
        <w:t xml:space="preserve">critical limb </w:t>
      </w:r>
      <w:proofErr w:type="spellStart"/>
      <w:r w:rsidR="00680EFE">
        <w:t>ischaemia</w:t>
      </w:r>
      <w:proofErr w:type="spellEnd"/>
      <w:r w:rsidR="00680EFE">
        <w:t xml:space="preserve"> (CLI)</w:t>
      </w:r>
      <w:r w:rsidR="004E70A9">
        <w:t xml:space="preserve"> and the remaining four RCTs evaluated angina in coronary artery disease. </w:t>
      </w:r>
      <w:r w:rsidR="00033820">
        <w:t>P</w:t>
      </w:r>
      <w:r w:rsidR="005D4EFA">
        <w:t>ain as a primary outcome</w:t>
      </w:r>
      <w:r w:rsidR="00033820">
        <w:t xml:space="preserve"> was reported in only one of the included studies</w:t>
      </w:r>
      <w:r w:rsidR="005D4EFA">
        <w:t>.</w:t>
      </w:r>
      <w:r w:rsidR="004E70A9">
        <w:t xml:space="preserve"> </w:t>
      </w:r>
      <w:r w:rsidR="008D5CC4">
        <w:t xml:space="preserve">The </w:t>
      </w:r>
      <w:r w:rsidR="00FA21BF">
        <w:t xml:space="preserve">primary </w:t>
      </w:r>
      <w:r w:rsidR="008D5CC4">
        <w:t>outcome in CLI studies w</w:t>
      </w:r>
      <w:r w:rsidR="00EB5BEA">
        <w:t>ere</w:t>
      </w:r>
      <w:r w:rsidR="008D5CC4">
        <w:t xml:space="preserve"> limb salvage rates</w:t>
      </w:r>
      <w:r w:rsidR="00F14ED6">
        <w:t>, whil</w:t>
      </w:r>
      <w:r w:rsidR="00071FFB">
        <w:t>st</w:t>
      </w:r>
      <w:r w:rsidR="00F14ED6">
        <w:t xml:space="preserve"> in</w:t>
      </w:r>
      <w:r w:rsidR="008D5CC4">
        <w:t xml:space="preserve"> angina studies </w:t>
      </w:r>
      <w:r w:rsidR="00F14ED6">
        <w:t xml:space="preserve">the primary outcome was </w:t>
      </w:r>
      <w:r w:rsidR="00490CCF">
        <w:t xml:space="preserve">either </w:t>
      </w:r>
      <w:r w:rsidR="008D5CC4">
        <w:t xml:space="preserve">exercise capacity or angina attacks. </w:t>
      </w:r>
      <w:r w:rsidR="006B2E7D">
        <w:t xml:space="preserve">None of the </w:t>
      </w:r>
      <w:r w:rsidR="00196B76">
        <w:t>included</w:t>
      </w:r>
      <w:r w:rsidR="006B2E7D">
        <w:t xml:space="preserve"> trials were blinded.</w:t>
      </w:r>
    </w:p>
    <w:p w14:paraId="19F1DA3C" w14:textId="5DDACE55" w:rsidR="00C162DB" w:rsidRDefault="00C162DB" w:rsidP="00394957">
      <w:pPr>
        <w:pStyle w:val="Caption"/>
      </w:pPr>
      <w:bookmarkStart w:id="81" w:name="_Ref134428510"/>
      <w:r>
        <w:t xml:space="preserve">Table </w:t>
      </w:r>
      <w:r>
        <w:fldChar w:fldCharType="begin"/>
      </w:r>
      <w:r>
        <w:instrText>SEQ Table \* ARABIC</w:instrText>
      </w:r>
      <w:r>
        <w:fldChar w:fldCharType="separate"/>
      </w:r>
      <w:r w:rsidR="00CE6ACA">
        <w:rPr>
          <w:noProof/>
        </w:rPr>
        <w:t>10</w:t>
      </w:r>
      <w:r>
        <w:fldChar w:fldCharType="end"/>
      </w:r>
      <w:bookmarkEnd w:id="81"/>
      <w:r>
        <w:tab/>
      </w:r>
      <w:r w:rsidR="006A0279">
        <w:t xml:space="preserve">Characteristics of studies </w:t>
      </w:r>
      <w:r w:rsidR="00DF08F8">
        <w:t>in patients with chronic ischaemic pain</w:t>
      </w:r>
      <w:r w:rsidR="006A0279">
        <w:t xml:space="preserve"> included in NICE (2008)</w:t>
      </w:r>
    </w:p>
    <w:tbl>
      <w:tblPr>
        <w:tblStyle w:val="TableGrid"/>
        <w:tblW w:w="5000" w:type="pct"/>
        <w:tblLook w:val="04A0" w:firstRow="1" w:lastRow="0" w:firstColumn="1" w:lastColumn="0" w:noHBand="0" w:noVBand="1"/>
        <w:tblCaption w:val="Characteristics of studies in patients with chronic ischaemic pain in NICE (2008)"/>
        <w:tblDescription w:val="Table showing the study characteristics of studies on chronic ischaemic pain included in the NICE guideline (2008)."/>
      </w:tblPr>
      <w:tblGrid>
        <w:gridCol w:w="1275"/>
        <w:gridCol w:w="1135"/>
        <w:gridCol w:w="1984"/>
        <w:gridCol w:w="2269"/>
        <w:gridCol w:w="1658"/>
        <w:gridCol w:w="1317"/>
      </w:tblGrid>
      <w:tr w:rsidR="00B87F8E" w:rsidRPr="00DF51DC" w14:paraId="78C5C0B5" w14:textId="77777777" w:rsidTr="00E54ACB">
        <w:trPr>
          <w:cnfStyle w:val="100000000000" w:firstRow="1" w:lastRow="0" w:firstColumn="0" w:lastColumn="0" w:oddVBand="0" w:evenVBand="0" w:oddHBand="0" w:evenHBand="0" w:firstRowFirstColumn="0" w:firstRowLastColumn="0" w:lastRowFirstColumn="0" w:lastRowLastColumn="0"/>
        </w:trPr>
        <w:tc>
          <w:tcPr>
            <w:tcW w:w="661" w:type="pct"/>
          </w:tcPr>
          <w:p w14:paraId="1E76F695" w14:textId="0201D89F" w:rsidR="005C7FCC" w:rsidRPr="00DF51DC" w:rsidRDefault="005C7FCC">
            <w:pPr>
              <w:pStyle w:val="011TableHeading8pt"/>
              <w:rPr>
                <w:sz w:val="18"/>
                <w:szCs w:val="18"/>
              </w:rPr>
            </w:pPr>
            <w:r w:rsidRPr="00DF51DC">
              <w:rPr>
                <w:sz w:val="18"/>
                <w:szCs w:val="18"/>
              </w:rPr>
              <w:t>Study ID</w:t>
            </w:r>
            <w:r w:rsidR="00526D4B" w:rsidRPr="00DF51DC">
              <w:rPr>
                <w:sz w:val="18"/>
                <w:szCs w:val="18"/>
              </w:rPr>
              <w:br/>
            </w:r>
            <w:r w:rsidR="00030C5B">
              <w:rPr>
                <w:sz w:val="18"/>
                <w:szCs w:val="18"/>
              </w:rPr>
              <w:t>N</w:t>
            </w:r>
          </w:p>
        </w:tc>
        <w:tc>
          <w:tcPr>
            <w:tcW w:w="589" w:type="pct"/>
          </w:tcPr>
          <w:p w14:paraId="768A5356" w14:textId="77777777" w:rsidR="005C7FCC" w:rsidRPr="00DF51DC" w:rsidRDefault="005C7FCC">
            <w:pPr>
              <w:pStyle w:val="011TableHeading8pt"/>
              <w:rPr>
                <w:sz w:val="18"/>
                <w:szCs w:val="18"/>
              </w:rPr>
            </w:pPr>
            <w:r w:rsidRPr="00DF51DC">
              <w:rPr>
                <w:sz w:val="18"/>
                <w:szCs w:val="18"/>
              </w:rPr>
              <w:t>Participants</w:t>
            </w:r>
          </w:p>
        </w:tc>
        <w:tc>
          <w:tcPr>
            <w:tcW w:w="1029" w:type="pct"/>
          </w:tcPr>
          <w:p w14:paraId="66A430FE" w14:textId="28A00476" w:rsidR="005C7FCC" w:rsidRPr="00DF51DC" w:rsidRDefault="005C7FCC">
            <w:pPr>
              <w:pStyle w:val="011TableHeading8pt"/>
              <w:rPr>
                <w:sz w:val="18"/>
                <w:szCs w:val="18"/>
              </w:rPr>
            </w:pPr>
            <w:r w:rsidRPr="00DF51DC">
              <w:rPr>
                <w:sz w:val="18"/>
                <w:szCs w:val="18"/>
              </w:rPr>
              <w:t>Intervention</w:t>
            </w:r>
          </w:p>
        </w:tc>
        <w:tc>
          <w:tcPr>
            <w:tcW w:w="1177" w:type="pct"/>
          </w:tcPr>
          <w:p w14:paraId="755B1FA3" w14:textId="0F18F21A" w:rsidR="00412A8D" w:rsidRPr="00DF51DC" w:rsidRDefault="00412A8D">
            <w:pPr>
              <w:pStyle w:val="011TableHeading8pt"/>
              <w:rPr>
                <w:sz w:val="18"/>
                <w:szCs w:val="18"/>
              </w:rPr>
            </w:pPr>
            <w:r w:rsidRPr="00DF51DC">
              <w:rPr>
                <w:sz w:val="18"/>
                <w:szCs w:val="18"/>
              </w:rPr>
              <w:t>Comparator</w:t>
            </w:r>
          </w:p>
        </w:tc>
        <w:tc>
          <w:tcPr>
            <w:tcW w:w="860" w:type="pct"/>
          </w:tcPr>
          <w:p w14:paraId="43F863EE" w14:textId="560228C4" w:rsidR="005C7FCC" w:rsidRPr="00DF51DC" w:rsidRDefault="007C406E">
            <w:pPr>
              <w:pStyle w:val="011TableHeading8pt"/>
              <w:rPr>
                <w:sz w:val="18"/>
                <w:szCs w:val="18"/>
              </w:rPr>
            </w:pPr>
            <w:r w:rsidRPr="00DF51DC">
              <w:rPr>
                <w:sz w:val="18"/>
                <w:szCs w:val="18"/>
              </w:rPr>
              <w:t xml:space="preserve">Primary </w:t>
            </w:r>
            <w:r w:rsidR="00FA21BF" w:rsidRPr="00DF51DC">
              <w:rPr>
                <w:sz w:val="18"/>
                <w:szCs w:val="18"/>
              </w:rPr>
              <w:t>o</w:t>
            </w:r>
            <w:r w:rsidR="005C7FCC" w:rsidRPr="00DF51DC">
              <w:rPr>
                <w:sz w:val="18"/>
                <w:szCs w:val="18"/>
              </w:rPr>
              <w:t>utcome</w:t>
            </w:r>
          </w:p>
        </w:tc>
        <w:tc>
          <w:tcPr>
            <w:tcW w:w="683" w:type="pct"/>
          </w:tcPr>
          <w:p w14:paraId="0261B0BC" w14:textId="5B346C11" w:rsidR="005C7FCC" w:rsidRPr="00DF51DC" w:rsidRDefault="005C7FCC">
            <w:pPr>
              <w:pStyle w:val="011TableHeading8pt"/>
              <w:rPr>
                <w:sz w:val="18"/>
                <w:szCs w:val="18"/>
              </w:rPr>
            </w:pPr>
            <w:r w:rsidRPr="00DF51DC">
              <w:rPr>
                <w:sz w:val="18"/>
                <w:szCs w:val="18"/>
              </w:rPr>
              <w:t>Follow-up</w:t>
            </w:r>
          </w:p>
        </w:tc>
      </w:tr>
      <w:tr w:rsidR="003E5914" w:rsidRPr="00DF51DC" w14:paraId="2CA306E1" w14:textId="77777777" w:rsidTr="00E54ACB">
        <w:tc>
          <w:tcPr>
            <w:tcW w:w="661" w:type="pct"/>
          </w:tcPr>
          <w:p w14:paraId="6CA9F526" w14:textId="10EB0165" w:rsidR="003E5914" w:rsidRPr="00DF51DC" w:rsidRDefault="003E5914" w:rsidP="004E33F2">
            <w:pPr>
              <w:pStyle w:val="051Tabletext228pt"/>
              <w:rPr>
                <w:sz w:val="18"/>
                <w:szCs w:val="18"/>
              </w:rPr>
            </w:pPr>
            <w:r w:rsidRPr="00DF51DC">
              <w:rPr>
                <w:sz w:val="18"/>
                <w:szCs w:val="18"/>
              </w:rPr>
              <w:t xml:space="preserve">ESBY </w:t>
            </w:r>
            <w:proofErr w:type="spellStart"/>
            <w:r w:rsidRPr="00DF51DC">
              <w:rPr>
                <w:sz w:val="18"/>
                <w:szCs w:val="18"/>
              </w:rPr>
              <w:t>trial</w:t>
            </w:r>
            <w:r w:rsidR="00493D21">
              <w:rPr>
                <w:sz w:val="18"/>
                <w:szCs w:val="18"/>
                <w:vertAlign w:val="superscript"/>
              </w:rPr>
              <w:t>a</w:t>
            </w:r>
            <w:proofErr w:type="spellEnd"/>
            <w:r w:rsidRPr="00DF51DC">
              <w:rPr>
                <w:sz w:val="18"/>
                <w:szCs w:val="18"/>
              </w:rPr>
              <w:br/>
              <w:t>104</w:t>
            </w:r>
          </w:p>
        </w:tc>
        <w:tc>
          <w:tcPr>
            <w:tcW w:w="589" w:type="pct"/>
          </w:tcPr>
          <w:p w14:paraId="4F2E9B8E" w14:textId="77777777" w:rsidR="003E5914" w:rsidRPr="00DF51DC" w:rsidRDefault="003E5914" w:rsidP="004E33F2">
            <w:pPr>
              <w:pStyle w:val="051Tabletext228pt"/>
              <w:rPr>
                <w:sz w:val="18"/>
                <w:szCs w:val="18"/>
              </w:rPr>
            </w:pPr>
            <w:r w:rsidRPr="00DF51DC">
              <w:rPr>
                <w:sz w:val="18"/>
                <w:szCs w:val="18"/>
              </w:rPr>
              <w:t>Angina pectoris</w:t>
            </w:r>
          </w:p>
        </w:tc>
        <w:tc>
          <w:tcPr>
            <w:tcW w:w="1029" w:type="pct"/>
          </w:tcPr>
          <w:p w14:paraId="4A126E07" w14:textId="77777777" w:rsidR="003E5914" w:rsidRPr="00DF51DC" w:rsidRDefault="003E5914" w:rsidP="004E33F2">
            <w:pPr>
              <w:pStyle w:val="051Tabletext228pt"/>
              <w:rPr>
                <w:sz w:val="18"/>
                <w:szCs w:val="18"/>
              </w:rPr>
            </w:pPr>
            <w:r w:rsidRPr="00DF51DC">
              <w:rPr>
                <w:sz w:val="18"/>
                <w:szCs w:val="18"/>
              </w:rPr>
              <w:t>SCS</w:t>
            </w:r>
          </w:p>
        </w:tc>
        <w:tc>
          <w:tcPr>
            <w:tcW w:w="1177" w:type="pct"/>
          </w:tcPr>
          <w:p w14:paraId="4013DB69" w14:textId="77777777" w:rsidR="003E5914" w:rsidRPr="00DF51DC" w:rsidRDefault="003E5914" w:rsidP="004E33F2">
            <w:pPr>
              <w:pStyle w:val="051Tabletext228pt"/>
              <w:rPr>
                <w:sz w:val="18"/>
                <w:szCs w:val="18"/>
              </w:rPr>
            </w:pPr>
            <w:r w:rsidRPr="00DF51DC">
              <w:rPr>
                <w:sz w:val="18"/>
                <w:szCs w:val="18"/>
              </w:rPr>
              <w:t>CABG</w:t>
            </w:r>
          </w:p>
        </w:tc>
        <w:tc>
          <w:tcPr>
            <w:tcW w:w="860" w:type="pct"/>
          </w:tcPr>
          <w:p w14:paraId="54D50EF4" w14:textId="77777777" w:rsidR="003E5914" w:rsidRPr="00DF51DC" w:rsidRDefault="003E5914" w:rsidP="004E33F2">
            <w:pPr>
              <w:pStyle w:val="051Tabletext228pt"/>
              <w:rPr>
                <w:sz w:val="18"/>
                <w:szCs w:val="18"/>
              </w:rPr>
            </w:pPr>
            <w:r w:rsidRPr="00DF51DC">
              <w:rPr>
                <w:sz w:val="18"/>
                <w:szCs w:val="18"/>
              </w:rPr>
              <w:t>Angina attacks</w:t>
            </w:r>
          </w:p>
        </w:tc>
        <w:tc>
          <w:tcPr>
            <w:tcW w:w="683" w:type="pct"/>
          </w:tcPr>
          <w:p w14:paraId="0CAB8F3E" w14:textId="77777777" w:rsidR="003E5914" w:rsidRPr="00DF51DC" w:rsidRDefault="003E5914" w:rsidP="004E33F2">
            <w:pPr>
              <w:pStyle w:val="051Tabletext228pt"/>
              <w:rPr>
                <w:sz w:val="18"/>
                <w:szCs w:val="18"/>
              </w:rPr>
            </w:pPr>
            <w:r w:rsidRPr="00DF51DC">
              <w:rPr>
                <w:sz w:val="18"/>
                <w:szCs w:val="18"/>
              </w:rPr>
              <w:t xml:space="preserve">6 &amp; 58 </w:t>
            </w:r>
            <w:proofErr w:type="spellStart"/>
            <w:r w:rsidRPr="00DF51DC">
              <w:rPr>
                <w:sz w:val="18"/>
                <w:szCs w:val="18"/>
              </w:rPr>
              <w:t>mo</w:t>
            </w:r>
            <w:proofErr w:type="spellEnd"/>
          </w:p>
        </w:tc>
      </w:tr>
      <w:tr w:rsidR="003E5914" w:rsidRPr="00DF51DC" w14:paraId="20BB439D" w14:textId="77777777" w:rsidTr="00E54ACB">
        <w:tc>
          <w:tcPr>
            <w:tcW w:w="661" w:type="pct"/>
          </w:tcPr>
          <w:p w14:paraId="1BE5FA2A" w14:textId="77777777" w:rsidR="003E5914" w:rsidRPr="00DF51DC" w:rsidRDefault="003E5914">
            <w:pPr>
              <w:pStyle w:val="051Tabletext228pt"/>
              <w:rPr>
                <w:sz w:val="18"/>
                <w:szCs w:val="18"/>
              </w:rPr>
            </w:pPr>
            <w:proofErr w:type="spellStart"/>
            <w:r w:rsidRPr="00DF51DC">
              <w:rPr>
                <w:sz w:val="18"/>
                <w:szCs w:val="18"/>
              </w:rPr>
              <w:t>Suy</w:t>
            </w:r>
            <w:proofErr w:type="spellEnd"/>
            <w:r w:rsidRPr="00DF51DC">
              <w:rPr>
                <w:sz w:val="18"/>
                <w:szCs w:val="18"/>
              </w:rPr>
              <w:t xml:space="preserve"> 1994</w:t>
            </w:r>
            <w:r w:rsidRPr="00DF51DC">
              <w:rPr>
                <w:sz w:val="18"/>
                <w:szCs w:val="18"/>
              </w:rPr>
              <w:br/>
              <w:t>38</w:t>
            </w:r>
          </w:p>
        </w:tc>
        <w:tc>
          <w:tcPr>
            <w:tcW w:w="589" w:type="pct"/>
          </w:tcPr>
          <w:p w14:paraId="60BAE1D1" w14:textId="77777777" w:rsidR="003E5914" w:rsidRPr="00DF51DC" w:rsidRDefault="003E5914">
            <w:pPr>
              <w:pStyle w:val="051Tabletext228pt"/>
              <w:rPr>
                <w:sz w:val="18"/>
                <w:szCs w:val="18"/>
              </w:rPr>
            </w:pPr>
            <w:r w:rsidRPr="00DF51DC">
              <w:rPr>
                <w:sz w:val="18"/>
                <w:szCs w:val="18"/>
              </w:rPr>
              <w:t>CLI</w:t>
            </w:r>
          </w:p>
        </w:tc>
        <w:tc>
          <w:tcPr>
            <w:tcW w:w="1029" w:type="pct"/>
          </w:tcPr>
          <w:p w14:paraId="7C75F07B" w14:textId="77777777" w:rsidR="003E5914" w:rsidRPr="00DF51DC" w:rsidRDefault="003E5914">
            <w:pPr>
              <w:pStyle w:val="051Tabletext228pt"/>
              <w:rPr>
                <w:sz w:val="18"/>
                <w:szCs w:val="18"/>
              </w:rPr>
            </w:pPr>
            <w:r w:rsidRPr="00DF51DC">
              <w:rPr>
                <w:sz w:val="18"/>
                <w:szCs w:val="18"/>
              </w:rPr>
              <w:t>SCS plus CMM</w:t>
            </w:r>
          </w:p>
        </w:tc>
        <w:tc>
          <w:tcPr>
            <w:tcW w:w="1177" w:type="pct"/>
          </w:tcPr>
          <w:p w14:paraId="53978B8E" w14:textId="77777777" w:rsidR="003E5914" w:rsidRPr="00DF51DC" w:rsidRDefault="003E5914">
            <w:pPr>
              <w:pStyle w:val="051Tabletext228pt"/>
              <w:rPr>
                <w:sz w:val="18"/>
                <w:szCs w:val="18"/>
              </w:rPr>
            </w:pPr>
            <w:r w:rsidRPr="00DF51DC">
              <w:rPr>
                <w:sz w:val="18"/>
                <w:szCs w:val="18"/>
              </w:rPr>
              <w:t>CMM</w:t>
            </w:r>
          </w:p>
        </w:tc>
        <w:tc>
          <w:tcPr>
            <w:tcW w:w="860" w:type="pct"/>
          </w:tcPr>
          <w:p w14:paraId="77D19D93" w14:textId="77777777" w:rsidR="003E5914" w:rsidRPr="00DF51DC" w:rsidRDefault="003E5914">
            <w:pPr>
              <w:pStyle w:val="051Tabletext228pt"/>
              <w:rPr>
                <w:sz w:val="18"/>
                <w:szCs w:val="18"/>
              </w:rPr>
            </w:pPr>
            <w:r w:rsidRPr="00DF51DC">
              <w:rPr>
                <w:sz w:val="18"/>
                <w:szCs w:val="18"/>
              </w:rPr>
              <w:t>Limb salvage rates</w:t>
            </w:r>
          </w:p>
        </w:tc>
        <w:tc>
          <w:tcPr>
            <w:tcW w:w="683" w:type="pct"/>
          </w:tcPr>
          <w:p w14:paraId="3F970C2F" w14:textId="77777777" w:rsidR="003E5914" w:rsidRPr="00DF51DC" w:rsidRDefault="003E5914">
            <w:pPr>
              <w:pStyle w:val="051Tabletext228pt"/>
              <w:rPr>
                <w:sz w:val="18"/>
                <w:szCs w:val="18"/>
              </w:rPr>
            </w:pPr>
            <w:r w:rsidRPr="00DF51DC">
              <w:rPr>
                <w:sz w:val="18"/>
                <w:szCs w:val="18"/>
              </w:rPr>
              <w:t xml:space="preserve">24 </w:t>
            </w:r>
            <w:proofErr w:type="spellStart"/>
            <w:r w:rsidRPr="00DF51DC">
              <w:rPr>
                <w:sz w:val="18"/>
                <w:szCs w:val="18"/>
              </w:rPr>
              <w:t>mo</w:t>
            </w:r>
            <w:proofErr w:type="spellEnd"/>
          </w:p>
        </w:tc>
      </w:tr>
      <w:tr w:rsidR="005C7FCC" w:rsidRPr="00DF51DC" w14:paraId="608D4046" w14:textId="77777777" w:rsidTr="00E54ACB">
        <w:tc>
          <w:tcPr>
            <w:tcW w:w="661" w:type="pct"/>
          </w:tcPr>
          <w:p w14:paraId="00FAD052" w14:textId="1C20D6B6" w:rsidR="005C7FCC" w:rsidRPr="00DF51DC" w:rsidRDefault="005C7FCC">
            <w:pPr>
              <w:pStyle w:val="051Tabletext228pt"/>
              <w:rPr>
                <w:sz w:val="18"/>
                <w:szCs w:val="18"/>
              </w:rPr>
            </w:pPr>
            <w:r w:rsidRPr="00DF51DC">
              <w:rPr>
                <w:sz w:val="18"/>
                <w:szCs w:val="18"/>
              </w:rPr>
              <w:t>ESES</w:t>
            </w:r>
            <w:r w:rsidR="00512926" w:rsidRPr="00DF51DC">
              <w:rPr>
                <w:sz w:val="18"/>
                <w:szCs w:val="18"/>
              </w:rPr>
              <w:t xml:space="preserve"> </w:t>
            </w:r>
            <w:proofErr w:type="spellStart"/>
            <w:r w:rsidR="00512926" w:rsidRPr="00DF51DC">
              <w:rPr>
                <w:sz w:val="18"/>
                <w:szCs w:val="18"/>
              </w:rPr>
              <w:t>trial</w:t>
            </w:r>
            <w:r w:rsidR="00493D21">
              <w:rPr>
                <w:sz w:val="18"/>
                <w:szCs w:val="18"/>
                <w:vertAlign w:val="superscript"/>
              </w:rPr>
              <w:t>b</w:t>
            </w:r>
            <w:proofErr w:type="spellEnd"/>
            <w:r w:rsidR="00526D4B" w:rsidRPr="00DF51DC">
              <w:rPr>
                <w:sz w:val="18"/>
                <w:szCs w:val="18"/>
              </w:rPr>
              <w:br/>
            </w:r>
            <w:r w:rsidRPr="00DF51DC">
              <w:rPr>
                <w:sz w:val="18"/>
                <w:szCs w:val="18"/>
              </w:rPr>
              <w:t>120</w:t>
            </w:r>
          </w:p>
        </w:tc>
        <w:tc>
          <w:tcPr>
            <w:tcW w:w="589" w:type="pct"/>
          </w:tcPr>
          <w:p w14:paraId="46537C9D" w14:textId="78FB6957" w:rsidR="005C7FCC" w:rsidRPr="00DF51DC" w:rsidRDefault="005C7FCC">
            <w:pPr>
              <w:pStyle w:val="051Tabletext228pt"/>
              <w:rPr>
                <w:sz w:val="18"/>
                <w:szCs w:val="18"/>
              </w:rPr>
            </w:pPr>
            <w:r w:rsidRPr="00DF51DC">
              <w:rPr>
                <w:sz w:val="18"/>
                <w:szCs w:val="18"/>
              </w:rPr>
              <w:t>CLI</w:t>
            </w:r>
          </w:p>
        </w:tc>
        <w:tc>
          <w:tcPr>
            <w:tcW w:w="1029" w:type="pct"/>
          </w:tcPr>
          <w:p w14:paraId="3B23D5EE" w14:textId="1E6E40DD" w:rsidR="005C7FCC" w:rsidRPr="00DF51DC" w:rsidRDefault="005C7FCC">
            <w:pPr>
              <w:pStyle w:val="051Tabletext228pt"/>
              <w:rPr>
                <w:sz w:val="18"/>
                <w:szCs w:val="18"/>
              </w:rPr>
            </w:pPr>
            <w:r w:rsidRPr="00DF51DC">
              <w:rPr>
                <w:sz w:val="18"/>
                <w:szCs w:val="18"/>
              </w:rPr>
              <w:t>SCS plus CMM</w:t>
            </w:r>
          </w:p>
        </w:tc>
        <w:tc>
          <w:tcPr>
            <w:tcW w:w="1177" w:type="pct"/>
          </w:tcPr>
          <w:p w14:paraId="2D9EBC4B" w14:textId="6415D750" w:rsidR="00412A8D" w:rsidRPr="00DF51DC" w:rsidRDefault="00DB7AE8">
            <w:pPr>
              <w:pStyle w:val="051Tabletext228pt"/>
              <w:rPr>
                <w:sz w:val="18"/>
                <w:szCs w:val="18"/>
              </w:rPr>
            </w:pPr>
            <w:r w:rsidRPr="00DF51DC">
              <w:rPr>
                <w:sz w:val="18"/>
                <w:szCs w:val="18"/>
              </w:rPr>
              <w:t>CMM</w:t>
            </w:r>
          </w:p>
        </w:tc>
        <w:tc>
          <w:tcPr>
            <w:tcW w:w="860" w:type="pct"/>
          </w:tcPr>
          <w:p w14:paraId="68D2D7A9" w14:textId="4440A4D7" w:rsidR="005C7FCC" w:rsidRPr="00DF51DC" w:rsidRDefault="005C7FCC">
            <w:pPr>
              <w:pStyle w:val="051Tabletext228pt"/>
              <w:rPr>
                <w:sz w:val="18"/>
                <w:szCs w:val="18"/>
              </w:rPr>
            </w:pPr>
            <w:r w:rsidRPr="00DF51DC">
              <w:rPr>
                <w:sz w:val="18"/>
                <w:szCs w:val="18"/>
              </w:rPr>
              <w:t>Limb salvage rates</w:t>
            </w:r>
            <w:r w:rsidR="0049049C" w:rsidRPr="00DF51DC">
              <w:rPr>
                <w:sz w:val="18"/>
                <w:szCs w:val="18"/>
              </w:rPr>
              <w:br/>
            </w:r>
            <w:r w:rsidRPr="00DF51DC">
              <w:rPr>
                <w:sz w:val="18"/>
                <w:szCs w:val="18"/>
              </w:rPr>
              <w:t>Pain relief</w:t>
            </w:r>
          </w:p>
        </w:tc>
        <w:tc>
          <w:tcPr>
            <w:tcW w:w="683" w:type="pct"/>
          </w:tcPr>
          <w:p w14:paraId="67A5D946" w14:textId="71AB8598" w:rsidR="005C7FCC" w:rsidRPr="00DF51DC" w:rsidRDefault="005C7FCC">
            <w:pPr>
              <w:pStyle w:val="051Tabletext228pt"/>
              <w:rPr>
                <w:sz w:val="18"/>
                <w:szCs w:val="18"/>
              </w:rPr>
            </w:pPr>
            <w:r w:rsidRPr="00DF51DC">
              <w:rPr>
                <w:sz w:val="18"/>
                <w:szCs w:val="18"/>
              </w:rPr>
              <w:t xml:space="preserve">6, 12, 18 &amp;24 </w:t>
            </w:r>
            <w:proofErr w:type="spellStart"/>
            <w:r w:rsidRPr="00DF51DC">
              <w:rPr>
                <w:sz w:val="18"/>
                <w:szCs w:val="18"/>
              </w:rPr>
              <w:t>mo</w:t>
            </w:r>
            <w:proofErr w:type="spellEnd"/>
          </w:p>
        </w:tc>
      </w:tr>
      <w:tr w:rsidR="005C7FCC" w:rsidRPr="00DF51DC" w14:paraId="7CD18A2A" w14:textId="77777777" w:rsidTr="00E54ACB">
        <w:tc>
          <w:tcPr>
            <w:tcW w:w="661" w:type="pct"/>
          </w:tcPr>
          <w:p w14:paraId="3CF3BF00" w14:textId="7E8E7434" w:rsidR="00F82CD2" w:rsidRPr="00DF51DC" w:rsidRDefault="007B30F1">
            <w:pPr>
              <w:pStyle w:val="051Tabletext228pt"/>
              <w:rPr>
                <w:sz w:val="18"/>
                <w:szCs w:val="18"/>
              </w:rPr>
            </w:pPr>
            <w:proofErr w:type="spellStart"/>
            <w:r w:rsidRPr="00DF51DC">
              <w:rPr>
                <w:sz w:val="18"/>
                <w:szCs w:val="18"/>
              </w:rPr>
              <w:t>Jivegard</w:t>
            </w:r>
            <w:proofErr w:type="spellEnd"/>
            <w:r w:rsidR="000049E2" w:rsidRPr="00DF51DC">
              <w:rPr>
                <w:sz w:val="18"/>
                <w:szCs w:val="18"/>
              </w:rPr>
              <w:t xml:space="preserve"> 1995</w:t>
            </w:r>
            <w:r w:rsidR="00DB7AE8" w:rsidRPr="00DF51DC">
              <w:rPr>
                <w:sz w:val="18"/>
                <w:szCs w:val="18"/>
              </w:rPr>
              <w:br/>
            </w:r>
            <w:r w:rsidR="00F82CD2" w:rsidRPr="00DF51DC">
              <w:rPr>
                <w:sz w:val="18"/>
                <w:szCs w:val="18"/>
              </w:rPr>
              <w:t>51</w:t>
            </w:r>
          </w:p>
        </w:tc>
        <w:tc>
          <w:tcPr>
            <w:tcW w:w="589" w:type="pct"/>
          </w:tcPr>
          <w:p w14:paraId="28DC057C" w14:textId="08BA5112" w:rsidR="005C7FCC" w:rsidRPr="00DF51DC" w:rsidRDefault="007B30F1">
            <w:pPr>
              <w:pStyle w:val="051Tabletext228pt"/>
              <w:rPr>
                <w:sz w:val="18"/>
                <w:szCs w:val="18"/>
              </w:rPr>
            </w:pPr>
            <w:r w:rsidRPr="00DF51DC">
              <w:rPr>
                <w:sz w:val="18"/>
                <w:szCs w:val="18"/>
              </w:rPr>
              <w:t>CLI</w:t>
            </w:r>
          </w:p>
        </w:tc>
        <w:tc>
          <w:tcPr>
            <w:tcW w:w="1029" w:type="pct"/>
          </w:tcPr>
          <w:p w14:paraId="5C39DD59" w14:textId="1CA4DA20" w:rsidR="00F82CD2" w:rsidRPr="00DF51DC" w:rsidRDefault="007B30F1">
            <w:pPr>
              <w:pStyle w:val="051Tabletext228pt"/>
              <w:rPr>
                <w:sz w:val="18"/>
                <w:szCs w:val="18"/>
              </w:rPr>
            </w:pPr>
            <w:r w:rsidRPr="00DF51DC">
              <w:rPr>
                <w:sz w:val="18"/>
                <w:szCs w:val="18"/>
              </w:rPr>
              <w:t xml:space="preserve">SCS </w:t>
            </w:r>
            <w:r w:rsidR="00394957" w:rsidRPr="00DF51DC">
              <w:rPr>
                <w:sz w:val="18"/>
                <w:szCs w:val="18"/>
              </w:rPr>
              <w:t>+</w:t>
            </w:r>
            <w:r w:rsidRPr="00DF51DC">
              <w:rPr>
                <w:sz w:val="18"/>
                <w:szCs w:val="18"/>
              </w:rPr>
              <w:t xml:space="preserve"> peroral analgesics</w:t>
            </w:r>
          </w:p>
        </w:tc>
        <w:tc>
          <w:tcPr>
            <w:tcW w:w="1177" w:type="pct"/>
          </w:tcPr>
          <w:p w14:paraId="61904013" w14:textId="28D9B557" w:rsidR="00412A8D" w:rsidRPr="00DF51DC" w:rsidRDefault="00DB7AE8">
            <w:pPr>
              <w:pStyle w:val="051Tabletext228pt"/>
              <w:rPr>
                <w:sz w:val="18"/>
                <w:szCs w:val="18"/>
              </w:rPr>
            </w:pPr>
            <w:r w:rsidRPr="00DF51DC">
              <w:rPr>
                <w:sz w:val="18"/>
                <w:szCs w:val="18"/>
              </w:rPr>
              <w:t>Peroral analgesics</w:t>
            </w:r>
          </w:p>
        </w:tc>
        <w:tc>
          <w:tcPr>
            <w:tcW w:w="860" w:type="pct"/>
          </w:tcPr>
          <w:p w14:paraId="32ED7BB8" w14:textId="466B2F61" w:rsidR="005C7FCC" w:rsidRPr="00DF51DC" w:rsidRDefault="00F82CD2">
            <w:pPr>
              <w:pStyle w:val="051Tabletext228pt"/>
              <w:rPr>
                <w:sz w:val="18"/>
                <w:szCs w:val="18"/>
              </w:rPr>
            </w:pPr>
            <w:r w:rsidRPr="00DF51DC">
              <w:rPr>
                <w:sz w:val="18"/>
                <w:szCs w:val="18"/>
              </w:rPr>
              <w:t>Limb salvage rates</w:t>
            </w:r>
          </w:p>
        </w:tc>
        <w:tc>
          <w:tcPr>
            <w:tcW w:w="683" w:type="pct"/>
          </w:tcPr>
          <w:p w14:paraId="3AE1A05B" w14:textId="5917197D" w:rsidR="005C7FCC" w:rsidRPr="00DF51DC" w:rsidRDefault="00F82CD2">
            <w:pPr>
              <w:pStyle w:val="051Tabletext228pt"/>
              <w:rPr>
                <w:sz w:val="18"/>
                <w:szCs w:val="18"/>
              </w:rPr>
            </w:pPr>
            <w:r w:rsidRPr="00DF51DC">
              <w:rPr>
                <w:sz w:val="18"/>
                <w:szCs w:val="18"/>
              </w:rPr>
              <w:t>1</w:t>
            </w:r>
            <w:r w:rsidR="0000426C" w:rsidRPr="00DF51DC">
              <w:rPr>
                <w:sz w:val="18"/>
                <w:szCs w:val="18"/>
              </w:rPr>
              <w:t>8</w:t>
            </w:r>
            <w:r w:rsidRPr="00DF51DC">
              <w:rPr>
                <w:sz w:val="18"/>
                <w:szCs w:val="18"/>
              </w:rPr>
              <w:t xml:space="preserve"> </w:t>
            </w:r>
            <w:proofErr w:type="spellStart"/>
            <w:r w:rsidRPr="00DF51DC">
              <w:rPr>
                <w:sz w:val="18"/>
                <w:szCs w:val="18"/>
              </w:rPr>
              <w:t>mo</w:t>
            </w:r>
            <w:proofErr w:type="spellEnd"/>
          </w:p>
        </w:tc>
      </w:tr>
      <w:tr w:rsidR="003E5914" w:rsidRPr="00DF51DC" w14:paraId="3C8CCD05" w14:textId="77777777" w:rsidTr="00E54ACB">
        <w:tc>
          <w:tcPr>
            <w:tcW w:w="661" w:type="pct"/>
          </w:tcPr>
          <w:p w14:paraId="5919C0D8" w14:textId="6C30CA3E" w:rsidR="003E5914" w:rsidRPr="00DF51DC" w:rsidRDefault="00EC0C44" w:rsidP="004E33F2">
            <w:pPr>
              <w:pStyle w:val="051Tabletext228pt"/>
              <w:rPr>
                <w:sz w:val="18"/>
                <w:szCs w:val="18"/>
              </w:rPr>
            </w:pPr>
            <w:proofErr w:type="spellStart"/>
            <w:r w:rsidRPr="00DF51DC">
              <w:rPr>
                <w:sz w:val="18"/>
                <w:szCs w:val="18"/>
              </w:rPr>
              <w:lastRenderedPageBreak/>
              <w:t>s</w:t>
            </w:r>
            <w:r w:rsidR="003E5914" w:rsidRPr="00DF51DC">
              <w:rPr>
                <w:sz w:val="18"/>
                <w:szCs w:val="18"/>
              </w:rPr>
              <w:t>PiRiT</w:t>
            </w:r>
            <w:proofErr w:type="spellEnd"/>
            <w:r w:rsidR="003E5914" w:rsidRPr="00DF51DC">
              <w:rPr>
                <w:sz w:val="18"/>
                <w:szCs w:val="18"/>
              </w:rPr>
              <w:t xml:space="preserve"> </w:t>
            </w:r>
            <w:proofErr w:type="spellStart"/>
            <w:r w:rsidR="003E5914" w:rsidRPr="00DF51DC">
              <w:rPr>
                <w:sz w:val="18"/>
                <w:szCs w:val="18"/>
              </w:rPr>
              <w:t>trial</w:t>
            </w:r>
            <w:r w:rsidR="00493D21">
              <w:rPr>
                <w:sz w:val="18"/>
                <w:szCs w:val="18"/>
                <w:vertAlign w:val="superscript"/>
              </w:rPr>
              <w:t>c</w:t>
            </w:r>
            <w:proofErr w:type="spellEnd"/>
            <w:r w:rsidR="003E5914" w:rsidRPr="00DF51DC">
              <w:rPr>
                <w:sz w:val="18"/>
                <w:szCs w:val="18"/>
              </w:rPr>
              <w:br/>
              <w:t>68</w:t>
            </w:r>
          </w:p>
        </w:tc>
        <w:tc>
          <w:tcPr>
            <w:tcW w:w="589" w:type="pct"/>
          </w:tcPr>
          <w:p w14:paraId="4C0811DC" w14:textId="77777777" w:rsidR="003E5914" w:rsidRPr="00DF51DC" w:rsidRDefault="003E5914" w:rsidP="004E33F2">
            <w:pPr>
              <w:pStyle w:val="051Tabletext228pt"/>
              <w:rPr>
                <w:sz w:val="18"/>
                <w:szCs w:val="18"/>
              </w:rPr>
            </w:pPr>
            <w:r w:rsidRPr="00DF51DC">
              <w:rPr>
                <w:sz w:val="18"/>
                <w:szCs w:val="18"/>
              </w:rPr>
              <w:t>Angina pectoris</w:t>
            </w:r>
          </w:p>
        </w:tc>
        <w:tc>
          <w:tcPr>
            <w:tcW w:w="1029" w:type="pct"/>
          </w:tcPr>
          <w:p w14:paraId="6CA1F445" w14:textId="77777777" w:rsidR="003E5914" w:rsidRPr="00DF51DC" w:rsidRDefault="003E5914" w:rsidP="004E33F2">
            <w:pPr>
              <w:pStyle w:val="051Tabletext228pt"/>
              <w:rPr>
                <w:sz w:val="18"/>
                <w:szCs w:val="18"/>
              </w:rPr>
            </w:pPr>
            <w:r w:rsidRPr="00DF51DC">
              <w:rPr>
                <w:sz w:val="18"/>
                <w:szCs w:val="18"/>
              </w:rPr>
              <w:t>SCS</w:t>
            </w:r>
          </w:p>
        </w:tc>
        <w:tc>
          <w:tcPr>
            <w:tcW w:w="1177" w:type="pct"/>
          </w:tcPr>
          <w:p w14:paraId="1C24E29F" w14:textId="77777777" w:rsidR="003E5914" w:rsidRPr="00DF51DC" w:rsidRDefault="003E5914" w:rsidP="004E33F2">
            <w:pPr>
              <w:pStyle w:val="051Tabletext228pt"/>
              <w:rPr>
                <w:sz w:val="18"/>
                <w:szCs w:val="18"/>
              </w:rPr>
            </w:pPr>
            <w:r w:rsidRPr="00DF51DC">
              <w:rPr>
                <w:sz w:val="18"/>
                <w:szCs w:val="18"/>
              </w:rPr>
              <w:t>Percutaneous myocardial laser revascularisation</w:t>
            </w:r>
          </w:p>
        </w:tc>
        <w:tc>
          <w:tcPr>
            <w:tcW w:w="860" w:type="pct"/>
          </w:tcPr>
          <w:p w14:paraId="4E16A270" w14:textId="77777777" w:rsidR="003E5914" w:rsidRPr="00DF51DC" w:rsidRDefault="003E5914" w:rsidP="004E33F2">
            <w:pPr>
              <w:pStyle w:val="051Tabletext228pt"/>
              <w:rPr>
                <w:sz w:val="18"/>
                <w:szCs w:val="18"/>
              </w:rPr>
            </w:pPr>
            <w:r w:rsidRPr="00DF51DC">
              <w:rPr>
                <w:sz w:val="18"/>
                <w:szCs w:val="18"/>
              </w:rPr>
              <w:t>Exercise capacity</w:t>
            </w:r>
          </w:p>
        </w:tc>
        <w:tc>
          <w:tcPr>
            <w:tcW w:w="683" w:type="pct"/>
          </w:tcPr>
          <w:p w14:paraId="556270C3" w14:textId="77777777" w:rsidR="003E5914" w:rsidRPr="00DF51DC" w:rsidRDefault="003E5914" w:rsidP="004E33F2">
            <w:pPr>
              <w:pStyle w:val="051Tabletext228pt"/>
              <w:rPr>
                <w:sz w:val="18"/>
                <w:szCs w:val="18"/>
              </w:rPr>
            </w:pPr>
            <w:r w:rsidRPr="00DF51DC">
              <w:rPr>
                <w:sz w:val="18"/>
                <w:szCs w:val="18"/>
              </w:rPr>
              <w:t xml:space="preserve">12 </w:t>
            </w:r>
            <w:proofErr w:type="spellStart"/>
            <w:r w:rsidRPr="00DF51DC">
              <w:rPr>
                <w:sz w:val="18"/>
                <w:szCs w:val="18"/>
              </w:rPr>
              <w:t>mo</w:t>
            </w:r>
            <w:proofErr w:type="spellEnd"/>
          </w:p>
        </w:tc>
      </w:tr>
      <w:tr w:rsidR="005C7FCC" w:rsidRPr="00DF51DC" w14:paraId="7A339292" w14:textId="77777777" w:rsidTr="00E54ACB">
        <w:tc>
          <w:tcPr>
            <w:tcW w:w="661" w:type="pct"/>
          </w:tcPr>
          <w:p w14:paraId="741522CB" w14:textId="5A0CD0CB" w:rsidR="0000426C" w:rsidRPr="00DF51DC" w:rsidRDefault="0000426C">
            <w:pPr>
              <w:pStyle w:val="051Tabletext228pt"/>
              <w:rPr>
                <w:sz w:val="18"/>
                <w:szCs w:val="18"/>
              </w:rPr>
            </w:pPr>
            <w:proofErr w:type="spellStart"/>
            <w:r w:rsidRPr="00DF51DC">
              <w:rPr>
                <w:sz w:val="18"/>
                <w:szCs w:val="18"/>
              </w:rPr>
              <w:t>Claeys</w:t>
            </w:r>
            <w:proofErr w:type="spellEnd"/>
            <w:r w:rsidR="003043FB" w:rsidRPr="00DF51DC">
              <w:rPr>
                <w:sz w:val="18"/>
                <w:szCs w:val="18"/>
              </w:rPr>
              <w:t xml:space="preserve"> 199</w:t>
            </w:r>
            <w:r w:rsidR="00B77B7F" w:rsidRPr="00DF51DC">
              <w:rPr>
                <w:sz w:val="18"/>
                <w:szCs w:val="18"/>
              </w:rPr>
              <w:t>9</w:t>
            </w:r>
            <w:r w:rsidR="00493D21">
              <w:rPr>
                <w:sz w:val="18"/>
                <w:szCs w:val="18"/>
                <w:vertAlign w:val="superscript"/>
              </w:rPr>
              <w:t>d</w:t>
            </w:r>
            <w:r w:rsidR="001B3D87" w:rsidRPr="00DF51DC">
              <w:rPr>
                <w:sz w:val="18"/>
                <w:szCs w:val="18"/>
              </w:rPr>
              <w:br/>
            </w:r>
            <w:r w:rsidRPr="00DF51DC">
              <w:rPr>
                <w:sz w:val="18"/>
                <w:szCs w:val="18"/>
              </w:rPr>
              <w:t>86</w:t>
            </w:r>
          </w:p>
        </w:tc>
        <w:tc>
          <w:tcPr>
            <w:tcW w:w="589" w:type="pct"/>
          </w:tcPr>
          <w:p w14:paraId="311F8711" w14:textId="3DB5CE0E" w:rsidR="005C7FCC" w:rsidRPr="00DF51DC" w:rsidRDefault="0000426C">
            <w:pPr>
              <w:pStyle w:val="051Tabletext228pt"/>
              <w:rPr>
                <w:sz w:val="18"/>
                <w:szCs w:val="18"/>
              </w:rPr>
            </w:pPr>
            <w:r w:rsidRPr="00DF51DC">
              <w:rPr>
                <w:sz w:val="18"/>
                <w:szCs w:val="18"/>
              </w:rPr>
              <w:t>CLI</w:t>
            </w:r>
          </w:p>
        </w:tc>
        <w:tc>
          <w:tcPr>
            <w:tcW w:w="1029" w:type="pct"/>
          </w:tcPr>
          <w:p w14:paraId="48D6C7E7" w14:textId="58ADAA8F" w:rsidR="0000426C" w:rsidRPr="00DF51DC" w:rsidRDefault="0000426C">
            <w:pPr>
              <w:pStyle w:val="051Tabletext228pt"/>
              <w:rPr>
                <w:sz w:val="18"/>
                <w:szCs w:val="18"/>
              </w:rPr>
            </w:pPr>
            <w:r w:rsidRPr="00DF51DC">
              <w:rPr>
                <w:sz w:val="18"/>
                <w:szCs w:val="18"/>
              </w:rPr>
              <w:t>SCS plus PGE1</w:t>
            </w:r>
          </w:p>
        </w:tc>
        <w:tc>
          <w:tcPr>
            <w:tcW w:w="1177" w:type="pct"/>
          </w:tcPr>
          <w:p w14:paraId="1D30F992" w14:textId="46A8F697" w:rsidR="00412A8D" w:rsidRPr="00DF51DC" w:rsidRDefault="00DB7AE8">
            <w:pPr>
              <w:pStyle w:val="051Tabletext228pt"/>
              <w:rPr>
                <w:sz w:val="18"/>
                <w:szCs w:val="18"/>
              </w:rPr>
            </w:pPr>
            <w:r w:rsidRPr="00DF51DC">
              <w:rPr>
                <w:sz w:val="18"/>
                <w:szCs w:val="18"/>
              </w:rPr>
              <w:t>PGE1</w:t>
            </w:r>
          </w:p>
        </w:tc>
        <w:tc>
          <w:tcPr>
            <w:tcW w:w="860" w:type="pct"/>
          </w:tcPr>
          <w:p w14:paraId="72BFC65A" w14:textId="1C505192" w:rsidR="005C7FCC" w:rsidRPr="00DF51DC" w:rsidRDefault="0000426C">
            <w:pPr>
              <w:pStyle w:val="051Tabletext228pt"/>
              <w:rPr>
                <w:sz w:val="18"/>
                <w:szCs w:val="18"/>
              </w:rPr>
            </w:pPr>
            <w:r w:rsidRPr="00DF51DC">
              <w:rPr>
                <w:sz w:val="18"/>
                <w:szCs w:val="18"/>
              </w:rPr>
              <w:t>Limb salvage rates</w:t>
            </w:r>
          </w:p>
        </w:tc>
        <w:tc>
          <w:tcPr>
            <w:tcW w:w="683" w:type="pct"/>
          </w:tcPr>
          <w:p w14:paraId="204E62DE" w14:textId="29E62136" w:rsidR="005C7FCC" w:rsidRPr="00DF51DC" w:rsidRDefault="0000426C">
            <w:pPr>
              <w:pStyle w:val="051Tabletext228pt"/>
              <w:rPr>
                <w:sz w:val="18"/>
                <w:szCs w:val="18"/>
              </w:rPr>
            </w:pPr>
            <w:r w:rsidRPr="00DF51DC">
              <w:rPr>
                <w:sz w:val="18"/>
                <w:szCs w:val="18"/>
              </w:rPr>
              <w:t xml:space="preserve">12 </w:t>
            </w:r>
            <w:proofErr w:type="spellStart"/>
            <w:r w:rsidRPr="00DF51DC">
              <w:rPr>
                <w:sz w:val="18"/>
                <w:szCs w:val="18"/>
              </w:rPr>
              <w:t>mo</w:t>
            </w:r>
            <w:proofErr w:type="spellEnd"/>
          </w:p>
        </w:tc>
      </w:tr>
      <w:tr w:rsidR="004E33F2" w:rsidRPr="00DF51DC" w14:paraId="3F9AE821" w14:textId="77777777" w:rsidTr="00E54ACB">
        <w:tc>
          <w:tcPr>
            <w:tcW w:w="661" w:type="pct"/>
          </w:tcPr>
          <w:p w14:paraId="16BA6358" w14:textId="429C4397" w:rsidR="004E33F2" w:rsidRPr="00DF51DC" w:rsidRDefault="004E33F2" w:rsidP="004E33F2">
            <w:pPr>
              <w:pStyle w:val="051Tabletext228pt"/>
              <w:rPr>
                <w:sz w:val="18"/>
                <w:szCs w:val="18"/>
              </w:rPr>
            </w:pPr>
            <w:proofErr w:type="spellStart"/>
            <w:r w:rsidRPr="00DF51DC">
              <w:rPr>
                <w:sz w:val="18"/>
                <w:szCs w:val="18"/>
              </w:rPr>
              <w:t>DeJongste</w:t>
            </w:r>
            <w:proofErr w:type="spellEnd"/>
            <w:r w:rsidR="008D6843" w:rsidRPr="00DF51DC">
              <w:rPr>
                <w:sz w:val="18"/>
                <w:szCs w:val="18"/>
              </w:rPr>
              <w:t xml:space="preserve"> 1994</w:t>
            </w:r>
            <w:r w:rsidR="008D6843" w:rsidRPr="00DF51DC">
              <w:rPr>
                <w:sz w:val="18"/>
                <w:szCs w:val="18"/>
              </w:rPr>
              <w:br/>
            </w:r>
            <w:r w:rsidR="00C516C5" w:rsidRPr="00DF51DC">
              <w:rPr>
                <w:sz w:val="18"/>
                <w:szCs w:val="18"/>
              </w:rPr>
              <w:t>17</w:t>
            </w:r>
          </w:p>
        </w:tc>
        <w:tc>
          <w:tcPr>
            <w:tcW w:w="589" w:type="pct"/>
          </w:tcPr>
          <w:p w14:paraId="1FFE870A" w14:textId="708252E9" w:rsidR="004E33F2" w:rsidRPr="00DF51DC" w:rsidRDefault="004E33F2" w:rsidP="004E33F2">
            <w:pPr>
              <w:pStyle w:val="051Tabletext228pt"/>
              <w:rPr>
                <w:sz w:val="18"/>
                <w:szCs w:val="18"/>
              </w:rPr>
            </w:pPr>
            <w:r w:rsidRPr="00DF51DC">
              <w:rPr>
                <w:sz w:val="18"/>
                <w:szCs w:val="18"/>
              </w:rPr>
              <w:t>Angina pectoris</w:t>
            </w:r>
          </w:p>
        </w:tc>
        <w:tc>
          <w:tcPr>
            <w:tcW w:w="1029" w:type="pct"/>
          </w:tcPr>
          <w:p w14:paraId="4EB2CE4C" w14:textId="725AB513" w:rsidR="004E33F2" w:rsidRPr="00DF51DC" w:rsidRDefault="004E33F2" w:rsidP="004E33F2">
            <w:pPr>
              <w:pStyle w:val="051Tabletext228pt"/>
              <w:rPr>
                <w:sz w:val="18"/>
                <w:szCs w:val="18"/>
              </w:rPr>
            </w:pPr>
            <w:r w:rsidRPr="00DF51DC">
              <w:rPr>
                <w:sz w:val="18"/>
                <w:szCs w:val="18"/>
              </w:rPr>
              <w:t>SCS</w:t>
            </w:r>
          </w:p>
        </w:tc>
        <w:tc>
          <w:tcPr>
            <w:tcW w:w="1177" w:type="pct"/>
          </w:tcPr>
          <w:p w14:paraId="51AD7CC4" w14:textId="30560B1E" w:rsidR="00412A8D" w:rsidRPr="00DF51DC" w:rsidRDefault="00DB7AE8" w:rsidP="004E33F2">
            <w:pPr>
              <w:pStyle w:val="051Tabletext228pt"/>
              <w:rPr>
                <w:sz w:val="18"/>
                <w:szCs w:val="18"/>
              </w:rPr>
            </w:pPr>
            <w:r w:rsidRPr="00DF51DC">
              <w:rPr>
                <w:sz w:val="18"/>
                <w:szCs w:val="18"/>
              </w:rPr>
              <w:t>No SCS</w:t>
            </w:r>
          </w:p>
        </w:tc>
        <w:tc>
          <w:tcPr>
            <w:tcW w:w="860" w:type="pct"/>
          </w:tcPr>
          <w:p w14:paraId="3CA11793" w14:textId="4A8E9504" w:rsidR="004E33F2" w:rsidRPr="00DF51DC" w:rsidRDefault="004E33F2" w:rsidP="004E33F2">
            <w:pPr>
              <w:pStyle w:val="051Tabletext228pt"/>
              <w:rPr>
                <w:sz w:val="18"/>
                <w:szCs w:val="18"/>
              </w:rPr>
            </w:pPr>
            <w:r w:rsidRPr="00DF51DC">
              <w:rPr>
                <w:sz w:val="18"/>
                <w:szCs w:val="18"/>
              </w:rPr>
              <w:t>Exercise capacity</w:t>
            </w:r>
            <w:r w:rsidR="0049049C" w:rsidRPr="00DF51DC">
              <w:rPr>
                <w:sz w:val="18"/>
                <w:szCs w:val="18"/>
              </w:rPr>
              <w:br/>
            </w:r>
            <w:proofErr w:type="spellStart"/>
            <w:r w:rsidRPr="00DF51DC">
              <w:rPr>
                <w:sz w:val="18"/>
                <w:szCs w:val="18"/>
              </w:rPr>
              <w:t>HRQoL</w:t>
            </w:r>
            <w:proofErr w:type="spellEnd"/>
          </w:p>
        </w:tc>
        <w:tc>
          <w:tcPr>
            <w:tcW w:w="683" w:type="pct"/>
          </w:tcPr>
          <w:p w14:paraId="3C23AC6F" w14:textId="13720BB2" w:rsidR="004E33F2" w:rsidRPr="00DF51DC" w:rsidRDefault="004E33F2" w:rsidP="004E33F2">
            <w:pPr>
              <w:pStyle w:val="051Tabletext228pt"/>
              <w:rPr>
                <w:sz w:val="18"/>
                <w:szCs w:val="18"/>
              </w:rPr>
            </w:pPr>
            <w:r w:rsidRPr="00DF51DC">
              <w:rPr>
                <w:sz w:val="18"/>
                <w:szCs w:val="18"/>
              </w:rPr>
              <w:t xml:space="preserve">6-8 </w:t>
            </w:r>
            <w:proofErr w:type="spellStart"/>
            <w:r w:rsidRPr="00DF51DC">
              <w:rPr>
                <w:sz w:val="18"/>
                <w:szCs w:val="18"/>
              </w:rPr>
              <w:t>wk</w:t>
            </w:r>
            <w:proofErr w:type="spellEnd"/>
          </w:p>
        </w:tc>
      </w:tr>
      <w:tr w:rsidR="004E33F2" w:rsidRPr="00DF51DC" w14:paraId="6041B51B" w14:textId="77777777" w:rsidTr="00E54ACB">
        <w:tc>
          <w:tcPr>
            <w:tcW w:w="661" w:type="pct"/>
          </w:tcPr>
          <w:p w14:paraId="48862722" w14:textId="2BE89BF9" w:rsidR="00A964A0" w:rsidRPr="00DF51DC" w:rsidRDefault="00A964A0" w:rsidP="004E33F2">
            <w:pPr>
              <w:pStyle w:val="051Tabletext228pt"/>
              <w:rPr>
                <w:sz w:val="18"/>
                <w:szCs w:val="18"/>
              </w:rPr>
            </w:pPr>
            <w:proofErr w:type="spellStart"/>
            <w:r w:rsidRPr="00DF51DC">
              <w:rPr>
                <w:sz w:val="18"/>
                <w:szCs w:val="18"/>
              </w:rPr>
              <w:t>Hautvast</w:t>
            </w:r>
            <w:proofErr w:type="spellEnd"/>
            <w:r w:rsidR="004B3075" w:rsidRPr="00DF51DC">
              <w:rPr>
                <w:sz w:val="18"/>
                <w:szCs w:val="18"/>
              </w:rPr>
              <w:t xml:space="preserve"> 1998</w:t>
            </w:r>
            <w:r w:rsidR="001B3D87" w:rsidRPr="00DF51DC">
              <w:rPr>
                <w:sz w:val="18"/>
                <w:szCs w:val="18"/>
              </w:rPr>
              <w:br/>
            </w:r>
            <w:r w:rsidRPr="00DF51DC">
              <w:rPr>
                <w:sz w:val="18"/>
                <w:szCs w:val="18"/>
              </w:rPr>
              <w:t>25</w:t>
            </w:r>
          </w:p>
        </w:tc>
        <w:tc>
          <w:tcPr>
            <w:tcW w:w="589" w:type="pct"/>
          </w:tcPr>
          <w:p w14:paraId="315F5E8F" w14:textId="31B0F166" w:rsidR="004E33F2" w:rsidRPr="00DF51DC" w:rsidRDefault="00494C98" w:rsidP="004E33F2">
            <w:pPr>
              <w:pStyle w:val="051Tabletext228pt"/>
              <w:rPr>
                <w:sz w:val="18"/>
                <w:szCs w:val="18"/>
              </w:rPr>
            </w:pPr>
            <w:r w:rsidRPr="00DF51DC">
              <w:rPr>
                <w:sz w:val="18"/>
                <w:szCs w:val="18"/>
              </w:rPr>
              <w:t>Angina pectoris</w:t>
            </w:r>
          </w:p>
        </w:tc>
        <w:tc>
          <w:tcPr>
            <w:tcW w:w="1029" w:type="pct"/>
          </w:tcPr>
          <w:p w14:paraId="583F54C8" w14:textId="4FEDBA37" w:rsidR="00A964A0" w:rsidRPr="00DF51DC" w:rsidRDefault="00A964A0" w:rsidP="004E33F2">
            <w:pPr>
              <w:pStyle w:val="051Tabletext228pt"/>
              <w:rPr>
                <w:sz w:val="18"/>
                <w:szCs w:val="18"/>
              </w:rPr>
            </w:pPr>
            <w:r w:rsidRPr="00DF51DC">
              <w:rPr>
                <w:sz w:val="18"/>
                <w:szCs w:val="18"/>
              </w:rPr>
              <w:t>SCS</w:t>
            </w:r>
          </w:p>
        </w:tc>
        <w:tc>
          <w:tcPr>
            <w:tcW w:w="1177" w:type="pct"/>
          </w:tcPr>
          <w:p w14:paraId="71FF63A9" w14:textId="3015F223" w:rsidR="00412A8D" w:rsidRPr="00DF51DC" w:rsidRDefault="00DB7AE8" w:rsidP="004E33F2">
            <w:pPr>
              <w:pStyle w:val="051Tabletext228pt"/>
              <w:rPr>
                <w:sz w:val="18"/>
                <w:szCs w:val="18"/>
              </w:rPr>
            </w:pPr>
            <w:r w:rsidRPr="00DF51DC">
              <w:rPr>
                <w:sz w:val="18"/>
                <w:szCs w:val="18"/>
              </w:rPr>
              <w:t>Inactive stimulator</w:t>
            </w:r>
          </w:p>
        </w:tc>
        <w:tc>
          <w:tcPr>
            <w:tcW w:w="860" w:type="pct"/>
          </w:tcPr>
          <w:p w14:paraId="10A46988" w14:textId="6F139C2B" w:rsidR="004E33F2" w:rsidRPr="00DF51DC" w:rsidRDefault="00C162DB" w:rsidP="004E33F2">
            <w:pPr>
              <w:pStyle w:val="051Tabletext228pt"/>
              <w:rPr>
                <w:sz w:val="18"/>
                <w:szCs w:val="18"/>
              </w:rPr>
            </w:pPr>
            <w:r w:rsidRPr="00DF51DC">
              <w:rPr>
                <w:sz w:val="18"/>
                <w:szCs w:val="18"/>
              </w:rPr>
              <w:t>Exercise capacity</w:t>
            </w:r>
          </w:p>
        </w:tc>
        <w:tc>
          <w:tcPr>
            <w:tcW w:w="683" w:type="pct"/>
          </w:tcPr>
          <w:p w14:paraId="115AB796" w14:textId="15DA1933" w:rsidR="004E33F2" w:rsidRPr="00DF51DC" w:rsidRDefault="00C162DB" w:rsidP="004E33F2">
            <w:pPr>
              <w:pStyle w:val="051Tabletext228pt"/>
              <w:rPr>
                <w:sz w:val="18"/>
                <w:szCs w:val="18"/>
              </w:rPr>
            </w:pPr>
            <w:r w:rsidRPr="00DF51DC">
              <w:rPr>
                <w:sz w:val="18"/>
                <w:szCs w:val="18"/>
              </w:rPr>
              <w:t xml:space="preserve">6 </w:t>
            </w:r>
            <w:proofErr w:type="spellStart"/>
            <w:r w:rsidRPr="00DF51DC">
              <w:rPr>
                <w:sz w:val="18"/>
                <w:szCs w:val="18"/>
              </w:rPr>
              <w:t>wk</w:t>
            </w:r>
            <w:proofErr w:type="spellEnd"/>
          </w:p>
        </w:tc>
      </w:tr>
    </w:tbl>
    <w:p w14:paraId="5B18F549" w14:textId="4DBE444C" w:rsidR="00146199" w:rsidRDefault="00250E8B" w:rsidP="00394957">
      <w:pPr>
        <w:pStyle w:val="111Tablefootnoteslast-nostick8pt"/>
      </w:pPr>
      <w:r w:rsidRPr="00766696">
        <w:t>Abbreviations:</w:t>
      </w:r>
      <w:r w:rsidR="00766696">
        <w:t xml:space="preserve"> </w:t>
      </w:r>
      <w:r w:rsidR="00F937DD">
        <w:t xml:space="preserve">CABG, </w:t>
      </w:r>
      <w:r w:rsidR="001C476A">
        <w:t>coronary artery bypass grafting</w:t>
      </w:r>
      <w:r w:rsidR="00224E5C">
        <w:t>;</w:t>
      </w:r>
      <w:r w:rsidR="00F937DD">
        <w:t xml:space="preserve"> CLI, critical limb </w:t>
      </w:r>
      <w:proofErr w:type="spellStart"/>
      <w:r w:rsidR="00F937DD">
        <w:t>ischaemia</w:t>
      </w:r>
      <w:proofErr w:type="spellEnd"/>
      <w:r w:rsidR="00F937DD">
        <w:t xml:space="preserve">; </w:t>
      </w:r>
      <w:proofErr w:type="spellStart"/>
      <w:r w:rsidR="00F937DD">
        <w:t>HRQoL</w:t>
      </w:r>
      <w:proofErr w:type="spellEnd"/>
      <w:r w:rsidR="00F937DD">
        <w:t>, health</w:t>
      </w:r>
      <w:r w:rsidR="005B44B9">
        <w:t>-</w:t>
      </w:r>
      <w:r w:rsidR="00F937DD">
        <w:t>related quality of life;</w:t>
      </w:r>
      <w:r w:rsidR="00766696">
        <w:t xml:space="preserve"> </w:t>
      </w:r>
      <w:proofErr w:type="spellStart"/>
      <w:r w:rsidR="004B3075">
        <w:t>mo</w:t>
      </w:r>
      <w:proofErr w:type="spellEnd"/>
      <w:r w:rsidR="004B3075">
        <w:t xml:space="preserve">, months; </w:t>
      </w:r>
      <w:r w:rsidR="00766696">
        <w:t>PGEI1, prostaglandin E1</w:t>
      </w:r>
      <w:r w:rsidR="004B3075">
        <w:t>; SCS, spinal cord stimulation</w:t>
      </w:r>
      <w:r w:rsidR="00820E0B">
        <w:t xml:space="preserve">; </w:t>
      </w:r>
      <w:proofErr w:type="spellStart"/>
      <w:r w:rsidR="00820E0B">
        <w:t>wk</w:t>
      </w:r>
      <w:proofErr w:type="spellEnd"/>
      <w:r w:rsidR="00820E0B">
        <w:t>, weeks</w:t>
      </w:r>
      <w:r w:rsidR="00B23A42">
        <w:t>.</w:t>
      </w:r>
      <w:r w:rsidR="00FF60C4">
        <w:br/>
      </w:r>
      <w:proofErr w:type="spellStart"/>
      <w:r w:rsidR="00493D21">
        <w:rPr>
          <w:b/>
          <w:bCs/>
        </w:rPr>
        <w:t>a</w:t>
      </w:r>
      <w:proofErr w:type="spellEnd"/>
      <w:r w:rsidR="00560C02">
        <w:t xml:space="preserve"> </w:t>
      </w:r>
      <w:r w:rsidR="00E80FF2">
        <w:t xml:space="preserve">Associated publications: </w:t>
      </w:r>
      <w:proofErr w:type="spellStart"/>
      <w:r w:rsidR="00560C02">
        <w:t>Ekre</w:t>
      </w:r>
      <w:proofErr w:type="spellEnd"/>
      <w:r w:rsidR="00560C02">
        <w:t xml:space="preserve"> 2002; </w:t>
      </w:r>
      <w:proofErr w:type="spellStart"/>
      <w:r w:rsidR="00560C02">
        <w:t>Norrsell</w:t>
      </w:r>
      <w:proofErr w:type="spellEnd"/>
      <w:r w:rsidR="00560C02">
        <w:t xml:space="preserve"> 2000; </w:t>
      </w:r>
      <w:proofErr w:type="spellStart"/>
      <w:r w:rsidR="00560C02">
        <w:t>Mannheimer</w:t>
      </w:r>
      <w:proofErr w:type="spellEnd"/>
      <w:r w:rsidR="00560C02">
        <w:t xml:space="preserve"> 1998</w:t>
      </w:r>
      <w:r w:rsidR="00FF60C4">
        <w:br/>
      </w:r>
      <w:r w:rsidR="00493D21">
        <w:rPr>
          <w:b/>
          <w:bCs/>
        </w:rPr>
        <w:t>b</w:t>
      </w:r>
      <w:r w:rsidR="00FF60C4">
        <w:t xml:space="preserve"> </w:t>
      </w:r>
      <w:r w:rsidR="00D93908">
        <w:t xml:space="preserve">Associated publications: </w:t>
      </w:r>
      <w:proofErr w:type="spellStart"/>
      <w:r w:rsidR="002332EF">
        <w:t>Spincemaille</w:t>
      </w:r>
      <w:proofErr w:type="spellEnd"/>
      <w:r w:rsidR="002332EF">
        <w:t xml:space="preserve"> 2000</w:t>
      </w:r>
      <w:r w:rsidR="0025737A">
        <w:t>a</w:t>
      </w:r>
      <w:r w:rsidR="002332EF">
        <w:t xml:space="preserve"> (pilot study); </w:t>
      </w:r>
      <w:proofErr w:type="spellStart"/>
      <w:r w:rsidR="0025737A">
        <w:t>Spincemaille</w:t>
      </w:r>
      <w:proofErr w:type="spellEnd"/>
      <w:r w:rsidR="0025737A">
        <w:t xml:space="preserve"> 2000b; </w:t>
      </w:r>
      <w:r w:rsidR="0028436C">
        <w:t>Klomp 1999</w:t>
      </w:r>
      <w:r w:rsidR="001C452B">
        <w:t xml:space="preserve">; </w:t>
      </w:r>
      <w:proofErr w:type="spellStart"/>
      <w:r w:rsidR="00730A5F">
        <w:t>Ubbink</w:t>
      </w:r>
      <w:proofErr w:type="spellEnd"/>
      <w:r w:rsidR="00730A5F">
        <w:t xml:space="preserve"> 1999; </w:t>
      </w:r>
      <w:r w:rsidR="00C21FD4">
        <w:t>Klomp 1995</w:t>
      </w:r>
      <w:r w:rsidR="00B77B7F">
        <w:br/>
      </w:r>
      <w:r w:rsidR="00493D21">
        <w:rPr>
          <w:b/>
          <w:bCs/>
        </w:rPr>
        <w:t>c</w:t>
      </w:r>
      <w:r w:rsidR="00C240B4">
        <w:t xml:space="preserve"> </w:t>
      </w:r>
      <w:r w:rsidR="00072F5D">
        <w:t xml:space="preserve">Associated publication: </w:t>
      </w:r>
      <w:r w:rsidR="00C240B4">
        <w:t>McNab 2006</w:t>
      </w:r>
      <w:r w:rsidR="00B77B7F">
        <w:br/>
      </w:r>
      <w:r w:rsidR="00493D21">
        <w:rPr>
          <w:b/>
          <w:bCs/>
        </w:rPr>
        <w:t>d</w:t>
      </w:r>
      <w:r w:rsidR="00B77B7F">
        <w:t xml:space="preserve"> </w:t>
      </w:r>
      <w:proofErr w:type="spellStart"/>
      <w:r w:rsidR="00D93908">
        <w:t>Claeys</w:t>
      </w:r>
      <w:proofErr w:type="spellEnd"/>
      <w:r w:rsidR="00D93908">
        <w:t xml:space="preserve"> </w:t>
      </w:r>
      <w:r w:rsidR="00B77B7F">
        <w:t>199</w:t>
      </w:r>
      <w:r w:rsidR="00D93908">
        <w:t>8</w:t>
      </w:r>
      <w:r w:rsidR="00B77B7F">
        <w:t xml:space="preserve"> is </w:t>
      </w:r>
      <w:r w:rsidR="00D93908">
        <w:t xml:space="preserve">considered </w:t>
      </w:r>
      <w:r w:rsidR="00B77B7F">
        <w:t xml:space="preserve">the </w:t>
      </w:r>
      <w:r w:rsidR="00D93908">
        <w:t>key</w:t>
      </w:r>
      <w:r w:rsidR="00B77B7F">
        <w:t xml:space="preserve"> publication</w:t>
      </w:r>
      <w:r w:rsidR="00D93908">
        <w:t xml:space="preserve">. Associated publications: </w:t>
      </w:r>
      <w:proofErr w:type="spellStart"/>
      <w:r w:rsidR="00D93908">
        <w:t>Claeys</w:t>
      </w:r>
      <w:proofErr w:type="spellEnd"/>
      <w:r w:rsidR="00D93908">
        <w:t xml:space="preserve"> </w:t>
      </w:r>
      <w:r w:rsidR="00CE6510">
        <w:t>1998</w:t>
      </w:r>
      <w:r w:rsidR="004971B5">
        <w:t>;</w:t>
      </w:r>
      <w:r w:rsidR="00CE6510">
        <w:t xml:space="preserve"> </w:t>
      </w:r>
      <w:proofErr w:type="spellStart"/>
      <w:r w:rsidR="00D93908">
        <w:t>Claeys</w:t>
      </w:r>
      <w:proofErr w:type="spellEnd"/>
      <w:r w:rsidR="00CE6510">
        <w:t xml:space="preserve"> 1997</w:t>
      </w:r>
      <w:r w:rsidR="004971B5">
        <w:t>;</w:t>
      </w:r>
      <w:r w:rsidR="00CE6510">
        <w:t xml:space="preserve"> </w:t>
      </w:r>
      <w:proofErr w:type="spellStart"/>
      <w:r w:rsidR="00D35CC2">
        <w:t>Claey</w:t>
      </w:r>
      <w:r w:rsidR="008571F8">
        <w:t>es</w:t>
      </w:r>
      <w:proofErr w:type="spellEnd"/>
      <w:r w:rsidR="008571F8">
        <w:t xml:space="preserve"> </w:t>
      </w:r>
      <w:r w:rsidR="00CE6510">
        <w:t>1996</w:t>
      </w:r>
    </w:p>
    <w:p w14:paraId="2E4ADC9E" w14:textId="26FEC079" w:rsidR="00B41DA7" w:rsidRDefault="00B41DA7" w:rsidP="00394957">
      <w:pPr>
        <w:pStyle w:val="Heading5"/>
      </w:pPr>
      <w:r>
        <w:t>Findings</w:t>
      </w:r>
    </w:p>
    <w:p w14:paraId="15FA252B" w14:textId="12A439FA" w:rsidR="00822DDA" w:rsidRDefault="00235852" w:rsidP="004E70A9">
      <w:pPr>
        <w:pStyle w:val="BodyText"/>
      </w:pPr>
      <w:r>
        <w:t>All four trials of CLI</w:t>
      </w:r>
      <w:r w:rsidR="00BD0D00">
        <w:t xml:space="preserve"> (</w:t>
      </w:r>
      <w:r w:rsidR="00A82267">
        <w:t>ESES</w:t>
      </w:r>
      <w:r w:rsidR="006044EF">
        <w:t>;</w:t>
      </w:r>
      <w:r w:rsidR="006F6395">
        <w:t xml:space="preserve"> </w:t>
      </w:r>
      <w:proofErr w:type="spellStart"/>
      <w:r w:rsidR="006D6E32">
        <w:t>Suy</w:t>
      </w:r>
      <w:proofErr w:type="spellEnd"/>
      <w:r w:rsidR="006D6E32">
        <w:t xml:space="preserve"> 1994; </w:t>
      </w:r>
      <w:proofErr w:type="spellStart"/>
      <w:r w:rsidR="00BA2A49">
        <w:t>Jivegard</w:t>
      </w:r>
      <w:proofErr w:type="spellEnd"/>
      <w:r w:rsidR="00BA2A49">
        <w:t xml:space="preserve"> 199</w:t>
      </w:r>
      <w:r w:rsidR="00566D56">
        <w:t>5</w:t>
      </w:r>
      <w:r w:rsidR="006C441B">
        <w:t xml:space="preserve">; </w:t>
      </w:r>
      <w:proofErr w:type="spellStart"/>
      <w:r w:rsidR="006C441B">
        <w:t>Claeys</w:t>
      </w:r>
      <w:proofErr w:type="spellEnd"/>
      <w:r w:rsidR="006C441B">
        <w:t xml:space="preserve"> </w:t>
      </w:r>
      <w:r w:rsidR="00EC12E3">
        <w:t>1998</w:t>
      </w:r>
      <w:r w:rsidR="00BD0D00">
        <w:t>)</w:t>
      </w:r>
      <w:r>
        <w:t xml:space="preserve"> reported </w:t>
      </w:r>
      <w:r w:rsidR="00857EA6">
        <w:t>limb survival rates</w:t>
      </w:r>
      <w:r w:rsidR="00CE0624">
        <w:t xml:space="preserve">, </w:t>
      </w:r>
      <w:r w:rsidR="00B3046A">
        <w:t xml:space="preserve">with </w:t>
      </w:r>
      <w:r w:rsidR="00857EA6">
        <w:t>no</w:t>
      </w:r>
      <w:r w:rsidR="00B3046A">
        <w:t xml:space="preserve"> studies reporting</w:t>
      </w:r>
      <w:r w:rsidR="00857EA6">
        <w:t xml:space="preserve"> a statistically significant difference between groups. </w:t>
      </w:r>
      <w:r w:rsidR="00BD0D00">
        <w:t>Two trials</w:t>
      </w:r>
      <w:r w:rsidR="00656A2D">
        <w:t xml:space="preserve"> (</w:t>
      </w:r>
      <w:r w:rsidR="00656A2D" w:rsidRPr="00466FEB">
        <w:t>ESES</w:t>
      </w:r>
      <w:r w:rsidR="00101409">
        <w:t>;</w:t>
      </w:r>
      <w:r w:rsidR="00656A2D" w:rsidRPr="00101409">
        <w:t xml:space="preserve"> </w:t>
      </w:r>
      <w:proofErr w:type="spellStart"/>
      <w:r w:rsidR="00656A2D" w:rsidRPr="00101409">
        <w:t>Jivegard</w:t>
      </w:r>
      <w:proofErr w:type="spellEnd"/>
      <w:r w:rsidR="00101409">
        <w:t xml:space="preserve"> 1995</w:t>
      </w:r>
      <w:r w:rsidR="00656A2D">
        <w:t>)</w:t>
      </w:r>
      <w:r w:rsidR="00BD0D00">
        <w:t xml:space="preserve"> reported</w:t>
      </w:r>
      <w:r w:rsidR="00B3046A">
        <w:t xml:space="preserve"> </w:t>
      </w:r>
      <w:r w:rsidR="00D42D63">
        <w:t>on</w:t>
      </w:r>
      <w:r w:rsidR="00BD0D00">
        <w:t xml:space="preserve"> pain relief outcomes</w:t>
      </w:r>
      <w:r w:rsidR="00D42D63">
        <w:t xml:space="preserve">. Neither trial </w:t>
      </w:r>
      <w:r w:rsidR="00BD0D00">
        <w:t xml:space="preserve">found a statistically significant difference between groups. </w:t>
      </w:r>
      <w:r w:rsidR="00090C7A">
        <w:t>The ESES</w:t>
      </w:r>
      <w:r w:rsidR="00BD0D00">
        <w:t xml:space="preserve"> trial</w:t>
      </w:r>
      <w:r w:rsidR="00822DDA">
        <w:t xml:space="preserve"> </w:t>
      </w:r>
      <w:r w:rsidR="00090C7A">
        <w:t>also</w:t>
      </w:r>
      <w:r w:rsidR="00BD0D00">
        <w:t xml:space="preserve"> reported </w:t>
      </w:r>
      <w:r w:rsidR="00090C7A">
        <w:t xml:space="preserve">on </w:t>
      </w:r>
      <w:proofErr w:type="spellStart"/>
      <w:r w:rsidR="00773037">
        <w:t>HRQoL</w:t>
      </w:r>
      <w:proofErr w:type="spellEnd"/>
      <w:r w:rsidR="00773037">
        <w:t xml:space="preserve"> and did not find a statistically significant difference between groups.</w:t>
      </w:r>
    </w:p>
    <w:p w14:paraId="0870C278" w14:textId="13700405" w:rsidR="00442633" w:rsidRDefault="00C554F0" w:rsidP="004E70A9">
      <w:pPr>
        <w:pStyle w:val="BodyText"/>
      </w:pPr>
      <w:r>
        <w:t xml:space="preserve">One angina trial </w:t>
      </w:r>
      <w:r w:rsidR="002E47E6">
        <w:t>(</w:t>
      </w:r>
      <w:proofErr w:type="spellStart"/>
      <w:r w:rsidR="002E47E6" w:rsidRPr="002909A8">
        <w:t>Hautvast</w:t>
      </w:r>
      <w:proofErr w:type="spellEnd"/>
      <w:r w:rsidR="002909A8">
        <w:t xml:space="preserve"> 1998</w:t>
      </w:r>
      <w:r w:rsidR="002E47E6">
        <w:t xml:space="preserve">) </w:t>
      </w:r>
      <w:r>
        <w:t>reported pain</w:t>
      </w:r>
      <w:r w:rsidR="002E47E6">
        <w:t xml:space="preserve"> outcomes and found no statistically significant difference between SCS and an inactive stimulator</w:t>
      </w:r>
      <w:r w:rsidR="0075556C">
        <w:t>. Three trials reported on frequency of angina attacks</w:t>
      </w:r>
      <w:r w:rsidR="001840FD">
        <w:t>;</w:t>
      </w:r>
      <w:r w:rsidR="0075556C">
        <w:t xml:space="preserve"> </w:t>
      </w:r>
      <w:r w:rsidR="001840FD">
        <w:t>t</w:t>
      </w:r>
      <w:r w:rsidR="0075556C">
        <w:t xml:space="preserve">wo </w:t>
      </w:r>
      <w:r w:rsidR="00860793">
        <w:t>trials</w:t>
      </w:r>
      <w:r w:rsidR="0075556C">
        <w:t xml:space="preserve"> found a statistically significant difference in favour of SCS</w:t>
      </w:r>
      <w:r w:rsidR="00B60122">
        <w:t xml:space="preserve"> (</w:t>
      </w:r>
      <w:proofErr w:type="spellStart"/>
      <w:r w:rsidR="00D754B5">
        <w:t>D</w:t>
      </w:r>
      <w:r w:rsidR="00B60122" w:rsidRPr="00D754B5">
        <w:t>eJongste</w:t>
      </w:r>
      <w:proofErr w:type="spellEnd"/>
      <w:r w:rsidR="0070437A">
        <w:t xml:space="preserve"> </w:t>
      </w:r>
      <w:r w:rsidR="00021767">
        <w:t>1994</w:t>
      </w:r>
      <w:r w:rsidR="00707694">
        <w:t>;</w:t>
      </w:r>
      <w:r w:rsidR="00B60122" w:rsidRPr="00D754B5">
        <w:t xml:space="preserve"> </w:t>
      </w:r>
      <w:proofErr w:type="spellStart"/>
      <w:r w:rsidR="00B60122" w:rsidRPr="00D754B5">
        <w:t>Hautvast</w:t>
      </w:r>
      <w:proofErr w:type="spellEnd"/>
      <w:r w:rsidR="00021767">
        <w:t xml:space="preserve"> 1998</w:t>
      </w:r>
      <w:r w:rsidR="00B60122">
        <w:t>)</w:t>
      </w:r>
      <w:r w:rsidR="0075556C">
        <w:t xml:space="preserve"> and one found no statistically significant difference</w:t>
      </w:r>
      <w:r w:rsidR="00B60122">
        <w:t xml:space="preserve"> (</w:t>
      </w:r>
      <w:proofErr w:type="spellStart"/>
      <w:r w:rsidR="00EC0C44" w:rsidRPr="00021767">
        <w:t>s</w:t>
      </w:r>
      <w:r w:rsidR="001504F3" w:rsidRPr="00021767">
        <w:t>PiRiT</w:t>
      </w:r>
      <w:proofErr w:type="spellEnd"/>
      <w:r w:rsidR="001504F3">
        <w:t>)</w:t>
      </w:r>
      <w:r w:rsidR="0075556C">
        <w:t>.</w:t>
      </w:r>
      <w:r w:rsidR="00BF38D5">
        <w:t xml:space="preserve"> </w:t>
      </w:r>
      <w:r w:rsidR="009F3A8A">
        <w:t>Three</w:t>
      </w:r>
      <w:r w:rsidR="00BF38D5">
        <w:t xml:space="preserve"> trials reported on exercise duration or capacity</w:t>
      </w:r>
      <w:r w:rsidR="00C805C3">
        <w:t>;</w:t>
      </w:r>
      <w:r w:rsidR="00BF38D5">
        <w:t xml:space="preserve"> two </w:t>
      </w:r>
      <w:r w:rsidR="00C805C3">
        <w:t>trials</w:t>
      </w:r>
      <w:r w:rsidR="00BF38D5">
        <w:t xml:space="preserve"> </w:t>
      </w:r>
      <w:r w:rsidR="00BF5FF0">
        <w:t>(</w:t>
      </w:r>
      <w:proofErr w:type="spellStart"/>
      <w:r w:rsidR="00707694">
        <w:t>D</w:t>
      </w:r>
      <w:r w:rsidR="00BF5FF0" w:rsidRPr="00707694">
        <w:t>eJongste</w:t>
      </w:r>
      <w:proofErr w:type="spellEnd"/>
      <w:r w:rsidR="00021767" w:rsidRPr="00707694">
        <w:t xml:space="preserve"> </w:t>
      </w:r>
      <w:r w:rsidR="00707694" w:rsidRPr="00707694">
        <w:t>1994</w:t>
      </w:r>
      <w:r w:rsidR="00BF5FF0" w:rsidRPr="00707694">
        <w:t xml:space="preserve">, </w:t>
      </w:r>
      <w:proofErr w:type="spellStart"/>
      <w:r w:rsidR="00B3616B" w:rsidRPr="00707694">
        <w:t>Hautvast</w:t>
      </w:r>
      <w:proofErr w:type="spellEnd"/>
      <w:r w:rsidR="00707694" w:rsidRPr="00707694">
        <w:t xml:space="preserve"> 1998</w:t>
      </w:r>
      <w:r w:rsidR="00B3616B">
        <w:t xml:space="preserve">) </w:t>
      </w:r>
      <w:r w:rsidR="00C805C3">
        <w:t xml:space="preserve">reported </w:t>
      </w:r>
      <w:r w:rsidR="00BF38D5">
        <w:t xml:space="preserve">a statistically significant difference favouring SCS and </w:t>
      </w:r>
      <w:r w:rsidR="009C6D91">
        <w:t>one report</w:t>
      </w:r>
      <w:r w:rsidR="00C805C3">
        <w:t>ed</w:t>
      </w:r>
      <w:r w:rsidR="009C6D91">
        <w:t xml:space="preserve"> no difference (</w:t>
      </w:r>
      <w:proofErr w:type="spellStart"/>
      <w:r w:rsidR="00EC0C44" w:rsidRPr="00707694">
        <w:t>s</w:t>
      </w:r>
      <w:r w:rsidR="00BF5FF0" w:rsidRPr="00707694">
        <w:t>PiRiT</w:t>
      </w:r>
      <w:proofErr w:type="spellEnd"/>
      <w:r w:rsidR="00BF5FF0">
        <w:t>).</w:t>
      </w:r>
      <w:r w:rsidR="00BF38D5">
        <w:t xml:space="preserve"> </w:t>
      </w:r>
      <w:r w:rsidR="0090592A">
        <w:t xml:space="preserve">All four trials reported </w:t>
      </w:r>
      <w:r w:rsidR="00EB24B6">
        <w:t>on</w:t>
      </w:r>
      <w:r w:rsidR="0090592A">
        <w:t xml:space="preserve"> </w:t>
      </w:r>
      <w:proofErr w:type="spellStart"/>
      <w:r w:rsidR="0090592A">
        <w:t>HRQoL</w:t>
      </w:r>
      <w:proofErr w:type="spellEnd"/>
      <w:r w:rsidR="0090592A">
        <w:t xml:space="preserve"> outcomes</w:t>
      </w:r>
      <w:r w:rsidR="00B7785E">
        <w:t>;</w:t>
      </w:r>
      <w:r w:rsidR="00EB24B6">
        <w:t xml:space="preserve"> </w:t>
      </w:r>
      <w:r w:rsidR="0090592A">
        <w:t>three</w:t>
      </w:r>
      <w:r w:rsidR="00EB24B6">
        <w:t xml:space="preserve"> trials</w:t>
      </w:r>
      <w:r w:rsidR="0090592A">
        <w:t xml:space="preserve"> found no significant difference between SCS and the comparator</w:t>
      </w:r>
      <w:r w:rsidR="003B0DFB">
        <w:t xml:space="preserve"> while</w:t>
      </w:r>
      <w:r w:rsidR="0090592A">
        <w:t xml:space="preserve"> one </w:t>
      </w:r>
      <w:r w:rsidR="00594552">
        <w:t xml:space="preserve">trial </w:t>
      </w:r>
      <w:r w:rsidR="0090592A">
        <w:t>reported a statistically significant difference (</w:t>
      </w:r>
      <w:proofErr w:type="spellStart"/>
      <w:r w:rsidR="00707694">
        <w:t>D</w:t>
      </w:r>
      <w:r w:rsidR="00021EA1" w:rsidRPr="00707694">
        <w:t>eJongste</w:t>
      </w:r>
      <w:proofErr w:type="spellEnd"/>
      <w:r w:rsidR="00707694">
        <w:t xml:space="preserve"> </w:t>
      </w:r>
      <w:r w:rsidR="00FD4EC7">
        <w:t>1994</w:t>
      </w:r>
      <w:r w:rsidR="00021EA1">
        <w:t>)</w:t>
      </w:r>
      <w:r w:rsidR="0090592A">
        <w:t>.</w:t>
      </w:r>
    </w:p>
    <w:p w14:paraId="7E9B4086" w14:textId="77777777" w:rsidR="00EE528B" w:rsidRDefault="00442633" w:rsidP="004E70A9">
      <w:pPr>
        <w:pStyle w:val="BodyText"/>
      </w:pPr>
      <w:r>
        <w:t xml:space="preserve">On the basis of these findings, NICE </w:t>
      </w:r>
      <w:r w:rsidR="00EE528B">
        <w:t>developed</w:t>
      </w:r>
      <w:r w:rsidR="00250E8B">
        <w:t xml:space="preserve"> the following guidance</w:t>
      </w:r>
      <w:r w:rsidR="00EE528B">
        <w:t>:</w:t>
      </w:r>
    </w:p>
    <w:p w14:paraId="18F4505D" w14:textId="44BA3DFE" w:rsidR="00442633" w:rsidRDefault="00250E8B" w:rsidP="006415E9">
      <w:pPr>
        <w:pStyle w:val="Quote"/>
      </w:pPr>
      <w:r>
        <w:t>‘</w:t>
      </w:r>
      <w:r w:rsidRPr="006415E9">
        <w:rPr>
          <w:rStyle w:val="QuoteChar"/>
          <w:i/>
        </w:rPr>
        <w:t>Spinal cord stimulation is not recommended as a treatment option for adults with chronic pain of ischaemic origin except in the context of research as part of a clinical trial. Such research should be designed to generate robust evidence about the benefits of spinal cord stimulation (including pain relief, functional outcomes and quality of life) compared with standard care</w:t>
      </w:r>
      <w:r w:rsidRPr="00250E8B">
        <w:t>.</w:t>
      </w:r>
      <w:r>
        <w:t>’</w:t>
      </w:r>
    </w:p>
    <w:p w14:paraId="7A36BE16" w14:textId="340F837F" w:rsidR="000C1CB3" w:rsidRPr="00911C2C" w:rsidRDefault="00911C2C" w:rsidP="00182437">
      <w:pPr>
        <w:pStyle w:val="BodyText"/>
      </w:pPr>
      <w:r>
        <w:t>A</w:t>
      </w:r>
      <w:r w:rsidR="005D08CE">
        <w:t xml:space="preserve">n </w:t>
      </w:r>
      <w:r w:rsidR="00473E97">
        <w:t>investigator-initiated</w:t>
      </w:r>
      <w:r w:rsidRPr="00182437">
        <w:t xml:space="preserve"> double-blind, placebo-controlled, cross-over RCT investigating the efficacy of SCS in patients with </w:t>
      </w:r>
      <w:r w:rsidR="000022B6">
        <w:t>refractory angina pectoris</w:t>
      </w:r>
      <w:r w:rsidRPr="00182437">
        <w:t xml:space="preserve"> is expected</w:t>
      </w:r>
      <w:r w:rsidR="008C6861">
        <w:t xml:space="preserve"> to</w:t>
      </w:r>
      <w:r w:rsidRPr="00182437">
        <w:t xml:space="preserve"> complete primary assessments in June 2025</w:t>
      </w:r>
      <w:r w:rsidR="000022B6">
        <w:t xml:space="preserve"> </w:t>
      </w:r>
      <w:r w:rsidR="008C6861">
        <w:t>and may provide further evidence for this indication</w:t>
      </w:r>
      <w:r w:rsidR="000022B6">
        <w:t xml:space="preserve"> </w:t>
      </w:r>
      <w:r w:rsidR="000022B6" w:rsidRPr="00C66AE3">
        <w:t>(</w:t>
      </w:r>
      <w:proofErr w:type="spellStart"/>
      <w:r w:rsidR="000022B6" w:rsidRPr="00C66AE3">
        <w:t>ClinicalTrials</w:t>
      </w:r>
      <w:proofErr w:type="spellEnd"/>
      <w:r w:rsidR="000022B6" w:rsidRPr="00C66AE3">
        <w:t>. gov Identifier: NCT04915157)</w:t>
      </w:r>
      <w:r w:rsidR="00E32049">
        <w:t xml:space="preserve"> (</w:t>
      </w:r>
      <w:proofErr w:type="spellStart"/>
      <w:r w:rsidR="00E32049">
        <w:t>Vervaat</w:t>
      </w:r>
      <w:proofErr w:type="spellEnd"/>
      <w:r w:rsidR="00E32049">
        <w:t xml:space="preserve"> 2023)</w:t>
      </w:r>
      <w:r w:rsidR="008C6861">
        <w:t>.</w:t>
      </w:r>
    </w:p>
    <w:p w14:paraId="709E6216" w14:textId="1D163E47" w:rsidR="00CC67E0" w:rsidRDefault="00CC67E0" w:rsidP="00595AFE">
      <w:pPr>
        <w:pStyle w:val="Heading3"/>
      </w:pPr>
      <w:bookmarkStart w:id="82" w:name="_Ref134540464"/>
      <w:bookmarkStart w:id="83" w:name="_Ref134540469"/>
      <w:bookmarkStart w:id="84" w:name="_Toc165634671"/>
      <w:r>
        <w:t xml:space="preserve">Additional </w:t>
      </w:r>
      <w:r w:rsidR="003C6533">
        <w:t xml:space="preserve">RCT </w:t>
      </w:r>
      <w:r>
        <w:t>evidence</w:t>
      </w:r>
      <w:bookmarkEnd w:id="82"/>
      <w:bookmarkEnd w:id="83"/>
      <w:bookmarkEnd w:id="84"/>
    </w:p>
    <w:p w14:paraId="4B7D1320" w14:textId="3A197C1E" w:rsidR="004F4981" w:rsidRDefault="004F4981" w:rsidP="00B71B56">
      <w:pPr>
        <w:pStyle w:val="BodyText"/>
      </w:pPr>
      <w:r>
        <w:t>Studies comparing one type of SCS with another were excluded from both Cochrane reviews (O’Connell 2021; Traeger 2023). Noting the methodological considerations discussed (</w:t>
      </w:r>
      <w:r w:rsidR="00601145">
        <w:t xml:space="preserve">Section </w:t>
      </w:r>
      <w:r w:rsidR="00601145">
        <w:fldChar w:fldCharType="begin"/>
      </w:r>
      <w:r w:rsidR="00601145">
        <w:instrText xml:space="preserve"> REF _Ref134438037 \r \h </w:instrText>
      </w:r>
      <w:r w:rsidR="00C5297D">
        <w:instrText xml:space="preserve"> \* MERGEFORMAT </w:instrText>
      </w:r>
      <w:r w:rsidR="00601145">
        <w:fldChar w:fldCharType="separate"/>
      </w:r>
      <w:r w:rsidR="00CE6ACA">
        <w:t>3.1.3</w:t>
      </w:r>
      <w:r w:rsidR="00601145">
        <w:fldChar w:fldCharType="end"/>
      </w:r>
      <w:r w:rsidR="00601145">
        <w:t xml:space="preserve">), </w:t>
      </w:r>
      <w:r w:rsidR="007708DB">
        <w:t>RCTs</w:t>
      </w:r>
      <w:r w:rsidR="0077332B">
        <w:t xml:space="preserve"> identified by sponsors and stakeholders</w:t>
      </w:r>
      <w:r w:rsidR="001C795B">
        <w:t xml:space="preserve"> </w:t>
      </w:r>
      <w:r w:rsidR="00090571">
        <w:t>(</w:t>
      </w:r>
      <w:r w:rsidR="006C3FE1">
        <w:fldChar w:fldCharType="begin"/>
      </w:r>
      <w:r w:rsidR="006C3FE1">
        <w:instrText xml:space="preserve"> REF _Ref134533403 \h </w:instrText>
      </w:r>
      <w:r w:rsidR="006C3FE1">
        <w:fldChar w:fldCharType="separate"/>
      </w:r>
      <w:r w:rsidR="00CE6ACA">
        <w:t xml:space="preserve">Table App </w:t>
      </w:r>
      <w:r w:rsidR="00CE6ACA">
        <w:rPr>
          <w:noProof/>
        </w:rPr>
        <w:t>10</w:t>
      </w:r>
      <w:r w:rsidR="006C3FE1">
        <w:fldChar w:fldCharType="end"/>
      </w:r>
      <w:r w:rsidR="00A31FC8">
        <w:t>)</w:t>
      </w:r>
      <w:r w:rsidR="00B71B56">
        <w:t xml:space="preserve"> </w:t>
      </w:r>
      <w:r w:rsidR="0077332B">
        <w:t>and those excluded from the Cochrane reviews</w:t>
      </w:r>
      <w:r w:rsidR="003000FB">
        <w:t xml:space="preserve"> (</w:t>
      </w:r>
      <w:r w:rsidR="00AC37E5">
        <w:fldChar w:fldCharType="begin"/>
      </w:r>
      <w:r w:rsidR="00AC37E5">
        <w:instrText xml:space="preserve"> REF _Ref134458614 \h </w:instrText>
      </w:r>
      <w:r w:rsidR="00AC37E5">
        <w:fldChar w:fldCharType="separate"/>
      </w:r>
      <w:r w:rsidR="00CE6ACA">
        <w:t xml:space="preserve">Table App </w:t>
      </w:r>
      <w:r w:rsidR="00CE6ACA">
        <w:rPr>
          <w:noProof/>
        </w:rPr>
        <w:t>11</w:t>
      </w:r>
      <w:r w:rsidR="00AC37E5">
        <w:fldChar w:fldCharType="end"/>
      </w:r>
      <w:r w:rsidR="00AC37E5">
        <w:t xml:space="preserve">, </w:t>
      </w:r>
      <w:r w:rsidR="00AC37E5">
        <w:fldChar w:fldCharType="begin"/>
      </w:r>
      <w:r w:rsidR="00AC37E5">
        <w:instrText xml:space="preserve"> REF _Ref134458638 \h </w:instrText>
      </w:r>
      <w:r w:rsidR="00AC37E5">
        <w:fldChar w:fldCharType="separate"/>
      </w:r>
      <w:r w:rsidR="00CE6ACA">
        <w:t xml:space="preserve">Table App </w:t>
      </w:r>
      <w:r w:rsidR="00CE6ACA">
        <w:rPr>
          <w:noProof/>
        </w:rPr>
        <w:t>12</w:t>
      </w:r>
      <w:r w:rsidR="00AC37E5">
        <w:fldChar w:fldCharType="end"/>
      </w:r>
      <w:r w:rsidR="00983708">
        <w:t>)</w:t>
      </w:r>
      <w:r w:rsidR="0077332B">
        <w:t xml:space="preserve">, were considered for inclusion </w:t>
      </w:r>
      <w:r w:rsidR="002049A0">
        <w:t>to provide additional evidence.</w:t>
      </w:r>
      <w:r w:rsidR="0077332B">
        <w:t xml:space="preserve"> </w:t>
      </w:r>
      <w:r w:rsidR="000615DC">
        <w:t xml:space="preserve">Included RCTs needed to report </w:t>
      </w:r>
      <w:r w:rsidR="00B12D79">
        <w:t xml:space="preserve">at least medium-term outcomes </w:t>
      </w:r>
      <w:r w:rsidR="00426DFB">
        <w:t>(</w:t>
      </w:r>
      <w:r w:rsidR="00426DFB">
        <w:rPr>
          <w:rFonts w:cs="Calibri"/>
        </w:rPr>
        <w:t>≥</w:t>
      </w:r>
      <w:r w:rsidR="00426DFB">
        <w:t>3 months)</w:t>
      </w:r>
      <w:r w:rsidR="00B12D79">
        <w:t xml:space="preserve"> and to </w:t>
      </w:r>
      <w:r w:rsidR="0039538F">
        <w:t>include pain a</w:t>
      </w:r>
      <w:r w:rsidR="003A1A35">
        <w:t xml:space="preserve">s a primary </w:t>
      </w:r>
      <w:r w:rsidR="00167AF0">
        <w:t>outcome</w:t>
      </w:r>
      <w:r w:rsidR="003A1A35">
        <w:t>.</w:t>
      </w:r>
      <w:r w:rsidR="00167AF0">
        <w:t xml:space="preserve"> The requirement for medium-term outcomes excluded most cross-over designs.</w:t>
      </w:r>
    </w:p>
    <w:p w14:paraId="399B8800" w14:textId="38F967DF" w:rsidR="00EF0E4D" w:rsidRPr="00EF0E4D" w:rsidRDefault="00EF0E4D" w:rsidP="00DD260A">
      <w:pPr>
        <w:pStyle w:val="Heading4"/>
      </w:pPr>
      <w:r>
        <w:lastRenderedPageBreak/>
        <w:t>High</w:t>
      </w:r>
      <w:r w:rsidR="00572B21">
        <w:t>-</w:t>
      </w:r>
      <w:r w:rsidR="004E61C4">
        <w:t>frequency SCS versus conventional SCS</w:t>
      </w:r>
    </w:p>
    <w:p w14:paraId="45398B9F" w14:textId="627F2E06" w:rsidR="00167AF0" w:rsidRPr="00167AF0" w:rsidRDefault="00272340" w:rsidP="00167AF0">
      <w:pPr>
        <w:pStyle w:val="BodyText"/>
      </w:pPr>
      <w:r>
        <w:t xml:space="preserve">Four studies </w:t>
      </w:r>
      <w:r w:rsidR="000A484B">
        <w:t>that</w:t>
      </w:r>
      <w:r w:rsidR="00147B72">
        <w:t xml:space="preserve"> compared high-frequency (HF) SCS against conventional SCS</w:t>
      </w:r>
      <w:r w:rsidR="006E4FF5">
        <w:t xml:space="preserve"> were considered applicable</w:t>
      </w:r>
      <w:r w:rsidR="00C73706">
        <w:t>:</w:t>
      </w:r>
      <w:r w:rsidR="00040C0F">
        <w:t xml:space="preserve"> </w:t>
      </w:r>
      <w:r w:rsidR="007D350A">
        <w:t>SURF (</w:t>
      </w:r>
      <w:proofErr w:type="spellStart"/>
      <w:r w:rsidR="007D350A">
        <w:t>Bolash</w:t>
      </w:r>
      <w:proofErr w:type="spellEnd"/>
      <w:r w:rsidR="007D350A">
        <w:t xml:space="preserve"> 2019), </w:t>
      </w:r>
      <w:proofErr w:type="spellStart"/>
      <w:r w:rsidR="008A3715" w:rsidRPr="008A3715">
        <w:t>Canós-Verdecho</w:t>
      </w:r>
      <w:proofErr w:type="spellEnd"/>
      <w:r w:rsidR="008A3715" w:rsidRPr="008A3715">
        <w:t xml:space="preserve"> </w:t>
      </w:r>
      <w:r w:rsidR="00A2765D">
        <w:t>(</w:t>
      </w:r>
      <w:r w:rsidR="008A3715" w:rsidRPr="008A3715">
        <w:t>2021</w:t>
      </w:r>
      <w:r w:rsidR="00A2765D">
        <w:t>), De</w:t>
      </w:r>
      <w:r w:rsidR="00EA24C6">
        <w:t xml:space="preserve"> </w:t>
      </w:r>
      <w:r w:rsidR="00A2765D">
        <w:t>Andre</w:t>
      </w:r>
      <w:r w:rsidR="00663DEB">
        <w:t>s (2017) and SENZA-RCT (</w:t>
      </w:r>
      <w:proofErr w:type="spellStart"/>
      <w:r w:rsidR="00663DEB">
        <w:t>Kapural</w:t>
      </w:r>
      <w:proofErr w:type="spellEnd"/>
      <w:r w:rsidR="00663DEB">
        <w:t xml:space="preserve"> 2016)</w:t>
      </w:r>
      <w:r w:rsidR="00C308E8">
        <w:t xml:space="preserve"> (</w:t>
      </w:r>
      <w:r w:rsidR="00C308E8">
        <w:fldChar w:fldCharType="begin"/>
      </w:r>
      <w:r w:rsidR="00C308E8">
        <w:instrText xml:space="preserve"> REF _Ref134532716 \h </w:instrText>
      </w:r>
      <w:r w:rsidR="00C308E8">
        <w:fldChar w:fldCharType="separate"/>
      </w:r>
      <w:r w:rsidR="00CE6ACA">
        <w:t xml:space="preserve">Table </w:t>
      </w:r>
      <w:r w:rsidR="00CE6ACA">
        <w:rPr>
          <w:noProof/>
        </w:rPr>
        <w:t>11</w:t>
      </w:r>
      <w:r w:rsidR="00C308E8">
        <w:fldChar w:fldCharType="end"/>
      </w:r>
      <w:r w:rsidR="00C308E8">
        <w:t>)</w:t>
      </w:r>
      <w:r w:rsidR="00663DEB">
        <w:t>.</w:t>
      </w:r>
      <w:r w:rsidR="009E4E61">
        <w:t xml:space="preserve"> The two largest trials are multicentre, industry-sponsored trials</w:t>
      </w:r>
      <w:r w:rsidR="004A23C0">
        <w:t xml:space="preserve"> (</w:t>
      </w:r>
      <w:r w:rsidR="00AC2E8E">
        <w:t>SURF and SENZA-RCT</w:t>
      </w:r>
      <w:r w:rsidR="00362A2A">
        <w:t>)</w:t>
      </w:r>
      <w:r w:rsidR="009C5028">
        <w:t xml:space="preserve"> </w:t>
      </w:r>
      <w:r w:rsidR="00BE111D">
        <w:t>which include patients with chronic back or leg pain.</w:t>
      </w:r>
      <w:r w:rsidR="009C5028">
        <w:t xml:space="preserve"> </w:t>
      </w:r>
      <w:r w:rsidR="00BE111D">
        <w:t>T</w:t>
      </w:r>
      <w:r w:rsidR="009C5028">
        <w:t xml:space="preserve">he two smaller trials are </w:t>
      </w:r>
      <w:r w:rsidR="00C423D9">
        <w:t>single site, non-industry funded</w:t>
      </w:r>
      <w:r w:rsidR="004E0014">
        <w:t>,</w:t>
      </w:r>
      <w:r w:rsidR="00C423D9">
        <w:t xml:space="preserve"> </w:t>
      </w:r>
      <w:r w:rsidR="00372000">
        <w:t xml:space="preserve">both conducted in Spain </w:t>
      </w:r>
      <w:r w:rsidR="00B758EF">
        <w:t xml:space="preserve">and include patients with </w:t>
      </w:r>
      <w:r w:rsidR="00931A71">
        <w:t xml:space="preserve">CRPS </w:t>
      </w:r>
      <w:r w:rsidR="002335B8">
        <w:t>(</w:t>
      </w:r>
      <w:proofErr w:type="spellStart"/>
      <w:r w:rsidR="00931A71" w:rsidRPr="008A3715">
        <w:t>Canós-Verdecho</w:t>
      </w:r>
      <w:proofErr w:type="spellEnd"/>
      <w:r w:rsidR="00931A71">
        <w:t xml:space="preserve"> 202</w:t>
      </w:r>
      <w:r w:rsidR="00E52652">
        <w:t>1</w:t>
      </w:r>
      <w:r w:rsidR="002335B8">
        <w:t xml:space="preserve">) </w:t>
      </w:r>
      <w:r w:rsidR="00931A71">
        <w:t xml:space="preserve">or FBSS </w:t>
      </w:r>
      <w:r w:rsidR="002335B8">
        <w:t>(De Andres 2017)</w:t>
      </w:r>
      <w:r w:rsidR="00EA06E6">
        <w:t xml:space="preserve">. The </w:t>
      </w:r>
      <w:proofErr w:type="spellStart"/>
      <w:r w:rsidR="00EA06E6" w:rsidRPr="008A3715">
        <w:t>Canós-Verdecho</w:t>
      </w:r>
      <w:proofErr w:type="spellEnd"/>
      <w:r w:rsidR="00EA06E6">
        <w:t xml:space="preserve"> study (202</w:t>
      </w:r>
      <w:r w:rsidR="00E52652">
        <w:t>1</w:t>
      </w:r>
      <w:r w:rsidR="00EA06E6">
        <w:t>) is a three</w:t>
      </w:r>
      <w:r w:rsidR="002335B8">
        <w:t>-</w:t>
      </w:r>
      <w:r w:rsidR="00EA06E6">
        <w:t xml:space="preserve">arm trial and includes a comparison to </w:t>
      </w:r>
      <w:r w:rsidR="009F54E0">
        <w:t>conventional treatment</w:t>
      </w:r>
      <w:r w:rsidR="007A6614">
        <w:t>;</w:t>
      </w:r>
      <w:r w:rsidR="009F54E0">
        <w:t xml:space="preserve"> it was not identified in the O’Connell </w:t>
      </w:r>
      <w:r w:rsidR="005A2130">
        <w:t xml:space="preserve">(2021) </w:t>
      </w:r>
      <w:r w:rsidR="00C7097F">
        <w:t>Cochrane</w:t>
      </w:r>
      <w:r w:rsidR="005A2130">
        <w:t xml:space="preserve"> review, likely due to its publication after the primary search date. </w:t>
      </w:r>
    </w:p>
    <w:p w14:paraId="5BFB4B75" w14:textId="0C9B2AC5" w:rsidR="0008726A" w:rsidRPr="00167AF0" w:rsidRDefault="0008726A" w:rsidP="00167AF0">
      <w:pPr>
        <w:pStyle w:val="BodyText"/>
      </w:pPr>
      <w:r>
        <w:t>All trials were open</w:t>
      </w:r>
      <w:r w:rsidR="003B335C">
        <w:t>-</w:t>
      </w:r>
      <w:r>
        <w:t>label</w:t>
      </w:r>
      <w:r w:rsidR="00161D53">
        <w:t>,</w:t>
      </w:r>
      <w:r>
        <w:t xml:space="preserve"> with the exception of De Andres (2017)</w:t>
      </w:r>
      <w:r w:rsidR="00B5106B">
        <w:t>,</w:t>
      </w:r>
      <w:r>
        <w:t xml:space="preserve"> in which </w:t>
      </w:r>
      <w:r w:rsidR="00CB2C6F">
        <w:t>patients and investigators were both blinded at study outset</w:t>
      </w:r>
      <w:r w:rsidR="00161D53">
        <w:t>.</w:t>
      </w:r>
      <w:r w:rsidR="00CB2C6F">
        <w:t xml:space="preserve"> </w:t>
      </w:r>
      <w:r w:rsidR="00161D53">
        <w:t>H</w:t>
      </w:r>
      <w:r w:rsidR="00CB2C6F">
        <w:t>owever</w:t>
      </w:r>
      <w:r w:rsidR="0015099F">
        <w:t>,</w:t>
      </w:r>
      <w:r w:rsidR="00CB2C6F">
        <w:t xml:space="preserve"> due to </w:t>
      </w:r>
      <w:r w:rsidR="00D66737">
        <w:t>conventional</w:t>
      </w:r>
      <w:r w:rsidR="00CB2C6F">
        <w:t xml:space="preserve"> SCS</w:t>
      </w:r>
      <w:r w:rsidR="00D66737" w:rsidRPr="00D66737">
        <w:t xml:space="preserve"> </w:t>
      </w:r>
      <w:r w:rsidR="001C31E1" w:rsidRPr="00D66737">
        <w:t>paraesthesia</w:t>
      </w:r>
      <w:r w:rsidR="00161D53">
        <w:t>,</w:t>
      </w:r>
      <w:r w:rsidR="00D66737">
        <w:t xml:space="preserve"> which is not experienced with HF</w:t>
      </w:r>
      <w:r w:rsidR="005C62FF">
        <w:t>-</w:t>
      </w:r>
      <w:r w:rsidR="00D66737">
        <w:t>SCS</w:t>
      </w:r>
      <w:r w:rsidR="00161D53">
        <w:t>,</w:t>
      </w:r>
      <w:r w:rsidR="00652311">
        <w:t xml:space="preserve"> </w:t>
      </w:r>
      <w:r w:rsidR="00BE3665">
        <w:t xml:space="preserve">it is unclear the extent to which blinding was maintained during the study. </w:t>
      </w:r>
      <w:r w:rsidR="00157332">
        <w:t xml:space="preserve">The study size in </w:t>
      </w:r>
      <w:proofErr w:type="spellStart"/>
      <w:r w:rsidR="00157332" w:rsidRPr="008A3715">
        <w:t>Canós-Verdecho</w:t>
      </w:r>
      <w:proofErr w:type="spellEnd"/>
      <w:r w:rsidR="00157332" w:rsidRPr="008A3715">
        <w:t xml:space="preserve"> </w:t>
      </w:r>
      <w:r w:rsidR="00157332">
        <w:t>(</w:t>
      </w:r>
      <w:r w:rsidR="00157332" w:rsidRPr="008A3715">
        <w:t>2021</w:t>
      </w:r>
      <w:r w:rsidR="00157332">
        <w:t>)</w:t>
      </w:r>
      <w:r w:rsidR="00B1379B">
        <w:t xml:space="preserve"> was particularly small given the three arms and there were significant differences in baseline characteristics.</w:t>
      </w:r>
    </w:p>
    <w:p w14:paraId="55513BD0" w14:textId="232374B2" w:rsidR="00C308E8" w:rsidRDefault="00C308E8" w:rsidP="00C308E8">
      <w:pPr>
        <w:pStyle w:val="Caption"/>
      </w:pPr>
      <w:bookmarkStart w:id="85" w:name="_Ref134532716"/>
      <w:r>
        <w:t xml:space="preserve">Table </w:t>
      </w:r>
      <w:r>
        <w:fldChar w:fldCharType="begin"/>
      </w:r>
      <w:r>
        <w:instrText>SEQ Table \* ARABIC</w:instrText>
      </w:r>
      <w:r>
        <w:fldChar w:fldCharType="separate"/>
      </w:r>
      <w:r w:rsidR="00CE6ACA">
        <w:rPr>
          <w:noProof/>
        </w:rPr>
        <w:t>11</w:t>
      </w:r>
      <w:r>
        <w:fldChar w:fldCharType="end"/>
      </w:r>
      <w:bookmarkEnd w:id="85"/>
      <w:r>
        <w:tab/>
        <w:t>Characteristics of RCT comparing HF</w:t>
      </w:r>
      <w:r w:rsidR="005C62FF">
        <w:t>-</w:t>
      </w:r>
      <w:r>
        <w:t>SCS v</w:t>
      </w:r>
      <w:r w:rsidR="00825C68">
        <w:t>ersu</w:t>
      </w:r>
      <w:r>
        <w:t>s conventional SCS</w:t>
      </w:r>
    </w:p>
    <w:tbl>
      <w:tblPr>
        <w:tblStyle w:val="TableGrid"/>
        <w:tblW w:w="0" w:type="auto"/>
        <w:tblLook w:val="04A0" w:firstRow="1" w:lastRow="0" w:firstColumn="1" w:lastColumn="0" w:noHBand="0" w:noVBand="1"/>
        <w:tblCaption w:val="Characteristics of RCT comparing HF-SCS versus conventional SCS"/>
        <w:tblDescription w:val="Table showing a comparison between the study characteristics of studies on HF-SCS versus conventional SCS."/>
      </w:tblPr>
      <w:tblGrid>
        <w:gridCol w:w="1560"/>
        <w:gridCol w:w="1842"/>
        <w:gridCol w:w="2835"/>
        <w:gridCol w:w="2268"/>
        <w:gridCol w:w="1133"/>
      </w:tblGrid>
      <w:tr w:rsidR="00907E7B" w14:paraId="5F07A87B" w14:textId="77777777" w:rsidTr="00720CE8">
        <w:trPr>
          <w:cnfStyle w:val="100000000000" w:firstRow="1" w:lastRow="0" w:firstColumn="0" w:lastColumn="0" w:oddVBand="0" w:evenVBand="0" w:oddHBand="0" w:evenHBand="0" w:firstRowFirstColumn="0" w:firstRowLastColumn="0" w:lastRowFirstColumn="0" w:lastRowLastColumn="0"/>
        </w:trPr>
        <w:tc>
          <w:tcPr>
            <w:tcW w:w="1560" w:type="dxa"/>
          </w:tcPr>
          <w:p w14:paraId="1DF17623" w14:textId="23D070EE" w:rsidR="00907E7B" w:rsidRPr="001F6CCB" w:rsidRDefault="00907E7B" w:rsidP="004107F6">
            <w:pPr>
              <w:pStyle w:val="011TableHeading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Study</w:t>
            </w:r>
            <w:r w:rsidR="00CE3469">
              <w:rPr>
                <w:rFonts w:asciiTheme="minorHAnsi" w:hAnsiTheme="minorHAnsi" w:cstheme="minorHAnsi"/>
                <w:sz w:val="18"/>
                <w:szCs w:val="18"/>
              </w:rPr>
              <w:t xml:space="preserve"> ID</w:t>
            </w:r>
            <w:r w:rsidR="004107F6">
              <w:rPr>
                <w:rFonts w:asciiTheme="minorHAnsi" w:hAnsiTheme="minorHAnsi" w:cstheme="minorHAnsi"/>
                <w:sz w:val="18"/>
                <w:szCs w:val="18"/>
              </w:rPr>
              <w:br/>
            </w:r>
            <w:r w:rsidR="00E9554C" w:rsidRPr="001F6CCB">
              <w:rPr>
                <w:rFonts w:asciiTheme="minorHAnsi" w:hAnsiTheme="minorHAnsi" w:cstheme="minorHAnsi"/>
                <w:sz w:val="18"/>
                <w:szCs w:val="18"/>
              </w:rPr>
              <w:t>Design</w:t>
            </w:r>
            <w:r w:rsidR="004107F6">
              <w:rPr>
                <w:rFonts w:asciiTheme="minorHAnsi" w:hAnsiTheme="minorHAnsi" w:cstheme="minorHAnsi"/>
                <w:sz w:val="18"/>
                <w:szCs w:val="18"/>
              </w:rPr>
              <w:br/>
            </w:r>
            <w:r w:rsidR="00E9554C" w:rsidRPr="001F6CCB">
              <w:rPr>
                <w:rFonts w:asciiTheme="minorHAnsi" w:hAnsiTheme="minorHAnsi" w:cstheme="minorHAnsi"/>
                <w:sz w:val="18"/>
                <w:szCs w:val="18"/>
              </w:rPr>
              <w:t>Country</w:t>
            </w:r>
          </w:p>
        </w:tc>
        <w:tc>
          <w:tcPr>
            <w:tcW w:w="1842" w:type="dxa"/>
          </w:tcPr>
          <w:p w14:paraId="6E5D9542" w14:textId="2870D973" w:rsidR="00907E7B" w:rsidRPr="001F6CCB" w:rsidRDefault="00907E7B" w:rsidP="004107F6">
            <w:pPr>
              <w:pStyle w:val="011TableHeading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Intervention</w:t>
            </w:r>
            <w:r w:rsidR="004107F6">
              <w:rPr>
                <w:rFonts w:asciiTheme="minorHAnsi" w:hAnsiTheme="minorHAnsi" w:cstheme="minorHAnsi"/>
                <w:sz w:val="18"/>
                <w:szCs w:val="18"/>
              </w:rPr>
              <w:br/>
            </w:r>
            <w:r w:rsidRPr="001F6CCB">
              <w:rPr>
                <w:rFonts w:asciiTheme="minorHAnsi" w:hAnsiTheme="minorHAnsi" w:cstheme="minorHAnsi"/>
                <w:sz w:val="18"/>
                <w:szCs w:val="18"/>
              </w:rPr>
              <w:t>Comparator</w:t>
            </w:r>
          </w:p>
        </w:tc>
        <w:tc>
          <w:tcPr>
            <w:tcW w:w="2835" w:type="dxa"/>
          </w:tcPr>
          <w:p w14:paraId="173401BC" w14:textId="255D2113" w:rsidR="00907E7B" w:rsidRPr="001F6CCB" w:rsidRDefault="000677BA" w:rsidP="004107F6">
            <w:pPr>
              <w:pStyle w:val="011TableHeading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Patient population</w:t>
            </w:r>
            <w:r w:rsidR="004107F6">
              <w:rPr>
                <w:rFonts w:asciiTheme="minorHAnsi" w:hAnsiTheme="minorHAnsi" w:cstheme="minorHAnsi"/>
                <w:sz w:val="18"/>
                <w:szCs w:val="18"/>
              </w:rPr>
              <w:br/>
            </w:r>
            <w:r w:rsidR="002A1873" w:rsidRPr="001F6CCB">
              <w:rPr>
                <w:rFonts w:asciiTheme="minorHAnsi" w:hAnsiTheme="minorHAnsi" w:cstheme="minorHAnsi"/>
                <w:sz w:val="18"/>
                <w:szCs w:val="18"/>
              </w:rPr>
              <w:t>Follow-up</w:t>
            </w:r>
          </w:p>
        </w:tc>
        <w:tc>
          <w:tcPr>
            <w:tcW w:w="2268" w:type="dxa"/>
          </w:tcPr>
          <w:p w14:paraId="41334D68" w14:textId="77777777" w:rsidR="00907E7B" w:rsidRPr="001F6CCB" w:rsidRDefault="00907E7B" w:rsidP="003B5AA8">
            <w:pPr>
              <w:pStyle w:val="011TableHeading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Outcomes</w:t>
            </w:r>
          </w:p>
        </w:tc>
        <w:tc>
          <w:tcPr>
            <w:tcW w:w="1133" w:type="dxa"/>
          </w:tcPr>
          <w:p w14:paraId="31B74610" w14:textId="7C6D36D3" w:rsidR="00907E7B" w:rsidRPr="001F6CCB" w:rsidRDefault="00907E7B" w:rsidP="004107F6">
            <w:pPr>
              <w:pStyle w:val="011TableHeading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Funding</w:t>
            </w:r>
            <w:r w:rsidR="004107F6">
              <w:rPr>
                <w:rFonts w:asciiTheme="minorHAnsi" w:hAnsiTheme="minorHAnsi" w:cstheme="minorHAnsi"/>
                <w:sz w:val="18"/>
                <w:szCs w:val="18"/>
              </w:rPr>
              <w:br/>
            </w:r>
            <w:r w:rsidRPr="001F6CCB">
              <w:rPr>
                <w:rFonts w:asciiTheme="minorHAnsi" w:hAnsiTheme="minorHAnsi" w:cstheme="minorHAnsi"/>
                <w:sz w:val="18"/>
                <w:szCs w:val="18"/>
              </w:rPr>
              <w:t>Author COIs</w:t>
            </w:r>
          </w:p>
        </w:tc>
      </w:tr>
      <w:tr w:rsidR="00907E7B" w14:paraId="4ED4B19A" w14:textId="77777777" w:rsidTr="00720CE8">
        <w:tc>
          <w:tcPr>
            <w:tcW w:w="1560" w:type="dxa"/>
          </w:tcPr>
          <w:p w14:paraId="43D75A43" w14:textId="1B1D9B71" w:rsidR="00907E7B" w:rsidRPr="001F6CCB" w:rsidRDefault="00323F27" w:rsidP="003B5AA8">
            <w:pPr>
              <w:pStyle w:val="061Tabletext628pt"/>
              <w:spacing w:before="40"/>
              <w:ind w:left="-57" w:right="-57"/>
              <w:rPr>
                <w:rFonts w:asciiTheme="minorHAnsi" w:hAnsiTheme="minorHAnsi" w:cstheme="minorHAnsi"/>
                <w:sz w:val="18"/>
                <w:szCs w:val="18"/>
              </w:rPr>
            </w:pPr>
            <w:r>
              <w:rPr>
                <w:rFonts w:asciiTheme="minorHAnsi" w:hAnsiTheme="minorHAnsi" w:cstheme="minorHAnsi"/>
                <w:sz w:val="18"/>
                <w:szCs w:val="18"/>
              </w:rPr>
              <w:t>SURF (</w:t>
            </w:r>
            <w:proofErr w:type="spellStart"/>
            <w:r w:rsidR="00E109AD" w:rsidRPr="001F6CCB">
              <w:rPr>
                <w:rFonts w:asciiTheme="minorHAnsi" w:hAnsiTheme="minorHAnsi" w:cstheme="minorHAnsi"/>
                <w:sz w:val="18"/>
                <w:szCs w:val="18"/>
              </w:rPr>
              <w:t>Bolash</w:t>
            </w:r>
            <w:proofErr w:type="spellEnd"/>
            <w:r w:rsidR="000C4A6F">
              <w:rPr>
                <w:rFonts w:asciiTheme="minorHAnsi" w:hAnsiTheme="minorHAnsi" w:cstheme="minorHAnsi"/>
                <w:sz w:val="18"/>
                <w:szCs w:val="18"/>
              </w:rPr>
              <w:t>,</w:t>
            </w:r>
            <w:r w:rsidR="00907E7B" w:rsidRPr="001F6CCB">
              <w:rPr>
                <w:rFonts w:asciiTheme="minorHAnsi" w:hAnsiTheme="minorHAnsi" w:cstheme="minorHAnsi"/>
                <w:sz w:val="18"/>
                <w:szCs w:val="18"/>
              </w:rPr>
              <w:t xml:space="preserve"> 201</w:t>
            </w:r>
            <w:r w:rsidR="00E109AD" w:rsidRPr="001F6CCB">
              <w:rPr>
                <w:rFonts w:asciiTheme="minorHAnsi" w:hAnsiTheme="minorHAnsi" w:cstheme="minorHAnsi"/>
                <w:sz w:val="18"/>
                <w:szCs w:val="18"/>
              </w:rPr>
              <w:t>9</w:t>
            </w:r>
            <w:r w:rsidR="00907E7B" w:rsidRPr="001F6CCB">
              <w:rPr>
                <w:rFonts w:asciiTheme="minorHAnsi" w:hAnsiTheme="minorHAnsi" w:cstheme="minorHAnsi"/>
                <w:sz w:val="18"/>
                <w:szCs w:val="18"/>
              </w:rPr>
              <w:t>)</w:t>
            </w:r>
          </w:p>
          <w:p w14:paraId="37AEA58A" w14:textId="49D77D48" w:rsidR="00907E7B" w:rsidRPr="001F6CCB" w:rsidRDefault="00907E7B"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Multicentre, open-label RCT (</w:t>
            </w:r>
            <w:r w:rsidR="0036603B">
              <w:rPr>
                <w:rFonts w:asciiTheme="minorHAnsi" w:hAnsiTheme="minorHAnsi" w:cstheme="minorHAnsi"/>
                <w:sz w:val="18"/>
                <w:szCs w:val="18"/>
              </w:rPr>
              <w:t>N</w:t>
            </w:r>
            <w:r w:rsidRPr="001F6CCB">
              <w:rPr>
                <w:rFonts w:asciiTheme="minorHAnsi" w:hAnsiTheme="minorHAnsi" w:cstheme="minorHAnsi"/>
                <w:sz w:val="18"/>
                <w:szCs w:val="18"/>
              </w:rPr>
              <w:t>=</w:t>
            </w:r>
            <w:r w:rsidR="008F76E7" w:rsidRPr="001F6CCB">
              <w:rPr>
                <w:rFonts w:asciiTheme="minorHAnsi" w:hAnsiTheme="minorHAnsi" w:cstheme="minorHAnsi"/>
                <w:sz w:val="18"/>
                <w:szCs w:val="18"/>
              </w:rPr>
              <w:t>99</w:t>
            </w:r>
            <w:r w:rsidRPr="001F6CCB">
              <w:rPr>
                <w:rFonts w:asciiTheme="minorHAnsi" w:hAnsiTheme="minorHAnsi" w:cstheme="minorHAnsi"/>
                <w:sz w:val="18"/>
                <w:szCs w:val="18"/>
              </w:rPr>
              <w:t>)</w:t>
            </w:r>
          </w:p>
          <w:p w14:paraId="421179DF" w14:textId="77777777" w:rsidR="00907E7B" w:rsidRPr="001F6CCB" w:rsidRDefault="00907E7B"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USA</w:t>
            </w:r>
          </w:p>
        </w:tc>
        <w:tc>
          <w:tcPr>
            <w:tcW w:w="1842" w:type="dxa"/>
          </w:tcPr>
          <w:p w14:paraId="337D3894" w14:textId="0999D0B0" w:rsidR="00907E7B" w:rsidRPr="001F6CCB" w:rsidRDefault="0044047F"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HF</w:t>
            </w:r>
            <w:r w:rsidR="005C62FF">
              <w:rPr>
                <w:rFonts w:asciiTheme="minorHAnsi" w:hAnsiTheme="minorHAnsi" w:cstheme="minorHAnsi"/>
                <w:sz w:val="18"/>
                <w:szCs w:val="18"/>
              </w:rPr>
              <w:t>-</w:t>
            </w:r>
            <w:r w:rsidRPr="001F6CCB">
              <w:rPr>
                <w:rFonts w:asciiTheme="minorHAnsi" w:hAnsiTheme="minorHAnsi" w:cstheme="minorHAnsi"/>
                <w:sz w:val="18"/>
                <w:szCs w:val="18"/>
              </w:rPr>
              <w:t>SCS</w:t>
            </w:r>
            <w:r w:rsidR="00907E7B" w:rsidRPr="001F6CCB">
              <w:rPr>
                <w:rFonts w:asciiTheme="minorHAnsi" w:hAnsiTheme="minorHAnsi" w:cstheme="minorHAnsi"/>
                <w:sz w:val="18"/>
                <w:szCs w:val="18"/>
              </w:rPr>
              <w:t xml:space="preserve"> (</w:t>
            </w:r>
            <w:r w:rsidRPr="001F6CCB">
              <w:rPr>
                <w:rFonts w:asciiTheme="minorHAnsi" w:hAnsiTheme="minorHAnsi" w:cstheme="minorHAnsi"/>
                <w:sz w:val="18"/>
                <w:szCs w:val="18"/>
              </w:rPr>
              <w:t>10 kHz, Freedom SCS System</w:t>
            </w:r>
            <w:r w:rsidR="00907E7B" w:rsidRPr="001F6CCB">
              <w:rPr>
                <w:rFonts w:asciiTheme="minorHAnsi" w:hAnsiTheme="minorHAnsi" w:cstheme="minorHAnsi"/>
                <w:sz w:val="18"/>
                <w:szCs w:val="18"/>
              </w:rPr>
              <w:t>)</w:t>
            </w:r>
          </w:p>
          <w:p w14:paraId="65F05410" w14:textId="15FA30B4" w:rsidR="00907E7B" w:rsidRPr="001F6CCB" w:rsidRDefault="00907E7B"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SCS (</w:t>
            </w:r>
            <w:r w:rsidR="0016502A" w:rsidRPr="001F6CCB">
              <w:rPr>
                <w:rFonts w:asciiTheme="minorHAnsi" w:hAnsiTheme="minorHAnsi" w:cstheme="minorHAnsi"/>
                <w:sz w:val="18"/>
                <w:szCs w:val="18"/>
              </w:rPr>
              <w:t>10-1500 Hz</w:t>
            </w:r>
            <w:r w:rsidR="00137877" w:rsidRPr="001F6CCB">
              <w:rPr>
                <w:rFonts w:asciiTheme="minorHAnsi" w:hAnsiTheme="minorHAnsi" w:cstheme="minorHAnsi"/>
                <w:sz w:val="18"/>
                <w:szCs w:val="18"/>
              </w:rPr>
              <w:t xml:space="preserve"> </w:t>
            </w:r>
            <w:r w:rsidR="0033246C" w:rsidRPr="001F6CCB">
              <w:rPr>
                <w:rFonts w:asciiTheme="minorHAnsi" w:hAnsiTheme="minorHAnsi" w:cstheme="minorHAnsi"/>
                <w:sz w:val="18"/>
                <w:szCs w:val="18"/>
              </w:rPr>
              <w:t>[</w:t>
            </w:r>
            <w:r w:rsidR="00137877" w:rsidRPr="001F6CCB">
              <w:rPr>
                <w:rFonts w:asciiTheme="minorHAnsi" w:hAnsiTheme="minorHAnsi" w:cstheme="minorHAnsi"/>
                <w:sz w:val="18"/>
                <w:szCs w:val="18"/>
              </w:rPr>
              <w:t>low, burst or moderate frequency according to patient preference</w:t>
            </w:r>
            <w:r w:rsidR="0033246C" w:rsidRPr="001F6CCB">
              <w:rPr>
                <w:rFonts w:asciiTheme="minorHAnsi" w:hAnsiTheme="minorHAnsi" w:cstheme="minorHAnsi"/>
                <w:sz w:val="18"/>
                <w:szCs w:val="18"/>
              </w:rPr>
              <w:t>]</w:t>
            </w:r>
            <w:r w:rsidR="006C3757" w:rsidRPr="001F6CCB">
              <w:rPr>
                <w:rFonts w:asciiTheme="minorHAnsi" w:hAnsiTheme="minorHAnsi" w:cstheme="minorHAnsi"/>
                <w:sz w:val="18"/>
                <w:szCs w:val="18"/>
              </w:rPr>
              <w:t>, Freedom SCS System</w:t>
            </w:r>
            <w:r w:rsidRPr="001F6CCB">
              <w:rPr>
                <w:rFonts w:asciiTheme="minorHAnsi" w:hAnsiTheme="minorHAnsi" w:cstheme="minorHAnsi"/>
                <w:sz w:val="18"/>
                <w:szCs w:val="18"/>
              </w:rPr>
              <w:t>)</w:t>
            </w:r>
          </w:p>
        </w:tc>
        <w:tc>
          <w:tcPr>
            <w:tcW w:w="2835" w:type="dxa"/>
          </w:tcPr>
          <w:p w14:paraId="046DA299" w14:textId="642F6F95" w:rsidR="007B7D9D" w:rsidRPr="001F6CCB" w:rsidRDefault="002A1873"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Population</w:t>
            </w:r>
            <w:r w:rsidR="00907E7B" w:rsidRPr="001F6CCB">
              <w:rPr>
                <w:rFonts w:asciiTheme="minorHAnsi" w:hAnsiTheme="minorHAnsi" w:cstheme="minorHAnsi"/>
                <w:sz w:val="18"/>
                <w:szCs w:val="18"/>
                <w:u w:val="single"/>
              </w:rPr>
              <w:t>:</w:t>
            </w:r>
            <w:r w:rsidR="00907E7B" w:rsidRPr="001F6CCB">
              <w:rPr>
                <w:rFonts w:asciiTheme="minorHAnsi" w:hAnsiTheme="minorHAnsi" w:cstheme="minorHAnsi"/>
                <w:sz w:val="18"/>
                <w:szCs w:val="18"/>
              </w:rPr>
              <w:t xml:space="preserve"> </w:t>
            </w:r>
            <w:r w:rsidR="009B6EAF" w:rsidRPr="001F6CCB">
              <w:rPr>
                <w:rFonts w:asciiTheme="minorHAnsi" w:hAnsiTheme="minorHAnsi" w:cstheme="minorHAnsi"/>
                <w:sz w:val="18"/>
                <w:szCs w:val="18"/>
              </w:rPr>
              <w:t xml:space="preserve">chronic back or back and leg pain </w:t>
            </w:r>
            <w:r w:rsidR="004571CF" w:rsidRPr="001F6CCB">
              <w:rPr>
                <w:rFonts w:asciiTheme="minorHAnsi" w:hAnsiTheme="minorHAnsi" w:cstheme="minorHAnsi"/>
                <w:sz w:val="18"/>
                <w:szCs w:val="18"/>
              </w:rPr>
              <w:t xml:space="preserve">with an average Pain Rating Scale ≥5 (on a 10-point scale) </w:t>
            </w:r>
            <w:r w:rsidR="00125FE5" w:rsidRPr="001F6CCB">
              <w:rPr>
                <w:rFonts w:asciiTheme="minorHAnsi" w:hAnsiTheme="minorHAnsi" w:cstheme="minorHAnsi"/>
                <w:sz w:val="18"/>
                <w:szCs w:val="18"/>
              </w:rPr>
              <w:t xml:space="preserve">associated with </w:t>
            </w:r>
            <w:r w:rsidR="00A347D1" w:rsidRPr="001F6CCB">
              <w:rPr>
                <w:rFonts w:asciiTheme="minorHAnsi" w:hAnsiTheme="minorHAnsi" w:cstheme="minorHAnsi"/>
                <w:sz w:val="18"/>
                <w:szCs w:val="18"/>
              </w:rPr>
              <w:t>FBSS</w:t>
            </w:r>
            <w:r w:rsidR="00125FE5" w:rsidRPr="001F6CCB">
              <w:rPr>
                <w:rFonts w:asciiTheme="minorHAnsi" w:hAnsiTheme="minorHAnsi" w:cstheme="minorHAnsi"/>
                <w:sz w:val="18"/>
                <w:szCs w:val="18"/>
              </w:rPr>
              <w:t xml:space="preserve"> refractory to </w:t>
            </w:r>
            <w:r w:rsidR="001E07C9" w:rsidRPr="001F6CCB">
              <w:rPr>
                <w:rFonts w:asciiTheme="minorHAnsi" w:hAnsiTheme="minorHAnsi" w:cstheme="minorHAnsi"/>
                <w:sz w:val="18"/>
                <w:szCs w:val="18"/>
              </w:rPr>
              <w:t>CMM</w:t>
            </w:r>
            <w:r w:rsidR="00125FE5" w:rsidRPr="001F6CCB">
              <w:rPr>
                <w:rFonts w:asciiTheme="minorHAnsi" w:hAnsiTheme="minorHAnsi" w:cstheme="minorHAnsi"/>
                <w:sz w:val="18"/>
                <w:szCs w:val="18"/>
              </w:rPr>
              <w:t xml:space="preserve"> for at least 12 </w:t>
            </w:r>
            <w:proofErr w:type="spellStart"/>
            <w:r w:rsidR="00125FE5" w:rsidRPr="001F6CCB">
              <w:rPr>
                <w:rFonts w:asciiTheme="minorHAnsi" w:hAnsiTheme="minorHAnsi" w:cstheme="minorHAnsi"/>
                <w:sz w:val="18"/>
                <w:szCs w:val="18"/>
              </w:rPr>
              <w:t>mo</w:t>
            </w:r>
            <w:proofErr w:type="spellEnd"/>
            <w:r w:rsidR="00125FE5" w:rsidRPr="001F6CCB">
              <w:rPr>
                <w:rFonts w:asciiTheme="minorHAnsi" w:hAnsiTheme="minorHAnsi" w:cstheme="minorHAnsi"/>
                <w:sz w:val="18"/>
                <w:szCs w:val="18"/>
              </w:rPr>
              <w:t xml:space="preserve"> before </w:t>
            </w:r>
            <w:r w:rsidR="007B7D9D" w:rsidRPr="001F6CCB">
              <w:rPr>
                <w:rFonts w:asciiTheme="minorHAnsi" w:hAnsiTheme="minorHAnsi" w:cstheme="minorHAnsi"/>
                <w:sz w:val="18"/>
                <w:szCs w:val="18"/>
              </w:rPr>
              <w:t>enrolment</w:t>
            </w:r>
          </w:p>
          <w:p w14:paraId="5B6E5969" w14:textId="5D774D1A" w:rsidR="00907E7B" w:rsidRPr="001F6CCB" w:rsidRDefault="008E6474"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Follow-up: </w:t>
            </w:r>
            <w:r w:rsidRPr="001F6CCB">
              <w:rPr>
                <w:rFonts w:asciiTheme="minorHAnsi" w:hAnsiTheme="minorHAnsi" w:cstheme="minorHAnsi"/>
                <w:sz w:val="18"/>
                <w:szCs w:val="18"/>
              </w:rPr>
              <w:t xml:space="preserve">3 </w:t>
            </w:r>
            <w:proofErr w:type="spellStart"/>
            <w:r w:rsidR="00474E40">
              <w:rPr>
                <w:rFonts w:asciiTheme="minorHAnsi" w:hAnsiTheme="minorHAnsi" w:cstheme="minorHAnsi"/>
                <w:sz w:val="18"/>
                <w:szCs w:val="18"/>
              </w:rPr>
              <w:t>mo</w:t>
            </w:r>
            <w:proofErr w:type="spellEnd"/>
            <w:r w:rsidR="00474E40">
              <w:rPr>
                <w:rFonts w:asciiTheme="minorHAnsi" w:hAnsiTheme="minorHAnsi" w:cstheme="minorHAnsi"/>
                <w:sz w:val="18"/>
                <w:szCs w:val="18"/>
              </w:rPr>
              <w:t xml:space="preserve"> </w:t>
            </w:r>
            <w:r w:rsidR="003276E8" w:rsidRPr="001F6CCB">
              <w:rPr>
                <w:rFonts w:asciiTheme="minorHAnsi" w:hAnsiTheme="minorHAnsi" w:cstheme="minorHAnsi"/>
                <w:sz w:val="18"/>
                <w:szCs w:val="18"/>
              </w:rPr>
              <w:t>(83 patients)</w:t>
            </w:r>
            <w:r w:rsidRPr="001F6CCB">
              <w:rPr>
                <w:rFonts w:asciiTheme="minorHAnsi" w:hAnsiTheme="minorHAnsi" w:cstheme="minorHAnsi"/>
                <w:sz w:val="18"/>
                <w:szCs w:val="18"/>
              </w:rPr>
              <w:t xml:space="preserve"> &amp; 6 </w:t>
            </w:r>
            <w:r w:rsidR="003276E8" w:rsidRPr="001F6CCB">
              <w:rPr>
                <w:rFonts w:asciiTheme="minorHAnsi" w:hAnsiTheme="minorHAnsi" w:cstheme="minorHAnsi"/>
                <w:sz w:val="18"/>
                <w:szCs w:val="18"/>
              </w:rPr>
              <w:t xml:space="preserve">(72 patients) </w:t>
            </w:r>
            <w:proofErr w:type="spellStart"/>
            <w:r w:rsidRPr="001F6CCB">
              <w:rPr>
                <w:rFonts w:asciiTheme="minorHAnsi" w:hAnsiTheme="minorHAnsi" w:cstheme="minorHAnsi"/>
                <w:sz w:val="18"/>
                <w:szCs w:val="18"/>
              </w:rPr>
              <w:t>mo</w:t>
            </w:r>
            <w:proofErr w:type="spellEnd"/>
            <w:r w:rsidR="00CA2FBE" w:rsidRPr="001F6CCB">
              <w:rPr>
                <w:rFonts w:asciiTheme="minorHAnsi" w:hAnsiTheme="minorHAnsi" w:cstheme="minorHAnsi"/>
                <w:sz w:val="18"/>
                <w:szCs w:val="18"/>
              </w:rPr>
              <w:t xml:space="preserve"> </w:t>
            </w:r>
          </w:p>
        </w:tc>
        <w:tc>
          <w:tcPr>
            <w:tcW w:w="2268" w:type="dxa"/>
          </w:tcPr>
          <w:p w14:paraId="3368F267" w14:textId="18DEE05C" w:rsidR="00907E7B" w:rsidRPr="001F6CCB" w:rsidRDefault="00907E7B"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Primary: </w:t>
            </w:r>
            <w:r w:rsidRPr="001F6CCB">
              <w:rPr>
                <w:rFonts w:asciiTheme="minorHAnsi" w:hAnsiTheme="minorHAnsi" w:cstheme="minorHAnsi"/>
                <w:sz w:val="18"/>
                <w:szCs w:val="18"/>
              </w:rPr>
              <w:t>treatment success (≥50% reduction in VAS score)</w:t>
            </w:r>
          </w:p>
          <w:p w14:paraId="63B5A4A8" w14:textId="7482EF69" w:rsidR="00907E7B" w:rsidRPr="004107F6" w:rsidRDefault="00907E7B" w:rsidP="004107F6">
            <w:pPr>
              <w:pStyle w:val="061Tabletext628pt"/>
              <w:spacing w:before="40"/>
              <w:ind w:left="-57" w:right="-57"/>
              <w:rPr>
                <w:rFonts w:asciiTheme="minorHAnsi" w:hAnsiTheme="minorHAnsi" w:cstheme="minorHAnsi"/>
                <w:sz w:val="18"/>
                <w:szCs w:val="18"/>
                <w:u w:val="single"/>
              </w:rPr>
            </w:pPr>
            <w:r w:rsidRPr="001F6CCB">
              <w:rPr>
                <w:rFonts w:asciiTheme="minorHAnsi" w:hAnsiTheme="minorHAnsi" w:cstheme="minorHAnsi"/>
                <w:sz w:val="18"/>
                <w:szCs w:val="18"/>
                <w:u w:val="single"/>
              </w:rPr>
              <w:t>Secondary:</w:t>
            </w:r>
            <w:r w:rsidR="004107F6">
              <w:rPr>
                <w:rFonts w:asciiTheme="minorHAnsi" w:hAnsiTheme="minorHAnsi" w:cstheme="minorHAnsi"/>
                <w:sz w:val="18"/>
                <w:szCs w:val="18"/>
                <w:u w:val="single"/>
              </w:rPr>
              <w:br/>
            </w:r>
            <w:r w:rsidR="004107F6">
              <w:rPr>
                <w:rFonts w:asciiTheme="minorHAnsi" w:hAnsiTheme="minorHAnsi" w:cstheme="minorHAnsi"/>
                <w:sz w:val="18"/>
                <w:szCs w:val="18"/>
              </w:rPr>
              <w:t>C</w:t>
            </w:r>
            <w:r w:rsidR="001013B8" w:rsidRPr="001F6CCB">
              <w:rPr>
                <w:rFonts w:asciiTheme="minorHAnsi" w:hAnsiTheme="minorHAnsi" w:cstheme="minorHAnsi"/>
                <w:sz w:val="18"/>
                <w:szCs w:val="18"/>
              </w:rPr>
              <w:t>hanges from baseline in VAS back pain, VAS leg pain</w:t>
            </w:r>
            <w:r w:rsidR="004107F6">
              <w:rPr>
                <w:rFonts w:asciiTheme="minorHAnsi" w:hAnsiTheme="minorHAnsi" w:cstheme="minorHAnsi"/>
                <w:sz w:val="18"/>
                <w:szCs w:val="18"/>
              </w:rPr>
              <w:br/>
            </w:r>
            <w:r w:rsidR="001013B8" w:rsidRPr="001F6CCB">
              <w:rPr>
                <w:rFonts w:asciiTheme="minorHAnsi" w:hAnsiTheme="minorHAnsi" w:cstheme="minorHAnsi"/>
                <w:sz w:val="18"/>
                <w:szCs w:val="18"/>
              </w:rPr>
              <w:t>ODI</w:t>
            </w:r>
            <w:r w:rsidR="004107F6">
              <w:rPr>
                <w:rFonts w:asciiTheme="minorHAnsi" w:hAnsiTheme="minorHAnsi" w:cstheme="minorHAnsi"/>
                <w:sz w:val="18"/>
                <w:szCs w:val="18"/>
              </w:rPr>
              <w:br/>
            </w:r>
            <w:r w:rsidR="001013B8" w:rsidRPr="001F6CCB">
              <w:rPr>
                <w:rFonts w:asciiTheme="minorHAnsi" w:hAnsiTheme="minorHAnsi" w:cstheme="minorHAnsi"/>
                <w:sz w:val="18"/>
                <w:szCs w:val="18"/>
              </w:rPr>
              <w:t xml:space="preserve">EQ-5D-5L </w:t>
            </w:r>
            <w:r w:rsidR="004107F6">
              <w:rPr>
                <w:rFonts w:asciiTheme="minorHAnsi" w:hAnsiTheme="minorHAnsi" w:cstheme="minorHAnsi"/>
                <w:sz w:val="18"/>
                <w:szCs w:val="18"/>
              </w:rPr>
              <w:br/>
            </w:r>
            <w:r w:rsidR="00004217">
              <w:rPr>
                <w:rFonts w:asciiTheme="minorHAnsi" w:hAnsiTheme="minorHAnsi" w:cstheme="minorHAnsi"/>
                <w:sz w:val="18"/>
                <w:szCs w:val="18"/>
              </w:rPr>
              <w:t>A</w:t>
            </w:r>
            <w:r w:rsidR="00004217" w:rsidRPr="001F6CCB">
              <w:rPr>
                <w:rFonts w:asciiTheme="minorHAnsi" w:hAnsiTheme="minorHAnsi" w:cstheme="minorHAnsi"/>
                <w:sz w:val="18"/>
                <w:szCs w:val="18"/>
              </w:rPr>
              <w:t>Es</w:t>
            </w:r>
          </w:p>
        </w:tc>
        <w:tc>
          <w:tcPr>
            <w:tcW w:w="1133" w:type="dxa"/>
          </w:tcPr>
          <w:p w14:paraId="7A6BDF2E" w14:textId="77777777" w:rsidR="004D5B5F" w:rsidRPr="001F6CCB" w:rsidRDefault="004D5B5F" w:rsidP="003B5AA8">
            <w:pPr>
              <w:pStyle w:val="061Tabletext628pt"/>
              <w:spacing w:before="40"/>
              <w:ind w:left="-57" w:right="-57"/>
              <w:rPr>
                <w:rFonts w:asciiTheme="minorHAnsi" w:hAnsiTheme="minorHAnsi" w:cstheme="minorHAnsi"/>
                <w:sz w:val="18"/>
                <w:szCs w:val="18"/>
              </w:rPr>
            </w:pPr>
            <w:proofErr w:type="spellStart"/>
            <w:r w:rsidRPr="001F6CCB">
              <w:rPr>
                <w:rFonts w:asciiTheme="minorHAnsi" w:hAnsiTheme="minorHAnsi" w:cstheme="minorHAnsi"/>
                <w:sz w:val="18"/>
                <w:szCs w:val="18"/>
              </w:rPr>
              <w:t>Stimwave</w:t>
            </w:r>
            <w:proofErr w:type="spellEnd"/>
            <w:r w:rsidRPr="001F6CCB">
              <w:rPr>
                <w:rFonts w:asciiTheme="minorHAnsi" w:hAnsiTheme="minorHAnsi" w:cstheme="minorHAnsi"/>
                <w:sz w:val="18"/>
                <w:szCs w:val="18"/>
              </w:rPr>
              <w:t xml:space="preserve"> Technologies Incorporated</w:t>
            </w:r>
          </w:p>
          <w:p w14:paraId="609F0020" w14:textId="77777777" w:rsidR="00907E7B" w:rsidRPr="001F6CCB" w:rsidRDefault="00907E7B"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Yes</w:t>
            </w:r>
          </w:p>
        </w:tc>
      </w:tr>
      <w:tr w:rsidR="00B96D40" w14:paraId="1CE546AB" w14:textId="77777777" w:rsidTr="00720CE8">
        <w:tc>
          <w:tcPr>
            <w:tcW w:w="1560" w:type="dxa"/>
          </w:tcPr>
          <w:p w14:paraId="35938C43" w14:textId="70556902" w:rsidR="00B96D40" w:rsidRPr="001F6CCB" w:rsidRDefault="00B96D40" w:rsidP="003B5AA8">
            <w:pPr>
              <w:pStyle w:val="061Tabletext628pt"/>
              <w:spacing w:before="40"/>
              <w:ind w:left="-57" w:right="-57"/>
              <w:rPr>
                <w:rFonts w:asciiTheme="minorHAnsi" w:hAnsiTheme="minorHAnsi" w:cstheme="minorHAnsi"/>
                <w:sz w:val="18"/>
                <w:szCs w:val="18"/>
              </w:rPr>
            </w:pPr>
            <w:proofErr w:type="spellStart"/>
            <w:r w:rsidRPr="001F6CCB">
              <w:rPr>
                <w:rFonts w:asciiTheme="minorHAnsi" w:hAnsiTheme="minorHAnsi" w:cstheme="minorHAnsi"/>
                <w:sz w:val="18"/>
                <w:szCs w:val="18"/>
              </w:rPr>
              <w:t>Canós-Verdecho</w:t>
            </w:r>
            <w:proofErr w:type="spellEnd"/>
            <w:r w:rsidR="00D44BFE" w:rsidRPr="001F6CCB">
              <w:rPr>
                <w:rFonts w:asciiTheme="minorHAnsi" w:hAnsiTheme="minorHAnsi" w:cstheme="minorHAnsi"/>
                <w:sz w:val="18"/>
                <w:szCs w:val="18"/>
              </w:rPr>
              <w:t xml:space="preserve"> (202</w:t>
            </w:r>
            <w:r w:rsidR="008A3FBA">
              <w:rPr>
                <w:rFonts w:asciiTheme="minorHAnsi" w:hAnsiTheme="minorHAnsi" w:cstheme="minorHAnsi"/>
                <w:sz w:val="18"/>
                <w:szCs w:val="18"/>
              </w:rPr>
              <w:t>1</w:t>
            </w:r>
            <w:r w:rsidR="00D44BFE" w:rsidRPr="001F6CCB">
              <w:rPr>
                <w:rFonts w:asciiTheme="minorHAnsi" w:hAnsiTheme="minorHAnsi" w:cstheme="minorHAnsi"/>
                <w:sz w:val="18"/>
                <w:szCs w:val="18"/>
              </w:rPr>
              <w:t>)</w:t>
            </w:r>
          </w:p>
          <w:p w14:paraId="6E35EBD2" w14:textId="6CE798EC" w:rsidR="00AE2692" w:rsidRPr="001F6CCB" w:rsidRDefault="00AE2692"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 xml:space="preserve">Single centre, </w:t>
            </w:r>
            <w:r w:rsidR="003F4C37" w:rsidRPr="001F6CCB">
              <w:rPr>
                <w:rFonts w:asciiTheme="minorHAnsi" w:hAnsiTheme="minorHAnsi" w:cstheme="minorHAnsi"/>
                <w:sz w:val="18"/>
                <w:szCs w:val="18"/>
              </w:rPr>
              <w:t>open</w:t>
            </w:r>
            <w:r w:rsidR="003B335C">
              <w:rPr>
                <w:rFonts w:asciiTheme="minorHAnsi" w:hAnsiTheme="minorHAnsi" w:cstheme="minorHAnsi"/>
                <w:sz w:val="18"/>
                <w:szCs w:val="18"/>
              </w:rPr>
              <w:t>-</w:t>
            </w:r>
            <w:r w:rsidR="00541D8E" w:rsidRPr="001F6CCB">
              <w:rPr>
                <w:rFonts w:asciiTheme="minorHAnsi" w:hAnsiTheme="minorHAnsi" w:cstheme="minorHAnsi"/>
                <w:sz w:val="18"/>
                <w:szCs w:val="18"/>
              </w:rPr>
              <w:t>label, RCT</w:t>
            </w:r>
            <w:r w:rsidR="00410F26" w:rsidRPr="001F6CCB">
              <w:rPr>
                <w:rFonts w:asciiTheme="minorHAnsi" w:hAnsiTheme="minorHAnsi" w:cstheme="minorHAnsi"/>
                <w:sz w:val="18"/>
                <w:szCs w:val="18"/>
              </w:rPr>
              <w:t xml:space="preserve"> (</w:t>
            </w:r>
            <w:r w:rsidR="0036603B">
              <w:rPr>
                <w:rFonts w:asciiTheme="minorHAnsi" w:hAnsiTheme="minorHAnsi" w:cstheme="minorHAnsi"/>
                <w:sz w:val="18"/>
                <w:szCs w:val="18"/>
              </w:rPr>
              <w:t>N</w:t>
            </w:r>
            <w:r w:rsidR="00410F26" w:rsidRPr="001F6CCB">
              <w:rPr>
                <w:rFonts w:asciiTheme="minorHAnsi" w:hAnsiTheme="minorHAnsi" w:cstheme="minorHAnsi"/>
                <w:sz w:val="18"/>
                <w:szCs w:val="18"/>
              </w:rPr>
              <w:t>=50)</w:t>
            </w:r>
          </w:p>
          <w:p w14:paraId="2E72A0F0" w14:textId="5D96688E" w:rsidR="00AE2692" w:rsidRPr="001F6CCB" w:rsidRDefault="00AE2692"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Spain</w:t>
            </w:r>
          </w:p>
          <w:p w14:paraId="6F1517A6" w14:textId="4CC78FF5" w:rsidR="00D44BFE" w:rsidRPr="001F6CCB" w:rsidRDefault="00D44BFE" w:rsidP="003B5AA8">
            <w:pPr>
              <w:pStyle w:val="061Tabletext628pt"/>
              <w:spacing w:before="40"/>
              <w:ind w:left="-57" w:right="-57"/>
              <w:rPr>
                <w:rFonts w:asciiTheme="minorHAnsi" w:hAnsiTheme="minorHAnsi" w:cstheme="minorHAnsi"/>
                <w:sz w:val="18"/>
                <w:szCs w:val="18"/>
              </w:rPr>
            </w:pPr>
          </w:p>
        </w:tc>
        <w:tc>
          <w:tcPr>
            <w:tcW w:w="1842" w:type="dxa"/>
          </w:tcPr>
          <w:p w14:paraId="3931D7AD" w14:textId="0BE27D4A" w:rsidR="00740228" w:rsidRPr="001F6CCB" w:rsidRDefault="00740228"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HF</w:t>
            </w:r>
            <w:r w:rsidR="005C62FF">
              <w:rPr>
                <w:rFonts w:asciiTheme="minorHAnsi" w:hAnsiTheme="minorHAnsi" w:cstheme="minorHAnsi"/>
                <w:sz w:val="18"/>
                <w:szCs w:val="18"/>
              </w:rPr>
              <w:t>-</w:t>
            </w:r>
            <w:r w:rsidRPr="001F6CCB">
              <w:rPr>
                <w:rFonts w:asciiTheme="minorHAnsi" w:hAnsiTheme="minorHAnsi" w:cstheme="minorHAnsi"/>
                <w:sz w:val="18"/>
                <w:szCs w:val="18"/>
              </w:rPr>
              <w:t>SCS (10-kHz, Senza system; Nevro Corp)</w:t>
            </w:r>
          </w:p>
          <w:p w14:paraId="119E344B" w14:textId="42F5F6F2" w:rsidR="0089305A" w:rsidRPr="001F6CCB" w:rsidRDefault="0089305A"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Conventional SCS (</w:t>
            </w:r>
            <w:proofErr w:type="spellStart"/>
            <w:r w:rsidRPr="001F6CCB">
              <w:rPr>
                <w:rFonts w:asciiTheme="minorHAnsi" w:hAnsiTheme="minorHAnsi" w:cstheme="minorHAnsi"/>
                <w:sz w:val="18"/>
                <w:szCs w:val="18"/>
              </w:rPr>
              <w:t>RestoreSensor</w:t>
            </w:r>
            <w:proofErr w:type="spellEnd"/>
            <w:r w:rsidRPr="001F6CCB">
              <w:rPr>
                <w:rFonts w:asciiTheme="minorHAnsi" w:hAnsiTheme="minorHAnsi" w:cstheme="minorHAnsi"/>
                <w:sz w:val="18"/>
                <w:szCs w:val="18"/>
              </w:rPr>
              <w:t xml:space="preserve">, </w:t>
            </w:r>
            <w:proofErr w:type="spellStart"/>
            <w:r w:rsidRPr="001F6CCB">
              <w:rPr>
                <w:rFonts w:asciiTheme="minorHAnsi" w:hAnsiTheme="minorHAnsi" w:cstheme="minorHAnsi"/>
                <w:sz w:val="18"/>
                <w:szCs w:val="18"/>
              </w:rPr>
              <w:t>Intellis</w:t>
            </w:r>
            <w:proofErr w:type="spellEnd"/>
            <w:r w:rsidRPr="001F6CCB">
              <w:rPr>
                <w:rFonts w:asciiTheme="minorHAnsi" w:hAnsiTheme="minorHAnsi" w:cstheme="minorHAnsi"/>
                <w:sz w:val="18"/>
                <w:szCs w:val="18"/>
              </w:rPr>
              <w:t xml:space="preserve"> MEDTRONIC)</w:t>
            </w:r>
          </w:p>
          <w:p w14:paraId="173927BB" w14:textId="54E17B2B" w:rsidR="00B96D40" w:rsidRPr="001F6CCB" w:rsidRDefault="0089305A"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C</w:t>
            </w:r>
            <w:r w:rsidR="00C04FB4" w:rsidRPr="001F6CCB">
              <w:rPr>
                <w:rFonts w:asciiTheme="minorHAnsi" w:hAnsiTheme="minorHAnsi" w:cstheme="minorHAnsi"/>
                <w:sz w:val="18"/>
                <w:szCs w:val="18"/>
              </w:rPr>
              <w:t>onventional treatment (pharmacological, physical,</w:t>
            </w:r>
            <w:r w:rsidR="000A5680" w:rsidRPr="001F6CCB">
              <w:rPr>
                <w:rFonts w:asciiTheme="minorHAnsi" w:hAnsiTheme="minorHAnsi" w:cstheme="minorHAnsi"/>
                <w:sz w:val="18"/>
                <w:szCs w:val="18"/>
              </w:rPr>
              <w:t xml:space="preserve"> </w:t>
            </w:r>
            <w:r w:rsidR="00C04FB4" w:rsidRPr="001F6CCB">
              <w:rPr>
                <w:rFonts w:asciiTheme="minorHAnsi" w:hAnsiTheme="minorHAnsi" w:cstheme="minorHAnsi"/>
                <w:sz w:val="18"/>
                <w:szCs w:val="18"/>
              </w:rPr>
              <w:t xml:space="preserve">and blockages) </w:t>
            </w:r>
          </w:p>
        </w:tc>
        <w:tc>
          <w:tcPr>
            <w:tcW w:w="2835" w:type="dxa"/>
          </w:tcPr>
          <w:p w14:paraId="45FC4F1B" w14:textId="77777777" w:rsidR="00B96D40" w:rsidRPr="001F6CCB" w:rsidRDefault="00AE2692"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Population:</w:t>
            </w:r>
            <w:r w:rsidR="00517EC4" w:rsidRPr="001F6CCB">
              <w:rPr>
                <w:rFonts w:asciiTheme="minorHAnsi" w:hAnsiTheme="minorHAnsi" w:cstheme="minorHAnsi"/>
                <w:sz w:val="18"/>
                <w:szCs w:val="18"/>
              </w:rPr>
              <w:t xml:space="preserve"> diagnosed with CRPS with upper limb involvement and with a pain questionnaire</w:t>
            </w:r>
            <w:r w:rsidR="004D44E1" w:rsidRPr="001F6CCB">
              <w:rPr>
                <w:rFonts w:asciiTheme="minorHAnsi" w:hAnsiTheme="minorHAnsi" w:cstheme="minorHAnsi"/>
                <w:sz w:val="18"/>
                <w:szCs w:val="18"/>
              </w:rPr>
              <w:t xml:space="preserve"> </w:t>
            </w:r>
            <w:r w:rsidR="008B782E" w:rsidRPr="001F6CCB">
              <w:rPr>
                <w:rFonts w:asciiTheme="minorHAnsi" w:hAnsiTheme="minorHAnsi" w:cstheme="minorHAnsi"/>
                <w:sz w:val="18"/>
                <w:szCs w:val="18"/>
              </w:rPr>
              <w:t>(</w:t>
            </w:r>
            <w:r w:rsidR="00517EC4" w:rsidRPr="001F6CCB">
              <w:rPr>
                <w:rFonts w:asciiTheme="minorHAnsi" w:hAnsiTheme="minorHAnsi" w:cstheme="minorHAnsi"/>
                <w:sz w:val="18"/>
                <w:szCs w:val="18"/>
              </w:rPr>
              <w:t>DN4</w:t>
            </w:r>
            <w:r w:rsidR="008B782E" w:rsidRPr="001F6CCB">
              <w:rPr>
                <w:rFonts w:asciiTheme="minorHAnsi" w:hAnsiTheme="minorHAnsi" w:cstheme="minorHAnsi"/>
                <w:sz w:val="18"/>
                <w:szCs w:val="18"/>
              </w:rPr>
              <w:t>)</w:t>
            </w:r>
            <w:r w:rsidR="00517EC4" w:rsidRPr="001F6CCB">
              <w:rPr>
                <w:rFonts w:asciiTheme="minorHAnsi" w:hAnsiTheme="minorHAnsi" w:cstheme="minorHAnsi"/>
                <w:sz w:val="18"/>
                <w:szCs w:val="18"/>
              </w:rPr>
              <w:t xml:space="preserve"> score ≥ 4</w:t>
            </w:r>
            <w:r w:rsidR="001E7CF4" w:rsidRPr="001F6CCB">
              <w:rPr>
                <w:rFonts w:asciiTheme="minorHAnsi" w:hAnsiTheme="minorHAnsi" w:cstheme="minorHAnsi"/>
                <w:sz w:val="18"/>
                <w:szCs w:val="18"/>
              </w:rPr>
              <w:t>.</w:t>
            </w:r>
            <w:r w:rsidR="00517EC4" w:rsidRPr="001F6CCB">
              <w:rPr>
                <w:rFonts w:asciiTheme="minorHAnsi" w:hAnsiTheme="minorHAnsi" w:cstheme="minorHAnsi"/>
                <w:sz w:val="18"/>
                <w:szCs w:val="18"/>
              </w:rPr>
              <w:t xml:space="preserve"> </w:t>
            </w:r>
            <w:r w:rsidR="001E7CF4" w:rsidRPr="001F6CCB">
              <w:rPr>
                <w:rFonts w:asciiTheme="minorHAnsi" w:hAnsiTheme="minorHAnsi" w:cstheme="minorHAnsi"/>
                <w:sz w:val="18"/>
                <w:szCs w:val="18"/>
              </w:rPr>
              <w:t>L</w:t>
            </w:r>
            <w:r w:rsidR="00517EC4" w:rsidRPr="001F6CCB">
              <w:rPr>
                <w:rFonts w:asciiTheme="minorHAnsi" w:hAnsiTheme="minorHAnsi" w:cstheme="minorHAnsi"/>
                <w:sz w:val="18"/>
                <w:szCs w:val="18"/>
              </w:rPr>
              <w:t>ack of response, defined as no significant</w:t>
            </w:r>
            <w:r w:rsidR="001E7CF4" w:rsidRPr="001F6CCB">
              <w:rPr>
                <w:rFonts w:asciiTheme="minorHAnsi" w:hAnsiTheme="minorHAnsi" w:cstheme="minorHAnsi"/>
                <w:sz w:val="18"/>
                <w:szCs w:val="18"/>
              </w:rPr>
              <w:t xml:space="preserve"> </w:t>
            </w:r>
            <w:r w:rsidR="00517EC4" w:rsidRPr="001F6CCB">
              <w:rPr>
                <w:rFonts w:asciiTheme="minorHAnsi" w:hAnsiTheme="minorHAnsi" w:cstheme="minorHAnsi"/>
                <w:sz w:val="18"/>
                <w:szCs w:val="18"/>
              </w:rPr>
              <w:t xml:space="preserve">patient-reported pain reduction or improved functionality, to </w:t>
            </w:r>
            <w:r w:rsidR="001E7CF4" w:rsidRPr="001F6CCB">
              <w:rPr>
                <w:rFonts w:asciiTheme="minorHAnsi" w:hAnsiTheme="minorHAnsi" w:cstheme="minorHAnsi"/>
                <w:sz w:val="18"/>
                <w:szCs w:val="18"/>
              </w:rPr>
              <w:t>CMM</w:t>
            </w:r>
            <w:r w:rsidR="00517EC4" w:rsidRPr="001F6CCB">
              <w:rPr>
                <w:rFonts w:asciiTheme="minorHAnsi" w:hAnsiTheme="minorHAnsi" w:cstheme="minorHAnsi"/>
                <w:sz w:val="18"/>
                <w:szCs w:val="18"/>
              </w:rPr>
              <w:t xml:space="preserve"> and minimally invasive techniques</w:t>
            </w:r>
          </w:p>
          <w:p w14:paraId="06B5F50C" w14:textId="0B1DB37F" w:rsidR="00B96D40" w:rsidRPr="001F6CCB" w:rsidRDefault="00AE2692"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Follow-up</w:t>
            </w:r>
            <w:r w:rsidR="0042100B" w:rsidRPr="001F6CCB">
              <w:rPr>
                <w:rFonts w:asciiTheme="minorHAnsi" w:hAnsiTheme="minorHAnsi" w:cstheme="minorHAnsi"/>
                <w:sz w:val="18"/>
                <w:szCs w:val="18"/>
                <w:u w:val="single"/>
              </w:rPr>
              <w:t xml:space="preserve">: </w:t>
            </w:r>
            <w:r w:rsidR="0042100B" w:rsidRPr="001F6CCB">
              <w:rPr>
                <w:rFonts w:asciiTheme="minorHAnsi" w:hAnsiTheme="minorHAnsi" w:cstheme="minorHAnsi"/>
                <w:sz w:val="18"/>
                <w:szCs w:val="18"/>
              </w:rPr>
              <w:t xml:space="preserve">12 </w:t>
            </w:r>
            <w:proofErr w:type="spellStart"/>
            <w:r w:rsidR="0042100B" w:rsidRPr="001F6CCB">
              <w:rPr>
                <w:rFonts w:asciiTheme="minorHAnsi" w:hAnsiTheme="minorHAnsi" w:cstheme="minorHAnsi"/>
                <w:sz w:val="18"/>
                <w:szCs w:val="18"/>
              </w:rPr>
              <w:t>mo</w:t>
            </w:r>
            <w:proofErr w:type="spellEnd"/>
            <w:r w:rsidR="0078671F" w:rsidRPr="001F6CCB">
              <w:rPr>
                <w:rFonts w:asciiTheme="minorHAnsi" w:hAnsiTheme="minorHAnsi" w:cstheme="minorHAnsi"/>
                <w:sz w:val="18"/>
                <w:szCs w:val="18"/>
              </w:rPr>
              <w:t xml:space="preserve"> (41 patients)</w:t>
            </w:r>
          </w:p>
        </w:tc>
        <w:tc>
          <w:tcPr>
            <w:tcW w:w="2268" w:type="dxa"/>
          </w:tcPr>
          <w:p w14:paraId="638793FE" w14:textId="77777777" w:rsidR="005F4BB2" w:rsidRPr="001F6CCB" w:rsidRDefault="005F4BB2"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Primary: </w:t>
            </w:r>
            <w:r w:rsidRPr="001F6CCB">
              <w:rPr>
                <w:rFonts w:asciiTheme="minorHAnsi" w:hAnsiTheme="minorHAnsi" w:cstheme="minorHAnsi"/>
                <w:sz w:val="18"/>
                <w:szCs w:val="18"/>
              </w:rPr>
              <w:t>Pain intensity (≥50% reduction in VAS score)</w:t>
            </w:r>
          </w:p>
          <w:p w14:paraId="0D86851C" w14:textId="2E1DB8BC" w:rsidR="00B96D40" w:rsidRPr="0036603B" w:rsidRDefault="005F4BB2" w:rsidP="0036603B">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Secondary: </w:t>
            </w:r>
            <w:r w:rsidRPr="001F6CCB">
              <w:rPr>
                <w:rFonts w:asciiTheme="minorHAnsi" w:hAnsiTheme="minorHAnsi" w:cstheme="minorHAnsi"/>
                <w:sz w:val="18"/>
                <w:szCs w:val="18"/>
              </w:rPr>
              <w:t>ODI, PD-Q, HAD, SF-12, MOSS</w:t>
            </w:r>
            <w:r w:rsidR="0036603B">
              <w:rPr>
                <w:rFonts w:asciiTheme="minorHAnsi" w:hAnsiTheme="minorHAnsi" w:cstheme="minorHAnsi"/>
                <w:sz w:val="18"/>
                <w:szCs w:val="18"/>
              </w:rPr>
              <w:br/>
            </w:r>
            <w:r w:rsidR="00004217">
              <w:rPr>
                <w:rFonts w:asciiTheme="minorHAnsi" w:hAnsiTheme="minorHAnsi" w:cstheme="minorHAnsi"/>
                <w:sz w:val="18"/>
                <w:szCs w:val="18"/>
              </w:rPr>
              <w:t>A</w:t>
            </w:r>
            <w:r w:rsidR="00004217" w:rsidRPr="001F6CCB">
              <w:rPr>
                <w:rFonts w:asciiTheme="minorHAnsi" w:hAnsiTheme="minorHAnsi" w:cstheme="minorHAnsi"/>
                <w:sz w:val="18"/>
                <w:szCs w:val="18"/>
              </w:rPr>
              <w:t>Es</w:t>
            </w:r>
          </w:p>
        </w:tc>
        <w:tc>
          <w:tcPr>
            <w:tcW w:w="1133" w:type="dxa"/>
          </w:tcPr>
          <w:p w14:paraId="29BCFE8F" w14:textId="77777777" w:rsidR="00B96D40" w:rsidRPr="001F6CCB" w:rsidRDefault="007C7307"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None</w:t>
            </w:r>
          </w:p>
          <w:p w14:paraId="7CAD3C0A" w14:textId="1D441C88" w:rsidR="00B96D40" w:rsidRPr="001F6CCB" w:rsidRDefault="007C7307"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None</w:t>
            </w:r>
          </w:p>
        </w:tc>
      </w:tr>
      <w:tr w:rsidR="00EA1C17" w14:paraId="00E9C3B1" w14:textId="77777777" w:rsidTr="00720CE8">
        <w:tc>
          <w:tcPr>
            <w:tcW w:w="1560" w:type="dxa"/>
          </w:tcPr>
          <w:p w14:paraId="7184F6BD" w14:textId="77777777" w:rsidR="00EA1C17" w:rsidRPr="001F6CCB" w:rsidRDefault="006643CA"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De Andres (2017)</w:t>
            </w:r>
          </w:p>
          <w:p w14:paraId="2AED039C" w14:textId="4BC2A9CC" w:rsidR="006643CA" w:rsidRPr="001F6CCB" w:rsidRDefault="00453600"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Single centre, partially blinded RCT (</w:t>
            </w:r>
            <w:r w:rsidR="0036603B">
              <w:rPr>
                <w:rFonts w:asciiTheme="minorHAnsi" w:hAnsiTheme="minorHAnsi" w:cstheme="minorHAnsi"/>
                <w:sz w:val="18"/>
                <w:szCs w:val="18"/>
              </w:rPr>
              <w:t>N</w:t>
            </w:r>
            <w:r w:rsidRPr="001F6CCB">
              <w:rPr>
                <w:rFonts w:asciiTheme="minorHAnsi" w:hAnsiTheme="minorHAnsi" w:cstheme="minorHAnsi"/>
                <w:sz w:val="18"/>
                <w:szCs w:val="18"/>
              </w:rPr>
              <w:t>=60)</w:t>
            </w:r>
          </w:p>
          <w:p w14:paraId="633F4C5F" w14:textId="5C034716" w:rsidR="00EA1C17" w:rsidRPr="001F6CCB" w:rsidRDefault="00160873"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Spain</w:t>
            </w:r>
          </w:p>
        </w:tc>
        <w:tc>
          <w:tcPr>
            <w:tcW w:w="1842" w:type="dxa"/>
          </w:tcPr>
          <w:p w14:paraId="01E23B1F" w14:textId="0AED3490" w:rsidR="00EA1C17" w:rsidRPr="001F6CCB" w:rsidRDefault="00D35942"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HF</w:t>
            </w:r>
            <w:r w:rsidR="005C62FF">
              <w:rPr>
                <w:rFonts w:asciiTheme="minorHAnsi" w:hAnsiTheme="minorHAnsi" w:cstheme="minorHAnsi"/>
                <w:sz w:val="18"/>
                <w:szCs w:val="18"/>
              </w:rPr>
              <w:t>-</w:t>
            </w:r>
            <w:r w:rsidRPr="001F6CCB">
              <w:rPr>
                <w:rFonts w:asciiTheme="minorHAnsi" w:hAnsiTheme="minorHAnsi" w:cstheme="minorHAnsi"/>
                <w:sz w:val="18"/>
                <w:szCs w:val="18"/>
              </w:rPr>
              <w:t>SCS (Senza System, Nevro Corp)</w:t>
            </w:r>
          </w:p>
          <w:p w14:paraId="0E61C4F0" w14:textId="52F535F2" w:rsidR="00EA1C17" w:rsidRPr="001F6CCB" w:rsidRDefault="00D35942"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Conventional SCS (</w:t>
            </w:r>
            <w:proofErr w:type="spellStart"/>
            <w:r w:rsidRPr="001F6CCB">
              <w:rPr>
                <w:rFonts w:asciiTheme="minorHAnsi" w:hAnsiTheme="minorHAnsi" w:cstheme="minorHAnsi"/>
                <w:sz w:val="18"/>
                <w:szCs w:val="18"/>
              </w:rPr>
              <w:t>Surescan</w:t>
            </w:r>
            <w:proofErr w:type="spellEnd"/>
            <w:r w:rsidRPr="001F6CCB">
              <w:rPr>
                <w:rFonts w:asciiTheme="minorHAnsi" w:hAnsiTheme="minorHAnsi" w:cstheme="minorHAnsi"/>
                <w:sz w:val="18"/>
                <w:szCs w:val="18"/>
              </w:rPr>
              <w:t xml:space="preserve"> </w:t>
            </w:r>
            <w:proofErr w:type="spellStart"/>
            <w:r w:rsidRPr="001F6CCB">
              <w:rPr>
                <w:rFonts w:asciiTheme="minorHAnsi" w:hAnsiTheme="minorHAnsi" w:cstheme="minorHAnsi"/>
                <w:sz w:val="18"/>
                <w:szCs w:val="18"/>
              </w:rPr>
              <w:t>RestoreSeonsor</w:t>
            </w:r>
            <w:proofErr w:type="spellEnd"/>
            <w:r w:rsidRPr="001F6CCB">
              <w:rPr>
                <w:rFonts w:asciiTheme="minorHAnsi" w:hAnsiTheme="minorHAnsi" w:cstheme="minorHAnsi"/>
                <w:sz w:val="18"/>
                <w:szCs w:val="18"/>
              </w:rPr>
              <w:t>, Medtronic)</w:t>
            </w:r>
          </w:p>
        </w:tc>
        <w:tc>
          <w:tcPr>
            <w:tcW w:w="2835" w:type="dxa"/>
          </w:tcPr>
          <w:p w14:paraId="3207B2AF" w14:textId="7859D21B" w:rsidR="00EA1C17" w:rsidRPr="001F6CCB" w:rsidRDefault="0054063D"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Population: </w:t>
            </w:r>
            <w:r w:rsidRPr="001F6CCB">
              <w:rPr>
                <w:rFonts w:asciiTheme="minorHAnsi" w:hAnsiTheme="minorHAnsi" w:cstheme="minorHAnsi"/>
                <w:sz w:val="18"/>
                <w:szCs w:val="18"/>
              </w:rPr>
              <w:t>FBSS</w:t>
            </w:r>
            <w:r w:rsidR="00D2316A" w:rsidRPr="001F6CCB">
              <w:rPr>
                <w:rFonts w:asciiTheme="minorHAnsi" w:hAnsiTheme="minorHAnsi" w:cstheme="minorHAnsi"/>
                <w:sz w:val="18"/>
                <w:szCs w:val="18"/>
              </w:rPr>
              <w:t xml:space="preserve">, refractory to CMM for &gt;6 </w:t>
            </w:r>
            <w:proofErr w:type="spellStart"/>
            <w:r w:rsidR="00D2316A" w:rsidRPr="001F6CCB">
              <w:rPr>
                <w:rFonts w:asciiTheme="minorHAnsi" w:hAnsiTheme="minorHAnsi" w:cstheme="minorHAnsi"/>
                <w:sz w:val="18"/>
                <w:szCs w:val="18"/>
              </w:rPr>
              <w:t>mo</w:t>
            </w:r>
            <w:proofErr w:type="spellEnd"/>
            <w:r w:rsidR="00D2316A" w:rsidRPr="001F6CCB">
              <w:rPr>
                <w:rFonts w:asciiTheme="minorHAnsi" w:hAnsiTheme="minorHAnsi" w:cstheme="minorHAnsi"/>
                <w:sz w:val="18"/>
                <w:szCs w:val="18"/>
              </w:rPr>
              <w:t xml:space="preserve">, </w:t>
            </w:r>
            <w:r w:rsidR="00066ECA" w:rsidRPr="001F6CCB">
              <w:rPr>
                <w:rFonts w:asciiTheme="minorHAnsi" w:hAnsiTheme="minorHAnsi" w:cstheme="minorHAnsi"/>
                <w:sz w:val="18"/>
                <w:szCs w:val="18"/>
              </w:rPr>
              <w:t>≥</w:t>
            </w:r>
            <w:r w:rsidR="00D2316A" w:rsidRPr="001F6CCB">
              <w:rPr>
                <w:rFonts w:asciiTheme="minorHAnsi" w:hAnsiTheme="minorHAnsi" w:cstheme="minorHAnsi"/>
                <w:sz w:val="18"/>
                <w:szCs w:val="18"/>
              </w:rPr>
              <w:t xml:space="preserve">5/10 </w:t>
            </w:r>
            <w:r w:rsidR="00066ECA" w:rsidRPr="001F6CCB">
              <w:rPr>
                <w:rFonts w:asciiTheme="minorHAnsi" w:hAnsiTheme="minorHAnsi" w:cstheme="minorHAnsi"/>
                <w:sz w:val="18"/>
                <w:szCs w:val="18"/>
              </w:rPr>
              <w:t>on NRS</w:t>
            </w:r>
          </w:p>
          <w:p w14:paraId="57CCD84B" w14:textId="2E060868" w:rsidR="00EA1C17" w:rsidRPr="001F6CCB" w:rsidRDefault="00CE00A5"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Follow-up: </w:t>
            </w:r>
            <w:r w:rsidRPr="001F6CCB">
              <w:rPr>
                <w:rFonts w:asciiTheme="minorHAnsi" w:hAnsiTheme="minorHAnsi" w:cstheme="minorHAnsi"/>
                <w:sz w:val="18"/>
                <w:szCs w:val="18"/>
              </w:rPr>
              <w:t xml:space="preserve">12 </w:t>
            </w:r>
            <w:proofErr w:type="spellStart"/>
            <w:r w:rsidRPr="001F6CCB">
              <w:rPr>
                <w:rFonts w:asciiTheme="minorHAnsi" w:hAnsiTheme="minorHAnsi" w:cstheme="minorHAnsi"/>
                <w:sz w:val="18"/>
                <w:szCs w:val="18"/>
              </w:rPr>
              <w:t>mo</w:t>
            </w:r>
            <w:proofErr w:type="spellEnd"/>
            <w:r w:rsidRPr="001F6CCB">
              <w:rPr>
                <w:rFonts w:asciiTheme="minorHAnsi" w:hAnsiTheme="minorHAnsi" w:cstheme="minorHAnsi"/>
                <w:sz w:val="18"/>
                <w:szCs w:val="18"/>
              </w:rPr>
              <w:t xml:space="preserve"> (</w:t>
            </w:r>
            <w:r w:rsidR="00271264" w:rsidRPr="001F6CCB">
              <w:rPr>
                <w:rFonts w:asciiTheme="minorHAnsi" w:hAnsiTheme="minorHAnsi" w:cstheme="minorHAnsi"/>
                <w:sz w:val="18"/>
                <w:szCs w:val="18"/>
              </w:rPr>
              <w:t>55 patients)</w:t>
            </w:r>
          </w:p>
        </w:tc>
        <w:tc>
          <w:tcPr>
            <w:tcW w:w="2268" w:type="dxa"/>
          </w:tcPr>
          <w:p w14:paraId="5B83CD46" w14:textId="2EBEBE0D" w:rsidR="00EA1C17" w:rsidRPr="001F6CCB" w:rsidRDefault="007628B6"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Primary: </w:t>
            </w:r>
            <w:r w:rsidR="002211B4" w:rsidRPr="001F6CCB">
              <w:rPr>
                <w:rFonts w:asciiTheme="minorHAnsi" w:hAnsiTheme="minorHAnsi" w:cstheme="minorHAnsi"/>
                <w:sz w:val="18"/>
                <w:szCs w:val="18"/>
              </w:rPr>
              <w:t>Pain intensity</w:t>
            </w:r>
            <w:r w:rsidR="0079108F" w:rsidRPr="001F6CCB">
              <w:rPr>
                <w:rFonts w:asciiTheme="minorHAnsi" w:hAnsiTheme="minorHAnsi" w:cstheme="minorHAnsi"/>
                <w:sz w:val="18"/>
                <w:szCs w:val="18"/>
              </w:rPr>
              <w:t xml:space="preserve"> </w:t>
            </w:r>
            <w:r w:rsidR="00C77EC2" w:rsidRPr="001F6CCB">
              <w:rPr>
                <w:rFonts w:asciiTheme="minorHAnsi" w:hAnsiTheme="minorHAnsi" w:cstheme="minorHAnsi"/>
                <w:sz w:val="18"/>
                <w:szCs w:val="18"/>
              </w:rPr>
              <w:t>(≥50% reduction in VAS score</w:t>
            </w:r>
            <w:r w:rsidR="005639B2" w:rsidRPr="001F6CCB">
              <w:rPr>
                <w:rFonts w:asciiTheme="minorHAnsi" w:hAnsiTheme="minorHAnsi" w:cstheme="minorHAnsi"/>
                <w:sz w:val="18"/>
                <w:szCs w:val="18"/>
              </w:rPr>
              <w:t>)</w:t>
            </w:r>
          </w:p>
          <w:p w14:paraId="68929C6C" w14:textId="7A3C423A" w:rsidR="00EA1C17" w:rsidRPr="001F6CCB" w:rsidRDefault="00C77EC2" w:rsidP="0036603B">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Secondary:</w:t>
            </w:r>
            <w:r w:rsidR="00396706" w:rsidRPr="001F6CCB">
              <w:rPr>
                <w:rFonts w:asciiTheme="minorHAnsi" w:hAnsiTheme="minorHAnsi" w:cstheme="minorHAnsi"/>
                <w:sz w:val="18"/>
                <w:szCs w:val="18"/>
                <w:u w:val="single"/>
              </w:rPr>
              <w:t xml:space="preserve"> </w:t>
            </w:r>
            <w:r w:rsidR="00396706" w:rsidRPr="001F6CCB">
              <w:rPr>
                <w:rFonts w:asciiTheme="minorHAnsi" w:hAnsiTheme="minorHAnsi" w:cstheme="minorHAnsi"/>
                <w:sz w:val="18"/>
                <w:szCs w:val="18"/>
              </w:rPr>
              <w:t>ODI</w:t>
            </w:r>
            <w:r w:rsidR="00255028" w:rsidRPr="001F6CCB">
              <w:rPr>
                <w:rFonts w:asciiTheme="minorHAnsi" w:hAnsiTheme="minorHAnsi" w:cstheme="minorHAnsi"/>
                <w:sz w:val="18"/>
                <w:szCs w:val="18"/>
              </w:rPr>
              <w:t>, PD-Q, HAD</w:t>
            </w:r>
            <w:r w:rsidR="00D4190D" w:rsidRPr="001F6CCB">
              <w:rPr>
                <w:rFonts w:asciiTheme="minorHAnsi" w:hAnsiTheme="minorHAnsi" w:cstheme="minorHAnsi"/>
                <w:sz w:val="18"/>
                <w:szCs w:val="18"/>
              </w:rPr>
              <w:t>, SF-12</w:t>
            </w:r>
            <w:r w:rsidR="00EE1A6B" w:rsidRPr="001F6CCB">
              <w:rPr>
                <w:rFonts w:asciiTheme="minorHAnsi" w:hAnsiTheme="minorHAnsi" w:cstheme="minorHAnsi"/>
                <w:sz w:val="18"/>
                <w:szCs w:val="18"/>
              </w:rPr>
              <w:t xml:space="preserve">, MOSS, </w:t>
            </w:r>
            <w:r w:rsidR="0036603B">
              <w:rPr>
                <w:rFonts w:asciiTheme="minorHAnsi" w:hAnsiTheme="minorHAnsi" w:cstheme="minorHAnsi"/>
                <w:sz w:val="18"/>
                <w:szCs w:val="18"/>
              </w:rPr>
              <w:br/>
            </w:r>
            <w:r w:rsidR="00004217">
              <w:rPr>
                <w:rFonts w:asciiTheme="minorHAnsi" w:hAnsiTheme="minorHAnsi" w:cstheme="minorHAnsi"/>
                <w:sz w:val="18"/>
                <w:szCs w:val="18"/>
              </w:rPr>
              <w:t>A</w:t>
            </w:r>
            <w:r w:rsidR="00004217" w:rsidRPr="001F6CCB">
              <w:rPr>
                <w:rFonts w:asciiTheme="minorHAnsi" w:hAnsiTheme="minorHAnsi" w:cstheme="minorHAnsi"/>
                <w:sz w:val="18"/>
                <w:szCs w:val="18"/>
              </w:rPr>
              <w:t>Es</w:t>
            </w:r>
          </w:p>
        </w:tc>
        <w:tc>
          <w:tcPr>
            <w:tcW w:w="1133" w:type="dxa"/>
          </w:tcPr>
          <w:p w14:paraId="7F5ECAC6" w14:textId="77777777" w:rsidR="00EA1C17" w:rsidRPr="001F6CCB" w:rsidRDefault="00160873"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None</w:t>
            </w:r>
          </w:p>
          <w:p w14:paraId="5B87B9A5" w14:textId="633362C5" w:rsidR="00EA1C17" w:rsidRPr="001F6CCB" w:rsidRDefault="00160873"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None</w:t>
            </w:r>
          </w:p>
        </w:tc>
      </w:tr>
      <w:tr w:rsidR="00EA1C17" w14:paraId="0329F885" w14:textId="77777777" w:rsidTr="00720CE8">
        <w:tc>
          <w:tcPr>
            <w:tcW w:w="1560" w:type="dxa"/>
          </w:tcPr>
          <w:p w14:paraId="79269B91" w14:textId="6030E864" w:rsidR="00EA1C17" w:rsidRPr="001F6CCB" w:rsidRDefault="00112571"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SENZA-RCT (</w:t>
            </w:r>
            <w:proofErr w:type="spellStart"/>
            <w:r w:rsidRPr="001F6CCB">
              <w:rPr>
                <w:rFonts w:asciiTheme="minorHAnsi" w:hAnsiTheme="minorHAnsi" w:cstheme="minorHAnsi"/>
                <w:sz w:val="18"/>
                <w:szCs w:val="18"/>
              </w:rPr>
              <w:t>Kapural</w:t>
            </w:r>
            <w:proofErr w:type="spellEnd"/>
            <w:r w:rsidRPr="001F6CCB">
              <w:rPr>
                <w:rFonts w:asciiTheme="minorHAnsi" w:hAnsiTheme="minorHAnsi" w:cstheme="minorHAnsi"/>
                <w:sz w:val="18"/>
                <w:szCs w:val="18"/>
              </w:rPr>
              <w:t xml:space="preserve"> 20</w:t>
            </w:r>
            <w:r w:rsidR="00073F49" w:rsidRPr="001F6CCB">
              <w:rPr>
                <w:rFonts w:asciiTheme="minorHAnsi" w:hAnsiTheme="minorHAnsi" w:cstheme="minorHAnsi"/>
                <w:sz w:val="18"/>
                <w:szCs w:val="18"/>
              </w:rPr>
              <w:t>15</w:t>
            </w:r>
            <w:r w:rsidR="00637F66">
              <w:rPr>
                <w:rFonts w:asciiTheme="minorHAnsi" w:hAnsiTheme="minorHAnsi" w:cstheme="minorHAnsi"/>
                <w:sz w:val="18"/>
                <w:szCs w:val="18"/>
              </w:rPr>
              <w:t>;</w:t>
            </w:r>
            <w:r w:rsidR="00073F49" w:rsidRPr="001F6CCB">
              <w:rPr>
                <w:rFonts w:asciiTheme="minorHAnsi" w:hAnsiTheme="minorHAnsi" w:cstheme="minorHAnsi"/>
                <w:sz w:val="18"/>
                <w:szCs w:val="18"/>
              </w:rPr>
              <w:t xml:space="preserve"> 201</w:t>
            </w:r>
            <w:r w:rsidR="00B92652">
              <w:rPr>
                <w:rFonts w:asciiTheme="minorHAnsi" w:hAnsiTheme="minorHAnsi" w:cstheme="minorHAnsi"/>
                <w:sz w:val="18"/>
                <w:szCs w:val="18"/>
              </w:rPr>
              <w:t>6</w:t>
            </w:r>
            <w:r w:rsidR="003F7116" w:rsidRPr="001F6CCB">
              <w:rPr>
                <w:rFonts w:asciiTheme="minorHAnsi" w:hAnsiTheme="minorHAnsi" w:cstheme="minorHAnsi"/>
                <w:sz w:val="18"/>
                <w:szCs w:val="18"/>
              </w:rPr>
              <w:t>)</w:t>
            </w:r>
          </w:p>
          <w:p w14:paraId="7A139D33" w14:textId="49062006" w:rsidR="00AA58E7" w:rsidRPr="001F6CCB" w:rsidRDefault="00AA58E7"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 xml:space="preserve">Multicentre, </w:t>
            </w:r>
            <w:r w:rsidR="00CF477C" w:rsidRPr="001F6CCB">
              <w:rPr>
                <w:rFonts w:asciiTheme="minorHAnsi" w:hAnsiTheme="minorHAnsi" w:cstheme="minorHAnsi"/>
                <w:sz w:val="18"/>
                <w:szCs w:val="18"/>
              </w:rPr>
              <w:t>open</w:t>
            </w:r>
            <w:r w:rsidR="003B335C">
              <w:rPr>
                <w:rFonts w:asciiTheme="minorHAnsi" w:hAnsiTheme="minorHAnsi" w:cstheme="minorHAnsi"/>
                <w:sz w:val="18"/>
                <w:szCs w:val="18"/>
              </w:rPr>
              <w:t>-</w:t>
            </w:r>
            <w:r w:rsidR="00CF477C" w:rsidRPr="001F6CCB">
              <w:rPr>
                <w:rFonts w:asciiTheme="minorHAnsi" w:hAnsiTheme="minorHAnsi" w:cstheme="minorHAnsi"/>
                <w:sz w:val="18"/>
                <w:szCs w:val="18"/>
              </w:rPr>
              <w:t>label RCT</w:t>
            </w:r>
            <w:r w:rsidR="00875954" w:rsidRPr="001F6CCB">
              <w:rPr>
                <w:rFonts w:asciiTheme="minorHAnsi" w:hAnsiTheme="minorHAnsi" w:cstheme="minorHAnsi"/>
                <w:sz w:val="18"/>
                <w:szCs w:val="18"/>
              </w:rPr>
              <w:t xml:space="preserve"> (</w:t>
            </w:r>
            <w:r w:rsidR="0036603B">
              <w:rPr>
                <w:rFonts w:asciiTheme="minorHAnsi" w:hAnsiTheme="minorHAnsi" w:cstheme="minorHAnsi"/>
                <w:sz w:val="18"/>
                <w:szCs w:val="18"/>
              </w:rPr>
              <w:t>N</w:t>
            </w:r>
            <w:r w:rsidR="00875954" w:rsidRPr="001F6CCB">
              <w:rPr>
                <w:rFonts w:asciiTheme="minorHAnsi" w:hAnsiTheme="minorHAnsi" w:cstheme="minorHAnsi"/>
                <w:sz w:val="18"/>
                <w:szCs w:val="18"/>
              </w:rPr>
              <w:t>=</w:t>
            </w:r>
            <w:r w:rsidR="00291F18" w:rsidRPr="001F6CCB">
              <w:rPr>
                <w:rFonts w:asciiTheme="minorHAnsi" w:hAnsiTheme="minorHAnsi" w:cstheme="minorHAnsi"/>
                <w:sz w:val="18"/>
                <w:szCs w:val="18"/>
              </w:rPr>
              <w:t>198)</w:t>
            </w:r>
          </w:p>
          <w:p w14:paraId="7EFE94C8" w14:textId="009360FF" w:rsidR="00EA1C17" w:rsidRPr="001F6CCB" w:rsidRDefault="00875954"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USA</w:t>
            </w:r>
          </w:p>
        </w:tc>
        <w:tc>
          <w:tcPr>
            <w:tcW w:w="1842" w:type="dxa"/>
          </w:tcPr>
          <w:p w14:paraId="1ECF481C" w14:textId="0B076A5D" w:rsidR="00061E30" w:rsidRPr="001F6CCB" w:rsidRDefault="00061E30"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HF</w:t>
            </w:r>
            <w:r w:rsidR="005C62FF">
              <w:rPr>
                <w:rFonts w:asciiTheme="minorHAnsi" w:hAnsiTheme="minorHAnsi" w:cstheme="minorHAnsi"/>
                <w:sz w:val="18"/>
                <w:szCs w:val="18"/>
              </w:rPr>
              <w:t>-</w:t>
            </w:r>
            <w:r w:rsidRPr="001F6CCB">
              <w:rPr>
                <w:rFonts w:asciiTheme="minorHAnsi" w:hAnsiTheme="minorHAnsi" w:cstheme="minorHAnsi"/>
                <w:sz w:val="18"/>
                <w:szCs w:val="18"/>
              </w:rPr>
              <w:t>SCS (10 kHz</w:t>
            </w:r>
            <w:r w:rsidR="00545267">
              <w:rPr>
                <w:rFonts w:asciiTheme="minorHAnsi" w:hAnsiTheme="minorHAnsi" w:cstheme="minorHAnsi"/>
                <w:sz w:val="18"/>
                <w:szCs w:val="18"/>
              </w:rPr>
              <w:t>,</w:t>
            </w:r>
            <w:r w:rsidRPr="001F6CCB">
              <w:rPr>
                <w:rFonts w:asciiTheme="minorHAnsi" w:hAnsiTheme="minorHAnsi" w:cstheme="minorHAnsi"/>
                <w:sz w:val="18"/>
                <w:szCs w:val="18"/>
              </w:rPr>
              <w:t xml:space="preserve"> Senza system; Nevro Corp)</w:t>
            </w:r>
          </w:p>
          <w:p w14:paraId="079EB764" w14:textId="72F0D108" w:rsidR="00EA1C17" w:rsidRPr="001F6CCB" w:rsidRDefault="00061E30"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Conventional SCS (Precision Plus system; Boston Scientific)</w:t>
            </w:r>
          </w:p>
        </w:tc>
        <w:tc>
          <w:tcPr>
            <w:tcW w:w="2835" w:type="dxa"/>
          </w:tcPr>
          <w:p w14:paraId="6F4A233E" w14:textId="3E02ED24" w:rsidR="00EA1C17" w:rsidRPr="001F6CCB" w:rsidRDefault="008A0D87"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Population: </w:t>
            </w:r>
            <w:r w:rsidR="00EB5152" w:rsidRPr="001F6CCB">
              <w:rPr>
                <w:rFonts w:asciiTheme="minorHAnsi" w:hAnsiTheme="minorHAnsi" w:cstheme="minorHAnsi"/>
                <w:sz w:val="18"/>
                <w:szCs w:val="18"/>
              </w:rPr>
              <w:t xml:space="preserve">chronic intractable pain of the trunk and/or limbs, refractory to conservative therapy for ≥3 </w:t>
            </w:r>
            <w:proofErr w:type="spellStart"/>
            <w:r w:rsidR="00EB5152" w:rsidRPr="001F6CCB">
              <w:rPr>
                <w:rFonts w:asciiTheme="minorHAnsi" w:hAnsiTheme="minorHAnsi" w:cstheme="minorHAnsi"/>
                <w:sz w:val="18"/>
                <w:szCs w:val="18"/>
              </w:rPr>
              <w:t>mo</w:t>
            </w:r>
            <w:proofErr w:type="spellEnd"/>
            <w:r w:rsidR="00EB5152" w:rsidRPr="001F6CCB">
              <w:rPr>
                <w:rFonts w:asciiTheme="minorHAnsi" w:hAnsiTheme="minorHAnsi" w:cstheme="minorHAnsi"/>
                <w:sz w:val="18"/>
                <w:szCs w:val="18"/>
              </w:rPr>
              <w:t>, average back pain intensity of ≥5</w:t>
            </w:r>
            <w:r w:rsidR="00054205" w:rsidRPr="001F6CCB">
              <w:rPr>
                <w:rFonts w:asciiTheme="minorHAnsi" w:hAnsiTheme="minorHAnsi" w:cstheme="minorHAnsi"/>
                <w:sz w:val="18"/>
                <w:szCs w:val="18"/>
              </w:rPr>
              <w:t>/</w:t>
            </w:r>
            <w:r w:rsidR="00EB5152" w:rsidRPr="001F6CCB">
              <w:rPr>
                <w:rFonts w:asciiTheme="minorHAnsi" w:hAnsiTheme="minorHAnsi" w:cstheme="minorHAnsi"/>
                <w:sz w:val="18"/>
                <w:szCs w:val="18"/>
              </w:rPr>
              <w:t xml:space="preserve">10 on the VAS; average leg pain intensity of </w:t>
            </w:r>
            <w:r w:rsidR="00054205" w:rsidRPr="001F6CCB">
              <w:rPr>
                <w:rFonts w:asciiTheme="minorHAnsi" w:hAnsiTheme="minorHAnsi" w:cstheme="minorHAnsi"/>
                <w:sz w:val="18"/>
                <w:szCs w:val="18"/>
              </w:rPr>
              <w:t>≥</w:t>
            </w:r>
            <w:r w:rsidR="00EB5152" w:rsidRPr="001F6CCB">
              <w:rPr>
                <w:rFonts w:asciiTheme="minorHAnsi" w:hAnsiTheme="minorHAnsi" w:cstheme="minorHAnsi"/>
                <w:sz w:val="18"/>
                <w:szCs w:val="18"/>
              </w:rPr>
              <w:t>5</w:t>
            </w:r>
            <w:r w:rsidR="00054205" w:rsidRPr="001F6CCB">
              <w:rPr>
                <w:rFonts w:asciiTheme="minorHAnsi" w:hAnsiTheme="minorHAnsi" w:cstheme="minorHAnsi"/>
                <w:sz w:val="18"/>
                <w:szCs w:val="18"/>
              </w:rPr>
              <w:t>/</w:t>
            </w:r>
            <w:r w:rsidR="00EB5152" w:rsidRPr="001F6CCB">
              <w:rPr>
                <w:rFonts w:asciiTheme="minorHAnsi" w:hAnsiTheme="minorHAnsi" w:cstheme="minorHAnsi"/>
                <w:sz w:val="18"/>
                <w:szCs w:val="18"/>
              </w:rPr>
              <w:t>10 on the</w:t>
            </w:r>
            <w:r w:rsidR="00054205" w:rsidRPr="001F6CCB">
              <w:rPr>
                <w:rFonts w:asciiTheme="minorHAnsi" w:hAnsiTheme="minorHAnsi" w:cstheme="minorHAnsi"/>
                <w:sz w:val="18"/>
                <w:szCs w:val="18"/>
              </w:rPr>
              <w:t xml:space="preserve"> </w:t>
            </w:r>
            <w:r w:rsidR="00EB5152" w:rsidRPr="001F6CCB">
              <w:rPr>
                <w:rFonts w:asciiTheme="minorHAnsi" w:hAnsiTheme="minorHAnsi" w:cstheme="minorHAnsi"/>
                <w:sz w:val="18"/>
                <w:szCs w:val="18"/>
              </w:rPr>
              <w:t>VAS</w:t>
            </w:r>
          </w:p>
          <w:p w14:paraId="6EEE3F2F" w14:textId="0546150E" w:rsidR="00EA1C17" w:rsidRPr="001F6CCB" w:rsidRDefault="00054205"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Follow-up:</w:t>
            </w:r>
            <w:r w:rsidRPr="001F6CCB">
              <w:rPr>
                <w:rFonts w:asciiTheme="minorHAnsi" w:hAnsiTheme="minorHAnsi" w:cstheme="minorHAnsi"/>
                <w:sz w:val="18"/>
                <w:szCs w:val="18"/>
              </w:rPr>
              <w:t xml:space="preserve"> </w:t>
            </w:r>
            <w:r w:rsidR="002B33B1" w:rsidRPr="001F6CCB">
              <w:rPr>
                <w:rFonts w:asciiTheme="minorHAnsi" w:hAnsiTheme="minorHAnsi" w:cstheme="minorHAnsi"/>
                <w:sz w:val="18"/>
                <w:szCs w:val="18"/>
              </w:rPr>
              <w:t xml:space="preserve">12 </w:t>
            </w:r>
            <w:proofErr w:type="spellStart"/>
            <w:r w:rsidR="00474E40">
              <w:rPr>
                <w:rFonts w:asciiTheme="minorHAnsi" w:hAnsiTheme="minorHAnsi" w:cstheme="minorHAnsi"/>
                <w:sz w:val="18"/>
                <w:szCs w:val="18"/>
              </w:rPr>
              <w:t>mo</w:t>
            </w:r>
            <w:proofErr w:type="spellEnd"/>
            <w:r w:rsidR="00474E40">
              <w:rPr>
                <w:rFonts w:asciiTheme="minorHAnsi" w:hAnsiTheme="minorHAnsi" w:cstheme="minorHAnsi"/>
                <w:sz w:val="18"/>
                <w:szCs w:val="18"/>
              </w:rPr>
              <w:t xml:space="preserve"> </w:t>
            </w:r>
            <w:r w:rsidR="00A04777" w:rsidRPr="001F6CCB">
              <w:rPr>
                <w:rFonts w:asciiTheme="minorHAnsi" w:hAnsiTheme="minorHAnsi" w:cstheme="minorHAnsi"/>
                <w:sz w:val="18"/>
                <w:szCs w:val="18"/>
              </w:rPr>
              <w:t>(169 patients)</w:t>
            </w:r>
            <w:r w:rsidR="002B33B1" w:rsidRPr="001F6CCB">
              <w:rPr>
                <w:rFonts w:asciiTheme="minorHAnsi" w:hAnsiTheme="minorHAnsi" w:cstheme="minorHAnsi"/>
                <w:sz w:val="18"/>
                <w:szCs w:val="18"/>
              </w:rPr>
              <w:t xml:space="preserve"> and 24 </w:t>
            </w:r>
            <w:proofErr w:type="spellStart"/>
            <w:r w:rsidR="002B33B1" w:rsidRPr="001F6CCB">
              <w:rPr>
                <w:rFonts w:asciiTheme="minorHAnsi" w:hAnsiTheme="minorHAnsi" w:cstheme="minorHAnsi"/>
                <w:sz w:val="18"/>
                <w:szCs w:val="18"/>
              </w:rPr>
              <w:t>mo</w:t>
            </w:r>
            <w:proofErr w:type="spellEnd"/>
            <w:r w:rsidR="00A04777" w:rsidRPr="001F6CCB">
              <w:rPr>
                <w:rFonts w:asciiTheme="minorHAnsi" w:hAnsiTheme="minorHAnsi" w:cstheme="minorHAnsi"/>
                <w:sz w:val="18"/>
                <w:szCs w:val="18"/>
              </w:rPr>
              <w:t xml:space="preserve"> (</w:t>
            </w:r>
            <w:r w:rsidR="005E167A" w:rsidRPr="001F6CCB">
              <w:rPr>
                <w:rFonts w:asciiTheme="minorHAnsi" w:hAnsiTheme="minorHAnsi" w:cstheme="minorHAnsi"/>
                <w:sz w:val="18"/>
                <w:szCs w:val="18"/>
              </w:rPr>
              <w:t>156 patients)</w:t>
            </w:r>
          </w:p>
        </w:tc>
        <w:tc>
          <w:tcPr>
            <w:tcW w:w="2268" w:type="dxa"/>
          </w:tcPr>
          <w:p w14:paraId="0CC1506C" w14:textId="77777777" w:rsidR="00EA1C17" w:rsidRPr="001F6CCB" w:rsidRDefault="00CE22D0"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Primary:</w:t>
            </w:r>
            <w:r w:rsidRPr="001F6CCB">
              <w:rPr>
                <w:rFonts w:asciiTheme="minorHAnsi" w:hAnsiTheme="minorHAnsi" w:cstheme="minorHAnsi"/>
                <w:sz w:val="18"/>
                <w:szCs w:val="18"/>
              </w:rPr>
              <w:t xml:space="preserve"> </w:t>
            </w:r>
            <w:r w:rsidR="00677DBD" w:rsidRPr="001F6CCB">
              <w:rPr>
                <w:rFonts w:asciiTheme="minorHAnsi" w:hAnsiTheme="minorHAnsi" w:cstheme="minorHAnsi"/>
                <w:sz w:val="18"/>
                <w:szCs w:val="18"/>
              </w:rPr>
              <w:t>percentage of subjects who responded to SCS therapy for back pain (≥50% reduction in VAS score) without a stimulation-related neurological deficit</w:t>
            </w:r>
          </w:p>
          <w:p w14:paraId="44FACF55" w14:textId="439D9149" w:rsidR="00EA1C17" w:rsidRPr="001F6CCB" w:rsidRDefault="00677DBD"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u w:val="single"/>
              </w:rPr>
              <w:t xml:space="preserve">Secondary: </w:t>
            </w:r>
            <w:r w:rsidR="00F91F9B" w:rsidRPr="001F6CCB">
              <w:rPr>
                <w:rFonts w:asciiTheme="minorHAnsi" w:hAnsiTheme="minorHAnsi" w:cstheme="minorHAnsi"/>
                <w:sz w:val="18"/>
                <w:szCs w:val="18"/>
              </w:rPr>
              <w:t>leg pain, back pain, ODI</w:t>
            </w:r>
          </w:p>
        </w:tc>
        <w:tc>
          <w:tcPr>
            <w:tcW w:w="1133" w:type="dxa"/>
          </w:tcPr>
          <w:p w14:paraId="21EF902E" w14:textId="77777777" w:rsidR="00EA1C17" w:rsidRPr="001F6CCB" w:rsidRDefault="00026B71"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Nevro Corp</w:t>
            </w:r>
          </w:p>
          <w:p w14:paraId="64F0C106" w14:textId="207DEEC8" w:rsidR="00EA1C17" w:rsidRPr="001F6CCB" w:rsidRDefault="00EA77CD" w:rsidP="003B5AA8">
            <w:pPr>
              <w:pStyle w:val="061Tabletext628pt"/>
              <w:spacing w:before="40"/>
              <w:ind w:left="-57" w:right="-57"/>
              <w:rPr>
                <w:rFonts w:asciiTheme="minorHAnsi" w:hAnsiTheme="minorHAnsi" w:cstheme="minorHAnsi"/>
                <w:sz w:val="18"/>
                <w:szCs w:val="18"/>
              </w:rPr>
            </w:pPr>
            <w:r w:rsidRPr="001F6CCB">
              <w:rPr>
                <w:rFonts w:asciiTheme="minorHAnsi" w:hAnsiTheme="minorHAnsi" w:cstheme="minorHAnsi"/>
                <w:sz w:val="18"/>
                <w:szCs w:val="18"/>
              </w:rPr>
              <w:t>Yes</w:t>
            </w:r>
          </w:p>
        </w:tc>
      </w:tr>
    </w:tbl>
    <w:p w14:paraId="7485BEA3" w14:textId="5ADBB5B2" w:rsidR="00907E7B" w:rsidRPr="00167AF0" w:rsidRDefault="00F05DE5" w:rsidP="00DB6523">
      <w:pPr>
        <w:pStyle w:val="111Tablefootnoteslast-nostick8pt"/>
      </w:pPr>
      <w:r>
        <w:t>Abbreviations:</w:t>
      </w:r>
      <w:r w:rsidR="003A3B92">
        <w:t xml:space="preserve"> </w:t>
      </w:r>
      <w:r w:rsidR="00004217">
        <w:t>AEs</w:t>
      </w:r>
      <w:r w:rsidR="003A3B92">
        <w:t>, adverse events;</w:t>
      </w:r>
      <w:r>
        <w:t xml:space="preserve"> </w:t>
      </w:r>
      <w:r w:rsidR="001E7CF4">
        <w:t xml:space="preserve">CMM, conventional medical management; </w:t>
      </w:r>
      <w:r w:rsidR="005F0967">
        <w:t>COI, conflict of interest;</w:t>
      </w:r>
      <w:r w:rsidR="001E7CF4">
        <w:t xml:space="preserve"> </w:t>
      </w:r>
      <w:r w:rsidR="00113F1A">
        <w:t xml:space="preserve">CRPS, complex regional pain syndrome; </w:t>
      </w:r>
      <w:r w:rsidR="00DB6523">
        <w:t xml:space="preserve">DN-4, </w:t>
      </w:r>
      <w:proofErr w:type="spellStart"/>
      <w:r w:rsidR="00DB6523" w:rsidRPr="00517EC4">
        <w:t>Douleur</w:t>
      </w:r>
      <w:proofErr w:type="spellEnd"/>
      <w:r w:rsidR="00DB6523" w:rsidRPr="00517EC4">
        <w:t xml:space="preserve"> </w:t>
      </w:r>
      <w:proofErr w:type="spellStart"/>
      <w:r w:rsidR="00DB6523" w:rsidRPr="00517EC4">
        <w:t>Neuropathique</w:t>
      </w:r>
      <w:proofErr w:type="spellEnd"/>
      <w:r w:rsidR="00DB6523" w:rsidRPr="00517EC4">
        <w:t xml:space="preserve"> 4 questions</w:t>
      </w:r>
      <w:r w:rsidR="001E7CF4">
        <w:t xml:space="preserve">; </w:t>
      </w:r>
      <w:r w:rsidR="0035221D" w:rsidRPr="0035221D">
        <w:t>EQ-5D-5L</w:t>
      </w:r>
      <w:r w:rsidR="00B51CC7">
        <w:t>,</w:t>
      </w:r>
      <w:r w:rsidR="0035221D" w:rsidRPr="0035221D">
        <w:t xml:space="preserve"> </w:t>
      </w:r>
      <w:proofErr w:type="spellStart"/>
      <w:r w:rsidR="00B51CC7" w:rsidRPr="00B51CC7">
        <w:t>EuroQol</w:t>
      </w:r>
      <w:proofErr w:type="spellEnd"/>
      <w:r w:rsidR="00B51CC7" w:rsidRPr="00B51CC7">
        <w:t xml:space="preserve"> </w:t>
      </w:r>
      <w:r w:rsidR="00B51CC7">
        <w:t xml:space="preserve"> 5-level version;</w:t>
      </w:r>
      <w:r w:rsidR="001E7CF4">
        <w:t xml:space="preserve"> </w:t>
      </w:r>
      <w:r w:rsidR="00620A6E">
        <w:t xml:space="preserve">FBSS, failed back surgery syndrome; </w:t>
      </w:r>
      <w:r w:rsidR="00E022AE">
        <w:t xml:space="preserve">HAD, Hospital </w:t>
      </w:r>
      <w:r w:rsidR="00E22753">
        <w:t>Anxiety</w:t>
      </w:r>
      <w:r w:rsidR="00E022AE">
        <w:t xml:space="preserve"> and Depression</w:t>
      </w:r>
      <w:r w:rsidR="00E22753">
        <w:t xml:space="preserve"> scale</w:t>
      </w:r>
      <w:r w:rsidR="00E022AE">
        <w:t xml:space="preserve">; </w:t>
      </w:r>
      <w:r w:rsidR="0087343D">
        <w:t>HF, high</w:t>
      </w:r>
      <w:r w:rsidR="00572B21">
        <w:t>-</w:t>
      </w:r>
      <w:r w:rsidR="0087343D">
        <w:t>frequency;</w:t>
      </w:r>
      <w:r w:rsidR="001E7CF4">
        <w:t xml:space="preserve"> </w:t>
      </w:r>
      <w:r w:rsidR="00113F1A">
        <w:t>H</w:t>
      </w:r>
      <w:r w:rsidR="00D61801">
        <w:t>z, hertz;</w:t>
      </w:r>
      <w:r w:rsidR="00113F1A">
        <w:t xml:space="preserve"> </w:t>
      </w:r>
      <w:proofErr w:type="spellStart"/>
      <w:r w:rsidR="00720CE8">
        <w:t>mo</w:t>
      </w:r>
      <w:proofErr w:type="spellEnd"/>
      <w:r w:rsidR="00720CE8">
        <w:t xml:space="preserve">, months; </w:t>
      </w:r>
      <w:r w:rsidR="00606E97">
        <w:t>M</w:t>
      </w:r>
      <w:r w:rsidR="00065B17">
        <w:t>O</w:t>
      </w:r>
      <w:r w:rsidR="00606E97">
        <w:t>SS,</w:t>
      </w:r>
      <w:r w:rsidR="00F20D07" w:rsidRPr="00F20D07">
        <w:t xml:space="preserve"> </w:t>
      </w:r>
      <w:r w:rsidR="00F20D07">
        <w:t>Medical</w:t>
      </w:r>
      <w:r w:rsidR="00E022AE">
        <w:t xml:space="preserve"> </w:t>
      </w:r>
      <w:r w:rsidR="00F20D07">
        <w:t>Outcomes Study Sleep</w:t>
      </w:r>
      <w:r w:rsidR="00E022AE">
        <w:t>;</w:t>
      </w:r>
      <w:r w:rsidR="00F20D07">
        <w:t xml:space="preserve"> </w:t>
      </w:r>
      <w:r w:rsidR="00332B8A">
        <w:t xml:space="preserve">NRS, numerical rating scale; </w:t>
      </w:r>
      <w:r w:rsidR="00620A6E">
        <w:t xml:space="preserve">ODI, </w:t>
      </w:r>
      <w:r w:rsidR="000832CB" w:rsidRPr="008A0B04">
        <w:t xml:space="preserve">Oswestry </w:t>
      </w:r>
      <w:r w:rsidR="000832CB">
        <w:t>D</w:t>
      </w:r>
      <w:r w:rsidR="000832CB" w:rsidRPr="008A0B04">
        <w:t xml:space="preserve">isability </w:t>
      </w:r>
      <w:r w:rsidR="000832CB">
        <w:t>I</w:t>
      </w:r>
      <w:r w:rsidR="000832CB" w:rsidRPr="008A0B04">
        <w:t>ndex</w:t>
      </w:r>
      <w:r w:rsidR="00620A6E">
        <w:t>;</w:t>
      </w:r>
      <w:r w:rsidR="000832CB">
        <w:t xml:space="preserve"> </w:t>
      </w:r>
      <w:r w:rsidR="00E22753">
        <w:t xml:space="preserve">PD-Q, </w:t>
      </w:r>
      <w:r w:rsidR="0051351E" w:rsidRPr="0051351E">
        <w:t>Pain Detect Questionnaire</w:t>
      </w:r>
      <w:r w:rsidR="0051351E">
        <w:t>;</w:t>
      </w:r>
      <w:r w:rsidR="0051351E" w:rsidRPr="0051351E">
        <w:t xml:space="preserve"> </w:t>
      </w:r>
      <w:r w:rsidR="001E7CF4">
        <w:t>RCT, randomi</w:t>
      </w:r>
      <w:r w:rsidR="00375593">
        <w:t>s</w:t>
      </w:r>
      <w:r w:rsidR="001E7CF4">
        <w:t>ed controlled trial</w:t>
      </w:r>
      <w:r w:rsidR="0087343D">
        <w:t>; SCS, spinal cord stimulat</w:t>
      </w:r>
      <w:r w:rsidR="00720CE8">
        <w:t>ion</w:t>
      </w:r>
      <w:r w:rsidR="00443102">
        <w:t xml:space="preserve">; </w:t>
      </w:r>
      <w:r w:rsidR="00332B8A">
        <w:t xml:space="preserve">SF-12, </w:t>
      </w:r>
      <w:r w:rsidR="00C57341" w:rsidRPr="00C57341">
        <w:t>12-Item Short Form Survey</w:t>
      </w:r>
      <w:r w:rsidR="003A3B92">
        <w:t xml:space="preserve">; </w:t>
      </w:r>
      <w:r w:rsidR="00443102">
        <w:t>VAS, visual analogue scale</w:t>
      </w:r>
    </w:p>
    <w:p w14:paraId="3D3AB8CA" w14:textId="6BD388BE" w:rsidR="00C81266" w:rsidRDefault="00C81266" w:rsidP="00C81266">
      <w:pPr>
        <w:pStyle w:val="Heading5"/>
      </w:pPr>
      <w:r>
        <w:lastRenderedPageBreak/>
        <w:t>Findings</w:t>
      </w:r>
    </w:p>
    <w:p w14:paraId="3EC82913" w14:textId="7BEE4048" w:rsidR="00621D96" w:rsidRPr="00621D96" w:rsidRDefault="00F25B96" w:rsidP="00621D96">
      <w:pPr>
        <w:pStyle w:val="BodyText"/>
      </w:pPr>
      <w:r>
        <w:t xml:space="preserve">The outcomes of the trials are presented in </w:t>
      </w:r>
      <w:r>
        <w:fldChar w:fldCharType="begin"/>
      </w:r>
      <w:r>
        <w:instrText xml:space="preserve"> REF _Ref134533426 \h </w:instrText>
      </w:r>
      <w:r>
        <w:fldChar w:fldCharType="separate"/>
      </w:r>
      <w:r w:rsidR="00CE6ACA">
        <w:t xml:space="preserve">Table </w:t>
      </w:r>
      <w:r w:rsidR="00CE6ACA">
        <w:rPr>
          <w:noProof/>
        </w:rPr>
        <w:t>12</w:t>
      </w:r>
      <w:r>
        <w:fldChar w:fldCharType="end"/>
      </w:r>
      <w:r w:rsidR="00B25D83">
        <w:t xml:space="preserve"> at </w:t>
      </w:r>
      <w:r>
        <w:t>medium term (6 months) and long term (</w:t>
      </w:r>
      <w:r w:rsidR="00B25D83">
        <w:rPr>
          <w:rFonts w:cs="Calibri"/>
        </w:rPr>
        <w:t>≥</w:t>
      </w:r>
      <w:r>
        <w:t>12 months)</w:t>
      </w:r>
      <w:r w:rsidR="00D50862">
        <w:t>, using</w:t>
      </w:r>
      <w:r w:rsidR="00B25D83">
        <w:t xml:space="preserve"> the </w:t>
      </w:r>
      <w:r w:rsidR="00D50862">
        <w:t>same</w:t>
      </w:r>
      <w:r w:rsidR="00B25D83">
        <w:t xml:space="preserve"> outcomes reported in </w:t>
      </w:r>
      <w:r w:rsidR="00D50862">
        <w:t xml:space="preserve">the </w:t>
      </w:r>
      <w:r w:rsidR="00B25D83">
        <w:t>O’Connell (2021)</w:t>
      </w:r>
      <w:r w:rsidR="00574AD2">
        <w:t xml:space="preserve"> Cochrane review</w:t>
      </w:r>
      <w:r>
        <w:t xml:space="preserve">. </w:t>
      </w:r>
      <w:r w:rsidR="00B21C22">
        <w:t>Analysis was reported as per</w:t>
      </w:r>
      <w:r w:rsidR="00431E5A">
        <w:t>-</w:t>
      </w:r>
      <w:r w:rsidR="00B21C22">
        <w:t>protocol across the studies</w:t>
      </w:r>
      <w:r w:rsidR="0096287B">
        <w:t xml:space="preserve">, that is subjects who failed a trial </w:t>
      </w:r>
      <w:r w:rsidR="00591CDA">
        <w:t>or were lost to follow-up are excluded</w:t>
      </w:r>
      <w:r>
        <w:t>.</w:t>
      </w:r>
    </w:p>
    <w:p w14:paraId="74FF0857" w14:textId="1632B3EE" w:rsidR="00735B0D" w:rsidRDefault="00735B0D" w:rsidP="00735B0D">
      <w:pPr>
        <w:pStyle w:val="Heading6"/>
      </w:pPr>
      <w:r>
        <w:t>Pain intensity</w:t>
      </w:r>
    </w:p>
    <w:p w14:paraId="3C403201" w14:textId="616C9338" w:rsidR="00735B0D" w:rsidRPr="00735B0D" w:rsidRDefault="00635C7F" w:rsidP="00735B0D">
      <w:pPr>
        <w:pStyle w:val="BodyText"/>
      </w:pPr>
      <w:r>
        <w:t xml:space="preserve">Pain was reported on either a 10-point </w:t>
      </w:r>
      <w:r w:rsidR="00077F6E">
        <w:t xml:space="preserve">scale </w:t>
      </w:r>
      <w:r>
        <w:t>(</w:t>
      </w:r>
      <w:proofErr w:type="spellStart"/>
      <w:r w:rsidRPr="008A3715">
        <w:t>Canós-Verdecho</w:t>
      </w:r>
      <w:proofErr w:type="spellEnd"/>
      <w:r>
        <w:t xml:space="preserve"> </w:t>
      </w:r>
      <w:r w:rsidRPr="008A3715">
        <w:t>2021</w:t>
      </w:r>
      <w:r>
        <w:t>; De</w:t>
      </w:r>
      <w:r w:rsidR="00EA24C6">
        <w:t xml:space="preserve"> </w:t>
      </w:r>
      <w:r>
        <w:t>Andres 2017</w:t>
      </w:r>
      <w:r w:rsidR="00DF7614">
        <w:t xml:space="preserve">; </w:t>
      </w:r>
      <w:proofErr w:type="spellStart"/>
      <w:r w:rsidR="00DF7614">
        <w:t>Kapural</w:t>
      </w:r>
      <w:proofErr w:type="spellEnd"/>
      <w:r w:rsidR="00DF7614">
        <w:t xml:space="preserve"> 201</w:t>
      </w:r>
      <w:r w:rsidR="004C3759">
        <w:t>6</w:t>
      </w:r>
      <w:r>
        <w:t>) or a 100-point scale (</w:t>
      </w:r>
      <w:proofErr w:type="spellStart"/>
      <w:r>
        <w:t>Bolash</w:t>
      </w:r>
      <w:proofErr w:type="spellEnd"/>
      <w:r>
        <w:t xml:space="preserve"> 2019)</w:t>
      </w:r>
      <w:r w:rsidR="00DF7614">
        <w:t xml:space="preserve">. </w:t>
      </w:r>
      <w:r w:rsidR="00873FEC">
        <w:t xml:space="preserve">Although all trials reported significant differences from baseline to follow-up, there were no </w:t>
      </w:r>
      <w:r w:rsidR="00046525">
        <w:t>significant differences between arms</w:t>
      </w:r>
      <w:r w:rsidR="000C4A6F">
        <w:t>,</w:t>
      </w:r>
      <w:r w:rsidR="00046525">
        <w:t xml:space="preserve"> with the exception of the SENZA-RCT which was the largest trial (</w:t>
      </w:r>
      <w:proofErr w:type="spellStart"/>
      <w:r w:rsidR="00046525">
        <w:t>Kapural</w:t>
      </w:r>
      <w:proofErr w:type="spellEnd"/>
      <w:r w:rsidR="00046525">
        <w:t xml:space="preserve"> 201</w:t>
      </w:r>
      <w:r w:rsidR="004C3759">
        <w:t>6</w:t>
      </w:r>
      <w:r w:rsidR="00046525">
        <w:t xml:space="preserve">). </w:t>
      </w:r>
    </w:p>
    <w:p w14:paraId="6E83963D" w14:textId="0D3996CD" w:rsidR="00046525" w:rsidRPr="00735B0D" w:rsidRDefault="00093551" w:rsidP="00735B0D">
      <w:pPr>
        <w:pStyle w:val="BodyText"/>
      </w:pPr>
      <w:r>
        <w:t>At 12 months, the SENZA-RCT found a significant mean difference favouring HF</w:t>
      </w:r>
      <w:r w:rsidR="005C62FF">
        <w:t>-</w:t>
      </w:r>
      <w:r>
        <w:t>SCS</w:t>
      </w:r>
      <w:r w:rsidR="00A005EA">
        <w:t xml:space="preserve"> for back </w:t>
      </w:r>
      <w:r w:rsidR="00761CD2">
        <w:t xml:space="preserve">pain </w:t>
      </w:r>
      <w:r w:rsidR="005F3548">
        <w:t>(</w:t>
      </w:r>
      <w:r w:rsidR="006800C5">
        <w:t xml:space="preserve">MD </w:t>
      </w:r>
      <w:r w:rsidR="00A005EA" w:rsidRPr="00A005EA">
        <w:t>-1.7</w:t>
      </w:r>
      <w:r w:rsidR="006800C5">
        <w:t>,</w:t>
      </w:r>
      <w:r w:rsidR="00A005EA" w:rsidRPr="00A005EA">
        <w:t xml:space="preserve"> 95% CI -2.6 to -0.8</w:t>
      </w:r>
      <w:r w:rsidR="005F3548">
        <w:t>)</w:t>
      </w:r>
      <w:r w:rsidR="00A005EA">
        <w:t xml:space="preserve"> and leg pain </w:t>
      </w:r>
      <w:r w:rsidR="00AE2FDC">
        <w:t>(</w:t>
      </w:r>
      <w:r w:rsidR="006800C5">
        <w:t xml:space="preserve">MD </w:t>
      </w:r>
      <w:r w:rsidR="00685A2E" w:rsidRPr="00685A2E">
        <w:t>-1.0</w:t>
      </w:r>
      <w:r w:rsidR="006800C5">
        <w:t>,</w:t>
      </w:r>
      <w:r w:rsidR="00685A2E" w:rsidRPr="00685A2E">
        <w:t xml:space="preserve"> 95% CI -2.0 to -0.1)</w:t>
      </w:r>
      <w:r w:rsidR="00B72790">
        <w:t>.</w:t>
      </w:r>
      <w:r w:rsidR="005F3548">
        <w:t xml:space="preserve"> </w:t>
      </w:r>
      <w:r w:rsidR="00B72790">
        <w:t>A</w:t>
      </w:r>
      <w:r w:rsidR="005F3548">
        <w:t xml:space="preserve"> clinically meaningful difference is 1.0 (O’Connell,2021)</w:t>
      </w:r>
      <w:r w:rsidR="00685A2E">
        <w:t xml:space="preserve">. </w:t>
      </w:r>
      <w:r w:rsidR="00AE2FDC">
        <w:t>There was also a significant difference in favour of HF</w:t>
      </w:r>
      <w:r w:rsidR="005C62FF">
        <w:t>-</w:t>
      </w:r>
      <w:r w:rsidR="00AE2FDC">
        <w:t xml:space="preserve">SCS </w:t>
      </w:r>
      <w:r w:rsidR="0093518E">
        <w:t>for the percent</w:t>
      </w:r>
      <w:r w:rsidR="00B72790">
        <w:t>age</w:t>
      </w:r>
      <w:r w:rsidR="0093518E">
        <w:t xml:space="preserve"> of patients experiencing more than 50% improvement in pain intensity. </w:t>
      </w:r>
    </w:p>
    <w:p w14:paraId="4DDC1282" w14:textId="0DCBC86A" w:rsidR="008216DE" w:rsidRDefault="008216DE" w:rsidP="008216DE">
      <w:pPr>
        <w:pStyle w:val="Heading6"/>
      </w:pPr>
      <w:r>
        <w:t>Adverse events</w:t>
      </w:r>
    </w:p>
    <w:p w14:paraId="17A86F34" w14:textId="35DED151" w:rsidR="0065125A" w:rsidRDefault="00A10534" w:rsidP="005D5D71">
      <w:pPr>
        <w:pStyle w:val="BodyText"/>
      </w:pPr>
      <w:r>
        <w:t>A</w:t>
      </w:r>
      <w:r w:rsidR="005D459F">
        <w:t>Es</w:t>
      </w:r>
      <w:r w:rsidR="005D5D71">
        <w:t xml:space="preserve"> were poorly reported</w:t>
      </w:r>
      <w:r w:rsidR="004F3E42">
        <w:t xml:space="preserve">. </w:t>
      </w:r>
      <w:r w:rsidR="00734CCB">
        <w:t xml:space="preserve">Fewer device-related </w:t>
      </w:r>
      <w:r w:rsidR="00004217">
        <w:t xml:space="preserve">AEs </w:t>
      </w:r>
      <w:r w:rsidR="00734CCB">
        <w:t xml:space="preserve">were reported for </w:t>
      </w:r>
      <w:r w:rsidR="004F3E42">
        <w:t>HF</w:t>
      </w:r>
      <w:r w:rsidR="005C62FF">
        <w:t>-</w:t>
      </w:r>
      <w:r w:rsidR="004F3E42">
        <w:t xml:space="preserve">SCS </w:t>
      </w:r>
      <w:r w:rsidR="00734CCB">
        <w:t xml:space="preserve">than conventional SCS </w:t>
      </w:r>
      <w:r w:rsidR="004F3E42">
        <w:t xml:space="preserve">in </w:t>
      </w:r>
      <w:r w:rsidR="00E70EC6">
        <w:t>the SURF RCT (</w:t>
      </w:r>
      <w:proofErr w:type="spellStart"/>
      <w:r w:rsidR="004F3E42">
        <w:t>Bolash</w:t>
      </w:r>
      <w:proofErr w:type="spellEnd"/>
      <w:r w:rsidR="004F3E42">
        <w:t xml:space="preserve"> 20</w:t>
      </w:r>
      <w:r w:rsidR="0065125A">
        <w:t>19).</w:t>
      </w:r>
    </w:p>
    <w:p w14:paraId="0C056109" w14:textId="43680009" w:rsidR="005D5D71" w:rsidRDefault="0065125A" w:rsidP="0065125A">
      <w:pPr>
        <w:pStyle w:val="Heading6"/>
      </w:pPr>
      <w:r>
        <w:t>Secondary outcomes</w:t>
      </w:r>
      <w:r w:rsidR="00651FAC">
        <w:t xml:space="preserve"> </w:t>
      </w:r>
    </w:p>
    <w:p w14:paraId="1B89A53D" w14:textId="38CF8FF3" w:rsidR="00FC5A82" w:rsidRPr="005D5D71" w:rsidRDefault="002427A0" w:rsidP="005D5D71">
      <w:pPr>
        <w:pStyle w:val="BodyText"/>
      </w:pPr>
      <w:r>
        <w:t>No study reported any significant differences between HF</w:t>
      </w:r>
      <w:r w:rsidR="005C62FF">
        <w:t>-</w:t>
      </w:r>
      <w:r>
        <w:t>SCS and convention</w:t>
      </w:r>
      <w:r w:rsidR="000D222F">
        <w:t>al</w:t>
      </w:r>
      <w:r>
        <w:t xml:space="preserve"> SCS </w:t>
      </w:r>
      <w:r w:rsidR="000D222F">
        <w:t xml:space="preserve">for disability or </w:t>
      </w:r>
      <w:r w:rsidR="00912E7F">
        <w:t xml:space="preserve">quality of life. The outcomes reported by </w:t>
      </w:r>
      <w:proofErr w:type="spellStart"/>
      <w:r w:rsidR="00912E7F" w:rsidRPr="008A3715">
        <w:t>Canós-Verdecho</w:t>
      </w:r>
      <w:proofErr w:type="spellEnd"/>
      <w:r w:rsidR="00912E7F">
        <w:t xml:space="preserve"> (202</w:t>
      </w:r>
      <w:r w:rsidR="002E283B">
        <w:t>1</w:t>
      </w:r>
      <w:r w:rsidR="00912E7F">
        <w:t>)</w:t>
      </w:r>
      <w:r w:rsidR="00270098">
        <w:t xml:space="preserve"> are prone to error due to the small sample size and baseline differences. </w:t>
      </w:r>
    </w:p>
    <w:p w14:paraId="0FE11427" w14:textId="02093AA0" w:rsidR="006D5EA3" w:rsidRDefault="006D5EA3" w:rsidP="006D5EA3">
      <w:pPr>
        <w:pStyle w:val="Caption"/>
      </w:pPr>
      <w:bookmarkStart w:id="86" w:name="_Ref134533426"/>
      <w:r>
        <w:t xml:space="preserve">Table </w:t>
      </w:r>
      <w:r>
        <w:fldChar w:fldCharType="begin"/>
      </w:r>
      <w:r>
        <w:instrText>SEQ Table \* ARABIC</w:instrText>
      </w:r>
      <w:r>
        <w:fldChar w:fldCharType="separate"/>
      </w:r>
      <w:r w:rsidR="00CE6ACA">
        <w:rPr>
          <w:noProof/>
        </w:rPr>
        <w:t>12</w:t>
      </w:r>
      <w:r>
        <w:fldChar w:fldCharType="end"/>
      </w:r>
      <w:bookmarkEnd w:id="86"/>
      <w:r>
        <w:tab/>
        <w:t>Outcomes of RCT</w:t>
      </w:r>
      <w:r w:rsidR="00E8514A">
        <w:t>s</w:t>
      </w:r>
      <w:r>
        <w:t xml:space="preserve"> comparing HF</w:t>
      </w:r>
      <w:r w:rsidR="005C62FF">
        <w:t>-</w:t>
      </w:r>
      <w:r>
        <w:t>SCS v</w:t>
      </w:r>
      <w:r w:rsidR="00CB1A5D">
        <w:t>ersu</w:t>
      </w:r>
      <w:r>
        <w:t xml:space="preserve">s conventional SCS </w:t>
      </w:r>
    </w:p>
    <w:tbl>
      <w:tblPr>
        <w:tblStyle w:val="TableGrid"/>
        <w:tblW w:w="5000" w:type="pct"/>
        <w:tblLook w:val="04A0" w:firstRow="1" w:lastRow="0" w:firstColumn="1" w:lastColumn="0" w:noHBand="0" w:noVBand="1"/>
        <w:tblCaption w:val="Outcomes of RCTs comparing HF-SCS versus conventional SCS"/>
        <w:tblDescription w:val="Table showing a comparison of the outcomes at medium term (6 months) and long term (12 months) between studies on HF-SCS versus conventional SCS. "/>
      </w:tblPr>
      <w:tblGrid>
        <w:gridCol w:w="1662"/>
        <w:gridCol w:w="891"/>
        <w:gridCol w:w="256"/>
        <w:gridCol w:w="1827"/>
        <w:gridCol w:w="1901"/>
        <w:gridCol w:w="1829"/>
        <w:gridCol w:w="1272"/>
      </w:tblGrid>
      <w:tr w:rsidR="008C03F2" w14:paraId="506E6E14" w14:textId="77777777" w:rsidTr="00572EBA">
        <w:trPr>
          <w:cnfStyle w:val="100000000000" w:firstRow="1" w:lastRow="0" w:firstColumn="0" w:lastColumn="0" w:oddVBand="0" w:evenVBand="0" w:oddHBand="0" w:evenHBand="0" w:firstRowFirstColumn="0" w:firstRowLastColumn="0" w:lastRowFirstColumn="0" w:lastRowLastColumn="0"/>
        </w:trPr>
        <w:tc>
          <w:tcPr>
            <w:tcW w:w="862" w:type="pct"/>
          </w:tcPr>
          <w:p w14:paraId="48CED364" w14:textId="22EFA4C7" w:rsidR="006D5EA3" w:rsidRPr="005608B1" w:rsidRDefault="005C599E" w:rsidP="005608B1">
            <w:pPr>
              <w:pStyle w:val="011TableHeading8pt"/>
              <w:spacing w:before="40" w:line="240" w:lineRule="auto"/>
              <w:ind w:left="-57" w:right="-57"/>
              <w:rPr>
                <w:rFonts w:asciiTheme="minorHAnsi" w:hAnsiTheme="minorHAnsi" w:cstheme="minorHAnsi"/>
                <w:sz w:val="18"/>
                <w:szCs w:val="18"/>
              </w:rPr>
            </w:pPr>
            <w:r w:rsidRPr="005608B1">
              <w:rPr>
                <w:rFonts w:asciiTheme="minorHAnsi" w:hAnsiTheme="minorHAnsi" w:cstheme="minorHAnsi"/>
                <w:sz w:val="18"/>
                <w:szCs w:val="18"/>
              </w:rPr>
              <w:t>Outcome</w:t>
            </w:r>
          </w:p>
        </w:tc>
        <w:tc>
          <w:tcPr>
            <w:tcW w:w="595" w:type="pct"/>
            <w:gridSpan w:val="2"/>
          </w:tcPr>
          <w:p w14:paraId="6C6893FD" w14:textId="7865A071" w:rsidR="008778A2" w:rsidRPr="005608B1" w:rsidRDefault="008778A2" w:rsidP="005608B1">
            <w:pPr>
              <w:pStyle w:val="011TableHeading8pt"/>
              <w:spacing w:before="40" w:line="240" w:lineRule="auto"/>
              <w:ind w:left="-57" w:right="-57"/>
              <w:rPr>
                <w:rFonts w:asciiTheme="minorHAnsi" w:hAnsiTheme="minorHAnsi" w:cstheme="minorHAnsi"/>
                <w:sz w:val="18"/>
                <w:szCs w:val="18"/>
              </w:rPr>
            </w:pPr>
            <w:r w:rsidRPr="005608B1">
              <w:rPr>
                <w:rFonts w:asciiTheme="minorHAnsi" w:hAnsiTheme="minorHAnsi" w:cstheme="minorHAnsi"/>
                <w:sz w:val="18"/>
                <w:szCs w:val="18"/>
              </w:rPr>
              <w:t>Study</w:t>
            </w:r>
            <w:r w:rsidR="00850F3B">
              <w:rPr>
                <w:rFonts w:asciiTheme="minorHAnsi" w:hAnsiTheme="minorHAnsi" w:cstheme="minorHAnsi"/>
                <w:sz w:val="18"/>
                <w:szCs w:val="18"/>
              </w:rPr>
              <w:t xml:space="preserve"> ID</w:t>
            </w:r>
          </w:p>
        </w:tc>
        <w:tc>
          <w:tcPr>
            <w:tcW w:w="948" w:type="pct"/>
          </w:tcPr>
          <w:p w14:paraId="41907826" w14:textId="51211388" w:rsidR="006D5EA3" w:rsidRPr="005608B1" w:rsidRDefault="005C1CF8" w:rsidP="005608B1">
            <w:pPr>
              <w:pStyle w:val="011TableHeading8pt"/>
              <w:spacing w:before="40" w:line="240" w:lineRule="auto"/>
              <w:ind w:left="-57" w:right="-57"/>
              <w:rPr>
                <w:rFonts w:asciiTheme="minorHAnsi" w:hAnsiTheme="minorHAnsi" w:cstheme="minorHAnsi"/>
                <w:sz w:val="18"/>
                <w:szCs w:val="18"/>
              </w:rPr>
            </w:pPr>
            <w:r w:rsidRPr="005608B1">
              <w:rPr>
                <w:rFonts w:asciiTheme="minorHAnsi" w:hAnsiTheme="minorHAnsi" w:cstheme="minorHAnsi"/>
                <w:sz w:val="18"/>
                <w:szCs w:val="18"/>
              </w:rPr>
              <w:t>HF</w:t>
            </w:r>
            <w:r w:rsidR="005C62FF">
              <w:rPr>
                <w:rFonts w:asciiTheme="minorHAnsi" w:hAnsiTheme="minorHAnsi" w:cstheme="minorHAnsi"/>
                <w:sz w:val="18"/>
                <w:szCs w:val="18"/>
              </w:rPr>
              <w:t>-</w:t>
            </w:r>
            <w:r w:rsidRPr="005608B1">
              <w:rPr>
                <w:rFonts w:asciiTheme="minorHAnsi" w:hAnsiTheme="minorHAnsi" w:cstheme="minorHAnsi"/>
                <w:sz w:val="18"/>
                <w:szCs w:val="18"/>
              </w:rPr>
              <w:t>SCS</w:t>
            </w:r>
            <w:r w:rsidR="00EB614A" w:rsidRPr="005608B1">
              <w:rPr>
                <w:rFonts w:asciiTheme="minorHAnsi" w:hAnsiTheme="minorHAnsi" w:cstheme="minorHAnsi"/>
                <w:sz w:val="18"/>
                <w:szCs w:val="18"/>
              </w:rPr>
              <w:t xml:space="preserve"> </w:t>
            </w:r>
          </w:p>
        </w:tc>
        <w:tc>
          <w:tcPr>
            <w:tcW w:w="986" w:type="pct"/>
          </w:tcPr>
          <w:p w14:paraId="5E5E14F5" w14:textId="355D33CA" w:rsidR="006D5EA3" w:rsidRPr="005608B1" w:rsidRDefault="00BF28CD" w:rsidP="005608B1">
            <w:pPr>
              <w:pStyle w:val="011TableHeading8pt"/>
              <w:spacing w:before="40" w:line="240" w:lineRule="auto"/>
              <w:ind w:left="-57" w:right="-57"/>
              <w:rPr>
                <w:rFonts w:asciiTheme="minorHAnsi" w:hAnsiTheme="minorHAnsi" w:cstheme="minorHAnsi"/>
                <w:sz w:val="18"/>
                <w:szCs w:val="18"/>
              </w:rPr>
            </w:pPr>
            <w:r w:rsidRPr="005608B1">
              <w:rPr>
                <w:rFonts w:asciiTheme="minorHAnsi" w:hAnsiTheme="minorHAnsi" w:cstheme="minorHAnsi"/>
                <w:sz w:val="18"/>
                <w:szCs w:val="18"/>
              </w:rPr>
              <w:t>Conventional SCS</w:t>
            </w:r>
          </w:p>
        </w:tc>
        <w:tc>
          <w:tcPr>
            <w:tcW w:w="949" w:type="pct"/>
          </w:tcPr>
          <w:p w14:paraId="5A56DBF6" w14:textId="77777777" w:rsidR="006D5EA3" w:rsidRPr="005608B1" w:rsidRDefault="006D5EA3" w:rsidP="005608B1">
            <w:pPr>
              <w:pStyle w:val="011TableHeading8pt"/>
              <w:spacing w:before="40" w:line="240" w:lineRule="auto"/>
              <w:ind w:left="-57" w:right="-57"/>
              <w:rPr>
                <w:rFonts w:asciiTheme="minorHAnsi" w:hAnsiTheme="minorHAnsi" w:cstheme="minorHAnsi"/>
                <w:sz w:val="18"/>
                <w:szCs w:val="18"/>
              </w:rPr>
            </w:pPr>
            <w:r w:rsidRPr="005608B1">
              <w:rPr>
                <w:rFonts w:asciiTheme="minorHAnsi" w:hAnsiTheme="minorHAnsi" w:cstheme="minorHAnsi"/>
                <w:sz w:val="18"/>
                <w:szCs w:val="18"/>
              </w:rPr>
              <w:t>Summary</w:t>
            </w:r>
          </w:p>
        </w:tc>
        <w:tc>
          <w:tcPr>
            <w:tcW w:w="660" w:type="pct"/>
          </w:tcPr>
          <w:p w14:paraId="7CE25435" w14:textId="25EA4E94" w:rsidR="00EB614A" w:rsidRPr="005608B1" w:rsidRDefault="00466013" w:rsidP="005608B1">
            <w:pPr>
              <w:pStyle w:val="011TableHeading8pt"/>
              <w:spacing w:before="40" w:line="240" w:lineRule="auto"/>
              <w:ind w:left="-57" w:right="-57"/>
              <w:rPr>
                <w:rFonts w:asciiTheme="minorHAnsi" w:hAnsiTheme="minorHAnsi" w:cstheme="minorHAnsi"/>
                <w:sz w:val="18"/>
                <w:szCs w:val="18"/>
              </w:rPr>
            </w:pPr>
            <w:r w:rsidRPr="005608B1">
              <w:rPr>
                <w:rFonts w:asciiTheme="minorHAnsi" w:hAnsiTheme="minorHAnsi" w:cstheme="minorHAnsi"/>
                <w:sz w:val="18"/>
                <w:szCs w:val="18"/>
              </w:rPr>
              <w:t>Statistical significance</w:t>
            </w:r>
          </w:p>
        </w:tc>
      </w:tr>
      <w:tr w:rsidR="0094465C" w14:paraId="33CE2723" w14:textId="77777777" w:rsidTr="00770DF1">
        <w:tc>
          <w:tcPr>
            <w:tcW w:w="1324" w:type="pct"/>
            <w:gridSpan w:val="2"/>
            <w:shd w:val="clear" w:color="auto" w:fill="F2F2F2" w:themeFill="background1" w:themeFillShade="F2"/>
          </w:tcPr>
          <w:p w14:paraId="68B41966" w14:textId="77777777" w:rsidR="0094465C" w:rsidRPr="005608B1" w:rsidRDefault="0094465C" w:rsidP="005608B1">
            <w:pPr>
              <w:pStyle w:val="031Tablesubheading8pt"/>
              <w:spacing w:line="240" w:lineRule="auto"/>
              <w:ind w:left="-57" w:right="-57"/>
              <w:rPr>
                <w:rFonts w:asciiTheme="minorHAnsi" w:hAnsiTheme="minorHAnsi" w:cstheme="minorHAnsi"/>
                <w:sz w:val="18"/>
                <w:szCs w:val="18"/>
              </w:rPr>
            </w:pPr>
            <w:r w:rsidRPr="005608B1">
              <w:rPr>
                <w:rFonts w:asciiTheme="minorHAnsi" w:hAnsiTheme="minorHAnsi" w:cstheme="minorHAnsi"/>
                <w:sz w:val="18"/>
                <w:szCs w:val="18"/>
              </w:rPr>
              <w:t>Medium term (6 months)</w:t>
            </w:r>
          </w:p>
        </w:tc>
        <w:tc>
          <w:tcPr>
            <w:tcW w:w="133" w:type="pct"/>
            <w:shd w:val="clear" w:color="auto" w:fill="F2F2F2" w:themeFill="background1" w:themeFillShade="F2"/>
          </w:tcPr>
          <w:p w14:paraId="36E01B90" w14:textId="74D69F8F" w:rsidR="0094465C" w:rsidRPr="005608B1" w:rsidRDefault="0094465C" w:rsidP="005608B1">
            <w:pPr>
              <w:pStyle w:val="031Tablesubheading8pt"/>
              <w:spacing w:line="240" w:lineRule="auto"/>
              <w:ind w:left="-57" w:right="-57"/>
              <w:rPr>
                <w:rFonts w:asciiTheme="minorHAnsi" w:hAnsiTheme="minorHAnsi" w:cstheme="minorHAnsi"/>
                <w:sz w:val="18"/>
                <w:szCs w:val="18"/>
              </w:rPr>
            </w:pPr>
          </w:p>
        </w:tc>
        <w:tc>
          <w:tcPr>
            <w:tcW w:w="0" w:type="pct"/>
            <w:shd w:val="clear" w:color="auto" w:fill="F2F2F2" w:themeFill="background1" w:themeFillShade="F2"/>
          </w:tcPr>
          <w:p w14:paraId="0D8AE719" w14:textId="0A4291CD" w:rsidR="0094465C" w:rsidRPr="005608B1" w:rsidRDefault="0094465C" w:rsidP="005608B1">
            <w:pPr>
              <w:pStyle w:val="031Tablesubheading8pt"/>
              <w:spacing w:line="240" w:lineRule="auto"/>
              <w:ind w:left="-57" w:right="-57"/>
              <w:rPr>
                <w:rFonts w:asciiTheme="minorHAnsi" w:hAnsiTheme="minorHAnsi" w:cstheme="minorHAnsi"/>
                <w:sz w:val="18"/>
                <w:szCs w:val="18"/>
              </w:rPr>
            </w:pPr>
          </w:p>
        </w:tc>
        <w:tc>
          <w:tcPr>
            <w:tcW w:w="0" w:type="pct"/>
            <w:shd w:val="clear" w:color="auto" w:fill="F2F2F2" w:themeFill="background1" w:themeFillShade="F2"/>
          </w:tcPr>
          <w:p w14:paraId="24D07516" w14:textId="77777777" w:rsidR="0094465C" w:rsidRPr="005608B1" w:rsidRDefault="0094465C" w:rsidP="005608B1">
            <w:pPr>
              <w:pStyle w:val="031Tablesubheading8pt"/>
              <w:spacing w:line="240" w:lineRule="auto"/>
              <w:ind w:left="-57" w:right="-57"/>
              <w:rPr>
                <w:rFonts w:asciiTheme="minorHAnsi" w:hAnsiTheme="minorHAnsi" w:cstheme="minorHAnsi"/>
                <w:sz w:val="18"/>
                <w:szCs w:val="18"/>
              </w:rPr>
            </w:pPr>
          </w:p>
        </w:tc>
        <w:tc>
          <w:tcPr>
            <w:tcW w:w="0" w:type="pct"/>
            <w:shd w:val="clear" w:color="auto" w:fill="F2F2F2" w:themeFill="background1" w:themeFillShade="F2"/>
          </w:tcPr>
          <w:p w14:paraId="6C28A003" w14:textId="77777777" w:rsidR="0094465C" w:rsidRPr="005608B1" w:rsidRDefault="0094465C" w:rsidP="005608B1">
            <w:pPr>
              <w:pStyle w:val="031Tablesubheading8pt"/>
              <w:spacing w:line="240" w:lineRule="auto"/>
              <w:ind w:left="-57" w:right="-57"/>
              <w:rPr>
                <w:rFonts w:asciiTheme="minorHAnsi" w:hAnsiTheme="minorHAnsi" w:cstheme="minorHAnsi"/>
                <w:sz w:val="18"/>
                <w:szCs w:val="18"/>
              </w:rPr>
            </w:pPr>
          </w:p>
        </w:tc>
        <w:tc>
          <w:tcPr>
            <w:tcW w:w="0" w:type="pct"/>
            <w:shd w:val="clear" w:color="auto" w:fill="F2F2F2" w:themeFill="background1" w:themeFillShade="F2"/>
          </w:tcPr>
          <w:p w14:paraId="7CE94D74" w14:textId="77777777" w:rsidR="0094465C" w:rsidRPr="005608B1" w:rsidRDefault="0094465C" w:rsidP="005608B1">
            <w:pPr>
              <w:pStyle w:val="031Tablesubheading8pt"/>
              <w:spacing w:line="240" w:lineRule="auto"/>
              <w:ind w:left="-57" w:right="-57"/>
              <w:rPr>
                <w:rFonts w:asciiTheme="minorHAnsi" w:hAnsiTheme="minorHAnsi" w:cstheme="minorHAnsi"/>
                <w:sz w:val="18"/>
                <w:szCs w:val="18"/>
              </w:rPr>
            </w:pPr>
          </w:p>
        </w:tc>
      </w:tr>
      <w:tr w:rsidR="008C03F2" w14:paraId="25E1BBEB" w14:textId="77777777" w:rsidTr="00A87E9F">
        <w:tc>
          <w:tcPr>
            <w:tcW w:w="862" w:type="pct"/>
            <w:tcBorders>
              <w:bottom w:val="nil"/>
            </w:tcBorders>
          </w:tcPr>
          <w:p w14:paraId="06C04342" w14:textId="6E1AE881" w:rsidR="006D5EA3" w:rsidRPr="005608B1" w:rsidRDefault="006D5EA3" w:rsidP="00A87E9F">
            <w:pPr>
              <w:pStyle w:val="051Tabletext228pt"/>
              <w:keepNext/>
              <w:ind w:left="-57" w:right="-57"/>
              <w:rPr>
                <w:rFonts w:asciiTheme="minorHAnsi" w:hAnsiTheme="minorHAnsi" w:cstheme="minorHAnsi"/>
                <w:sz w:val="18"/>
                <w:szCs w:val="18"/>
              </w:rPr>
            </w:pPr>
            <w:r w:rsidRPr="005608B1">
              <w:rPr>
                <w:rFonts w:asciiTheme="minorHAnsi" w:hAnsiTheme="minorHAnsi" w:cstheme="minorHAnsi"/>
                <w:sz w:val="18"/>
                <w:szCs w:val="18"/>
              </w:rPr>
              <w:t xml:space="preserve">Pain intensity (mean </w:t>
            </w:r>
            <w:r w:rsidR="00777FBC" w:rsidRPr="005608B1">
              <w:rPr>
                <w:rFonts w:asciiTheme="minorHAnsi" w:hAnsiTheme="minorHAnsi" w:cstheme="minorHAnsi"/>
                <w:sz w:val="18"/>
                <w:szCs w:val="18"/>
              </w:rPr>
              <w:t>change</w:t>
            </w:r>
            <w:r w:rsidR="005C1CF8" w:rsidRPr="005608B1">
              <w:rPr>
                <w:rFonts w:asciiTheme="minorHAnsi" w:hAnsiTheme="minorHAnsi" w:cstheme="minorHAnsi"/>
                <w:sz w:val="18"/>
                <w:szCs w:val="18"/>
              </w:rPr>
              <w:t xml:space="preserve"> baseline to follow-up</w:t>
            </w:r>
            <w:r w:rsidRPr="005608B1">
              <w:rPr>
                <w:rFonts w:asciiTheme="minorHAnsi" w:hAnsiTheme="minorHAnsi" w:cstheme="minorHAnsi"/>
                <w:sz w:val="18"/>
                <w:szCs w:val="18"/>
              </w:rPr>
              <w:t>)</w:t>
            </w:r>
            <w:r w:rsidR="00122C61" w:rsidRPr="005608B1">
              <w:rPr>
                <w:rFonts w:asciiTheme="minorHAnsi" w:hAnsiTheme="minorHAnsi" w:cstheme="minorHAnsi"/>
                <w:sz w:val="18"/>
                <w:szCs w:val="18"/>
                <w:vertAlign w:val="superscript"/>
              </w:rPr>
              <w:t>a</w:t>
            </w:r>
          </w:p>
        </w:tc>
        <w:tc>
          <w:tcPr>
            <w:tcW w:w="595" w:type="pct"/>
            <w:gridSpan w:val="2"/>
            <w:tcBorders>
              <w:bottom w:val="dotted" w:sz="4" w:space="0" w:color="auto"/>
            </w:tcBorders>
          </w:tcPr>
          <w:p w14:paraId="0C249651" w14:textId="02DD0B9C" w:rsidR="008778A2" w:rsidRPr="005608B1" w:rsidRDefault="001363EB" w:rsidP="00A87E9F">
            <w:pPr>
              <w:pStyle w:val="051Tabletext228pt"/>
              <w:keepNext/>
              <w:ind w:left="-57" w:right="-57"/>
              <w:rPr>
                <w:rFonts w:asciiTheme="minorHAnsi" w:hAnsiTheme="minorHAnsi" w:cstheme="minorHAnsi"/>
                <w:sz w:val="18"/>
                <w:szCs w:val="18"/>
              </w:rPr>
            </w:pPr>
            <w:r>
              <w:rPr>
                <w:rFonts w:asciiTheme="minorHAnsi" w:hAnsiTheme="minorHAnsi" w:cstheme="minorHAnsi"/>
                <w:sz w:val="18"/>
                <w:szCs w:val="18"/>
              </w:rPr>
              <w:t>SURF (</w:t>
            </w:r>
            <w:proofErr w:type="spellStart"/>
            <w:r w:rsidR="00245977" w:rsidRPr="005608B1">
              <w:rPr>
                <w:rFonts w:asciiTheme="minorHAnsi" w:hAnsiTheme="minorHAnsi" w:cstheme="minorHAnsi"/>
                <w:sz w:val="18"/>
                <w:szCs w:val="18"/>
              </w:rPr>
              <w:t>Bolash</w:t>
            </w:r>
            <w:proofErr w:type="spellEnd"/>
            <w:r>
              <w:rPr>
                <w:rFonts w:asciiTheme="minorHAnsi" w:hAnsiTheme="minorHAnsi" w:cstheme="minorHAnsi"/>
                <w:sz w:val="18"/>
                <w:szCs w:val="18"/>
              </w:rPr>
              <w:t>,</w:t>
            </w:r>
            <w:r w:rsidRPr="005608B1">
              <w:rPr>
                <w:rFonts w:asciiTheme="minorHAnsi" w:hAnsiTheme="minorHAnsi" w:cstheme="minorHAnsi"/>
                <w:sz w:val="18"/>
                <w:szCs w:val="18"/>
              </w:rPr>
              <w:t xml:space="preserve"> </w:t>
            </w:r>
            <w:r w:rsidR="00245977" w:rsidRPr="005608B1">
              <w:rPr>
                <w:rFonts w:asciiTheme="minorHAnsi" w:hAnsiTheme="minorHAnsi" w:cstheme="minorHAnsi"/>
                <w:sz w:val="18"/>
                <w:szCs w:val="18"/>
              </w:rPr>
              <w:t>2019)</w:t>
            </w:r>
          </w:p>
        </w:tc>
        <w:tc>
          <w:tcPr>
            <w:tcW w:w="948" w:type="pct"/>
            <w:tcBorders>
              <w:bottom w:val="dotted" w:sz="4" w:space="0" w:color="auto"/>
            </w:tcBorders>
          </w:tcPr>
          <w:p w14:paraId="53AA55B9" w14:textId="2BA1F8DD" w:rsidR="001363EB" w:rsidRPr="005608B1" w:rsidRDefault="00197529" w:rsidP="001363EB">
            <w:pPr>
              <w:pStyle w:val="051Tabletext228pt"/>
              <w:keepNext/>
              <w:ind w:left="-57" w:right="-57"/>
              <w:rPr>
                <w:rFonts w:asciiTheme="minorHAnsi" w:eastAsia="Calibri" w:hAnsiTheme="minorHAnsi" w:cstheme="minorHAnsi"/>
                <w:sz w:val="18"/>
                <w:szCs w:val="18"/>
              </w:rPr>
            </w:pPr>
            <w:r>
              <w:rPr>
                <w:rFonts w:asciiTheme="minorHAnsi" w:eastAsia="Calibri" w:hAnsiTheme="minorHAnsi" w:cstheme="minorHAnsi"/>
                <w:sz w:val="18"/>
                <w:szCs w:val="18"/>
              </w:rPr>
              <w:t>-</w:t>
            </w:r>
            <w:r w:rsidR="001363EB" w:rsidRPr="00B54CFB">
              <w:rPr>
                <w:rFonts w:asciiTheme="minorHAnsi" w:eastAsia="Calibri" w:hAnsiTheme="minorHAnsi" w:cstheme="minorHAnsi"/>
                <w:sz w:val="18"/>
                <w:szCs w:val="18"/>
              </w:rPr>
              <w:t>58.0</w:t>
            </w:r>
            <w:r w:rsidR="001363EB" w:rsidRPr="005608B1">
              <w:rPr>
                <w:rFonts w:asciiTheme="minorHAnsi" w:eastAsia="Calibri" w:hAnsiTheme="minorHAnsi" w:cstheme="minorHAnsi"/>
                <w:sz w:val="18"/>
                <w:szCs w:val="18"/>
              </w:rPr>
              <w:t>±</w:t>
            </w:r>
            <w:r w:rsidR="001363EB" w:rsidRPr="00B54CFB">
              <w:rPr>
                <w:rFonts w:asciiTheme="minorHAnsi" w:eastAsia="Calibri" w:hAnsiTheme="minorHAnsi" w:cstheme="minorHAnsi"/>
                <w:sz w:val="18"/>
                <w:szCs w:val="18"/>
              </w:rPr>
              <w:t>1.0</w:t>
            </w:r>
            <w:r w:rsidR="001363EB" w:rsidRPr="005608B1">
              <w:rPr>
                <w:rFonts w:asciiTheme="minorHAnsi" w:eastAsia="Calibri" w:hAnsiTheme="minorHAnsi" w:cstheme="minorHAnsi"/>
                <w:sz w:val="18"/>
                <w:szCs w:val="18"/>
              </w:rPr>
              <w:t xml:space="preserve"> mm (back)</w:t>
            </w:r>
            <w:r w:rsidR="00163797">
              <w:rPr>
                <w:rFonts w:asciiTheme="minorHAnsi" w:eastAsia="Calibri" w:hAnsiTheme="minorHAnsi" w:cstheme="minorHAnsi"/>
                <w:sz w:val="18"/>
                <w:szCs w:val="18"/>
              </w:rPr>
              <w:br/>
            </w:r>
          </w:p>
          <w:p w14:paraId="18E0F0C7" w14:textId="2B359667" w:rsidR="006D5EA3" w:rsidRPr="005608B1" w:rsidRDefault="00197529" w:rsidP="00A87E9F">
            <w:pPr>
              <w:pStyle w:val="051Tabletext228pt"/>
              <w:keepNext/>
              <w:ind w:left="-57" w:right="-57"/>
              <w:rPr>
                <w:rFonts w:asciiTheme="minorHAnsi" w:hAnsiTheme="minorHAnsi" w:cstheme="minorHAnsi"/>
                <w:sz w:val="18"/>
                <w:szCs w:val="18"/>
              </w:rPr>
            </w:pPr>
            <w:r>
              <w:rPr>
                <w:rFonts w:asciiTheme="minorHAnsi" w:hAnsiTheme="minorHAnsi" w:cstheme="minorHAnsi"/>
                <w:sz w:val="18"/>
                <w:szCs w:val="18"/>
              </w:rPr>
              <w:t>-</w:t>
            </w:r>
            <w:r w:rsidR="001363EB" w:rsidRPr="00300E66">
              <w:rPr>
                <w:rFonts w:asciiTheme="minorHAnsi" w:hAnsiTheme="minorHAnsi" w:cstheme="minorHAnsi"/>
                <w:sz w:val="18"/>
                <w:szCs w:val="18"/>
              </w:rPr>
              <w:t>41.8</w:t>
            </w:r>
            <w:r w:rsidR="001363EB" w:rsidRPr="005608B1">
              <w:rPr>
                <w:rFonts w:asciiTheme="minorHAnsi" w:eastAsia="Calibri" w:hAnsiTheme="minorHAnsi" w:cstheme="minorHAnsi"/>
                <w:sz w:val="18"/>
                <w:szCs w:val="18"/>
              </w:rPr>
              <w:t>±</w:t>
            </w:r>
            <w:r w:rsidR="001363EB" w:rsidRPr="00300E66">
              <w:rPr>
                <w:rFonts w:asciiTheme="minorHAnsi" w:hAnsiTheme="minorHAnsi" w:cstheme="minorHAnsi"/>
                <w:sz w:val="18"/>
                <w:szCs w:val="18"/>
              </w:rPr>
              <w:t>-</w:t>
            </w:r>
            <w:r w:rsidR="002C337C" w:rsidRPr="005608B1">
              <w:rPr>
                <w:rFonts w:asciiTheme="minorHAnsi" w:hAnsiTheme="minorHAnsi" w:cstheme="minorHAnsi"/>
                <w:sz w:val="18"/>
                <w:szCs w:val="18"/>
              </w:rPr>
              <w:t xml:space="preserve">13.1 </w:t>
            </w:r>
            <w:r w:rsidR="005608B1" w:rsidRPr="005608B1">
              <w:rPr>
                <w:rFonts w:asciiTheme="minorHAnsi" w:hAnsiTheme="minorHAnsi" w:cstheme="minorHAnsi"/>
                <w:sz w:val="18"/>
                <w:szCs w:val="18"/>
              </w:rPr>
              <w:t xml:space="preserve">mm </w:t>
            </w:r>
            <w:r w:rsidR="002C337C" w:rsidRPr="005608B1">
              <w:rPr>
                <w:rFonts w:asciiTheme="minorHAnsi" w:hAnsiTheme="minorHAnsi" w:cstheme="minorHAnsi"/>
                <w:sz w:val="18"/>
                <w:szCs w:val="18"/>
              </w:rPr>
              <w:t>(leg)</w:t>
            </w:r>
          </w:p>
        </w:tc>
        <w:tc>
          <w:tcPr>
            <w:tcW w:w="986" w:type="pct"/>
            <w:tcBorders>
              <w:bottom w:val="dotted" w:sz="4" w:space="0" w:color="auto"/>
            </w:tcBorders>
          </w:tcPr>
          <w:p w14:paraId="7998A02B" w14:textId="64FF567B" w:rsidR="001363EB" w:rsidRPr="00CE3F64" w:rsidRDefault="001363EB" w:rsidP="001363EB">
            <w:pPr>
              <w:pStyle w:val="051Tabletext228pt"/>
              <w:keepNext/>
              <w:ind w:left="-57" w:right="-57"/>
              <w:rPr>
                <w:rFonts w:asciiTheme="minorHAnsi" w:eastAsia="Calibri" w:hAnsiTheme="minorHAnsi" w:cstheme="minorHAnsi"/>
                <w:sz w:val="18"/>
                <w:szCs w:val="18"/>
              </w:rPr>
            </w:pPr>
            <w:r>
              <w:rPr>
                <w:rFonts w:asciiTheme="minorHAnsi" w:hAnsiTheme="minorHAnsi" w:cstheme="minorHAnsi"/>
                <w:sz w:val="18"/>
                <w:szCs w:val="18"/>
              </w:rPr>
              <w:t>–</w:t>
            </w:r>
            <w:r w:rsidRPr="007403F2">
              <w:rPr>
                <w:rFonts w:asciiTheme="minorHAnsi" w:hAnsiTheme="minorHAnsi" w:cstheme="minorHAnsi"/>
                <w:sz w:val="18"/>
                <w:szCs w:val="18"/>
              </w:rPr>
              <w:t>49.7</w:t>
            </w:r>
            <w:r w:rsidRPr="005608B1">
              <w:rPr>
                <w:rFonts w:asciiTheme="minorHAnsi" w:hAnsiTheme="minorHAnsi" w:cstheme="minorHAnsi"/>
                <w:sz w:val="18"/>
                <w:szCs w:val="18"/>
              </w:rPr>
              <w:t>±</w:t>
            </w:r>
            <w:r w:rsidRPr="007403F2">
              <w:rPr>
                <w:rFonts w:asciiTheme="minorHAnsi" w:hAnsiTheme="minorHAnsi" w:cstheme="minorHAnsi"/>
                <w:sz w:val="18"/>
                <w:szCs w:val="18"/>
              </w:rPr>
              <w:t>13.3</w:t>
            </w:r>
            <w:r w:rsidRPr="005608B1">
              <w:rPr>
                <w:rFonts w:asciiTheme="minorHAnsi" w:hAnsiTheme="minorHAnsi" w:cstheme="minorHAnsi"/>
                <w:sz w:val="18"/>
                <w:szCs w:val="18"/>
              </w:rPr>
              <w:t xml:space="preserve"> mm (back)</w:t>
            </w:r>
            <w:r w:rsidR="00163797">
              <w:rPr>
                <w:rFonts w:asciiTheme="minorHAnsi" w:hAnsiTheme="minorHAnsi" w:cstheme="minorHAnsi"/>
                <w:sz w:val="18"/>
                <w:szCs w:val="18"/>
              </w:rPr>
              <w:br/>
            </w:r>
          </w:p>
          <w:p w14:paraId="0881C5CF" w14:textId="13CBE603" w:rsidR="006D5EA3" w:rsidRPr="005608B1" w:rsidRDefault="001363EB" w:rsidP="00A87E9F">
            <w:pPr>
              <w:pStyle w:val="051Tabletext228pt"/>
              <w:keepNext/>
              <w:ind w:left="-57" w:right="-57"/>
              <w:rPr>
                <w:rFonts w:asciiTheme="minorHAnsi" w:hAnsiTheme="minorHAnsi" w:cstheme="minorHAnsi"/>
                <w:sz w:val="18"/>
                <w:szCs w:val="18"/>
              </w:rPr>
            </w:pPr>
            <w:r>
              <w:rPr>
                <w:rFonts w:asciiTheme="minorHAnsi" w:hAnsiTheme="minorHAnsi" w:cstheme="minorHAnsi"/>
                <w:sz w:val="18"/>
                <w:szCs w:val="18"/>
              </w:rPr>
              <w:t>–</w:t>
            </w:r>
            <w:r w:rsidRPr="005C239B">
              <w:rPr>
                <w:rFonts w:asciiTheme="minorHAnsi" w:hAnsiTheme="minorHAnsi" w:cstheme="minorHAnsi"/>
                <w:sz w:val="18"/>
                <w:szCs w:val="18"/>
              </w:rPr>
              <w:t>39.2</w:t>
            </w:r>
            <w:r w:rsidRPr="005608B1">
              <w:rPr>
                <w:rFonts w:asciiTheme="minorHAnsi" w:hAnsiTheme="minorHAnsi" w:cstheme="minorHAnsi"/>
                <w:sz w:val="18"/>
                <w:szCs w:val="18"/>
              </w:rPr>
              <w:t>±</w:t>
            </w:r>
            <w:r w:rsidRPr="005C239B">
              <w:rPr>
                <w:rFonts w:asciiTheme="minorHAnsi" w:hAnsiTheme="minorHAnsi" w:cstheme="minorHAnsi"/>
                <w:sz w:val="18"/>
                <w:szCs w:val="18"/>
              </w:rPr>
              <w:t>0.3</w:t>
            </w:r>
            <w:r w:rsidR="00606D5F" w:rsidRPr="005608B1">
              <w:rPr>
                <w:rFonts w:asciiTheme="minorHAnsi" w:hAnsiTheme="minorHAnsi" w:cstheme="minorHAnsi"/>
                <w:sz w:val="18"/>
                <w:szCs w:val="18"/>
              </w:rPr>
              <w:t xml:space="preserve"> </w:t>
            </w:r>
            <w:r w:rsidR="005608B1" w:rsidRPr="005608B1">
              <w:rPr>
                <w:rFonts w:asciiTheme="minorHAnsi" w:hAnsiTheme="minorHAnsi" w:cstheme="minorHAnsi"/>
                <w:sz w:val="18"/>
                <w:szCs w:val="18"/>
              </w:rPr>
              <w:t xml:space="preserve">mm </w:t>
            </w:r>
            <w:r w:rsidR="00606D5F" w:rsidRPr="005608B1">
              <w:rPr>
                <w:rFonts w:asciiTheme="minorHAnsi" w:hAnsiTheme="minorHAnsi" w:cstheme="minorHAnsi"/>
                <w:sz w:val="18"/>
                <w:szCs w:val="18"/>
              </w:rPr>
              <w:t>(leg)</w:t>
            </w:r>
          </w:p>
        </w:tc>
        <w:tc>
          <w:tcPr>
            <w:tcW w:w="949" w:type="pct"/>
            <w:tcBorders>
              <w:bottom w:val="dotted" w:sz="4" w:space="0" w:color="auto"/>
            </w:tcBorders>
          </w:tcPr>
          <w:p w14:paraId="1AA55716" w14:textId="77777777" w:rsidR="001363EB" w:rsidRPr="005608B1" w:rsidRDefault="001363EB" w:rsidP="001363EB">
            <w:pPr>
              <w:pStyle w:val="051Tabletext228pt"/>
              <w:keepNex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Pr>
                <w:rFonts w:asciiTheme="minorHAnsi" w:hAnsiTheme="minorHAnsi" w:cstheme="minorHAnsi"/>
                <w:sz w:val="18"/>
                <w:szCs w:val="18"/>
              </w:rPr>
              <w:t>–8.3</w:t>
            </w:r>
            <w:r w:rsidRPr="005608B1">
              <w:rPr>
                <w:rFonts w:asciiTheme="minorHAnsi" w:hAnsiTheme="minorHAnsi" w:cstheme="minorHAnsi"/>
                <w:sz w:val="18"/>
                <w:szCs w:val="18"/>
              </w:rPr>
              <w:t xml:space="preserve"> (95% CI Not estimable) (back)</w:t>
            </w:r>
          </w:p>
          <w:p w14:paraId="758E3C8F" w14:textId="1E119389" w:rsidR="006D5EA3" w:rsidRPr="005608B1" w:rsidRDefault="00EB614A" w:rsidP="00A87E9F">
            <w:pPr>
              <w:pStyle w:val="051Tabletext228pt"/>
              <w:keepNex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sidR="001363EB">
              <w:rPr>
                <w:rFonts w:asciiTheme="minorHAnsi" w:hAnsiTheme="minorHAnsi" w:cstheme="minorHAnsi"/>
                <w:sz w:val="18"/>
                <w:szCs w:val="18"/>
              </w:rPr>
              <w:t>–2.6</w:t>
            </w:r>
            <w:r w:rsidRPr="005608B1">
              <w:rPr>
                <w:rFonts w:asciiTheme="minorHAnsi" w:hAnsiTheme="minorHAnsi" w:cstheme="minorHAnsi"/>
                <w:sz w:val="18"/>
                <w:szCs w:val="18"/>
              </w:rPr>
              <w:t xml:space="preserve"> (95% CI Not estimable) (leg)</w:t>
            </w:r>
          </w:p>
        </w:tc>
        <w:tc>
          <w:tcPr>
            <w:tcW w:w="660" w:type="pct"/>
            <w:tcBorders>
              <w:bottom w:val="dotted" w:sz="4" w:space="0" w:color="auto"/>
            </w:tcBorders>
          </w:tcPr>
          <w:p w14:paraId="0AC84B69" w14:textId="7A9D5B14" w:rsidR="00EB614A" w:rsidRPr="005608B1" w:rsidRDefault="005C445D" w:rsidP="00A87E9F">
            <w:pPr>
              <w:pStyle w:val="051Tabletext228pt"/>
              <w:keepNext/>
              <w:ind w:left="-57" w:right="-57"/>
              <w:rPr>
                <w:rFonts w:asciiTheme="minorHAnsi" w:hAnsiTheme="minorHAnsi" w:cstheme="minorHAnsi"/>
                <w:sz w:val="18"/>
                <w:szCs w:val="18"/>
              </w:rPr>
            </w:pPr>
            <w:r w:rsidRPr="005608B1">
              <w:rPr>
                <w:rFonts w:asciiTheme="minorHAnsi" w:hAnsiTheme="minorHAnsi" w:cstheme="minorHAnsi"/>
                <w:sz w:val="18"/>
                <w:szCs w:val="18"/>
              </w:rPr>
              <w:t>NS</w:t>
            </w:r>
          </w:p>
        </w:tc>
      </w:tr>
      <w:tr w:rsidR="008E5D14" w14:paraId="79E76D1A" w14:textId="77777777" w:rsidTr="00A87E9F">
        <w:tc>
          <w:tcPr>
            <w:tcW w:w="862" w:type="pct"/>
            <w:tcBorders>
              <w:top w:val="nil"/>
              <w:bottom w:val="nil"/>
            </w:tcBorders>
          </w:tcPr>
          <w:p w14:paraId="2D778D1C" w14:textId="425EC91B" w:rsidR="008E5D14" w:rsidRPr="005608B1" w:rsidRDefault="008E5D14" w:rsidP="008E5D14">
            <w:pPr>
              <w:pStyle w:val="051Tabletext228pt"/>
              <w:ind w:left="-57" w:right="-57"/>
              <w:rPr>
                <w:rFonts w:asciiTheme="minorHAnsi" w:hAnsiTheme="minorHAnsi" w:cstheme="minorHAnsi"/>
                <w:sz w:val="18"/>
                <w:szCs w:val="18"/>
              </w:rPr>
            </w:pPr>
          </w:p>
        </w:tc>
        <w:tc>
          <w:tcPr>
            <w:tcW w:w="595" w:type="pct"/>
            <w:gridSpan w:val="2"/>
            <w:tcBorders>
              <w:top w:val="dotted" w:sz="4" w:space="0" w:color="auto"/>
              <w:bottom w:val="dotted" w:sz="4" w:space="0" w:color="auto"/>
            </w:tcBorders>
          </w:tcPr>
          <w:p w14:paraId="5E6D3BF1" w14:textId="43833AB2" w:rsidR="008E5D14" w:rsidRPr="005608B1" w:rsidRDefault="008E5D14" w:rsidP="008E5D14">
            <w:pPr>
              <w:pStyle w:val="051Tabletext228pt"/>
              <w:ind w:left="-57" w:right="-57"/>
              <w:rPr>
                <w:rFonts w:asciiTheme="minorHAnsi" w:hAnsiTheme="minorHAnsi" w:cstheme="minorHAnsi"/>
                <w:sz w:val="18"/>
                <w:szCs w:val="18"/>
              </w:rPr>
            </w:pPr>
            <w:proofErr w:type="spellStart"/>
            <w:r w:rsidRPr="005608B1">
              <w:rPr>
                <w:rFonts w:asciiTheme="minorHAnsi" w:hAnsiTheme="minorHAnsi" w:cstheme="minorHAnsi"/>
                <w:sz w:val="18"/>
                <w:szCs w:val="18"/>
              </w:rPr>
              <w:t>Canós-Verdecho</w:t>
            </w:r>
            <w:proofErr w:type="spellEnd"/>
            <w:r w:rsidRPr="005608B1">
              <w:rPr>
                <w:rFonts w:asciiTheme="minorHAnsi" w:hAnsiTheme="minorHAnsi" w:cstheme="minorHAnsi"/>
                <w:sz w:val="18"/>
                <w:szCs w:val="18"/>
              </w:rPr>
              <w:t xml:space="preserve"> (</w:t>
            </w:r>
            <w:r w:rsidR="008E1053" w:rsidRPr="005608B1">
              <w:rPr>
                <w:rFonts w:asciiTheme="minorHAnsi" w:hAnsiTheme="minorHAnsi" w:cstheme="minorHAnsi"/>
                <w:sz w:val="18"/>
                <w:szCs w:val="18"/>
              </w:rPr>
              <w:t>202</w:t>
            </w:r>
            <w:r w:rsidR="005D5FD9">
              <w:rPr>
                <w:rFonts w:asciiTheme="minorHAnsi" w:hAnsiTheme="minorHAnsi" w:cstheme="minorHAnsi"/>
                <w:sz w:val="18"/>
                <w:szCs w:val="18"/>
              </w:rPr>
              <w:t>1</w:t>
            </w:r>
            <w:r w:rsidRPr="005608B1">
              <w:rPr>
                <w:rFonts w:asciiTheme="minorHAnsi" w:hAnsiTheme="minorHAnsi" w:cstheme="minorHAnsi"/>
                <w:sz w:val="18"/>
                <w:szCs w:val="18"/>
              </w:rPr>
              <w:t>)</w:t>
            </w:r>
          </w:p>
        </w:tc>
        <w:tc>
          <w:tcPr>
            <w:tcW w:w="948" w:type="pct"/>
            <w:tcBorders>
              <w:top w:val="dotted" w:sz="4" w:space="0" w:color="auto"/>
              <w:bottom w:val="dotted" w:sz="4" w:space="0" w:color="auto"/>
            </w:tcBorders>
          </w:tcPr>
          <w:p w14:paraId="1FA1856A" w14:textId="6BEE5C89" w:rsidR="008E5D14" w:rsidRPr="005608B1" w:rsidRDefault="005100CB" w:rsidP="008E5D14">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008E5D14" w:rsidRPr="005608B1">
              <w:rPr>
                <w:rFonts w:asciiTheme="minorHAnsi" w:hAnsiTheme="minorHAnsi" w:cstheme="minorHAnsi"/>
                <w:sz w:val="18"/>
                <w:szCs w:val="18"/>
              </w:rPr>
              <w:t>54 (1</w:t>
            </w:r>
            <w:r w:rsidR="008E5D14">
              <w:rPr>
                <w:rFonts w:asciiTheme="minorHAnsi" w:hAnsiTheme="minorHAnsi" w:cstheme="minorHAnsi"/>
                <w:sz w:val="18"/>
                <w:szCs w:val="18"/>
              </w:rPr>
              <w:t>.</w:t>
            </w:r>
            <w:r w:rsidR="008E5D14" w:rsidRPr="005608B1">
              <w:rPr>
                <w:rFonts w:asciiTheme="minorHAnsi" w:hAnsiTheme="minorHAnsi" w:cstheme="minorHAnsi"/>
                <w:sz w:val="18"/>
                <w:szCs w:val="18"/>
              </w:rPr>
              <w:t>3 SEM)</w:t>
            </w:r>
          </w:p>
        </w:tc>
        <w:tc>
          <w:tcPr>
            <w:tcW w:w="986" w:type="pct"/>
            <w:tcBorders>
              <w:top w:val="dotted" w:sz="4" w:space="0" w:color="auto"/>
              <w:bottom w:val="dotted" w:sz="4" w:space="0" w:color="auto"/>
            </w:tcBorders>
          </w:tcPr>
          <w:p w14:paraId="1287E676" w14:textId="4C2D5CB9" w:rsidR="008E5D14" w:rsidRPr="005608B1" w:rsidRDefault="005100CB" w:rsidP="008E5D14">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008E5D14" w:rsidRPr="005608B1">
              <w:rPr>
                <w:rFonts w:asciiTheme="minorHAnsi" w:hAnsiTheme="minorHAnsi" w:cstheme="minorHAnsi"/>
                <w:sz w:val="18"/>
                <w:szCs w:val="18"/>
              </w:rPr>
              <w:t>56 (1</w:t>
            </w:r>
            <w:r w:rsidR="008E5D14">
              <w:rPr>
                <w:rFonts w:asciiTheme="minorHAnsi" w:hAnsiTheme="minorHAnsi" w:cstheme="minorHAnsi"/>
                <w:sz w:val="18"/>
                <w:szCs w:val="18"/>
              </w:rPr>
              <w:t>.</w:t>
            </w:r>
            <w:r w:rsidR="008E5D14" w:rsidRPr="005608B1">
              <w:rPr>
                <w:rFonts w:asciiTheme="minorHAnsi" w:hAnsiTheme="minorHAnsi" w:cstheme="minorHAnsi"/>
                <w:sz w:val="18"/>
                <w:szCs w:val="18"/>
              </w:rPr>
              <w:t>1 SEM)</w:t>
            </w:r>
          </w:p>
        </w:tc>
        <w:tc>
          <w:tcPr>
            <w:tcW w:w="949" w:type="pct"/>
            <w:tcBorders>
              <w:top w:val="dotted" w:sz="4" w:space="0" w:color="auto"/>
              <w:bottom w:val="dotted" w:sz="4" w:space="0" w:color="auto"/>
            </w:tcBorders>
          </w:tcPr>
          <w:p w14:paraId="02A10421" w14:textId="22A3B171" w:rsidR="008E5D14" w:rsidRPr="005608B1" w:rsidRDefault="008E5D14" w:rsidP="008E5D1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MD 2</w:t>
            </w:r>
            <w:r w:rsidR="005100CB">
              <w:rPr>
                <w:rFonts w:asciiTheme="minorHAnsi" w:hAnsiTheme="minorHAnsi" w:cstheme="minorHAnsi"/>
                <w:sz w:val="18"/>
                <w:szCs w:val="18"/>
              </w:rPr>
              <w:t>0</w:t>
            </w:r>
            <w:r w:rsidRPr="005608B1">
              <w:rPr>
                <w:rFonts w:asciiTheme="minorHAnsi" w:hAnsiTheme="minorHAnsi" w:cstheme="minorHAnsi"/>
                <w:sz w:val="18"/>
                <w:szCs w:val="18"/>
              </w:rPr>
              <w:t xml:space="preserve"> (NR)</w:t>
            </w:r>
          </w:p>
        </w:tc>
        <w:tc>
          <w:tcPr>
            <w:tcW w:w="660" w:type="pct"/>
            <w:tcBorders>
              <w:top w:val="dotted" w:sz="4" w:space="0" w:color="auto"/>
              <w:bottom w:val="dotted" w:sz="4" w:space="0" w:color="auto"/>
            </w:tcBorders>
          </w:tcPr>
          <w:p w14:paraId="185ED8DC" w14:textId="0F3C09B7" w:rsidR="008E5D14" w:rsidRPr="005608B1" w:rsidRDefault="008E5D14" w:rsidP="008E5D1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NR</w:t>
            </w:r>
          </w:p>
        </w:tc>
      </w:tr>
      <w:tr w:rsidR="008E5D14" w14:paraId="36B71F7F" w14:textId="77777777" w:rsidTr="00953D36">
        <w:tc>
          <w:tcPr>
            <w:tcW w:w="862" w:type="pct"/>
            <w:tcBorders>
              <w:top w:val="nil"/>
            </w:tcBorders>
          </w:tcPr>
          <w:p w14:paraId="5120E955" w14:textId="77777777" w:rsidR="008E5D14" w:rsidRPr="005608B1" w:rsidRDefault="008E5D14" w:rsidP="008E5D14">
            <w:pPr>
              <w:pStyle w:val="051Tabletext228pt"/>
              <w:ind w:left="-57" w:right="-57"/>
              <w:rPr>
                <w:rFonts w:asciiTheme="minorHAnsi" w:hAnsiTheme="minorHAnsi" w:cstheme="minorHAnsi"/>
                <w:sz w:val="18"/>
                <w:szCs w:val="18"/>
              </w:rPr>
            </w:pPr>
          </w:p>
        </w:tc>
        <w:tc>
          <w:tcPr>
            <w:tcW w:w="595" w:type="pct"/>
            <w:gridSpan w:val="2"/>
            <w:tcBorders>
              <w:top w:val="dotted" w:sz="4" w:space="0" w:color="auto"/>
            </w:tcBorders>
          </w:tcPr>
          <w:p w14:paraId="76A44A2D" w14:textId="652871D6" w:rsidR="008E5D14" w:rsidRPr="005608B1" w:rsidRDefault="008E5D14" w:rsidP="008E5D1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De Andres (2017)</w:t>
            </w:r>
          </w:p>
        </w:tc>
        <w:tc>
          <w:tcPr>
            <w:tcW w:w="948" w:type="pct"/>
            <w:tcBorders>
              <w:top w:val="dotted" w:sz="4" w:space="0" w:color="auto"/>
            </w:tcBorders>
          </w:tcPr>
          <w:p w14:paraId="17BE9A8F" w14:textId="78D000EF" w:rsidR="008E5D14" w:rsidRPr="005608B1" w:rsidRDefault="008E5D14" w:rsidP="008E5D14">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Pr="005608B1">
              <w:rPr>
                <w:rFonts w:asciiTheme="minorHAnsi" w:hAnsiTheme="minorHAnsi" w:cstheme="minorHAnsi"/>
                <w:sz w:val="18"/>
                <w:szCs w:val="18"/>
              </w:rPr>
              <w:t>19</w:t>
            </w:r>
            <w:r w:rsidR="005100CB">
              <w:rPr>
                <w:rFonts w:asciiTheme="minorHAnsi" w:hAnsiTheme="minorHAnsi" w:cstheme="minorHAnsi"/>
                <w:sz w:val="18"/>
                <w:szCs w:val="18"/>
              </w:rPr>
              <w:t>.</w:t>
            </w:r>
            <w:r w:rsidRPr="005608B1">
              <w:rPr>
                <w:rFonts w:asciiTheme="minorHAnsi" w:hAnsiTheme="minorHAnsi" w:cstheme="minorHAnsi"/>
                <w:sz w:val="18"/>
                <w:szCs w:val="18"/>
              </w:rPr>
              <w:t>1 (2</w:t>
            </w:r>
            <w:r>
              <w:rPr>
                <w:rFonts w:asciiTheme="minorHAnsi" w:hAnsiTheme="minorHAnsi" w:cstheme="minorHAnsi"/>
                <w:sz w:val="18"/>
                <w:szCs w:val="18"/>
              </w:rPr>
              <w:t>.</w:t>
            </w:r>
            <w:r w:rsidRPr="005608B1">
              <w:rPr>
                <w:rFonts w:asciiTheme="minorHAnsi" w:hAnsiTheme="minorHAnsi" w:cstheme="minorHAnsi"/>
                <w:sz w:val="18"/>
                <w:szCs w:val="18"/>
              </w:rPr>
              <w:t>09 SD)</w:t>
            </w:r>
          </w:p>
        </w:tc>
        <w:tc>
          <w:tcPr>
            <w:tcW w:w="986" w:type="pct"/>
            <w:tcBorders>
              <w:top w:val="dotted" w:sz="4" w:space="0" w:color="auto"/>
            </w:tcBorders>
          </w:tcPr>
          <w:p w14:paraId="063C1D52" w14:textId="22CCF193" w:rsidR="008E5D14" w:rsidRPr="005608B1" w:rsidRDefault="008E5D14" w:rsidP="008E5D14">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Pr="005608B1">
              <w:rPr>
                <w:rFonts w:asciiTheme="minorHAnsi" w:hAnsiTheme="minorHAnsi" w:cstheme="minorHAnsi"/>
                <w:sz w:val="18"/>
                <w:szCs w:val="18"/>
              </w:rPr>
              <w:t>16</w:t>
            </w:r>
            <w:r w:rsidR="005100CB">
              <w:rPr>
                <w:rFonts w:asciiTheme="minorHAnsi" w:hAnsiTheme="minorHAnsi" w:cstheme="minorHAnsi"/>
                <w:sz w:val="18"/>
                <w:szCs w:val="18"/>
              </w:rPr>
              <w:t>.</w:t>
            </w:r>
            <w:r w:rsidRPr="005608B1">
              <w:rPr>
                <w:rFonts w:asciiTheme="minorHAnsi" w:hAnsiTheme="minorHAnsi" w:cstheme="minorHAnsi"/>
                <w:sz w:val="18"/>
                <w:szCs w:val="18"/>
              </w:rPr>
              <w:t>7 (2</w:t>
            </w:r>
            <w:r>
              <w:rPr>
                <w:rFonts w:asciiTheme="minorHAnsi" w:hAnsiTheme="minorHAnsi" w:cstheme="minorHAnsi"/>
                <w:sz w:val="18"/>
                <w:szCs w:val="18"/>
              </w:rPr>
              <w:t>.</w:t>
            </w:r>
            <w:r w:rsidRPr="005608B1">
              <w:rPr>
                <w:rFonts w:asciiTheme="minorHAnsi" w:hAnsiTheme="minorHAnsi" w:cstheme="minorHAnsi"/>
                <w:sz w:val="18"/>
                <w:szCs w:val="18"/>
              </w:rPr>
              <w:t>69 SD)</w:t>
            </w:r>
          </w:p>
        </w:tc>
        <w:tc>
          <w:tcPr>
            <w:tcW w:w="949" w:type="pct"/>
            <w:tcBorders>
              <w:top w:val="dotted" w:sz="4" w:space="0" w:color="auto"/>
            </w:tcBorders>
          </w:tcPr>
          <w:p w14:paraId="4B3D7D33" w14:textId="358C1165" w:rsidR="008E5D14" w:rsidRPr="005608B1" w:rsidRDefault="008E5D14" w:rsidP="008E5D1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Pr>
                <w:rFonts w:asciiTheme="minorHAnsi" w:hAnsiTheme="minorHAnsi" w:cstheme="minorHAnsi"/>
                <w:sz w:val="18"/>
                <w:szCs w:val="18"/>
              </w:rPr>
              <w:t>-</w:t>
            </w:r>
            <w:r w:rsidRPr="005608B1">
              <w:rPr>
                <w:rFonts w:asciiTheme="minorHAnsi" w:hAnsiTheme="minorHAnsi" w:cstheme="minorHAnsi"/>
                <w:sz w:val="18"/>
                <w:szCs w:val="18"/>
              </w:rPr>
              <w:t>2</w:t>
            </w:r>
            <w:r w:rsidR="005100CB">
              <w:rPr>
                <w:rFonts w:asciiTheme="minorHAnsi" w:hAnsiTheme="minorHAnsi" w:cstheme="minorHAnsi"/>
                <w:sz w:val="18"/>
                <w:szCs w:val="18"/>
              </w:rPr>
              <w:t>.</w:t>
            </w:r>
            <w:r w:rsidRPr="005608B1">
              <w:rPr>
                <w:rFonts w:asciiTheme="minorHAnsi" w:hAnsiTheme="minorHAnsi" w:cstheme="minorHAnsi"/>
                <w:sz w:val="18"/>
                <w:szCs w:val="18"/>
              </w:rPr>
              <w:t>4 (NR)</w:t>
            </w:r>
          </w:p>
        </w:tc>
        <w:tc>
          <w:tcPr>
            <w:tcW w:w="660" w:type="pct"/>
            <w:tcBorders>
              <w:top w:val="dotted" w:sz="4" w:space="0" w:color="auto"/>
            </w:tcBorders>
          </w:tcPr>
          <w:p w14:paraId="2B4E24B4" w14:textId="5E8F4E6F" w:rsidR="008E5D14" w:rsidRPr="005608B1" w:rsidRDefault="008E5D14" w:rsidP="008E5D1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NS</w:t>
            </w:r>
          </w:p>
        </w:tc>
      </w:tr>
      <w:tr w:rsidR="008C03F2" w14:paraId="16CFFEAB" w14:textId="77777777" w:rsidTr="007149F7">
        <w:tc>
          <w:tcPr>
            <w:tcW w:w="862" w:type="pct"/>
          </w:tcPr>
          <w:p w14:paraId="5FF2E070" w14:textId="5F0D189C" w:rsidR="006D5EA3" w:rsidRPr="005608B1" w:rsidRDefault="006D5EA3"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Pain intensity (≥ 50% relief)</w:t>
            </w:r>
          </w:p>
        </w:tc>
        <w:tc>
          <w:tcPr>
            <w:tcW w:w="595" w:type="pct"/>
            <w:gridSpan w:val="2"/>
            <w:tcBorders>
              <w:bottom w:val="single" w:sz="4" w:space="0" w:color="auto"/>
            </w:tcBorders>
          </w:tcPr>
          <w:p w14:paraId="208FC357" w14:textId="7D893B7E" w:rsidR="008778A2" w:rsidRPr="005608B1" w:rsidRDefault="00172C0A"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SURF (</w:t>
            </w:r>
            <w:proofErr w:type="spellStart"/>
            <w:r w:rsidR="00922A3B" w:rsidRPr="005608B1">
              <w:rPr>
                <w:rFonts w:asciiTheme="minorHAnsi" w:hAnsiTheme="minorHAnsi" w:cstheme="minorHAnsi"/>
                <w:sz w:val="18"/>
                <w:szCs w:val="18"/>
              </w:rPr>
              <w:t>Bolash</w:t>
            </w:r>
            <w:proofErr w:type="spellEnd"/>
            <w:r>
              <w:rPr>
                <w:rFonts w:asciiTheme="minorHAnsi" w:hAnsiTheme="minorHAnsi" w:cstheme="minorHAnsi"/>
                <w:sz w:val="18"/>
                <w:szCs w:val="18"/>
              </w:rPr>
              <w:t>,</w:t>
            </w:r>
            <w:r w:rsidR="00922A3B" w:rsidRPr="005608B1">
              <w:rPr>
                <w:rFonts w:asciiTheme="minorHAnsi" w:hAnsiTheme="minorHAnsi" w:cstheme="minorHAnsi"/>
                <w:sz w:val="18"/>
                <w:szCs w:val="18"/>
              </w:rPr>
              <w:t xml:space="preserve"> 2019)</w:t>
            </w:r>
          </w:p>
        </w:tc>
        <w:tc>
          <w:tcPr>
            <w:tcW w:w="948" w:type="pct"/>
            <w:tcBorders>
              <w:bottom w:val="single" w:sz="4" w:space="0" w:color="auto"/>
            </w:tcBorders>
          </w:tcPr>
          <w:p w14:paraId="03992021" w14:textId="509F1886" w:rsidR="006D5EA3" w:rsidRPr="005608B1" w:rsidRDefault="00A63230" w:rsidP="005608B1">
            <w:pPr>
              <w:pStyle w:val="051Tabletext228pt"/>
              <w:ind w:left="-57" w:right="-57"/>
              <w:rPr>
                <w:rFonts w:asciiTheme="minorHAnsi" w:hAnsiTheme="minorHAnsi" w:cstheme="minorHAnsi"/>
                <w:sz w:val="18"/>
                <w:szCs w:val="18"/>
              </w:rPr>
            </w:pPr>
            <w:r w:rsidRPr="005608B1">
              <w:rPr>
                <w:rFonts w:asciiTheme="minorHAnsi" w:eastAsia="Calibri" w:hAnsiTheme="minorHAnsi" w:cstheme="minorHAnsi"/>
                <w:sz w:val="18"/>
                <w:szCs w:val="18"/>
              </w:rPr>
              <w:t>92% (35/38)</w:t>
            </w:r>
          </w:p>
        </w:tc>
        <w:tc>
          <w:tcPr>
            <w:tcW w:w="986" w:type="pct"/>
            <w:tcBorders>
              <w:bottom w:val="single" w:sz="4" w:space="0" w:color="auto"/>
            </w:tcBorders>
          </w:tcPr>
          <w:p w14:paraId="247233A2" w14:textId="56921500" w:rsidR="006D5EA3" w:rsidRPr="005608B1" w:rsidRDefault="00A63230"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82% (28/34)</w:t>
            </w:r>
          </w:p>
        </w:tc>
        <w:tc>
          <w:tcPr>
            <w:tcW w:w="949" w:type="pct"/>
            <w:tcBorders>
              <w:bottom w:val="single" w:sz="4" w:space="0" w:color="auto"/>
            </w:tcBorders>
          </w:tcPr>
          <w:p w14:paraId="4C3396AE" w14:textId="0766B2C3" w:rsidR="006D5EA3" w:rsidRPr="005608B1" w:rsidRDefault="0007585E"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10% difference</w:t>
            </w:r>
          </w:p>
        </w:tc>
        <w:tc>
          <w:tcPr>
            <w:tcW w:w="660" w:type="pct"/>
            <w:tcBorders>
              <w:bottom w:val="single" w:sz="4" w:space="0" w:color="auto"/>
            </w:tcBorders>
          </w:tcPr>
          <w:p w14:paraId="61F25383" w14:textId="2D4368E4" w:rsidR="00EB614A" w:rsidRPr="005608B1" w:rsidRDefault="00C51BF0"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P</w:t>
            </w:r>
            <w:r w:rsidR="0016110B" w:rsidRPr="005608B1">
              <w:rPr>
                <w:rFonts w:asciiTheme="minorHAnsi" w:hAnsiTheme="minorHAnsi" w:cstheme="minorHAnsi"/>
                <w:sz w:val="18"/>
                <w:szCs w:val="18"/>
              </w:rPr>
              <w:t xml:space="preserve">= </w:t>
            </w:r>
            <w:r w:rsidRPr="005608B1">
              <w:rPr>
                <w:rFonts w:asciiTheme="minorHAnsi" w:hAnsiTheme="minorHAnsi" w:cstheme="minorHAnsi"/>
                <w:sz w:val="18"/>
                <w:szCs w:val="18"/>
              </w:rPr>
              <w:t>0.2</w:t>
            </w:r>
          </w:p>
        </w:tc>
      </w:tr>
      <w:tr w:rsidR="008C03F2" w14:paraId="21FA5473" w14:textId="77777777" w:rsidTr="007149F7">
        <w:tc>
          <w:tcPr>
            <w:tcW w:w="862" w:type="pct"/>
            <w:tcBorders>
              <w:bottom w:val="nil"/>
            </w:tcBorders>
          </w:tcPr>
          <w:p w14:paraId="4469AC2E" w14:textId="5714AD74" w:rsidR="006D5EA3" w:rsidRPr="005608B1" w:rsidRDefault="00E2049D"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Disability (ODI</w:t>
            </w:r>
            <w:r w:rsidR="00EA20ED" w:rsidRPr="005608B1">
              <w:rPr>
                <w:rFonts w:asciiTheme="minorHAnsi" w:hAnsiTheme="minorHAnsi" w:cstheme="minorHAnsi"/>
                <w:sz w:val="18"/>
                <w:szCs w:val="18"/>
              </w:rPr>
              <w:t xml:space="preserve"> mean change baseline to follow-up</w:t>
            </w:r>
            <w:r w:rsidRPr="005608B1">
              <w:rPr>
                <w:rFonts w:asciiTheme="minorHAnsi" w:hAnsiTheme="minorHAnsi" w:cstheme="minorHAnsi"/>
                <w:sz w:val="18"/>
                <w:szCs w:val="18"/>
              </w:rPr>
              <w:t>)</w:t>
            </w:r>
          </w:p>
        </w:tc>
        <w:tc>
          <w:tcPr>
            <w:tcW w:w="595" w:type="pct"/>
            <w:gridSpan w:val="2"/>
            <w:tcBorders>
              <w:bottom w:val="dotted" w:sz="4" w:space="0" w:color="auto"/>
            </w:tcBorders>
          </w:tcPr>
          <w:p w14:paraId="2B7B1858" w14:textId="14BC4C68" w:rsidR="008778A2" w:rsidRPr="005608B1" w:rsidRDefault="00172C0A"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SURF (</w:t>
            </w:r>
            <w:proofErr w:type="spellStart"/>
            <w:r w:rsidR="00BB343C" w:rsidRPr="005608B1">
              <w:rPr>
                <w:rFonts w:asciiTheme="minorHAnsi" w:hAnsiTheme="minorHAnsi" w:cstheme="minorHAnsi"/>
                <w:sz w:val="18"/>
                <w:szCs w:val="18"/>
              </w:rPr>
              <w:t>Bolash</w:t>
            </w:r>
            <w:proofErr w:type="spellEnd"/>
            <w:r>
              <w:rPr>
                <w:rFonts w:asciiTheme="minorHAnsi" w:hAnsiTheme="minorHAnsi" w:cstheme="minorHAnsi"/>
                <w:sz w:val="18"/>
                <w:szCs w:val="18"/>
              </w:rPr>
              <w:t>,</w:t>
            </w:r>
            <w:r w:rsidR="00BB343C" w:rsidRPr="005608B1">
              <w:rPr>
                <w:rFonts w:asciiTheme="minorHAnsi" w:hAnsiTheme="minorHAnsi" w:cstheme="minorHAnsi"/>
                <w:sz w:val="18"/>
                <w:szCs w:val="18"/>
              </w:rPr>
              <w:t xml:space="preserve"> 2019)</w:t>
            </w:r>
          </w:p>
        </w:tc>
        <w:tc>
          <w:tcPr>
            <w:tcW w:w="948" w:type="pct"/>
            <w:tcBorders>
              <w:bottom w:val="dotted" w:sz="4" w:space="0" w:color="auto"/>
            </w:tcBorders>
          </w:tcPr>
          <w:p w14:paraId="24FF342F" w14:textId="5B08E44E" w:rsidR="006D5EA3" w:rsidRPr="00E57264" w:rsidRDefault="002C1199" w:rsidP="005608B1">
            <w:pPr>
              <w:pStyle w:val="051Tabletext228pt"/>
              <w:ind w:left="-57" w:right="-57"/>
              <w:rPr>
                <w:rFonts w:asciiTheme="minorHAnsi" w:hAnsiTheme="minorHAnsi" w:cstheme="minorHAnsi"/>
                <w:sz w:val="18"/>
                <w:szCs w:val="18"/>
              </w:rPr>
            </w:pPr>
            <w:r w:rsidRPr="00E57264">
              <w:rPr>
                <w:rFonts w:asciiTheme="minorHAnsi" w:hAnsiTheme="minorHAnsi" w:cstheme="minorHAnsi"/>
                <w:sz w:val="18"/>
                <w:szCs w:val="18"/>
              </w:rPr>
              <w:t>-</w:t>
            </w:r>
            <w:r w:rsidR="00C655F1" w:rsidRPr="00E57264">
              <w:rPr>
                <w:rFonts w:asciiTheme="minorHAnsi" w:hAnsiTheme="minorHAnsi" w:cstheme="minorHAnsi"/>
                <w:sz w:val="18"/>
                <w:szCs w:val="18"/>
              </w:rPr>
              <w:t>23</w:t>
            </w:r>
            <w:r w:rsidR="00EB614A" w:rsidRPr="00E57264">
              <w:rPr>
                <w:rFonts w:asciiTheme="minorHAnsi" w:hAnsiTheme="minorHAnsi" w:cstheme="minorHAnsi"/>
                <w:sz w:val="18"/>
                <w:szCs w:val="18"/>
              </w:rPr>
              <w:t xml:space="preserve"> (</w:t>
            </w:r>
            <w:r w:rsidR="00C655F1" w:rsidRPr="00E57264">
              <w:rPr>
                <w:rFonts w:asciiTheme="minorHAnsi" w:hAnsiTheme="minorHAnsi" w:cstheme="minorHAnsi"/>
                <w:sz w:val="18"/>
                <w:szCs w:val="18"/>
              </w:rPr>
              <w:t>NR</w:t>
            </w:r>
            <w:r w:rsidR="00EB614A" w:rsidRPr="00E57264">
              <w:rPr>
                <w:rFonts w:asciiTheme="minorHAnsi" w:hAnsiTheme="minorHAnsi" w:cstheme="minorHAnsi"/>
                <w:sz w:val="18"/>
                <w:szCs w:val="18"/>
              </w:rPr>
              <w:t>)</w:t>
            </w:r>
          </w:p>
        </w:tc>
        <w:tc>
          <w:tcPr>
            <w:tcW w:w="986" w:type="pct"/>
            <w:tcBorders>
              <w:bottom w:val="dotted" w:sz="4" w:space="0" w:color="auto"/>
            </w:tcBorders>
          </w:tcPr>
          <w:p w14:paraId="6D81AFE2" w14:textId="72DA2ECA" w:rsidR="006D5EA3" w:rsidRPr="00E57264" w:rsidRDefault="00673787" w:rsidP="005608B1">
            <w:pPr>
              <w:pStyle w:val="051Tabletext228pt"/>
              <w:ind w:left="-57" w:right="-57"/>
              <w:rPr>
                <w:rFonts w:asciiTheme="minorHAnsi" w:hAnsiTheme="minorHAnsi" w:cstheme="minorHAnsi"/>
                <w:sz w:val="18"/>
                <w:szCs w:val="18"/>
              </w:rPr>
            </w:pPr>
            <w:r w:rsidRPr="00E57264">
              <w:rPr>
                <w:rFonts w:asciiTheme="minorHAnsi" w:hAnsiTheme="minorHAnsi" w:cstheme="minorHAnsi"/>
                <w:sz w:val="18"/>
                <w:szCs w:val="18"/>
              </w:rPr>
              <w:t>-</w:t>
            </w:r>
            <w:r w:rsidR="00C655F1" w:rsidRPr="00E57264">
              <w:rPr>
                <w:rFonts w:asciiTheme="minorHAnsi" w:hAnsiTheme="minorHAnsi" w:cstheme="minorHAnsi"/>
                <w:sz w:val="18"/>
                <w:szCs w:val="18"/>
              </w:rPr>
              <w:t>23</w:t>
            </w:r>
            <w:r w:rsidR="00EB614A" w:rsidRPr="00E57264">
              <w:rPr>
                <w:rFonts w:asciiTheme="minorHAnsi" w:hAnsiTheme="minorHAnsi" w:cstheme="minorHAnsi"/>
                <w:sz w:val="18"/>
                <w:szCs w:val="18"/>
              </w:rPr>
              <w:t xml:space="preserve"> (</w:t>
            </w:r>
            <w:r w:rsidR="00C655F1" w:rsidRPr="00E57264">
              <w:rPr>
                <w:rFonts w:asciiTheme="minorHAnsi" w:hAnsiTheme="minorHAnsi" w:cstheme="minorHAnsi"/>
                <w:sz w:val="18"/>
                <w:szCs w:val="18"/>
              </w:rPr>
              <w:t>NR</w:t>
            </w:r>
            <w:r w:rsidR="006D5EA3" w:rsidRPr="00E57264">
              <w:rPr>
                <w:rFonts w:asciiTheme="minorHAnsi" w:hAnsiTheme="minorHAnsi" w:cstheme="minorHAnsi"/>
                <w:sz w:val="18"/>
                <w:szCs w:val="18"/>
              </w:rPr>
              <w:t>)</w:t>
            </w:r>
          </w:p>
        </w:tc>
        <w:tc>
          <w:tcPr>
            <w:tcW w:w="949" w:type="pct"/>
            <w:tcBorders>
              <w:bottom w:val="dotted" w:sz="4" w:space="0" w:color="auto"/>
            </w:tcBorders>
          </w:tcPr>
          <w:p w14:paraId="234575E0" w14:textId="0ED32A9B" w:rsidR="006D5EA3" w:rsidRPr="005608B1" w:rsidRDefault="00EB614A"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sidR="00C655F1" w:rsidRPr="005608B1">
              <w:rPr>
                <w:rFonts w:asciiTheme="minorHAnsi" w:hAnsiTheme="minorHAnsi" w:cstheme="minorHAnsi"/>
                <w:sz w:val="18"/>
                <w:szCs w:val="18"/>
              </w:rPr>
              <w:t>0 (NR</w:t>
            </w:r>
            <w:r w:rsidRPr="005608B1">
              <w:rPr>
                <w:rFonts w:asciiTheme="minorHAnsi" w:hAnsiTheme="minorHAnsi" w:cstheme="minorHAnsi"/>
                <w:sz w:val="18"/>
                <w:szCs w:val="18"/>
              </w:rPr>
              <w:t>)</w:t>
            </w:r>
          </w:p>
        </w:tc>
        <w:tc>
          <w:tcPr>
            <w:tcW w:w="660" w:type="pct"/>
            <w:tcBorders>
              <w:bottom w:val="dotted" w:sz="4" w:space="0" w:color="auto"/>
            </w:tcBorders>
          </w:tcPr>
          <w:p w14:paraId="579C34F7" w14:textId="26335C31" w:rsidR="00EB614A" w:rsidRPr="005608B1" w:rsidRDefault="00C655F1"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NS</w:t>
            </w:r>
          </w:p>
        </w:tc>
      </w:tr>
      <w:tr w:rsidR="009C31D7" w14:paraId="4D832B62" w14:textId="77777777" w:rsidTr="007149F7">
        <w:tc>
          <w:tcPr>
            <w:tcW w:w="862" w:type="pct"/>
            <w:tcBorders>
              <w:top w:val="nil"/>
              <w:bottom w:val="nil"/>
            </w:tcBorders>
          </w:tcPr>
          <w:p w14:paraId="3C68421D" w14:textId="77777777" w:rsidR="009C31D7" w:rsidRPr="005608B1" w:rsidRDefault="009C31D7" w:rsidP="005608B1">
            <w:pPr>
              <w:pStyle w:val="051Tabletext228pt"/>
              <w:ind w:left="-57" w:right="-57"/>
              <w:rPr>
                <w:rFonts w:asciiTheme="minorHAnsi" w:hAnsiTheme="minorHAnsi" w:cstheme="minorHAnsi"/>
                <w:sz w:val="18"/>
                <w:szCs w:val="18"/>
              </w:rPr>
            </w:pPr>
          </w:p>
        </w:tc>
        <w:tc>
          <w:tcPr>
            <w:tcW w:w="595" w:type="pct"/>
            <w:gridSpan w:val="2"/>
            <w:tcBorders>
              <w:top w:val="dotted" w:sz="4" w:space="0" w:color="auto"/>
              <w:bottom w:val="dotted" w:sz="4" w:space="0" w:color="auto"/>
            </w:tcBorders>
          </w:tcPr>
          <w:p w14:paraId="06BD33C2" w14:textId="01CCCC6F" w:rsidR="009C31D7" w:rsidRPr="005608B1" w:rsidRDefault="009C31D7" w:rsidP="005608B1">
            <w:pPr>
              <w:pStyle w:val="051Tabletext228pt"/>
              <w:ind w:left="-57" w:right="-57"/>
              <w:rPr>
                <w:rFonts w:asciiTheme="minorHAnsi" w:hAnsiTheme="minorHAnsi" w:cstheme="minorHAnsi"/>
                <w:sz w:val="18"/>
                <w:szCs w:val="18"/>
              </w:rPr>
            </w:pPr>
            <w:proofErr w:type="spellStart"/>
            <w:r w:rsidRPr="005608B1">
              <w:rPr>
                <w:rFonts w:asciiTheme="minorHAnsi" w:hAnsiTheme="minorHAnsi" w:cstheme="minorHAnsi"/>
                <w:sz w:val="18"/>
                <w:szCs w:val="18"/>
              </w:rPr>
              <w:t>Canós-Verdecho</w:t>
            </w:r>
            <w:proofErr w:type="spellEnd"/>
            <w:r w:rsidRPr="005608B1">
              <w:rPr>
                <w:rFonts w:asciiTheme="minorHAnsi" w:hAnsiTheme="minorHAnsi" w:cstheme="minorHAnsi"/>
                <w:sz w:val="18"/>
                <w:szCs w:val="18"/>
              </w:rPr>
              <w:t xml:space="preserve"> (202</w:t>
            </w:r>
            <w:r w:rsidR="005D5FD9">
              <w:rPr>
                <w:rFonts w:asciiTheme="minorHAnsi" w:hAnsiTheme="minorHAnsi" w:cstheme="minorHAnsi"/>
                <w:sz w:val="18"/>
                <w:szCs w:val="18"/>
              </w:rPr>
              <w:t>1</w:t>
            </w:r>
            <w:r w:rsidRPr="005608B1">
              <w:rPr>
                <w:rFonts w:asciiTheme="minorHAnsi" w:hAnsiTheme="minorHAnsi" w:cstheme="minorHAnsi"/>
                <w:sz w:val="18"/>
                <w:szCs w:val="18"/>
              </w:rPr>
              <w:t>)</w:t>
            </w:r>
          </w:p>
        </w:tc>
        <w:tc>
          <w:tcPr>
            <w:tcW w:w="948" w:type="pct"/>
            <w:tcBorders>
              <w:top w:val="dotted" w:sz="4" w:space="0" w:color="auto"/>
              <w:bottom w:val="dotted" w:sz="4" w:space="0" w:color="auto"/>
            </w:tcBorders>
          </w:tcPr>
          <w:p w14:paraId="237753C6" w14:textId="4FE6A42D" w:rsidR="009C31D7" w:rsidRPr="005608B1" w:rsidRDefault="00E712A1"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004B4CF9" w:rsidRPr="005608B1">
              <w:rPr>
                <w:rFonts w:asciiTheme="minorHAnsi" w:hAnsiTheme="minorHAnsi" w:cstheme="minorHAnsi"/>
                <w:sz w:val="18"/>
                <w:szCs w:val="18"/>
              </w:rPr>
              <w:t>33.8 (NR)</w:t>
            </w:r>
          </w:p>
        </w:tc>
        <w:tc>
          <w:tcPr>
            <w:tcW w:w="986" w:type="pct"/>
            <w:tcBorders>
              <w:top w:val="dotted" w:sz="4" w:space="0" w:color="auto"/>
              <w:bottom w:val="dotted" w:sz="4" w:space="0" w:color="auto"/>
            </w:tcBorders>
          </w:tcPr>
          <w:p w14:paraId="33D5928B" w14:textId="25AEFC0C" w:rsidR="009C31D7" w:rsidRPr="005608B1" w:rsidRDefault="00E712A1"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00D50F73" w:rsidRPr="005608B1">
              <w:rPr>
                <w:rFonts w:asciiTheme="minorHAnsi" w:hAnsiTheme="minorHAnsi" w:cstheme="minorHAnsi"/>
                <w:sz w:val="18"/>
                <w:szCs w:val="18"/>
              </w:rPr>
              <w:t>41.</w:t>
            </w:r>
            <w:r w:rsidR="00193DBD">
              <w:rPr>
                <w:rFonts w:asciiTheme="minorHAnsi" w:hAnsiTheme="minorHAnsi" w:cstheme="minorHAnsi"/>
                <w:sz w:val="18"/>
                <w:szCs w:val="18"/>
              </w:rPr>
              <w:t>7</w:t>
            </w:r>
            <w:r w:rsidR="00D50F73" w:rsidRPr="005608B1">
              <w:rPr>
                <w:rFonts w:asciiTheme="minorHAnsi" w:hAnsiTheme="minorHAnsi" w:cstheme="minorHAnsi"/>
                <w:sz w:val="18"/>
                <w:szCs w:val="18"/>
              </w:rPr>
              <w:t xml:space="preserve"> (NR)</w:t>
            </w:r>
          </w:p>
        </w:tc>
        <w:tc>
          <w:tcPr>
            <w:tcW w:w="949" w:type="pct"/>
            <w:tcBorders>
              <w:top w:val="dotted" w:sz="4" w:space="0" w:color="auto"/>
              <w:bottom w:val="dotted" w:sz="4" w:space="0" w:color="auto"/>
            </w:tcBorders>
          </w:tcPr>
          <w:p w14:paraId="2363C081" w14:textId="4FB7C675" w:rsidR="009C31D7" w:rsidRPr="005608B1" w:rsidRDefault="008326A8"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MD -7.</w:t>
            </w:r>
            <w:r w:rsidR="00E712A1">
              <w:rPr>
                <w:rFonts w:asciiTheme="minorHAnsi" w:hAnsiTheme="minorHAnsi" w:cstheme="minorHAnsi"/>
                <w:sz w:val="18"/>
                <w:szCs w:val="18"/>
              </w:rPr>
              <w:t>9</w:t>
            </w:r>
            <w:r w:rsidRPr="005608B1">
              <w:rPr>
                <w:rFonts w:asciiTheme="minorHAnsi" w:hAnsiTheme="minorHAnsi" w:cstheme="minorHAnsi"/>
                <w:sz w:val="18"/>
                <w:szCs w:val="18"/>
              </w:rPr>
              <w:t xml:space="preserve"> (NR)</w:t>
            </w:r>
          </w:p>
        </w:tc>
        <w:tc>
          <w:tcPr>
            <w:tcW w:w="660" w:type="pct"/>
            <w:tcBorders>
              <w:top w:val="dotted" w:sz="4" w:space="0" w:color="auto"/>
              <w:bottom w:val="dotted" w:sz="4" w:space="0" w:color="auto"/>
            </w:tcBorders>
          </w:tcPr>
          <w:p w14:paraId="44DCDED1" w14:textId="644E8D2A" w:rsidR="009C31D7" w:rsidRPr="005608B1" w:rsidRDefault="00C8768A"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NR</w:t>
            </w:r>
          </w:p>
        </w:tc>
      </w:tr>
      <w:tr w:rsidR="00026EDE" w14:paraId="12CE2241" w14:textId="77777777" w:rsidTr="00845D76">
        <w:tc>
          <w:tcPr>
            <w:tcW w:w="862" w:type="pct"/>
            <w:tcBorders>
              <w:top w:val="nil"/>
              <w:bottom w:val="single" w:sz="4" w:space="0" w:color="auto"/>
            </w:tcBorders>
          </w:tcPr>
          <w:p w14:paraId="401B9AB0" w14:textId="77777777" w:rsidR="00026EDE" w:rsidRPr="005608B1" w:rsidRDefault="00026EDE" w:rsidP="005608B1">
            <w:pPr>
              <w:pStyle w:val="051Tabletext228pt"/>
              <w:ind w:left="-57" w:right="-57"/>
              <w:rPr>
                <w:rFonts w:asciiTheme="minorHAnsi" w:hAnsiTheme="minorHAnsi" w:cstheme="minorHAnsi"/>
                <w:sz w:val="18"/>
                <w:szCs w:val="18"/>
              </w:rPr>
            </w:pPr>
          </w:p>
        </w:tc>
        <w:tc>
          <w:tcPr>
            <w:tcW w:w="595" w:type="pct"/>
            <w:gridSpan w:val="2"/>
            <w:tcBorders>
              <w:top w:val="dotted" w:sz="4" w:space="0" w:color="auto"/>
              <w:bottom w:val="single" w:sz="4" w:space="0" w:color="auto"/>
            </w:tcBorders>
          </w:tcPr>
          <w:p w14:paraId="7E0A31B1" w14:textId="33AF0631" w:rsidR="00026EDE" w:rsidRPr="005608B1" w:rsidRDefault="00026EDE"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De Andres (2017)</w:t>
            </w:r>
          </w:p>
        </w:tc>
        <w:tc>
          <w:tcPr>
            <w:tcW w:w="948" w:type="pct"/>
            <w:tcBorders>
              <w:top w:val="dotted" w:sz="4" w:space="0" w:color="auto"/>
              <w:bottom w:val="single" w:sz="4" w:space="0" w:color="auto"/>
            </w:tcBorders>
          </w:tcPr>
          <w:p w14:paraId="682158BF" w14:textId="32316A00" w:rsidR="00026EDE" w:rsidRPr="005608B1" w:rsidRDefault="00E712A1"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007D5BE8" w:rsidRPr="005608B1">
              <w:rPr>
                <w:rFonts w:asciiTheme="minorHAnsi" w:hAnsiTheme="minorHAnsi" w:cstheme="minorHAnsi"/>
                <w:sz w:val="18"/>
                <w:szCs w:val="18"/>
              </w:rPr>
              <w:t>4.08 (</w:t>
            </w:r>
            <w:r w:rsidR="006210BA" w:rsidRPr="005608B1">
              <w:rPr>
                <w:rFonts w:asciiTheme="minorHAnsi" w:hAnsiTheme="minorHAnsi" w:cstheme="minorHAnsi"/>
                <w:sz w:val="18"/>
                <w:szCs w:val="18"/>
              </w:rPr>
              <w:t xml:space="preserve">SD </w:t>
            </w:r>
            <w:r w:rsidR="007D5BE8" w:rsidRPr="005608B1">
              <w:rPr>
                <w:rFonts w:asciiTheme="minorHAnsi" w:hAnsiTheme="minorHAnsi" w:cstheme="minorHAnsi"/>
                <w:sz w:val="18"/>
                <w:szCs w:val="18"/>
              </w:rPr>
              <w:t>60</w:t>
            </w:r>
            <w:r w:rsidR="004A66A4">
              <w:rPr>
                <w:rFonts w:asciiTheme="minorHAnsi" w:hAnsiTheme="minorHAnsi" w:cstheme="minorHAnsi"/>
                <w:sz w:val="18"/>
                <w:szCs w:val="18"/>
              </w:rPr>
              <w:t>.</w:t>
            </w:r>
            <w:r w:rsidR="00E21FBA" w:rsidRPr="005608B1">
              <w:rPr>
                <w:rFonts w:asciiTheme="minorHAnsi" w:hAnsiTheme="minorHAnsi" w:cstheme="minorHAnsi"/>
                <w:sz w:val="18"/>
                <w:szCs w:val="18"/>
              </w:rPr>
              <w:t>0)</w:t>
            </w:r>
          </w:p>
        </w:tc>
        <w:tc>
          <w:tcPr>
            <w:tcW w:w="986" w:type="pct"/>
            <w:tcBorders>
              <w:top w:val="dotted" w:sz="4" w:space="0" w:color="auto"/>
              <w:bottom w:val="single" w:sz="4" w:space="0" w:color="auto"/>
            </w:tcBorders>
          </w:tcPr>
          <w:p w14:paraId="6256848E" w14:textId="71F82273" w:rsidR="00026EDE" w:rsidRPr="005608B1" w:rsidRDefault="00E712A1"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00CE3EE3" w:rsidRPr="005608B1">
              <w:rPr>
                <w:rFonts w:asciiTheme="minorHAnsi" w:hAnsiTheme="minorHAnsi" w:cstheme="minorHAnsi"/>
                <w:sz w:val="18"/>
                <w:szCs w:val="18"/>
              </w:rPr>
              <w:t>5.38 (</w:t>
            </w:r>
            <w:r w:rsidR="006210BA" w:rsidRPr="005608B1">
              <w:rPr>
                <w:rFonts w:asciiTheme="minorHAnsi" w:hAnsiTheme="minorHAnsi" w:cstheme="minorHAnsi"/>
                <w:sz w:val="18"/>
                <w:szCs w:val="18"/>
              </w:rPr>
              <w:t>SD 10.36)</w:t>
            </w:r>
          </w:p>
        </w:tc>
        <w:tc>
          <w:tcPr>
            <w:tcW w:w="949" w:type="pct"/>
            <w:tcBorders>
              <w:top w:val="dotted" w:sz="4" w:space="0" w:color="auto"/>
              <w:bottom w:val="single" w:sz="4" w:space="0" w:color="auto"/>
            </w:tcBorders>
          </w:tcPr>
          <w:p w14:paraId="2C282E61" w14:textId="1D1990BD" w:rsidR="00026EDE" w:rsidRPr="005608B1" w:rsidRDefault="000172FB"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sidR="00E712A1">
              <w:rPr>
                <w:rFonts w:asciiTheme="minorHAnsi" w:hAnsiTheme="minorHAnsi" w:cstheme="minorHAnsi"/>
                <w:sz w:val="18"/>
                <w:szCs w:val="18"/>
              </w:rPr>
              <w:t>-</w:t>
            </w:r>
            <w:r w:rsidRPr="005608B1">
              <w:rPr>
                <w:rFonts w:asciiTheme="minorHAnsi" w:hAnsiTheme="minorHAnsi" w:cstheme="minorHAnsi"/>
                <w:sz w:val="18"/>
                <w:szCs w:val="18"/>
              </w:rPr>
              <w:t>1.3</w:t>
            </w:r>
            <w:r w:rsidR="00A615C8" w:rsidRPr="005608B1">
              <w:rPr>
                <w:rFonts w:asciiTheme="minorHAnsi" w:hAnsiTheme="minorHAnsi" w:cstheme="minorHAnsi"/>
                <w:sz w:val="18"/>
                <w:szCs w:val="18"/>
              </w:rPr>
              <w:t xml:space="preserve"> (NR)</w:t>
            </w:r>
          </w:p>
        </w:tc>
        <w:tc>
          <w:tcPr>
            <w:tcW w:w="660" w:type="pct"/>
            <w:tcBorders>
              <w:top w:val="dotted" w:sz="4" w:space="0" w:color="auto"/>
              <w:bottom w:val="single" w:sz="4" w:space="0" w:color="auto"/>
            </w:tcBorders>
          </w:tcPr>
          <w:p w14:paraId="1C87FD35" w14:textId="4462D952" w:rsidR="00026EDE" w:rsidRPr="005608B1" w:rsidRDefault="00BA2740"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NS</w:t>
            </w:r>
          </w:p>
        </w:tc>
      </w:tr>
      <w:tr w:rsidR="008C03F2" w14:paraId="58919825" w14:textId="77777777" w:rsidTr="00845D76">
        <w:tc>
          <w:tcPr>
            <w:tcW w:w="862" w:type="pct"/>
            <w:tcBorders>
              <w:bottom w:val="nil"/>
            </w:tcBorders>
          </w:tcPr>
          <w:p w14:paraId="1B867E7F" w14:textId="5745A0DB" w:rsidR="006D5EA3" w:rsidRPr="005608B1" w:rsidRDefault="007F6893"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Mean change in </w:t>
            </w:r>
            <w:proofErr w:type="spellStart"/>
            <w:r w:rsidR="00E2049D" w:rsidRPr="005608B1">
              <w:rPr>
                <w:rFonts w:asciiTheme="minorHAnsi" w:hAnsiTheme="minorHAnsi" w:cstheme="minorHAnsi"/>
                <w:sz w:val="18"/>
                <w:szCs w:val="18"/>
              </w:rPr>
              <w:t>HRQoL</w:t>
            </w:r>
            <w:proofErr w:type="spellEnd"/>
          </w:p>
        </w:tc>
        <w:tc>
          <w:tcPr>
            <w:tcW w:w="595" w:type="pct"/>
            <w:gridSpan w:val="2"/>
            <w:tcBorders>
              <w:bottom w:val="dotted" w:sz="4" w:space="0" w:color="auto"/>
            </w:tcBorders>
          </w:tcPr>
          <w:p w14:paraId="4D0B6932" w14:textId="44CD43EA" w:rsidR="008778A2" w:rsidRPr="005608B1" w:rsidRDefault="00D20DB4"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SURF (</w:t>
            </w:r>
            <w:proofErr w:type="spellStart"/>
            <w:r w:rsidR="0006157D" w:rsidRPr="005608B1">
              <w:rPr>
                <w:rFonts w:asciiTheme="minorHAnsi" w:hAnsiTheme="minorHAnsi" w:cstheme="minorHAnsi"/>
                <w:sz w:val="18"/>
                <w:szCs w:val="18"/>
              </w:rPr>
              <w:t>Bolash</w:t>
            </w:r>
            <w:proofErr w:type="spellEnd"/>
            <w:r>
              <w:rPr>
                <w:rFonts w:asciiTheme="minorHAnsi" w:hAnsiTheme="minorHAnsi" w:cstheme="minorHAnsi"/>
                <w:sz w:val="18"/>
                <w:szCs w:val="18"/>
              </w:rPr>
              <w:t>,</w:t>
            </w:r>
            <w:r w:rsidR="0006157D" w:rsidRPr="005608B1">
              <w:rPr>
                <w:rFonts w:asciiTheme="minorHAnsi" w:hAnsiTheme="minorHAnsi" w:cstheme="minorHAnsi"/>
                <w:sz w:val="18"/>
                <w:szCs w:val="18"/>
              </w:rPr>
              <w:t xml:space="preserve"> 2019)</w:t>
            </w:r>
          </w:p>
        </w:tc>
        <w:tc>
          <w:tcPr>
            <w:tcW w:w="948" w:type="pct"/>
            <w:tcBorders>
              <w:bottom w:val="dotted" w:sz="4" w:space="0" w:color="auto"/>
            </w:tcBorders>
          </w:tcPr>
          <w:p w14:paraId="11AF82E4" w14:textId="59A932F3" w:rsidR="006D5EA3" w:rsidRPr="005608B1" w:rsidRDefault="00361451"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EQ-5D-L</w:t>
            </w:r>
            <w:r w:rsidR="00D64D8A">
              <w:rPr>
                <w:rFonts w:asciiTheme="minorHAnsi" w:hAnsiTheme="minorHAnsi" w:cstheme="minorHAnsi"/>
                <w:sz w:val="18"/>
                <w:szCs w:val="18"/>
              </w:rPr>
              <w:br/>
            </w:r>
            <w:r w:rsidRPr="005608B1">
              <w:rPr>
                <w:rFonts w:asciiTheme="minorHAnsi" w:hAnsiTheme="minorHAnsi" w:cstheme="minorHAnsi"/>
                <w:sz w:val="18"/>
                <w:szCs w:val="18"/>
              </w:rPr>
              <w:t xml:space="preserve">21.2 (NR) </w:t>
            </w:r>
          </w:p>
        </w:tc>
        <w:tc>
          <w:tcPr>
            <w:tcW w:w="986" w:type="pct"/>
            <w:tcBorders>
              <w:bottom w:val="dotted" w:sz="4" w:space="0" w:color="auto"/>
            </w:tcBorders>
          </w:tcPr>
          <w:p w14:paraId="153D1383" w14:textId="6D915B5F" w:rsidR="006D5EA3" w:rsidRPr="005608B1" w:rsidRDefault="00361451"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EQ-5D-L</w:t>
            </w:r>
            <w:r w:rsidR="00D64D8A">
              <w:rPr>
                <w:rFonts w:asciiTheme="minorHAnsi" w:hAnsiTheme="minorHAnsi" w:cstheme="minorHAnsi"/>
                <w:sz w:val="18"/>
                <w:szCs w:val="18"/>
              </w:rPr>
              <w:br/>
            </w:r>
            <w:r w:rsidRPr="005608B1">
              <w:rPr>
                <w:rFonts w:asciiTheme="minorHAnsi" w:hAnsiTheme="minorHAnsi" w:cstheme="minorHAnsi"/>
                <w:sz w:val="18"/>
                <w:szCs w:val="18"/>
              </w:rPr>
              <w:t>2</w:t>
            </w:r>
            <w:r w:rsidR="0001067D" w:rsidRPr="005608B1">
              <w:rPr>
                <w:rFonts w:asciiTheme="minorHAnsi" w:hAnsiTheme="minorHAnsi" w:cstheme="minorHAnsi"/>
                <w:sz w:val="18"/>
                <w:szCs w:val="18"/>
              </w:rPr>
              <w:t>6.6</w:t>
            </w:r>
            <w:r w:rsidRPr="005608B1">
              <w:rPr>
                <w:rFonts w:asciiTheme="minorHAnsi" w:hAnsiTheme="minorHAnsi" w:cstheme="minorHAnsi"/>
                <w:sz w:val="18"/>
                <w:szCs w:val="18"/>
              </w:rPr>
              <w:t xml:space="preserve"> (NR)</w:t>
            </w:r>
          </w:p>
        </w:tc>
        <w:tc>
          <w:tcPr>
            <w:tcW w:w="949" w:type="pct"/>
            <w:tcBorders>
              <w:bottom w:val="dotted" w:sz="4" w:space="0" w:color="auto"/>
            </w:tcBorders>
          </w:tcPr>
          <w:p w14:paraId="63224248" w14:textId="4E5605F0" w:rsidR="006D5EA3" w:rsidRPr="005608B1" w:rsidRDefault="00EB614A"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sidR="00A06856" w:rsidRPr="005608B1">
              <w:rPr>
                <w:rFonts w:asciiTheme="minorHAnsi" w:hAnsiTheme="minorHAnsi" w:cstheme="minorHAnsi"/>
                <w:sz w:val="18"/>
                <w:szCs w:val="18"/>
              </w:rPr>
              <w:t>5.4</w:t>
            </w:r>
            <w:r w:rsidRPr="005608B1">
              <w:rPr>
                <w:rFonts w:asciiTheme="minorHAnsi" w:hAnsiTheme="minorHAnsi" w:cstheme="minorHAnsi"/>
                <w:sz w:val="18"/>
                <w:szCs w:val="18"/>
              </w:rPr>
              <w:t xml:space="preserve"> (</w:t>
            </w:r>
            <w:r w:rsidR="002155D7" w:rsidRPr="005608B1">
              <w:rPr>
                <w:rFonts w:asciiTheme="minorHAnsi" w:hAnsiTheme="minorHAnsi" w:cstheme="minorHAnsi"/>
                <w:sz w:val="18"/>
                <w:szCs w:val="18"/>
              </w:rPr>
              <w:t>NR</w:t>
            </w:r>
            <w:r w:rsidRPr="005608B1">
              <w:rPr>
                <w:rFonts w:asciiTheme="minorHAnsi" w:hAnsiTheme="minorHAnsi" w:cstheme="minorHAnsi"/>
                <w:sz w:val="18"/>
                <w:szCs w:val="18"/>
              </w:rPr>
              <w:t>)</w:t>
            </w:r>
          </w:p>
        </w:tc>
        <w:tc>
          <w:tcPr>
            <w:tcW w:w="660" w:type="pct"/>
            <w:tcBorders>
              <w:bottom w:val="dotted" w:sz="4" w:space="0" w:color="auto"/>
            </w:tcBorders>
          </w:tcPr>
          <w:p w14:paraId="3BC71448" w14:textId="04776318" w:rsidR="00EB614A" w:rsidRPr="005608B1" w:rsidRDefault="002155D7"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Non-inferiority test P=0.2</w:t>
            </w:r>
            <w:r w:rsidR="003179D6" w:rsidRPr="005608B1">
              <w:rPr>
                <w:rFonts w:asciiTheme="minorHAnsi" w:hAnsiTheme="minorHAnsi" w:cstheme="minorHAnsi"/>
                <w:sz w:val="18"/>
                <w:szCs w:val="18"/>
              </w:rPr>
              <w:t>, superiority NR</w:t>
            </w:r>
          </w:p>
        </w:tc>
      </w:tr>
      <w:tr w:rsidR="00272B25" w14:paraId="1184CC23" w14:textId="77777777" w:rsidTr="00845D76">
        <w:tc>
          <w:tcPr>
            <w:tcW w:w="862" w:type="pct"/>
            <w:tcBorders>
              <w:top w:val="nil"/>
            </w:tcBorders>
          </w:tcPr>
          <w:p w14:paraId="074FEB69" w14:textId="77777777" w:rsidR="00272B25" w:rsidRPr="005608B1" w:rsidRDefault="00272B25" w:rsidP="005608B1">
            <w:pPr>
              <w:pStyle w:val="051Tabletext228pt"/>
              <w:ind w:left="-57" w:right="-57"/>
              <w:rPr>
                <w:rFonts w:asciiTheme="minorHAnsi" w:hAnsiTheme="minorHAnsi" w:cstheme="minorHAnsi"/>
                <w:sz w:val="18"/>
                <w:szCs w:val="18"/>
              </w:rPr>
            </w:pPr>
          </w:p>
        </w:tc>
        <w:tc>
          <w:tcPr>
            <w:tcW w:w="595" w:type="pct"/>
            <w:gridSpan w:val="2"/>
            <w:tcBorders>
              <w:top w:val="dotted" w:sz="4" w:space="0" w:color="auto"/>
            </w:tcBorders>
          </w:tcPr>
          <w:p w14:paraId="2006C22F" w14:textId="1F8EDA83" w:rsidR="00272B25" w:rsidRPr="005608B1" w:rsidRDefault="00272B25" w:rsidP="005608B1">
            <w:pPr>
              <w:pStyle w:val="051Tabletext228pt"/>
              <w:ind w:left="-57" w:right="-57"/>
              <w:rPr>
                <w:rFonts w:asciiTheme="minorHAnsi" w:hAnsiTheme="minorHAnsi" w:cstheme="minorHAnsi"/>
                <w:sz w:val="18"/>
                <w:szCs w:val="18"/>
              </w:rPr>
            </w:pPr>
            <w:proofErr w:type="spellStart"/>
            <w:r w:rsidRPr="005608B1">
              <w:rPr>
                <w:rFonts w:asciiTheme="minorHAnsi" w:hAnsiTheme="minorHAnsi" w:cstheme="minorHAnsi"/>
                <w:sz w:val="18"/>
                <w:szCs w:val="18"/>
              </w:rPr>
              <w:t>Canós-Verdecho</w:t>
            </w:r>
            <w:proofErr w:type="spellEnd"/>
            <w:r w:rsidRPr="005608B1">
              <w:rPr>
                <w:rFonts w:asciiTheme="minorHAnsi" w:hAnsiTheme="minorHAnsi" w:cstheme="minorHAnsi"/>
                <w:sz w:val="18"/>
                <w:szCs w:val="18"/>
              </w:rPr>
              <w:t xml:space="preserve"> (202</w:t>
            </w:r>
            <w:r w:rsidR="005D5FD9">
              <w:rPr>
                <w:rFonts w:asciiTheme="minorHAnsi" w:hAnsiTheme="minorHAnsi" w:cstheme="minorHAnsi"/>
                <w:sz w:val="18"/>
                <w:szCs w:val="18"/>
              </w:rPr>
              <w:t>1</w:t>
            </w:r>
            <w:r w:rsidRPr="005608B1">
              <w:rPr>
                <w:rFonts w:asciiTheme="minorHAnsi" w:hAnsiTheme="minorHAnsi" w:cstheme="minorHAnsi"/>
                <w:sz w:val="18"/>
                <w:szCs w:val="18"/>
              </w:rPr>
              <w:t>)</w:t>
            </w:r>
          </w:p>
        </w:tc>
        <w:tc>
          <w:tcPr>
            <w:tcW w:w="948" w:type="pct"/>
            <w:tcBorders>
              <w:top w:val="dotted" w:sz="4" w:space="0" w:color="auto"/>
            </w:tcBorders>
          </w:tcPr>
          <w:p w14:paraId="3E5450E7" w14:textId="3BE575FC" w:rsidR="00272B25" w:rsidRPr="005608B1" w:rsidRDefault="00DB6434"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SF-12</w:t>
            </w:r>
            <w:r w:rsidR="00D64D8A">
              <w:rPr>
                <w:rFonts w:asciiTheme="minorHAnsi" w:hAnsiTheme="minorHAnsi" w:cstheme="minorHAnsi"/>
                <w:sz w:val="18"/>
                <w:szCs w:val="18"/>
              </w:rPr>
              <w:br/>
            </w:r>
            <w:r w:rsidR="00163F44" w:rsidRPr="005608B1">
              <w:rPr>
                <w:rFonts w:asciiTheme="minorHAnsi" w:hAnsiTheme="minorHAnsi" w:cstheme="minorHAnsi"/>
                <w:sz w:val="18"/>
                <w:szCs w:val="18"/>
              </w:rPr>
              <w:t>345 (NR)</w:t>
            </w:r>
          </w:p>
        </w:tc>
        <w:tc>
          <w:tcPr>
            <w:tcW w:w="986" w:type="pct"/>
            <w:tcBorders>
              <w:top w:val="dotted" w:sz="4" w:space="0" w:color="auto"/>
            </w:tcBorders>
          </w:tcPr>
          <w:p w14:paraId="43B080DD" w14:textId="3A3C834B" w:rsidR="00272B25" w:rsidRPr="005608B1" w:rsidRDefault="005B041B"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SF-12</w:t>
            </w:r>
            <w:r w:rsidR="00D64D8A">
              <w:rPr>
                <w:rFonts w:asciiTheme="minorHAnsi" w:hAnsiTheme="minorHAnsi" w:cstheme="minorHAnsi"/>
                <w:sz w:val="18"/>
                <w:szCs w:val="18"/>
              </w:rPr>
              <w:br/>
            </w:r>
            <w:r w:rsidRPr="005608B1">
              <w:rPr>
                <w:rFonts w:asciiTheme="minorHAnsi" w:hAnsiTheme="minorHAnsi" w:cstheme="minorHAnsi"/>
                <w:sz w:val="18"/>
                <w:szCs w:val="18"/>
              </w:rPr>
              <w:t>3</w:t>
            </w:r>
            <w:r w:rsidR="00C64418" w:rsidRPr="005608B1">
              <w:rPr>
                <w:rFonts w:asciiTheme="minorHAnsi" w:hAnsiTheme="minorHAnsi" w:cstheme="minorHAnsi"/>
                <w:sz w:val="18"/>
                <w:szCs w:val="18"/>
              </w:rPr>
              <w:t>6</w:t>
            </w:r>
            <w:r w:rsidRPr="005608B1">
              <w:rPr>
                <w:rFonts w:asciiTheme="minorHAnsi" w:hAnsiTheme="minorHAnsi" w:cstheme="minorHAnsi"/>
                <w:sz w:val="18"/>
                <w:szCs w:val="18"/>
              </w:rPr>
              <w:t>5 (NR)</w:t>
            </w:r>
          </w:p>
        </w:tc>
        <w:tc>
          <w:tcPr>
            <w:tcW w:w="949" w:type="pct"/>
            <w:tcBorders>
              <w:top w:val="dotted" w:sz="4" w:space="0" w:color="auto"/>
            </w:tcBorders>
          </w:tcPr>
          <w:p w14:paraId="654C7B0B" w14:textId="31D35ACD" w:rsidR="00272B25" w:rsidRPr="005608B1" w:rsidRDefault="00C64418"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MD 20 (NR)</w:t>
            </w:r>
          </w:p>
        </w:tc>
        <w:tc>
          <w:tcPr>
            <w:tcW w:w="660" w:type="pct"/>
            <w:tcBorders>
              <w:top w:val="dotted" w:sz="4" w:space="0" w:color="auto"/>
            </w:tcBorders>
          </w:tcPr>
          <w:p w14:paraId="42195041" w14:textId="77777777" w:rsidR="00272B25" w:rsidRPr="005608B1" w:rsidRDefault="00272B25" w:rsidP="005608B1">
            <w:pPr>
              <w:pStyle w:val="051Tabletext228pt"/>
              <w:ind w:left="-57" w:right="-57"/>
              <w:rPr>
                <w:rFonts w:asciiTheme="minorHAnsi" w:hAnsiTheme="minorHAnsi" w:cstheme="minorHAnsi"/>
                <w:sz w:val="18"/>
                <w:szCs w:val="18"/>
              </w:rPr>
            </w:pPr>
          </w:p>
        </w:tc>
      </w:tr>
      <w:tr w:rsidR="008C03F2" w14:paraId="00486457" w14:textId="77777777" w:rsidTr="00572EBA">
        <w:tc>
          <w:tcPr>
            <w:tcW w:w="862" w:type="pct"/>
          </w:tcPr>
          <w:p w14:paraId="6486B0C3" w14:textId="11D4358C" w:rsidR="006D5EA3" w:rsidRPr="005608B1" w:rsidRDefault="006D5EA3"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lastRenderedPageBreak/>
              <w:t>Device</w:t>
            </w:r>
            <w:r w:rsidR="009F7414">
              <w:rPr>
                <w:rFonts w:asciiTheme="minorHAnsi" w:hAnsiTheme="minorHAnsi" w:cstheme="minorHAnsi"/>
                <w:sz w:val="18"/>
                <w:szCs w:val="18"/>
              </w:rPr>
              <w:t>-</w:t>
            </w:r>
            <w:r w:rsidRPr="005608B1">
              <w:rPr>
                <w:rFonts w:asciiTheme="minorHAnsi" w:hAnsiTheme="minorHAnsi" w:cstheme="minorHAnsi"/>
                <w:sz w:val="18"/>
                <w:szCs w:val="18"/>
              </w:rPr>
              <w:t xml:space="preserve">related </w:t>
            </w:r>
            <w:r w:rsidR="00004217">
              <w:rPr>
                <w:rFonts w:asciiTheme="minorHAnsi" w:hAnsiTheme="minorHAnsi" w:cstheme="minorHAnsi"/>
                <w:sz w:val="18"/>
                <w:szCs w:val="18"/>
              </w:rPr>
              <w:t>A</w:t>
            </w:r>
            <w:r w:rsidR="00004217" w:rsidRPr="005608B1">
              <w:rPr>
                <w:rFonts w:asciiTheme="minorHAnsi" w:hAnsiTheme="minorHAnsi" w:cstheme="minorHAnsi"/>
                <w:sz w:val="18"/>
                <w:szCs w:val="18"/>
              </w:rPr>
              <w:t>Es</w:t>
            </w:r>
          </w:p>
        </w:tc>
        <w:tc>
          <w:tcPr>
            <w:tcW w:w="595" w:type="pct"/>
            <w:gridSpan w:val="2"/>
          </w:tcPr>
          <w:p w14:paraId="3B3978B2" w14:textId="25FEFB80" w:rsidR="008778A2" w:rsidRPr="005608B1" w:rsidRDefault="00172C0A" w:rsidP="005608B1">
            <w:pPr>
              <w:pStyle w:val="051Tabletext228pt"/>
              <w:ind w:left="-57" w:right="-57"/>
              <w:rPr>
                <w:rFonts w:asciiTheme="minorHAnsi" w:hAnsiTheme="minorHAnsi" w:cstheme="minorHAnsi"/>
                <w:sz w:val="18"/>
                <w:szCs w:val="18"/>
              </w:rPr>
            </w:pPr>
            <w:r>
              <w:rPr>
                <w:rFonts w:asciiTheme="minorHAnsi" w:hAnsiTheme="minorHAnsi" w:cstheme="minorHAnsi"/>
                <w:sz w:val="18"/>
                <w:szCs w:val="18"/>
              </w:rPr>
              <w:t>SURF (</w:t>
            </w:r>
            <w:proofErr w:type="spellStart"/>
            <w:r w:rsidR="000F4DDB" w:rsidRPr="005608B1">
              <w:rPr>
                <w:rFonts w:asciiTheme="minorHAnsi" w:hAnsiTheme="minorHAnsi" w:cstheme="minorHAnsi"/>
                <w:sz w:val="18"/>
                <w:szCs w:val="18"/>
              </w:rPr>
              <w:t>Bolash</w:t>
            </w:r>
            <w:proofErr w:type="spellEnd"/>
            <w:r>
              <w:rPr>
                <w:rFonts w:asciiTheme="minorHAnsi" w:hAnsiTheme="minorHAnsi" w:cstheme="minorHAnsi"/>
                <w:sz w:val="18"/>
                <w:szCs w:val="18"/>
              </w:rPr>
              <w:t>,</w:t>
            </w:r>
            <w:r w:rsidR="000F4DDB" w:rsidRPr="005608B1">
              <w:rPr>
                <w:rFonts w:asciiTheme="minorHAnsi" w:hAnsiTheme="minorHAnsi" w:cstheme="minorHAnsi"/>
                <w:sz w:val="18"/>
                <w:szCs w:val="18"/>
              </w:rPr>
              <w:t xml:space="preserve"> 2019)</w:t>
            </w:r>
          </w:p>
        </w:tc>
        <w:tc>
          <w:tcPr>
            <w:tcW w:w="948" w:type="pct"/>
          </w:tcPr>
          <w:p w14:paraId="1E380335" w14:textId="68B1513D" w:rsidR="006D5EA3" w:rsidRPr="005608B1" w:rsidRDefault="00BD48B6"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1</w:t>
            </w:r>
            <w:r>
              <w:rPr>
                <w:rFonts w:asciiTheme="minorHAnsi" w:hAnsiTheme="minorHAnsi" w:cstheme="minorHAnsi"/>
                <w:sz w:val="18"/>
                <w:szCs w:val="18"/>
              </w:rPr>
              <w:t>2</w:t>
            </w:r>
            <w:r w:rsidR="00AD3415" w:rsidRPr="005608B1">
              <w:rPr>
                <w:rFonts w:asciiTheme="minorHAnsi" w:hAnsiTheme="minorHAnsi" w:cstheme="minorHAnsi"/>
                <w:sz w:val="18"/>
                <w:szCs w:val="18"/>
              </w:rPr>
              <w:t xml:space="preserve"> </w:t>
            </w:r>
            <w:r w:rsidR="00004217">
              <w:rPr>
                <w:rFonts w:asciiTheme="minorHAnsi" w:hAnsiTheme="minorHAnsi" w:cstheme="minorHAnsi"/>
                <w:sz w:val="18"/>
                <w:szCs w:val="18"/>
              </w:rPr>
              <w:t>A</w:t>
            </w:r>
            <w:r w:rsidR="00004217" w:rsidRPr="005608B1">
              <w:rPr>
                <w:rFonts w:asciiTheme="minorHAnsi" w:hAnsiTheme="minorHAnsi" w:cstheme="minorHAnsi"/>
                <w:sz w:val="18"/>
                <w:szCs w:val="18"/>
              </w:rPr>
              <w:t xml:space="preserve">Es </w:t>
            </w:r>
            <w:r w:rsidR="00B12232" w:rsidRPr="005608B1">
              <w:rPr>
                <w:rFonts w:asciiTheme="minorHAnsi" w:hAnsiTheme="minorHAnsi" w:cstheme="minorHAnsi"/>
                <w:sz w:val="18"/>
                <w:szCs w:val="18"/>
              </w:rPr>
              <w:t xml:space="preserve">in </w:t>
            </w:r>
            <w:r>
              <w:rPr>
                <w:rFonts w:asciiTheme="minorHAnsi" w:hAnsiTheme="minorHAnsi" w:cstheme="minorHAnsi"/>
                <w:sz w:val="18"/>
                <w:szCs w:val="18"/>
              </w:rPr>
              <w:t>11</w:t>
            </w:r>
            <w:r w:rsidR="005B169B" w:rsidRPr="005608B1">
              <w:rPr>
                <w:rFonts w:asciiTheme="minorHAnsi" w:hAnsiTheme="minorHAnsi" w:cstheme="minorHAnsi"/>
                <w:sz w:val="18"/>
                <w:szCs w:val="18"/>
              </w:rPr>
              <w:t xml:space="preserve"> subjects</w:t>
            </w:r>
          </w:p>
        </w:tc>
        <w:tc>
          <w:tcPr>
            <w:tcW w:w="986" w:type="pct"/>
          </w:tcPr>
          <w:p w14:paraId="65DFBDFA" w14:textId="415EE9B0" w:rsidR="006D5EA3" w:rsidRPr="005608B1" w:rsidRDefault="005B169B"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25</w:t>
            </w:r>
            <w:r w:rsidRPr="005608B1" w:rsidDel="00004217">
              <w:rPr>
                <w:rFonts w:asciiTheme="minorHAnsi" w:hAnsiTheme="minorHAnsi" w:cstheme="minorHAnsi"/>
                <w:sz w:val="18"/>
                <w:szCs w:val="18"/>
              </w:rPr>
              <w:t xml:space="preserve"> </w:t>
            </w:r>
            <w:r w:rsidR="00004217">
              <w:rPr>
                <w:rFonts w:asciiTheme="minorHAnsi" w:hAnsiTheme="minorHAnsi" w:cstheme="minorHAnsi"/>
                <w:sz w:val="18"/>
                <w:szCs w:val="18"/>
              </w:rPr>
              <w:t>A</w:t>
            </w:r>
            <w:r w:rsidR="00004217" w:rsidRPr="005608B1">
              <w:rPr>
                <w:rFonts w:asciiTheme="minorHAnsi" w:hAnsiTheme="minorHAnsi" w:cstheme="minorHAnsi"/>
                <w:sz w:val="18"/>
                <w:szCs w:val="18"/>
              </w:rPr>
              <w:t xml:space="preserve">Es </w:t>
            </w:r>
            <w:r w:rsidRPr="005608B1">
              <w:rPr>
                <w:rFonts w:asciiTheme="minorHAnsi" w:hAnsiTheme="minorHAnsi" w:cstheme="minorHAnsi"/>
                <w:sz w:val="18"/>
                <w:szCs w:val="18"/>
              </w:rPr>
              <w:t>in 15 subjects (1 serious)</w:t>
            </w:r>
          </w:p>
        </w:tc>
        <w:tc>
          <w:tcPr>
            <w:tcW w:w="949" w:type="pct"/>
          </w:tcPr>
          <w:p w14:paraId="538802BA" w14:textId="77777777" w:rsidR="006D5EA3" w:rsidRPr="005608B1" w:rsidRDefault="006D5EA3"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w:t>
            </w:r>
          </w:p>
        </w:tc>
        <w:tc>
          <w:tcPr>
            <w:tcW w:w="660" w:type="pct"/>
          </w:tcPr>
          <w:p w14:paraId="72992CFF" w14:textId="6C235EAE" w:rsidR="00EB614A" w:rsidRPr="005608B1" w:rsidRDefault="002972F8" w:rsidP="005608B1">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w:t>
            </w:r>
          </w:p>
        </w:tc>
      </w:tr>
      <w:tr w:rsidR="0094465C" w:rsidRPr="00845D76" w14:paraId="711B242D" w14:textId="77777777" w:rsidTr="00770DF1">
        <w:tc>
          <w:tcPr>
            <w:tcW w:w="1324" w:type="pct"/>
            <w:gridSpan w:val="2"/>
            <w:shd w:val="clear" w:color="auto" w:fill="F2F2F2" w:themeFill="background1" w:themeFillShade="F2"/>
          </w:tcPr>
          <w:p w14:paraId="52894557" w14:textId="77777777" w:rsidR="0094465C" w:rsidRPr="00845D76" w:rsidRDefault="0094465C" w:rsidP="00845D76">
            <w:pPr>
              <w:pStyle w:val="031Tablesubheading8pt"/>
              <w:rPr>
                <w:sz w:val="18"/>
                <w:szCs w:val="24"/>
              </w:rPr>
            </w:pPr>
            <w:r w:rsidRPr="00845D76">
              <w:rPr>
                <w:sz w:val="18"/>
                <w:szCs w:val="24"/>
              </w:rPr>
              <w:t>Long term (≥12 months)</w:t>
            </w:r>
          </w:p>
        </w:tc>
        <w:tc>
          <w:tcPr>
            <w:tcW w:w="133" w:type="pct"/>
            <w:shd w:val="clear" w:color="auto" w:fill="F2F2F2" w:themeFill="background1" w:themeFillShade="F2"/>
          </w:tcPr>
          <w:p w14:paraId="20189CE1" w14:textId="59ACBADB" w:rsidR="0094465C" w:rsidRPr="00845D76" w:rsidRDefault="0094465C" w:rsidP="00845D76">
            <w:pPr>
              <w:pStyle w:val="031Tablesubheading8pt"/>
              <w:rPr>
                <w:sz w:val="18"/>
                <w:szCs w:val="24"/>
              </w:rPr>
            </w:pPr>
          </w:p>
        </w:tc>
        <w:tc>
          <w:tcPr>
            <w:tcW w:w="0" w:type="pct"/>
            <w:shd w:val="clear" w:color="auto" w:fill="F2F2F2" w:themeFill="background1" w:themeFillShade="F2"/>
          </w:tcPr>
          <w:p w14:paraId="0B6FEC53" w14:textId="4D325CA2" w:rsidR="0094465C" w:rsidRPr="00845D76" w:rsidRDefault="0094465C" w:rsidP="005608B1">
            <w:pPr>
              <w:pStyle w:val="051Tabletext228pt"/>
              <w:ind w:left="-57" w:right="-57"/>
              <w:rPr>
                <w:rFonts w:asciiTheme="minorHAnsi" w:hAnsiTheme="minorHAnsi" w:cstheme="minorHAnsi"/>
                <w:sz w:val="18"/>
                <w:szCs w:val="24"/>
              </w:rPr>
            </w:pPr>
          </w:p>
        </w:tc>
        <w:tc>
          <w:tcPr>
            <w:tcW w:w="0" w:type="pct"/>
            <w:shd w:val="clear" w:color="auto" w:fill="F2F2F2" w:themeFill="background1" w:themeFillShade="F2"/>
          </w:tcPr>
          <w:p w14:paraId="5FC9E087" w14:textId="77777777" w:rsidR="0094465C" w:rsidRPr="00845D76" w:rsidRDefault="0094465C" w:rsidP="005608B1">
            <w:pPr>
              <w:pStyle w:val="051Tabletext228pt"/>
              <w:ind w:left="-57" w:right="-57"/>
              <w:rPr>
                <w:rFonts w:asciiTheme="minorHAnsi" w:hAnsiTheme="minorHAnsi" w:cstheme="minorHAnsi"/>
                <w:sz w:val="18"/>
                <w:szCs w:val="24"/>
              </w:rPr>
            </w:pPr>
          </w:p>
        </w:tc>
        <w:tc>
          <w:tcPr>
            <w:tcW w:w="0" w:type="pct"/>
            <w:shd w:val="clear" w:color="auto" w:fill="F2F2F2" w:themeFill="background1" w:themeFillShade="F2"/>
          </w:tcPr>
          <w:p w14:paraId="5EB7739B" w14:textId="77777777" w:rsidR="0094465C" w:rsidRPr="00845D76" w:rsidRDefault="0094465C" w:rsidP="005608B1">
            <w:pPr>
              <w:pStyle w:val="051Tabletext228pt"/>
              <w:ind w:left="-57" w:right="-57"/>
              <w:rPr>
                <w:rFonts w:asciiTheme="minorHAnsi" w:hAnsiTheme="minorHAnsi" w:cstheme="minorHAnsi"/>
                <w:sz w:val="18"/>
                <w:szCs w:val="24"/>
              </w:rPr>
            </w:pPr>
          </w:p>
        </w:tc>
        <w:tc>
          <w:tcPr>
            <w:tcW w:w="0" w:type="pct"/>
            <w:shd w:val="clear" w:color="auto" w:fill="F2F2F2" w:themeFill="background1" w:themeFillShade="F2"/>
          </w:tcPr>
          <w:p w14:paraId="240D5484" w14:textId="77777777" w:rsidR="0094465C" w:rsidRPr="00845D76" w:rsidRDefault="0094465C" w:rsidP="005608B1">
            <w:pPr>
              <w:pStyle w:val="051Tabletext228pt"/>
              <w:ind w:left="-57" w:right="-57"/>
              <w:rPr>
                <w:rFonts w:asciiTheme="minorHAnsi" w:hAnsiTheme="minorHAnsi" w:cstheme="minorHAnsi"/>
                <w:sz w:val="18"/>
                <w:szCs w:val="24"/>
              </w:rPr>
            </w:pPr>
          </w:p>
        </w:tc>
      </w:tr>
      <w:tr w:rsidR="007D6CDA" w14:paraId="664B2D9B" w14:textId="77777777" w:rsidTr="005544EC">
        <w:tc>
          <w:tcPr>
            <w:tcW w:w="862" w:type="pct"/>
            <w:tcBorders>
              <w:bottom w:val="nil"/>
            </w:tcBorders>
          </w:tcPr>
          <w:p w14:paraId="309492B6" w14:textId="11E10EC8" w:rsidR="007D6CDA" w:rsidRPr="005608B1" w:rsidRDefault="007D6CDA" w:rsidP="007D6CDA">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Pain intensity (mean change baseline to follow-up)</w:t>
            </w:r>
          </w:p>
        </w:tc>
        <w:tc>
          <w:tcPr>
            <w:tcW w:w="595" w:type="pct"/>
            <w:gridSpan w:val="2"/>
            <w:tcBorders>
              <w:bottom w:val="dotted" w:sz="4" w:space="0" w:color="auto"/>
            </w:tcBorders>
          </w:tcPr>
          <w:p w14:paraId="4ECD1D11" w14:textId="28B7EFA1" w:rsidR="007D6CDA" w:rsidRPr="005608B1" w:rsidRDefault="007D6CDA" w:rsidP="007D6CDA">
            <w:pPr>
              <w:pStyle w:val="051Tabletext228pt"/>
              <w:ind w:left="-57" w:right="-57"/>
              <w:rPr>
                <w:rFonts w:asciiTheme="minorHAnsi" w:hAnsiTheme="minorHAnsi" w:cstheme="minorHAnsi"/>
                <w:sz w:val="18"/>
                <w:szCs w:val="18"/>
              </w:rPr>
            </w:pPr>
            <w:proofErr w:type="spellStart"/>
            <w:r w:rsidRPr="005608B1">
              <w:rPr>
                <w:rFonts w:asciiTheme="minorHAnsi" w:hAnsiTheme="minorHAnsi" w:cstheme="minorHAnsi"/>
                <w:sz w:val="18"/>
                <w:szCs w:val="18"/>
              </w:rPr>
              <w:t>Canós-Verdecho</w:t>
            </w:r>
            <w:proofErr w:type="spellEnd"/>
            <w:r w:rsidRPr="005608B1">
              <w:rPr>
                <w:rFonts w:asciiTheme="minorHAnsi" w:hAnsiTheme="minorHAnsi" w:cstheme="minorHAnsi"/>
                <w:sz w:val="18"/>
                <w:szCs w:val="18"/>
              </w:rPr>
              <w:t xml:space="preserve"> (</w:t>
            </w:r>
            <w:r w:rsidR="00CB2371" w:rsidRPr="005608B1">
              <w:rPr>
                <w:rFonts w:asciiTheme="minorHAnsi" w:hAnsiTheme="minorHAnsi" w:cstheme="minorHAnsi"/>
                <w:sz w:val="18"/>
                <w:szCs w:val="18"/>
              </w:rPr>
              <w:t>202</w:t>
            </w:r>
            <w:r w:rsidR="005D5FD9">
              <w:rPr>
                <w:rFonts w:asciiTheme="minorHAnsi" w:hAnsiTheme="minorHAnsi" w:cstheme="minorHAnsi"/>
                <w:sz w:val="18"/>
                <w:szCs w:val="18"/>
              </w:rPr>
              <w:t>1</w:t>
            </w:r>
            <w:r w:rsidRPr="005608B1">
              <w:rPr>
                <w:rFonts w:asciiTheme="minorHAnsi" w:hAnsiTheme="minorHAnsi" w:cstheme="minorHAnsi"/>
                <w:sz w:val="18"/>
                <w:szCs w:val="18"/>
              </w:rPr>
              <w:t>)</w:t>
            </w:r>
          </w:p>
        </w:tc>
        <w:tc>
          <w:tcPr>
            <w:tcW w:w="948" w:type="pct"/>
            <w:tcBorders>
              <w:bottom w:val="dotted" w:sz="4" w:space="0" w:color="auto"/>
            </w:tcBorders>
          </w:tcPr>
          <w:p w14:paraId="2DE103EC" w14:textId="32B43EC1" w:rsidR="007D6CDA" w:rsidRPr="005608B1" w:rsidRDefault="007D6CDA" w:rsidP="007D6CDA">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4</w:t>
            </w:r>
            <w:r>
              <w:rPr>
                <w:rFonts w:asciiTheme="minorHAnsi" w:hAnsiTheme="minorHAnsi" w:cstheme="minorHAnsi"/>
                <w:sz w:val="18"/>
                <w:szCs w:val="18"/>
              </w:rPr>
              <w:t>.</w:t>
            </w:r>
            <w:r w:rsidRPr="005608B1">
              <w:rPr>
                <w:rFonts w:asciiTheme="minorHAnsi" w:hAnsiTheme="minorHAnsi" w:cstheme="minorHAnsi"/>
                <w:sz w:val="18"/>
                <w:szCs w:val="18"/>
              </w:rPr>
              <w:t>8 (2</w:t>
            </w:r>
            <w:r>
              <w:rPr>
                <w:rFonts w:asciiTheme="minorHAnsi" w:hAnsiTheme="minorHAnsi" w:cstheme="minorHAnsi"/>
                <w:sz w:val="18"/>
                <w:szCs w:val="18"/>
              </w:rPr>
              <w:t>.</w:t>
            </w:r>
            <w:r w:rsidRPr="005608B1">
              <w:rPr>
                <w:rFonts w:asciiTheme="minorHAnsi" w:hAnsiTheme="minorHAnsi" w:cstheme="minorHAnsi"/>
                <w:sz w:val="18"/>
                <w:szCs w:val="18"/>
              </w:rPr>
              <w:t>0 SEM)</w:t>
            </w:r>
          </w:p>
        </w:tc>
        <w:tc>
          <w:tcPr>
            <w:tcW w:w="986" w:type="pct"/>
            <w:tcBorders>
              <w:bottom w:val="dotted" w:sz="4" w:space="0" w:color="auto"/>
            </w:tcBorders>
          </w:tcPr>
          <w:p w14:paraId="2C603A0B" w14:textId="50A458C7" w:rsidR="007D6CDA" w:rsidRPr="005608B1" w:rsidRDefault="007D6CDA" w:rsidP="007D6CDA">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5</w:t>
            </w:r>
            <w:r>
              <w:rPr>
                <w:rFonts w:asciiTheme="minorHAnsi" w:hAnsiTheme="minorHAnsi" w:cstheme="minorHAnsi"/>
                <w:sz w:val="18"/>
                <w:szCs w:val="18"/>
              </w:rPr>
              <w:t>.</w:t>
            </w:r>
            <w:r w:rsidRPr="005608B1">
              <w:rPr>
                <w:rFonts w:asciiTheme="minorHAnsi" w:hAnsiTheme="minorHAnsi" w:cstheme="minorHAnsi"/>
                <w:sz w:val="18"/>
                <w:szCs w:val="18"/>
              </w:rPr>
              <w:t>6 (1</w:t>
            </w:r>
            <w:r>
              <w:rPr>
                <w:rFonts w:asciiTheme="minorHAnsi" w:hAnsiTheme="minorHAnsi" w:cstheme="minorHAnsi"/>
                <w:sz w:val="18"/>
                <w:szCs w:val="18"/>
              </w:rPr>
              <w:t>.</w:t>
            </w:r>
            <w:r w:rsidRPr="005608B1">
              <w:rPr>
                <w:rFonts w:asciiTheme="minorHAnsi" w:hAnsiTheme="minorHAnsi" w:cstheme="minorHAnsi"/>
                <w:sz w:val="18"/>
                <w:szCs w:val="18"/>
              </w:rPr>
              <w:t>0 SEM)</w:t>
            </w:r>
          </w:p>
        </w:tc>
        <w:tc>
          <w:tcPr>
            <w:tcW w:w="949" w:type="pct"/>
            <w:tcBorders>
              <w:bottom w:val="dotted" w:sz="4" w:space="0" w:color="auto"/>
            </w:tcBorders>
          </w:tcPr>
          <w:p w14:paraId="029F9283" w14:textId="1C8604C0" w:rsidR="007D6CDA" w:rsidRPr="005608B1" w:rsidRDefault="007D6CDA" w:rsidP="007D6CDA">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Pr>
                <w:rFonts w:asciiTheme="minorHAnsi" w:hAnsiTheme="minorHAnsi" w:cstheme="minorHAnsi"/>
                <w:sz w:val="18"/>
                <w:szCs w:val="18"/>
              </w:rPr>
              <w:t>0.</w:t>
            </w:r>
            <w:r w:rsidRPr="005608B1">
              <w:rPr>
                <w:rFonts w:asciiTheme="minorHAnsi" w:hAnsiTheme="minorHAnsi" w:cstheme="minorHAnsi"/>
                <w:sz w:val="18"/>
                <w:szCs w:val="18"/>
              </w:rPr>
              <w:t>8 (NR)</w:t>
            </w:r>
          </w:p>
        </w:tc>
        <w:tc>
          <w:tcPr>
            <w:tcW w:w="660" w:type="pct"/>
            <w:tcBorders>
              <w:bottom w:val="dotted" w:sz="4" w:space="0" w:color="auto"/>
            </w:tcBorders>
          </w:tcPr>
          <w:p w14:paraId="3EC46F40" w14:textId="5BF594F8" w:rsidR="007D6CDA" w:rsidRPr="005608B1" w:rsidRDefault="007D6CDA" w:rsidP="007D6CDA">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NR</w:t>
            </w:r>
          </w:p>
        </w:tc>
      </w:tr>
      <w:tr w:rsidR="00E816E4" w14:paraId="06873A86" w14:textId="77777777" w:rsidTr="005544EC">
        <w:tc>
          <w:tcPr>
            <w:tcW w:w="862" w:type="pct"/>
            <w:tcBorders>
              <w:top w:val="nil"/>
              <w:bottom w:val="nil"/>
            </w:tcBorders>
          </w:tcPr>
          <w:p w14:paraId="05B7F4D5" w14:textId="77777777" w:rsidR="00E816E4" w:rsidRPr="005608B1" w:rsidRDefault="00E816E4" w:rsidP="00E816E4">
            <w:pPr>
              <w:pStyle w:val="051Tabletext228pt"/>
              <w:ind w:left="-57" w:right="-57"/>
              <w:rPr>
                <w:rFonts w:asciiTheme="minorHAnsi" w:hAnsiTheme="minorHAnsi" w:cstheme="minorHAnsi"/>
                <w:sz w:val="18"/>
                <w:szCs w:val="18"/>
              </w:rPr>
            </w:pPr>
          </w:p>
        </w:tc>
        <w:tc>
          <w:tcPr>
            <w:tcW w:w="595" w:type="pct"/>
            <w:gridSpan w:val="2"/>
            <w:tcBorders>
              <w:top w:val="dotted" w:sz="4" w:space="0" w:color="auto"/>
              <w:bottom w:val="dotted" w:sz="4" w:space="0" w:color="auto"/>
            </w:tcBorders>
          </w:tcPr>
          <w:p w14:paraId="7D383883" w14:textId="37B0863B"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De Andres (2017)</w:t>
            </w:r>
          </w:p>
        </w:tc>
        <w:tc>
          <w:tcPr>
            <w:tcW w:w="948" w:type="pct"/>
            <w:tcBorders>
              <w:top w:val="dotted" w:sz="4" w:space="0" w:color="auto"/>
              <w:bottom w:val="dotted" w:sz="4" w:space="0" w:color="auto"/>
            </w:tcBorders>
          </w:tcPr>
          <w:p w14:paraId="70DCEF13" w14:textId="7DBDFA1E" w:rsidR="00E816E4" w:rsidRPr="005608B1" w:rsidRDefault="00E816E4" w:rsidP="00E816E4">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Pr="005608B1">
              <w:rPr>
                <w:rFonts w:asciiTheme="minorHAnsi" w:hAnsiTheme="minorHAnsi" w:cstheme="minorHAnsi"/>
                <w:sz w:val="18"/>
                <w:szCs w:val="18"/>
              </w:rPr>
              <w:t>1</w:t>
            </w:r>
            <w:r>
              <w:rPr>
                <w:rFonts w:asciiTheme="minorHAnsi" w:hAnsiTheme="minorHAnsi" w:cstheme="minorHAnsi"/>
                <w:sz w:val="18"/>
                <w:szCs w:val="18"/>
              </w:rPr>
              <w:t>.</w:t>
            </w:r>
            <w:r w:rsidRPr="005608B1">
              <w:rPr>
                <w:rFonts w:asciiTheme="minorHAnsi" w:hAnsiTheme="minorHAnsi" w:cstheme="minorHAnsi"/>
                <w:sz w:val="18"/>
                <w:szCs w:val="18"/>
              </w:rPr>
              <w:t>82 (2</w:t>
            </w:r>
            <w:r>
              <w:rPr>
                <w:rFonts w:asciiTheme="minorHAnsi" w:hAnsiTheme="minorHAnsi" w:cstheme="minorHAnsi"/>
                <w:sz w:val="18"/>
                <w:szCs w:val="18"/>
              </w:rPr>
              <w:t>.</w:t>
            </w:r>
            <w:r w:rsidRPr="005608B1">
              <w:rPr>
                <w:rFonts w:asciiTheme="minorHAnsi" w:hAnsiTheme="minorHAnsi" w:cstheme="minorHAnsi"/>
                <w:sz w:val="18"/>
                <w:szCs w:val="18"/>
              </w:rPr>
              <w:t>45 SD)</w:t>
            </w:r>
          </w:p>
        </w:tc>
        <w:tc>
          <w:tcPr>
            <w:tcW w:w="986" w:type="pct"/>
            <w:tcBorders>
              <w:top w:val="dotted" w:sz="4" w:space="0" w:color="auto"/>
              <w:bottom w:val="dotted" w:sz="4" w:space="0" w:color="auto"/>
            </w:tcBorders>
          </w:tcPr>
          <w:p w14:paraId="66CCA4E9" w14:textId="08100614" w:rsidR="00E816E4" w:rsidRPr="005608B1" w:rsidRDefault="00E816E4" w:rsidP="00E816E4">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Pr="005608B1">
              <w:rPr>
                <w:rFonts w:asciiTheme="minorHAnsi" w:hAnsiTheme="minorHAnsi" w:cstheme="minorHAnsi"/>
                <w:sz w:val="18"/>
                <w:szCs w:val="18"/>
              </w:rPr>
              <w:t>1</w:t>
            </w:r>
            <w:r>
              <w:rPr>
                <w:rFonts w:asciiTheme="minorHAnsi" w:hAnsiTheme="minorHAnsi" w:cstheme="minorHAnsi"/>
                <w:sz w:val="18"/>
                <w:szCs w:val="18"/>
              </w:rPr>
              <w:t>.</w:t>
            </w:r>
            <w:r w:rsidRPr="005608B1">
              <w:rPr>
                <w:rFonts w:asciiTheme="minorHAnsi" w:hAnsiTheme="minorHAnsi" w:cstheme="minorHAnsi"/>
                <w:sz w:val="18"/>
                <w:szCs w:val="18"/>
              </w:rPr>
              <w:t>44 (2</w:t>
            </w:r>
            <w:r>
              <w:rPr>
                <w:rFonts w:asciiTheme="minorHAnsi" w:hAnsiTheme="minorHAnsi" w:cstheme="minorHAnsi"/>
                <w:sz w:val="18"/>
                <w:szCs w:val="18"/>
              </w:rPr>
              <w:t>.</w:t>
            </w:r>
            <w:r w:rsidRPr="005608B1">
              <w:rPr>
                <w:rFonts w:asciiTheme="minorHAnsi" w:hAnsiTheme="minorHAnsi" w:cstheme="minorHAnsi"/>
                <w:sz w:val="18"/>
                <w:szCs w:val="18"/>
              </w:rPr>
              <w:t>28 SD)</w:t>
            </w:r>
          </w:p>
        </w:tc>
        <w:tc>
          <w:tcPr>
            <w:tcW w:w="949" w:type="pct"/>
            <w:tcBorders>
              <w:top w:val="dotted" w:sz="4" w:space="0" w:color="auto"/>
              <w:bottom w:val="dotted" w:sz="4" w:space="0" w:color="auto"/>
            </w:tcBorders>
          </w:tcPr>
          <w:p w14:paraId="53DF65F8" w14:textId="2571E80F"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Pr>
                <w:rFonts w:asciiTheme="minorHAnsi" w:hAnsiTheme="minorHAnsi" w:cstheme="minorHAnsi"/>
                <w:sz w:val="18"/>
                <w:szCs w:val="18"/>
              </w:rPr>
              <w:t>0.</w:t>
            </w:r>
            <w:r w:rsidRPr="005608B1">
              <w:rPr>
                <w:rFonts w:asciiTheme="minorHAnsi" w:hAnsiTheme="minorHAnsi" w:cstheme="minorHAnsi"/>
                <w:sz w:val="18"/>
                <w:szCs w:val="18"/>
              </w:rPr>
              <w:t>38 (NR)</w:t>
            </w:r>
          </w:p>
        </w:tc>
        <w:tc>
          <w:tcPr>
            <w:tcW w:w="660" w:type="pct"/>
            <w:tcBorders>
              <w:top w:val="dotted" w:sz="4" w:space="0" w:color="auto"/>
              <w:bottom w:val="dotted" w:sz="4" w:space="0" w:color="auto"/>
            </w:tcBorders>
          </w:tcPr>
          <w:p w14:paraId="3C57C771" w14:textId="0567D38F"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NS</w:t>
            </w:r>
          </w:p>
        </w:tc>
      </w:tr>
      <w:tr w:rsidR="00E816E4" w14:paraId="79A1F5AD" w14:textId="77777777" w:rsidTr="005544EC">
        <w:tc>
          <w:tcPr>
            <w:tcW w:w="862" w:type="pct"/>
            <w:tcBorders>
              <w:top w:val="nil"/>
            </w:tcBorders>
          </w:tcPr>
          <w:p w14:paraId="10EE2F28" w14:textId="77777777" w:rsidR="00E816E4" w:rsidRPr="005608B1" w:rsidRDefault="00E816E4" w:rsidP="00E816E4">
            <w:pPr>
              <w:pStyle w:val="051Tabletext228pt"/>
              <w:ind w:left="-57" w:right="-57"/>
              <w:rPr>
                <w:rFonts w:asciiTheme="minorHAnsi" w:hAnsiTheme="minorHAnsi" w:cstheme="minorHAnsi"/>
                <w:sz w:val="18"/>
                <w:szCs w:val="18"/>
              </w:rPr>
            </w:pPr>
          </w:p>
        </w:tc>
        <w:tc>
          <w:tcPr>
            <w:tcW w:w="595" w:type="pct"/>
            <w:gridSpan w:val="2"/>
            <w:tcBorders>
              <w:top w:val="dotted" w:sz="4" w:space="0" w:color="auto"/>
            </w:tcBorders>
          </w:tcPr>
          <w:p w14:paraId="1C93BD4B" w14:textId="18D9AC4E"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SENZA-RCT</w:t>
            </w:r>
            <w:r w:rsidR="006E37FC" w:rsidRPr="006E37FC">
              <w:rPr>
                <w:rFonts w:asciiTheme="minorHAnsi" w:hAnsiTheme="minorHAnsi" w:cstheme="minorHAnsi"/>
                <w:sz w:val="18"/>
                <w:szCs w:val="18"/>
              </w:rPr>
              <w:t xml:space="preserve"> (</w:t>
            </w:r>
            <w:proofErr w:type="spellStart"/>
            <w:r w:rsidR="006E37FC" w:rsidRPr="006E37FC">
              <w:rPr>
                <w:rFonts w:asciiTheme="minorHAnsi" w:hAnsiTheme="minorHAnsi" w:cstheme="minorHAnsi"/>
                <w:sz w:val="18"/>
                <w:szCs w:val="18"/>
              </w:rPr>
              <w:t>Kapural</w:t>
            </w:r>
            <w:proofErr w:type="spellEnd"/>
            <w:r w:rsidR="006E37FC" w:rsidRPr="006E37FC">
              <w:rPr>
                <w:rFonts w:asciiTheme="minorHAnsi" w:hAnsiTheme="minorHAnsi" w:cstheme="minorHAnsi"/>
                <w:sz w:val="18"/>
                <w:szCs w:val="18"/>
              </w:rPr>
              <w:t xml:space="preserve"> 201</w:t>
            </w:r>
            <w:r w:rsidR="004B173C">
              <w:rPr>
                <w:rFonts w:asciiTheme="minorHAnsi" w:hAnsiTheme="minorHAnsi" w:cstheme="minorHAnsi"/>
                <w:sz w:val="18"/>
                <w:szCs w:val="18"/>
              </w:rPr>
              <w:t>6</w:t>
            </w:r>
            <w:r w:rsidR="006E37FC" w:rsidRPr="006E37FC">
              <w:rPr>
                <w:rFonts w:asciiTheme="minorHAnsi" w:hAnsiTheme="minorHAnsi" w:cstheme="minorHAnsi"/>
                <w:sz w:val="18"/>
                <w:szCs w:val="18"/>
              </w:rPr>
              <w:t>)</w:t>
            </w:r>
          </w:p>
        </w:tc>
        <w:tc>
          <w:tcPr>
            <w:tcW w:w="948" w:type="pct"/>
            <w:tcBorders>
              <w:top w:val="dotted" w:sz="4" w:space="0" w:color="auto"/>
            </w:tcBorders>
          </w:tcPr>
          <w:p w14:paraId="0AA981C9" w14:textId="6607FE6A" w:rsidR="00E816E4" w:rsidRPr="005608B1" w:rsidRDefault="00E816E4" w:rsidP="00E816E4">
            <w:pPr>
              <w:pStyle w:val="051Tabletext228pt"/>
              <w:ind w:left="-57" w:right="-57"/>
              <w:rPr>
                <w:rFonts w:asciiTheme="minorHAnsi" w:eastAsia="Calibri" w:hAnsiTheme="minorHAnsi" w:cstheme="minorHAnsi"/>
                <w:sz w:val="18"/>
                <w:szCs w:val="18"/>
                <w:lang w:eastAsia="en-AU"/>
              </w:rPr>
            </w:pPr>
            <w:r>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5</w:t>
            </w:r>
            <w:r w:rsidR="007503C2">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0 (SD 2</w:t>
            </w:r>
            <w:r w:rsidR="007503C2">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5) (back)</w:t>
            </w:r>
            <w:r w:rsidR="00BE1527">
              <w:rPr>
                <w:rFonts w:asciiTheme="minorHAnsi" w:eastAsia="Calibri" w:hAnsiTheme="minorHAnsi" w:cstheme="minorHAnsi"/>
                <w:sz w:val="18"/>
                <w:szCs w:val="18"/>
                <w:lang w:eastAsia="en-AU"/>
              </w:rPr>
              <w:br/>
            </w:r>
          </w:p>
          <w:p w14:paraId="6AD19CB7" w14:textId="4F7AC709" w:rsidR="00E816E4" w:rsidRPr="005608B1" w:rsidRDefault="00E816E4" w:rsidP="00E816E4">
            <w:pPr>
              <w:pStyle w:val="051Tabletext228pt"/>
              <w:ind w:left="-57" w:right="-57"/>
              <w:rPr>
                <w:rFonts w:asciiTheme="minorHAnsi" w:hAnsiTheme="minorHAnsi" w:cstheme="minorHAnsi"/>
                <w:sz w:val="18"/>
                <w:szCs w:val="18"/>
              </w:rPr>
            </w:pPr>
            <w:r>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4</w:t>
            </w:r>
            <w:r w:rsidR="00250ABC">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7 (SD 2</w:t>
            </w:r>
            <w:r w:rsidR="00250ABC">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8) (leg)</w:t>
            </w:r>
          </w:p>
        </w:tc>
        <w:tc>
          <w:tcPr>
            <w:tcW w:w="986" w:type="pct"/>
            <w:tcBorders>
              <w:top w:val="dotted" w:sz="4" w:space="0" w:color="auto"/>
            </w:tcBorders>
          </w:tcPr>
          <w:p w14:paraId="5E5C1204" w14:textId="5BB80EDC" w:rsidR="00E816E4" w:rsidRPr="005608B1" w:rsidRDefault="00E816E4" w:rsidP="00E816E4">
            <w:pPr>
              <w:pStyle w:val="051Tabletext228pt"/>
              <w:ind w:left="-57" w:right="-57"/>
              <w:rPr>
                <w:rFonts w:asciiTheme="minorHAnsi" w:eastAsia="Calibri" w:hAnsiTheme="minorHAnsi" w:cstheme="minorHAnsi"/>
                <w:sz w:val="18"/>
                <w:szCs w:val="18"/>
                <w:lang w:eastAsia="en-AU"/>
              </w:rPr>
            </w:pPr>
            <w:r>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3</w:t>
            </w:r>
            <w:r w:rsidR="001012CC">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2 (SD 3</w:t>
            </w:r>
            <w:r w:rsidR="001012CC">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0) (back)</w:t>
            </w:r>
            <w:r w:rsidR="00BE1527">
              <w:rPr>
                <w:rFonts w:asciiTheme="minorHAnsi" w:eastAsia="Calibri" w:hAnsiTheme="minorHAnsi" w:cstheme="minorHAnsi"/>
                <w:sz w:val="18"/>
                <w:szCs w:val="18"/>
                <w:lang w:eastAsia="en-AU"/>
              </w:rPr>
              <w:br/>
            </w:r>
          </w:p>
          <w:p w14:paraId="06761AB6" w14:textId="46F7CD75" w:rsidR="00E816E4" w:rsidRPr="005608B1" w:rsidRDefault="00E816E4" w:rsidP="00E816E4">
            <w:pPr>
              <w:pStyle w:val="051Tabletext228pt"/>
              <w:ind w:left="-57" w:right="-57"/>
              <w:rPr>
                <w:rFonts w:asciiTheme="minorHAnsi" w:hAnsiTheme="minorHAnsi" w:cstheme="minorHAnsi"/>
                <w:sz w:val="18"/>
                <w:szCs w:val="18"/>
              </w:rPr>
            </w:pPr>
            <w:r>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3</w:t>
            </w:r>
            <w:r w:rsidR="001F6F8B">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7 (SD 3</w:t>
            </w:r>
            <w:r w:rsidR="001F6F8B">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0) (leg)</w:t>
            </w:r>
          </w:p>
        </w:tc>
        <w:tc>
          <w:tcPr>
            <w:tcW w:w="949" w:type="pct"/>
            <w:tcBorders>
              <w:top w:val="dotted" w:sz="4" w:space="0" w:color="auto"/>
            </w:tcBorders>
          </w:tcPr>
          <w:p w14:paraId="3445E688" w14:textId="215E3949" w:rsidR="00E816E4" w:rsidRPr="005608B1" w:rsidRDefault="00E816E4" w:rsidP="00E816E4">
            <w:pPr>
              <w:pStyle w:val="051Tabletext228pt"/>
              <w:ind w:left="-57" w:right="-57"/>
              <w:rPr>
                <w:rFonts w:asciiTheme="minorHAnsi" w:eastAsia="Calibri" w:hAnsiTheme="minorHAnsi" w:cstheme="minorHAnsi"/>
                <w:sz w:val="18"/>
                <w:szCs w:val="18"/>
                <w:lang w:eastAsia="en-AU"/>
              </w:rPr>
            </w:pPr>
            <w:r w:rsidRPr="005608B1">
              <w:rPr>
                <w:rFonts w:asciiTheme="minorHAnsi" w:eastAsia="Calibri" w:hAnsiTheme="minorHAnsi" w:cstheme="minorHAnsi"/>
                <w:sz w:val="18"/>
                <w:szCs w:val="18"/>
                <w:lang w:eastAsia="en-AU"/>
              </w:rPr>
              <w:t>-1</w:t>
            </w:r>
            <w:r w:rsidR="00E33F05">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7 (95% CI: -</w:t>
            </w:r>
            <w:r w:rsidR="00E33F05">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26 to -0</w:t>
            </w:r>
            <w:r w:rsidR="00E33F05">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8) (back)</w:t>
            </w:r>
          </w:p>
          <w:p w14:paraId="7BEB5FE7" w14:textId="15E12703"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eastAsia="Calibri" w:hAnsiTheme="minorHAnsi" w:cstheme="minorHAnsi"/>
                <w:sz w:val="18"/>
                <w:szCs w:val="18"/>
                <w:lang w:eastAsia="en-AU"/>
              </w:rPr>
              <w:t>-1</w:t>
            </w:r>
            <w:r w:rsidR="00E33F05">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0 (95% CI: -2</w:t>
            </w:r>
            <w:r w:rsidR="00E33F05">
              <w:rPr>
                <w:rFonts w:asciiTheme="minorHAnsi" w:eastAsia="Calibri" w:hAnsiTheme="minorHAnsi" w:cstheme="minorHAnsi"/>
                <w:sz w:val="18"/>
                <w:szCs w:val="18"/>
                <w:lang w:eastAsia="en-AU"/>
              </w:rPr>
              <w:t>.</w:t>
            </w:r>
            <w:r w:rsidRPr="005608B1">
              <w:rPr>
                <w:rFonts w:asciiTheme="minorHAnsi" w:eastAsia="Calibri" w:hAnsiTheme="minorHAnsi" w:cstheme="minorHAnsi"/>
                <w:sz w:val="18"/>
                <w:szCs w:val="18"/>
                <w:lang w:eastAsia="en-AU"/>
              </w:rPr>
              <w:t xml:space="preserve">0 to </w:t>
            </w:r>
            <w:r w:rsidR="00A32723">
              <w:rPr>
                <w:rFonts w:asciiTheme="minorHAnsi" w:eastAsia="Calibri" w:hAnsiTheme="minorHAnsi" w:cstheme="minorHAnsi"/>
                <w:sz w:val="18"/>
                <w:szCs w:val="18"/>
                <w:lang w:eastAsia="en-AU"/>
              </w:rPr>
              <w:noBreakHyphen/>
            </w:r>
            <w:r w:rsidR="00BF2790">
              <w:rPr>
                <w:rFonts w:asciiTheme="minorHAnsi" w:eastAsia="Calibri" w:hAnsiTheme="minorHAnsi" w:cstheme="minorHAnsi"/>
                <w:sz w:val="18"/>
                <w:szCs w:val="18"/>
                <w:lang w:eastAsia="en-AU"/>
              </w:rPr>
              <w:t>0.</w:t>
            </w:r>
            <w:r w:rsidRPr="005608B1">
              <w:rPr>
                <w:rFonts w:asciiTheme="minorHAnsi" w:eastAsia="Calibri" w:hAnsiTheme="minorHAnsi" w:cstheme="minorHAnsi"/>
                <w:sz w:val="18"/>
                <w:szCs w:val="18"/>
                <w:lang w:eastAsia="en-AU"/>
              </w:rPr>
              <w:t>1) (leg)</w:t>
            </w:r>
          </w:p>
        </w:tc>
        <w:tc>
          <w:tcPr>
            <w:tcW w:w="660" w:type="pct"/>
            <w:tcBorders>
              <w:top w:val="dotted" w:sz="4" w:space="0" w:color="auto"/>
            </w:tcBorders>
          </w:tcPr>
          <w:p w14:paraId="1659ADDB" w14:textId="70E9FA88"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P&lt;0.001 (back)</w:t>
            </w:r>
            <w:r w:rsidR="00FC61F5">
              <w:rPr>
                <w:rFonts w:asciiTheme="minorHAnsi" w:hAnsiTheme="minorHAnsi" w:cstheme="minorHAnsi"/>
                <w:sz w:val="18"/>
                <w:szCs w:val="18"/>
              </w:rPr>
              <w:br/>
            </w:r>
          </w:p>
          <w:p w14:paraId="0FCB0C12" w14:textId="6E34EB66"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P=0.03 (leg)</w:t>
            </w:r>
          </w:p>
        </w:tc>
      </w:tr>
      <w:tr w:rsidR="00E816E4" w14:paraId="43AF37B6" w14:textId="77777777" w:rsidTr="00617396">
        <w:tc>
          <w:tcPr>
            <w:tcW w:w="862" w:type="pct"/>
            <w:tcBorders>
              <w:bottom w:val="single" w:sz="4" w:space="0" w:color="auto"/>
            </w:tcBorders>
          </w:tcPr>
          <w:p w14:paraId="60ED05D9" w14:textId="35EFBA9E"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Pain intensity (≥ 50% relief)</w:t>
            </w:r>
          </w:p>
        </w:tc>
        <w:tc>
          <w:tcPr>
            <w:tcW w:w="595" w:type="pct"/>
            <w:gridSpan w:val="2"/>
            <w:tcBorders>
              <w:bottom w:val="single" w:sz="4" w:space="0" w:color="auto"/>
            </w:tcBorders>
          </w:tcPr>
          <w:p w14:paraId="000643AE" w14:textId="1D531817"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SENZA-RCT</w:t>
            </w:r>
            <w:r w:rsidR="006E37FC" w:rsidRPr="006E37FC">
              <w:rPr>
                <w:rFonts w:asciiTheme="minorHAnsi" w:hAnsiTheme="minorHAnsi" w:cstheme="minorHAnsi"/>
                <w:sz w:val="18"/>
                <w:szCs w:val="18"/>
              </w:rPr>
              <w:t xml:space="preserve"> (</w:t>
            </w:r>
            <w:proofErr w:type="spellStart"/>
            <w:r w:rsidR="006E37FC" w:rsidRPr="006E37FC">
              <w:rPr>
                <w:rFonts w:asciiTheme="minorHAnsi" w:hAnsiTheme="minorHAnsi" w:cstheme="minorHAnsi"/>
                <w:sz w:val="18"/>
                <w:szCs w:val="18"/>
              </w:rPr>
              <w:t>Kapural</w:t>
            </w:r>
            <w:proofErr w:type="spellEnd"/>
            <w:r w:rsidR="006E37FC" w:rsidRPr="006E37FC">
              <w:rPr>
                <w:rFonts w:asciiTheme="minorHAnsi" w:hAnsiTheme="minorHAnsi" w:cstheme="minorHAnsi"/>
                <w:sz w:val="18"/>
                <w:szCs w:val="18"/>
              </w:rPr>
              <w:t xml:space="preserve"> 201</w:t>
            </w:r>
            <w:r w:rsidR="004B173C">
              <w:rPr>
                <w:rFonts w:asciiTheme="minorHAnsi" w:hAnsiTheme="minorHAnsi" w:cstheme="minorHAnsi"/>
                <w:sz w:val="18"/>
                <w:szCs w:val="18"/>
              </w:rPr>
              <w:t>6</w:t>
            </w:r>
            <w:r w:rsidR="006E37FC" w:rsidRPr="006E37FC">
              <w:rPr>
                <w:rFonts w:asciiTheme="minorHAnsi" w:hAnsiTheme="minorHAnsi" w:cstheme="minorHAnsi"/>
                <w:sz w:val="18"/>
                <w:szCs w:val="18"/>
              </w:rPr>
              <w:t>)</w:t>
            </w:r>
          </w:p>
        </w:tc>
        <w:tc>
          <w:tcPr>
            <w:tcW w:w="948" w:type="pct"/>
            <w:tcBorders>
              <w:bottom w:val="single" w:sz="4" w:space="0" w:color="auto"/>
            </w:tcBorders>
          </w:tcPr>
          <w:p w14:paraId="14A700B7" w14:textId="4857A955"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eastAsia="Calibri" w:hAnsiTheme="minorHAnsi" w:cstheme="minorHAnsi"/>
                <w:sz w:val="18"/>
                <w:szCs w:val="18"/>
                <w:lang w:eastAsia="en-AU"/>
              </w:rPr>
              <w:t xml:space="preserve">76.5% </w:t>
            </w:r>
            <w:r w:rsidRPr="005608B1">
              <w:rPr>
                <w:rFonts w:asciiTheme="minorHAnsi" w:hAnsiTheme="minorHAnsi" w:cstheme="minorHAnsi"/>
                <w:sz w:val="18"/>
                <w:szCs w:val="18"/>
              </w:rPr>
              <w:t>(back)</w:t>
            </w:r>
            <w:r w:rsidR="00BE1527">
              <w:rPr>
                <w:rFonts w:asciiTheme="minorHAnsi" w:hAnsiTheme="minorHAnsi" w:cstheme="minorHAnsi"/>
                <w:sz w:val="18"/>
                <w:szCs w:val="18"/>
              </w:rPr>
              <w:br/>
            </w:r>
          </w:p>
          <w:p w14:paraId="0B5F28A1" w14:textId="344C8633" w:rsidR="00E816E4" w:rsidRPr="005608B1" w:rsidRDefault="00E816E4" w:rsidP="00E816E4">
            <w:pPr>
              <w:pStyle w:val="051Tabletext228pt"/>
              <w:ind w:left="-57" w:right="-57"/>
              <w:rPr>
                <w:rFonts w:asciiTheme="minorHAnsi" w:eastAsia="Calibri" w:hAnsiTheme="minorHAnsi" w:cstheme="minorHAnsi"/>
                <w:sz w:val="18"/>
                <w:szCs w:val="18"/>
                <w:lang w:eastAsia="en-AU"/>
              </w:rPr>
            </w:pPr>
            <w:r w:rsidRPr="005608B1">
              <w:rPr>
                <w:rFonts w:asciiTheme="minorHAnsi" w:eastAsia="Calibri" w:hAnsiTheme="minorHAnsi" w:cstheme="minorHAnsi"/>
                <w:sz w:val="18"/>
                <w:szCs w:val="18"/>
                <w:lang w:eastAsia="en-AU"/>
              </w:rPr>
              <w:t>72.9% (leg)</w:t>
            </w:r>
          </w:p>
        </w:tc>
        <w:tc>
          <w:tcPr>
            <w:tcW w:w="986" w:type="pct"/>
            <w:tcBorders>
              <w:bottom w:val="single" w:sz="4" w:space="0" w:color="auto"/>
            </w:tcBorders>
          </w:tcPr>
          <w:p w14:paraId="0490F37E" w14:textId="1037D0F3"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eastAsia="Calibri" w:hAnsiTheme="minorHAnsi" w:cstheme="minorHAnsi"/>
                <w:sz w:val="18"/>
                <w:szCs w:val="18"/>
                <w:lang w:eastAsia="en-AU"/>
              </w:rPr>
              <w:t xml:space="preserve">49.3% </w:t>
            </w:r>
            <w:r w:rsidRPr="005608B1">
              <w:rPr>
                <w:rFonts w:asciiTheme="minorHAnsi" w:hAnsiTheme="minorHAnsi" w:cstheme="minorHAnsi"/>
                <w:sz w:val="18"/>
                <w:szCs w:val="18"/>
              </w:rPr>
              <w:t>(back)</w:t>
            </w:r>
            <w:r w:rsidR="00BE1527">
              <w:rPr>
                <w:rFonts w:asciiTheme="minorHAnsi" w:hAnsiTheme="minorHAnsi" w:cstheme="minorHAnsi"/>
                <w:sz w:val="18"/>
                <w:szCs w:val="18"/>
              </w:rPr>
              <w:br/>
            </w:r>
          </w:p>
          <w:p w14:paraId="5CA667BA" w14:textId="19A62435" w:rsidR="00E816E4" w:rsidRPr="005608B1" w:rsidRDefault="00E816E4" w:rsidP="00E816E4">
            <w:pPr>
              <w:pStyle w:val="051Tabletext228pt"/>
              <w:ind w:left="-57" w:right="-57"/>
              <w:rPr>
                <w:rFonts w:asciiTheme="minorHAnsi" w:eastAsia="Calibri" w:hAnsiTheme="minorHAnsi" w:cstheme="minorHAnsi"/>
                <w:sz w:val="18"/>
                <w:szCs w:val="18"/>
                <w:lang w:eastAsia="en-AU"/>
              </w:rPr>
            </w:pPr>
            <w:r w:rsidRPr="005608B1">
              <w:rPr>
                <w:rFonts w:asciiTheme="minorHAnsi" w:eastAsia="Calibri" w:hAnsiTheme="minorHAnsi" w:cstheme="minorHAnsi"/>
                <w:sz w:val="18"/>
                <w:szCs w:val="18"/>
                <w:lang w:eastAsia="en-AU"/>
              </w:rPr>
              <w:t>49.3% (leg)</w:t>
            </w:r>
          </w:p>
        </w:tc>
        <w:tc>
          <w:tcPr>
            <w:tcW w:w="949" w:type="pct"/>
            <w:tcBorders>
              <w:bottom w:val="single" w:sz="4" w:space="0" w:color="auto"/>
            </w:tcBorders>
          </w:tcPr>
          <w:p w14:paraId="5C7DE6FA" w14:textId="28D4D0D9" w:rsidR="00E816E4" w:rsidRPr="005608B1" w:rsidRDefault="00BE1527" w:rsidP="00E816E4">
            <w:pPr>
              <w:pStyle w:val="051Tabletext228pt"/>
              <w:ind w:right="-57"/>
              <w:rPr>
                <w:rFonts w:asciiTheme="minorHAnsi" w:hAnsiTheme="minorHAnsi" w:cstheme="minorHAnsi"/>
                <w:sz w:val="18"/>
                <w:szCs w:val="18"/>
              </w:rPr>
            </w:pPr>
            <w:r>
              <w:rPr>
                <w:rFonts w:asciiTheme="minorHAnsi" w:eastAsia="Calibri" w:hAnsiTheme="minorHAnsi" w:cstheme="minorHAnsi"/>
                <w:sz w:val="18"/>
                <w:szCs w:val="18"/>
                <w:lang w:eastAsia="en-AU"/>
              </w:rPr>
              <w:t>-</w:t>
            </w:r>
            <w:r w:rsidR="00E816E4" w:rsidRPr="005608B1">
              <w:rPr>
                <w:rFonts w:asciiTheme="minorHAnsi" w:eastAsia="Calibri" w:hAnsiTheme="minorHAnsi" w:cstheme="minorHAnsi"/>
                <w:sz w:val="18"/>
                <w:szCs w:val="18"/>
                <w:lang w:eastAsia="en-AU"/>
              </w:rPr>
              <w:t>27.2%</w:t>
            </w:r>
            <w:r w:rsidR="00E816E4" w:rsidRPr="005608B1">
              <w:rPr>
                <w:rFonts w:asciiTheme="minorHAnsi" w:hAnsiTheme="minorHAnsi" w:cstheme="minorHAnsi"/>
                <w:sz w:val="18"/>
                <w:szCs w:val="18"/>
              </w:rPr>
              <w:t xml:space="preserve"> (</w:t>
            </w:r>
            <w:r w:rsidR="00E816E4" w:rsidRPr="005608B1">
              <w:rPr>
                <w:rFonts w:asciiTheme="minorHAnsi" w:eastAsia="Calibri" w:hAnsiTheme="minorHAnsi" w:cstheme="minorHAnsi"/>
                <w:sz w:val="18"/>
                <w:szCs w:val="18"/>
                <w:lang w:eastAsia="en-AU"/>
              </w:rPr>
              <w:t>95% CI:</w:t>
            </w:r>
            <w:r w:rsidR="00E816E4">
              <w:rPr>
                <w:rFonts w:asciiTheme="minorHAnsi" w:eastAsia="Calibri" w:hAnsiTheme="minorHAnsi" w:cstheme="minorHAnsi"/>
                <w:sz w:val="18"/>
                <w:szCs w:val="18"/>
                <w:lang w:eastAsia="en-AU"/>
              </w:rPr>
              <w:t xml:space="preserve"> </w:t>
            </w:r>
            <w:r w:rsidR="00E816E4" w:rsidRPr="005608B1">
              <w:rPr>
                <w:rFonts w:asciiTheme="minorHAnsi" w:eastAsia="Calibri" w:hAnsiTheme="minorHAnsi" w:cstheme="minorHAnsi"/>
                <w:sz w:val="18"/>
                <w:szCs w:val="18"/>
                <w:lang w:eastAsia="en-AU"/>
              </w:rPr>
              <w:t>10.1%</w:t>
            </w:r>
            <w:r w:rsidR="00E816E4">
              <w:rPr>
                <w:rFonts w:asciiTheme="minorHAnsi" w:eastAsia="Calibri" w:hAnsiTheme="minorHAnsi" w:cstheme="minorHAnsi"/>
                <w:sz w:val="18"/>
                <w:szCs w:val="18"/>
                <w:lang w:eastAsia="en-AU"/>
              </w:rPr>
              <w:t xml:space="preserve"> to </w:t>
            </w:r>
            <w:r w:rsidR="00E816E4" w:rsidRPr="005608B1">
              <w:rPr>
                <w:rFonts w:asciiTheme="minorHAnsi" w:eastAsia="Calibri" w:hAnsiTheme="minorHAnsi" w:cstheme="minorHAnsi"/>
                <w:sz w:val="18"/>
                <w:szCs w:val="18"/>
                <w:lang w:eastAsia="en-AU"/>
              </w:rPr>
              <w:t xml:space="preserve">41.8%) </w:t>
            </w:r>
            <w:r w:rsidR="00E816E4" w:rsidRPr="005608B1">
              <w:rPr>
                <w:rFonts w:asciiTheme="minorHAnsi" w:hAnsiTheme="minorHAnsi" w:cstheme="minorHAnsi"/>
                <w:sz w:val="18"/>
                <w:szCs w:val="18"/>
              </w:rPr>
              <w:t>(back)</w:t>
            </w:r>
          </w:p>
          <w:p w14:paraId="76E63DC0" w14:textId="075CDA85" w:rsidR="00E816E4" w:rsidRPr="005608B1" w:rsidRDefault="00BE1527" w:rsidP="00E816E4">
            <w:pPr>
              <w:pStyle w:val="051Tabletext228pt"/>
              <w:ind w:left="-57" w:right="-57"/>
              <w:rPr>
                <w:rFonts w:asciiTheme="minorHAnsi" w:eastAsia="Calibri" w:hAnsiTheme="minorHAnsi" w:cstheme="minorHAnsi"/>
                <w:sz w:val="18"/>
                <w:szCs w:val="18"/>
                <w:lang w:eastAsia="en-AU"/>
              </w:rPr>
            </w:pPr>
            <w:r>
              <w:rPr>
                <w:rFonts w:asciiTheme="minorHAnsi" w:eastAsia="Calibri" w:hAnsiTheme="minorHAnsi" w:cstheme="minorHAnsi"/>
                <w:sz w:val="18"/>
                <w:szCs w:val="18"/>
                <w:lang w:eastAsia="en-AU"/>
              </w:rPr>
              <w:t>-</w:t>
            </w:r>
            <w:r w:rsidR="00E816E4" w:rsidRPr="005608B1">
              <w:rPr>
                <w:rFonts w:asciiTheme="minorHAnsi" w:eastAsia="Calibri" w:hAnsiTheme="minorHAnsi" w:cstheme="minorHAnsi"/>
                <w:sz w:val="18"/>
                <w:szCs w:val="18"/>
                <w:lang w:eastAsia="en-AU"/>
              </w:rPr>
              <w:t>23.6% (95% CI</w:t>
            </w:r>
            <w:r w:rsidR="00E816E4">
              <w:rPr>
                <w:rFonts w:asciiTheme="minorHAnsi" w:eastAsia="Calibri" w:hAnsiTheme="minorHAnsi" w:cstheme="minorHAnsi"/>
                <w:sz w:val="18"/>
                <w:szCs w:val="18"/>
                <w:lang w:eastAsia="en-AU"/>
              </w:rPr>
              <w:t>:</w:t>
            </w:r>
            <w:r w:rsidR="00E816E4" w:rsidRPr="005608B1">
              <w:rPr>
                <w:rFonts w:asciiTheme="minorHAnsi" w:eastAsia="Calibri" w:hAnsiTheme="minorHAnsi" w:cstheme="minorHAnsi"/>
                <w:sz w:val="18"/>
                <w:szCs w:val="18"/>
                <w:lang w:eastAsia="en-AU"/>
              </w:rPr>
              <w:t xml:space="preserve"> 5.9%</w:t>
            </w:r>
            <w:r w:rsidR="00E816E4">
              <w:rPr>
                <w:rFonts w:asciiTheme="minorHAnsi" w:eastAsia="Calibri" w:hAnsiTheme="minorHAnsi" w:cstheme="minorHAnsi"/>
                <w:sz w:val="18"/>
                <w:szCs w:val="18"/>
                <w:lang w:eastAsia="en-AU"/>
              </w:rPr>
              <w:t xml:space="preserve"> to </w:t>
            </w:r>
            <w:r w:rsidR="00E816E4" w:rsidRPr="005608B1">
              <w:rPr>
                <w:rFonts w:asciiTheme="minorHAnsi" w:eastAsia="Calibri" w:hAnsiTheme="minorHAnsi" w:cstheme="minorHAnsi"/>
                <w:sz w:val="18"/>
                <w:szCs w:val="18"/>
                <w:lang w:eastAsia="en-AU"/>
              </w:rPr>
              <w:t>38.6%) (leg)</w:t>
            </w:r>
          </w:p>
        </w:tc>
        <w:tc>
          <w:tcPr>
            <w:tcW w:w="660" w:type="pct"/>
            <w:tcBorders>
              <w:bottom w:val="single" w:sz="4" w:space="0" w:color="auto"/>
            </w:tcBorders>
          </w:tcPr>
          <w:p w14:paraId="486DBB6A" w14:textId="2FD97F3A"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P&lt;0.001 (back)</w:t>
            </w:r>
            <w:r w:rsidR="00FC61F5">
              <w:rPr>
                <w:rFonts w:asciiTheme="minorHAnsi" w:hAnsiTheme="minorHAnsi" w:cstheme="minorHAnsi"/>
                <w:sz w:val="18"/>
                <w:szCs w:val="18"/>
              </w:rPr>
              <w:br/>
            </w:r>
          </w:p>
          <w:p w14:paraId="79DBEE0D" w14:textId="5A84FF3B"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P&lt;0.001 (leg)</w:t>
            </w:r>
          </w:p>
        </w:tc>
      </w:tr>
      <w:tr w:rsidR="00E816E4" w14:paraId="1BA7D90E" w14:textId="77777777" w:rsidTr="00617396">
        <w:tc>
          <w:tcPr>
            <w:tcW w:w="862" w:type="pct"/>
            <w:tcBorders>
              <w:bottom w:val="nil"/>
            </w:tcBorders>
          </w:tcPr>
          <w:p w14:paraId="247915C3" w14:textId="72543C8D"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Disability (ODI mean change baseline to follow-up)</w:t>
            </w:r>
          </w:p>
        </w:tc>
        <w:tc>
          <w:tcPr>
            <w:tcW w:w="595" w:type="pct"/>
            <w:gridSpan w:val="2"/>
            <w:tcBorders>
              <w:bottom w:val="dotted" w:sz="4" w:space="0" w:color="auto"/>
            </w:tcBorders>
          </w:tcPr>
          <w:p w14:paraId="5444A67E" w14:textId="2E463387" w:rsidR="00E816E4" w:rsidRPr="005608B1" w:rsidRDefault="00E816E4" w:rsidP="00E816E4">
            <w:pPr>
              <w:pStyle w:val="051Tabletext228pt"/>
              <w:ind w:left="-57" w:right="-57"/>
              <w:rPr>
                <w:rFonts w:asciiTheme="minorHAnsi" w:hAnsiTheme="minorHAnsi" w:cstheme="minorHAnsi"/>
                <w:sz w:val="18"/>
                <w:szCs w:val="18"/>
              </w:rPr>
            </w:pPr>
            <w:proofErr w:type="spellStart"/>
            <w:r w:rsidRPr="005608B1">
              <w:rPr>
                <w:rFonts w:asciiTheme="minorHAnsi" w:hAnsiTheme="minorHAnsi" w:cstheme="minorHAnsi"/>
                <w:sz w:val="18"/>
                <w:szCs w:val="18"/>
              </w:rPr>
              <w:t>Canós-Verdecho</w:t>
            </w:r>
            <w:proofErr w:type="spellEnd"/>
            <w:r w:rsidRPr="005608B1">
              <w:rPr>
                <w:rFonts w:asciiTheme="minorHAnsi" w:hAnsiTheme="minorHAnsi" w:cstheme="minorHAnsi"/>
                <w:sz w:val="18"/>
                <w:szCs w:val="18"/>
              </w:rPr>
              <w:t xml:space="preserve"> (</w:t>
            </w:r>
            <w:r w:rsidR="00C8768A" w:rsidRPr="005608B1">
              <w:rPr>
                <w:rFonts w:asciiTheme="minorHAnsi" w:hAnsiTheme="minorHAnsi" w:cstheme="minorHAnsi"/>
                <w:sz w:val="18"/>
                <w:szCs w:val="18"/>
              </w:rPr>
              <w:t>202</w:t>
            </w:r>
            <w:r w:rsidR="004B173C">
              <w:rPr>
                <w:rFonts w:asciiTheme="minorHAnsi" w:hAnsiTheme="minorHAnsi" w:cstheme="minorHAnsi"/>
                <w:sz w:val="18"/>
                <w:szCs w:val="18"/>
              </w:rPr>
              <w:t>1</w:t>
            </w:r>
            <w:r w:rsidRPr="005608B1">
              <w:rPr>
                <w:rFonts w:asciiTheme="minorHAnsi" w:hAnsiTheme="minorHAnsi" w:cstheme="minorHAnsi"/>
                <w:sz w:val="18"/>
                <w:szCs w:val="18"/>
              </w:rPr>
              <w:t>)</w:t>
            </w:r>
          </w:p>
        </w:tc>
        <w:tc>
          <w:tcPr>
            <w:tcW w:w="948" w:type="pct"/>
            <w:tcBorders>
              <w:bottom w:val="dotted" w:sz="4" w:space="0" w:color="auto"/>
            </w:tcBorders>
          </w:tcPr>
          <w:p w14:paraId="68B402A4" w14:textId="44DBA354" w:rsidR="00E816E4" w:rsidRPr="005608B1" w:rsidRDefault="00E816E4" w:rsidP="00E816E4">
            <w:pPr>
              <w:pStyle w:val="051Tabletext228pt"/>
              <w:ind w:left="-57" w:right="-57"/>
              <w:rPr>
                <w:rFonts w:asciiTheme="minorHAnsi" w:eastAsia="Calibri" w:hAnsiTheme="minorHAnsi" w:cstheme="minorHAnsi"/>
                <w:sz w:val="18"/>
                <w:szCs w:val="18"/>
                <w:lang w:eastAsia="en-AU"/>
              </w:rPr>
            </w:pPr>
            <w:r>
              <w:rPr>
                <w:rFonts w:asciiTheme="minorHAnsi" w:hAnsiTheme="minorHAnsi" w:cstheme="minorHAnsi"/>
                <w:sz w:val="18"/>
                <w:szCs w:val="18"/>
              </w:rPr>
              <w:t>-</w:t>
            </w:r>
            <w:r w:rsidRPr="005608B1">
              <w:rPr>
                <w:rFonts w:asciiTheme="minorHAnsi" w:hAnsiTheme="minorHAnsi" w:cstheme="minorHAnsi"/>
                <w:sz w:val="18"/>
                <w:szCs w:val="18"/>
              </w:rPr>
              <w:t>31.8 (NR)</w:t>
            </w:r>
          </w:p>
        </w:tc>
        <w:tc>
          <w:tcPr>
            <w:tcW w:w="986" w:type="pct"/>
            <w:tcBorders>
              <w:bottom w:val="dotted" w:sz="4" w:space="0" w:color="auto"/>
            </w:tcBorders>
          </w:tcPr>
          <w:p w14:paraId="5CD649BC" w14:textId="060B00C6" w:rsidR="00E816E4" w:rsidRPr="005608B1" w:rsidRDefault="00E816E4" w:rsidP="00E816E4">
            <w:pPr>
              <w:pStyle w:val="051Tabletext228pt"/>
              <w:ind w:left="-57" w:right="-57"/>
              <w:rPr>
                <w:rFonts w:asciiTheme="minorHAnsi" w:eastAsia="Calibri" w:hAnsiTheme="minorHAnsi" w:cstheme="minorHAnsi"/>
                <w:sz w:val="18"/>
                <w:szCs w:val="18"/>
                <w:lang w:eastAsia="en-AU"/>
              </w:rPr>
            </w:pPr>
            <w:r>
              <w:rPr>
                <w:rFonts w:asciiTheme="minorHAnsi" w:hAnsiTheme="minorHAnsi" w:cstheme="minorHAnsi"/>
                <w:sz w:val="18"/>
                <w:szCs w:val="18"/>
              </w:rPr>
              <w:t>-</w:t>
            </w:r>
            <w:r w:rsidRPr="005608B1">
              <w:rPr>
                <w:rFonts w:asciiTheme="minorHAnsi" w:hAnsiTheme="minorHAnsi" w:cstheme="minorHAnsi"/>
                <w:sz w:val="18"/>
                <w:szCs w:val="18"/>
              </w:rPr>
              <w:t>41.5 (NR)</w:t>
            </w:r>
          </w:p>
        </w:tc>
        <w:tc>
          <w:tcPr>
            <w:tcW w:w="949" w:type="pct"/>
            <w:tcBorders>
              <w:bottom w:val="dotted" w:sz="4" w:space="0" w:color="auto"/>
            </w:tcBorders>
          </w:tcPr>
          <w:p w14:paraId="23D78A50" w14:textId="45ADCF93" w:rsidR="00E816E4" w:rsidRPr="005608B1" w:rsidRDefault="00E816E4" w:rsidP="00E816E4">
            <w:pPr>
              <w:pStyle w:val="051Tabletext228pt"/>
              <w:ind w:left="-57" w:right="-57"/>
              <w:rPr>
                <w:rFonts w:asciiTheme="minorHAnsi" w:eastAsia="Calibri" w:hAnsiTheme="minorHAnsi" w:cstheme="minorHAnsi"/>
                <w:sz w:val="18"/>
                <w:szCs w:val="18"/>
                <w:lang w:eastAsia="en-AU"/>
              </w:rPr>
            </w:pPr>
            <w:r w:rsidRPr="005608B1">
              <w:rPr>
                <w:rFonts w:asciiTheme="minorHAnsi" w:hAnsiTheme="minorHAnsi" w:cstheme="minorHAnsi"/>
                <w:sz w:val="18"/>
                <w:szCs w:val="18"/>
              </w:rPr>
              <w:t>MD -9.7 (NR)</w:t>
            </w:r>
          </w:p>
        </w:tc>
        <w:tc>
          <w:tcPr>
            <w:tcW w:w="660" w:type="pct"/>
            <w:tcBorders>
              <w:bottom w:val="dotted" w:sz="4" w:space="0" w:color="auto"/>
            </w:tcBorders>
          </w:tcPr>
          <w:p w14:paraId="1EE1F0D0" w14:textId="006CD48C"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NR</w:t>
            </w:r>
          </w:p>
        </w:tc>
      </w:tr>
      <w:tr w:rsidR="00E816E4" w14:paraId="2514368F" w14:textId="77777777" w:rsidTr="00617396">
        <w:tc>
          <w:tcPr>
            <w:tcW w:w="862" w:type="pct"/>
            <w:tcBorders>
              <w:top w:val="nil"/>
              <w:bottom w:val="single" w:sz="4" w:space="0" w:color="auto"/>
            </w:tcBorders>
          </w:tcPr>
          <w:p w14:paraId="5EAA3AE5" w14:textId="77777777" w:rsidR="00E816E4" w:rsidRPr="005608B1" w:rsidRDefault="00E816E4" w:rsidP="00E816E4">
            <w:pPr>
              <w:pStyle w:val="051Tabletext228pt"/>
              <w:ind w:left="-57" w:right="-57"/>
              <w:rPr>
                <w:rFonts w:asciiTheme="minorHAnsi" w:hAnsiTheme="minorHAnsi" w:cstheme="minorHAnsi"/>
                <w:sz w:val="18"/>
                <w:szCs w:val="18"/>
              </w:rPr>
            </w:pPr>
          </w:p>
        </w:tc>
        <w:tc>
          <w:tcPr>
            <w:tcW w:w="595" w:type="pct"/>
            <w:gridSpan w:val="2"/>
            <w:tcBorders>
              <w:top w:val="dotted" w:sz="4" w:space="0" w:color="auto"/>
              <w:bottom w:val="single" w:sz="4" w:space="0" w:color="auto"/>
            </w:tcBorders>
          </w:tcPr>
          <w:p w14:paraId="43A25874" w14:textId="5500C39F"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De Andres (2017)</w:t>
            </w:r>
          </w:p>
        </w:tc>
        <w:tc>
          <w:tcPr>
            <w:tcW w:w="948" w:type="pct"/>
            <w:tcBorders>
              <w:top w:val="dotted" w:sz="4" w:space="0" w:color="auto"/>
              <w:bottom w:val="single" w:sz="4" w:space="0" w:color="auto"/>
            </w:tcBorders>
          </w:tcPr>
          <w:p w14:paraId="46283E3F" w14:textId="7370BED2" w:rsidR="00E816E4" w:rsidRPr="005608B1" w:rsidRDefault="00E816E4" w:rsidP="00E816E4">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Pr="005608B1">
              <w:rPr>
                <w:rFonts w:asciiTheme="minorHAnsi" w:hAnsiTheme="minorHAnsi" w:cstheme="minorHAnsi"/>
                <w:sz w:val="18"/>
                <w:szCs w:val="18"/>
              </w:rPr>
              <w:t>4.04 (SD 5.77)</w:t>
            </w:r>
          </w:p>
        </w:tc>
        <w:tc>
          <w:tcPr>
            <w:tcW w:w="986" w:type="pct"/>
            <w:tcBorders>
              <w:top w:val="dotted" w:sz="4" w:space="0" w:color="auto"/>
              <w:bottom w:val="single" w:sz="4" w:space="0" w:color="auto"/>
            </w:tcBorders>
          </w:tcPr>
          <w:p w14:paraId="10E8C424" w14:textId="24ADA979" w:rsidR="00E816E4" w:rsidRPr="005608B1" w:rsidRDefault="00E816E4" w:rsidP="00E816E4">
            <w:pPr>
              <w:pStyle w:val="051Tabletext228pt"/>
              <w:ind w:left="-57" w:right="-57"/>
              <w:rPr>
                <w:rFonts w:asciiTheme="minorHAnsi" w:hAnsiTheme="minorHAnsi" w:cstheme="minorHAnsi"/>
                <w:sz w:val="18"/>
                <w:szCs w:val="18"/>
              </w:rPr>
            </w:pPr>
            <w:r>
              <w:rPr>
                <w:rFonts w:asciiTheme="minorHAnsi" w:hAnsiTheme="minorHAnsi" w:cstheme="minorHAnsi"/>
                <w:sz w:val="18"/>
                <w:szCs w:val="18"/>
              </w:rPr>
              <w:t>-</w:t>
            </w:r>
            <w:r w:rsidRPr="005608B1">
              <w:rPr>
                <w:rFonts w:asciiTheme="minorHAnsi" w:hAnsiTheme="minorHAnsi" w:cstheme="minorHAnsi"/>
                <w:sz w:val="18"/>
                <w:szCs w:val="18"/>
              </w:rPr>
              <w:t>4.14 (SD 8.76)</w:t>
            </w:r>
          </w:p>
        </w:tc>
        <w:tc>
          <w:tcPr>
            <w:tcW w:w="949" w:type="pct"/>
            <w:tcBorders>
              <w:top w:val="dotted" w:sz="4" w:space="0" w:color="auto"/>
              <w:bottom w:val="single" w:sz="4" w:space="0" w:color="auto"/>
            </w:tcBorders>
          </w:tcPr>
          <w:p w14:paraId="4CB956F8" w14:textId="1D53D832"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 xml:space="preserve">MD </w:t>
            </w:r>
            <w:r>
              <w:rPr>
                <w:rFonts w:asciiTheme="minorHAnsi" w:hAnsiTheme="minorHAnsi" w:cstheme="minorHAnsi"/>
                <w:sz w:val="18"/>
                <w:szCs w:val="18"/>
              </w:rPr>
              <w:t>-</w:t>
            </w:r>
            <w:r w:rsidRPr="005608B1">
              <w:rPr>
                <w:rFonts w:asciiTheme="minorHAnsi" w:hAnsiTheme="minorHAnsi" w:cstheme="minorHAnsi"/>
                <w:sz w:val="18"/>
                <w:szCs w:val="18"/>
              </w:rPr>
              <w:t>0.1 (NR)</w:t>
            </w:r>
          </w:p>
        </w:tc>
        <w:tc>
          <w:tcPr>
            <w:tcW w:w="660" w:type="pct"/>
            <w:tcBorders>
              <w:top w:val="dotted" w:sz="4" w:space="0" w:color="auto"/>
              <w:bottom w:val="single" w:sz="4" w:space="0" w:color="auto"/>
            </w:tcBorders>
          </w:tcPr>
          <w:p w14:paraId="7D4A4347" w14:textId="0B12D386"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NS</w:t>
            </w:r>
          </w:p>
        </w:tc>
      </w:tr>
      <w:tr w:rsidR="00E816E4" w14:paraId="63AF3880" w14:textId="77777777" w:rsidTr="00617396">
        <w:tc>
          <w:tcPr>
            <w:tcW w:w="862" w:type="pct"/>
            <w:tcBorders>
              <w:bottom w:val="single" w:sz="4" w:space="0" w:color="auto"/>
            </w:tcBorders>
          </w:tcPr>
          <w:p w14:paraId="2528D08F" w14:textId="53952797" w:rsidR="00E816E4" w:rsidRPr="005608B1" w:rsidRDefault="00E816E4" w:rsidP="00E816E4">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Mean change in </w:t>
            </w:r>
            <w:proofErr w:type="spellStart"/>
            <w:r w:rsidRPr="005608B1">
              <w:rPr>
                <w:rFonts w:asciiTheme="minorHAnsi" w:hAnsiTheme="minorHAnsi" w:cstheme="minorHAnsi"/>
                <w:sz w:val="18"/>
                <w:szCs w:val="18"/>
              </w:rPr>
              <w:t>HRQoL</w:t>
            </w:r>
            <w:proofErr w:type="spellEnd"/>
          </w:p>
        </w:tc>
        <w:tc>
          <w:tcPr>
            <w:tcW w:w="595" w:type="pct"/>
            <w:gridSpan w:val="2"/>
            <w:tcBorders>
              <w:bottom w:val="single" w:sz="4" w:space="0" w:color="auto"/>
            </w:tcBorders>
          </w:tcPr>
          <w:p w14:paraId="29D5D697" w14:textId="11A8A48A" w:rsidR="00E816E4" w:rsidRPr="005608B1" w:rsidRDefault="00E816E4" w:rsidP="00E816E4">
            <w:pPr>
              <w:pStyle w:val="051Tabletext228pt"/>
              <w:ind w:left="-57" w:right="-57"/>
              <w:rPr>
                <w:rFonts w:asciiTheme="minorHAnsi" w:hAnsiTheme="minorHAnsi" w:cstheme="minorHAnsi"/>
                <w:sz w:val="18"/>
                <w:szCs w:val="18"/>
              </w:rPr>
            </w:pPr>
            <w:proofErr w:type="spellStart"/>
            <w:r w:rsidRPr="005608B1">
              <w:rPr>
                <w:rFonts w:asciiTheme="minorHAnsi" w:hAnsiTheme="minorHAnsi" w:cstheme="minorHAnsi"/>
                <w:sz w:val="18"/>
                <w:szCs w:val="18"/>
              </w:rPr>
              <w:t>Canós-Verdecho</w:t>
            </w:r>
            <w:proofErr w:type="spellEnd"/>
            <w:r w:rsidRPr="005608B1">
              <w:rPr>
                <w:rFonts w:asciiTheme="minorHAnsi" w:hAnsiTheme="minorHAnsi" w:cstheme="minorHAnsi"/>
                <w:sz w:val="18"/>
                <w:szCs w:val="18"/>
              </w:rPr>
              <w:t xml:space="preserve"> (</w:t>
            </w:r>
            <w:r w:rsidR="00272B25" w:rsidRPr="005608B1">
              <w:rPr>
                <w:rFonts w:asciiTheme="minorHAnsi" w:hAnsiTheme="minorHAnsi" w:cstheme="minorHAnsi"/>
                <w:sz w:val="18"/>
                <w:szCs w:val="18"/>
              </w:rPr>
              <w:t>202</w:t>
            </w:r>
            <w:r w:rsidR="004B173C">
              <w:rPr>
                <w:rFonts w:asciiTheme="minorHAnsi" w:hAnsiTheme="minorHAnsi" w:cstheme="minorHAnsi"/>
                <w:sz w:val="18"/>
                <w:szCs w:val="18"/>
              </w:rPr>
              <w:t>1</w:t>
            </w:r>
            <w:r w:rsidRPr="005608B1">
              <w:rPr>
                <w:rFonts w:asciiTheme="minorHAnsi" w:hAnsiTheme="minorHAnsi" w:cstheme="minorHAnsi"/>
                <w:sz w:val="18"/>
                <w:szCs w:val="18"/>
              </w:rPr>
              <w:t>)</w:t>
            </w:r>
          </w:p>
        </w:tc>
        <w:tc>
          <w:tcPr>
            <w:tcW w:w="948" w:type="pct"/>
            <w:tcBorders>
              <w:bottom w:val="single" w:sz="4" w:space="0" w:color="auto"/>
            </w:tcBorders>
          </w:tcPr>
          <w:p w14:paraId="0B963421" w14:textId="13AE698E"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SF-12</w:t>
            </w:r>
            <w:r>
              <w:rPr>
                <w:rFonts w:asciiTheme="minorHAnsi" w:hAnsiTheme="minorHAnsi" w:cstheme="minorHAnsi"/>
                <w:sz w:val="18"/>
                <w:szCs w:val="18"/>
              </w:rPr>
              <w:br/>
            </w:r>
            <w:r w:rsidRPr="005608B1">
              <w:rPr>
                <w:rFonts w:asciiTheme="minorHAnsi" w:hAnsiTheme="minorHAnsi" w:cstheme="minorHAnsi"/>
                <w:sz w:val="18"/>
                <w:szCs w:val="18"/>
              </w:rPr>
              <w:t>324 (NR)</w:t>
            </w:r>
          </w:p>
        </w:tc>
        <w:tc>
          <w:tcPr>
            <w:tcW w:w="986" w:type="pct"/>
            <w:tcBorders>
              <w:bottom w:val="single" w:sz="4" w:space="0" w:color="auto"/>
            </w:tcBorders>
          </w:tcPr>
          <w:p w14:paraId="1C5A7E3A" w14:textId="09103551"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SF-12</w:t>
            </w:r>
            <w:r>
              <w:rPr>
                <w:rFonts w:asciiTheme="minorHAnsi" w:hAnsiTheme="minorHAnsi" w:cstheme="minorHAnsi"/>
                <w:sz w:val="18"/>
                <w:szCs w:val="18"/>
              </w:rPr>
              <w:br/>
            </w:r>
            <w:r w:rsidRPr="005608B1">
              <w:rPr>
                <w:rFonts w:asciiTheme="minorHAnsi" w:hAnsiTheme="minorHAnsi" w:cstheme="minorHAnsi"/>
                <w:sz w:val="18"/>
                <w:szCs w:val="18"/>
              </w:rPr>
              <w:t>385 (NR)</w:t>
            </w:r>
          </w:p>
        </w:tc>
        <w:tc>
          <w:tcPr>
            <w:tcW w:w="949" w:type="pct"/>
            <w:tcBorders>
              <w:bottom w:val="single" w:sz="4" w:space="0" w:color="auto"/>
            </w:tcBorders>
          </w:tcPr>
          <w:p w14:paraId="56A93F4D" w14:textId="75FE0C92"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MD 61 (NR)</w:t>
            </w:r>
          </w:p>
        </w:tc>
        <w:tc>
          <w:tcPr>
            <w:tcW w:w="660" w:type="pct"/>
            <w:tcBorders>
              <w:bottom w:val="single" w:sz="4" w:space="0" w:color="auto"/>
            </w:tcBorders>
          </w:tcPr>
          <w:p w14:paraId="35EE4AB5" w14:textId="1A244D39" w:rsidR="00E816E4" w:rsidRPr="005608B1" w:rsidRDefault="00E816E4" w:rsidP="00E816E4">
            <w:pPr>
              <w:pStyle w:val="051Tabletext228pt"/>
              <w:ind w:left="-57" w:right="-57"/>
              <w:rPr>
                <w:rFonts w:asciiTheme="minorHAnsi" w:hAnsiTheme="minorHAnsi" w:cstheme="minorHAnsi"/>
                <w:sz w:val="18"/>
                <w:szCs w:val="18"/>
              </w:rPr>
            </w:pPr>
            <w:r w:rsidRPr="005608B1">
              <w:rPr>
                <w:rFonts w:asciiTheme="minorHAnsi" w:hAnsiTheme="minorHAnsi" w:cstheme="minorHAnsi"/>
                <w:sz w:val="18"/>
                <w:szCs w:val="18"/>
              </w:rPr>
              <w:t>NR</w:t>
            </w:r>
          </w:p>
        </w:tc>
      </w:tr>
    </w:tbl>
    <w:p w14:paraId="45206D98" w14:textId="7615DB1A" w:rsidR="00103236" w:rsidRDefault="00855D96" w:rsidP="00103236">
      <w:pPr>
        <w:pStyle w:val="111Tablefootnoteslast-nostick8pt"/>
        <w:spacing w:after="0"/>
      </w:pPr>
      <w:r>
        <w:t xml:space="preserve">Abbreviations: </w:t>
      </w:r>
      <w:r w:rsidR="00004217">
        <w:t>AEs</w:t>
      </w:r>
      <w:r>
        <w:t xml:space="preserve">, adverse events; </w:t>
      </w:r>
      <w:r w:rsidR="00AB741A">
        <w:t xml:space="preserve">CI, confidence interval; </w:t>
      </w:r>
      <w:r w:rsidRPr="0035221D">
        <w:t>EQ-5D-5L</w:t>
      </w:r>
      <w:r>
        <w:t>,</w:t>
      </w:r>
      <w:r w:rsidRPr="0035221D">
        <w:t xml:space="preserve"> </w:t>
      </w:r>
      <w:proofErr w:type="spellStart"/>
      <w:r w:rsidRPr="00B51CC7">
        <w:t>EuroQol</w:t>
      </w:r>
      <w:proofErr w:type="spellEnd"/>
      <w:r w:rsidRPr="00B51CC7">
        <w:t xml:space="preserve"> </w:t>
      </w:r>
      <w:r>
        <w:t>5-level version; HF, high</w:t>
      </w:r>
      <w:r w:rsidR="00572B21">
        <w:t>-</w:t>
      </w:r>
      <w:r>
        <w:t xml:space="preserve">frequency; </w:t>
      </w:r>
      <w:proofErr w:type="spellStart"/>
      <w:r w:rsidR="00AB741A">
        <w:t>HRQoL</w:t>
      </w:r>
      <w:proofErr w:type="spellEnd"/>
      <w:r w:rsidR="00AB741A">
        <w:t>, health</w:t>
      </w:r>
      <w:r w:rsidR="00340CE3">
        <w:t>-</w:t>
      </w:r>
      <w:r w:rsidR="00AB741A">
        <w:t xml:space="preserve">related quality of life; MD, mean difference; </w:t>
      </w:r>
      <w:r>
        <w:t xml:space="preserve">NR, </w:t>
      </w:r>
      <w:r w:rsidR="00810EBC">
        <w:t>not reported</w:t>
      </w:r>
      <w:r>
        <w:t>;</w:t>
      </w:r>
      <w:r w:rsidR="00B74229">
        <w:t xml:space="preserve"> NS, not significant</w:t>
      </w:r>
      <w:r>
        <w:t xml:space="preserve">; ODI, </w:t>
      </w:r>
      <w:r w:rsidRPr="008A0B04">
        <w:t xml:space="preserve">Oswestry </w:t>
      </w:r>
      <w:r>
        <w:t>D</w:t>
      </w:r>
      <w:r w:rsidRPr="008A0B04">
        <w:t xml:space="preserve">isability </w:t>
      </w:r>
      <w:r>
        <w:t>I</w:t>
      </w:r>
      <w:r w:rsidRPr="008A0B04">
        <w:t>ndex</w:t>
      </w:r>
      <w:r>
        <w:t xml:space="preserve">; </w:t>
      </w:r>
      <w:r w:rsidR="00113AD8">
        <w:t>SD, standard deviation</w:t>
      </w:r>
      <w:r>
        <w:t>;</w:t>
      </w:r>
      <w:r w:rsidRPr="0051351E">
        <w:t xml:space="preserve"> </w:t>
      </w:r>
      <w:r>
        <w:t>SCS, spinal cord stimulat</w:t>
      </w:r>
      <w:r w:rsidR="0026186A">
        <w:t>ion</w:t>
      </w:r>
      <w:r>
        <w:t xml:space="preserve">; </w:t>
      </w:r>
      <w:r w:rsidR="00113AD8">
        <w:t>SE</w:t>
      </w:r>
      <w:r w:rsidR="007000FF">
        <w:t xml:space="preserve">M, standard error of the mean; </w:t>
      </w:r>
      <w:r>
        <w:t xml:space="preserve">SF-12, </w:t>
      </w:r>
      <w:r w:rsidRPr="00C57341">
        <w:t>12-Item Short Form Survey</w:t>
      </w:r>
    </w:p>
    <w:p w14:paraId="3ED04979" w14:textId="582A1344" w:rsidR="00122C61" w:rsidRPr="00122C61" w:rsidRDefault="00122C61" w:rsidP="00233879">
      <w:pPr>
        <w:pStyle w:val="111Tablefootnoteslast-nostick8pt"/>
      </w:pPr>
      <w:r w:rsidRPr="00770DF1">
        <w:rPr>
          <w:b/>
          <w:bCs/>
          <w:lang w:val="en-AU"/>
        </w:rPr>
        <w:t>a</w:t>
      </w:r>
      <w:r>
        <w:t xml:space="preserve"> </w:t>
      </w:r>
      <w:proofErr w:type="spellStart"/>
      <w:r>
        <w:t>normalised</w:t>
      </w:r>
      <w:proofErr w:type="spellEnd"/>
      <w:r>
        <w:t xml:space="preserve"> to a 0-100 scale for comparison</w:t>
      </w:r>
      <w:r w:rsidR="009D3C9C">
        <w:t xml:space="preserve">. O’Connell considered a </w:t>
      </w:r>
      <w:r w:rsidR="00B033B2">
        <w:t>10-point</w:t>
      </w:r>
      <w:r w:rsidR="009D3C9C">
        <w:t xml:space="preserve"> difference clinically </w:t>
      </w:r>
      <w:r w:rsidR="0045643C">
        <w:t>significant (O’Connell, 2021)</w:t>
      </w:r>
      <w:r w:rsidR="009D3C9C">
        <w:t>.</w:t>
      </w:r>
    </w:p>
    <w:p w14:paraId="381F9187" w14:textId="43EE41B1" w:rsidR="00CC67E0" w:rsidRDefault="00AD2815" w:rsidP="00DD260A">
      <w:pPr>
        <w:pStyle w:val="Heading4"/>
      </w:pPr>
      <w:r>
        <w:t>D</w:t>
      </w:r>
      <w:r w:rsidR="0090325D">
        <w:t>RGS versus conventional SCS</w:t>
      </w:r>
    </w:p>
    <w:p w14:paraId="172E7D00" w14:textId="21918BD5" w:rsidR="00D4439C" w:rsidRDefault="007F77F8" w:rsidP="0017723E">
      <w:pPr>
        <w:pStyle w:val="BodyText"/>
      </w:pPr>
      <w:r>
        <w:t xml:space="preserve">The included </w:t>
      </w:r>
      <w:r w:rsidR="005C05BD">
        <w:t>SRs</w:t>
      </w:r>
      <w:r>
        <w:t xml:space="preserve"> (O’Connell 2021</w:t>
      </w:r>
      <w:r w:rsidR="001D084F">
        <w:t>; Tr</w:t>
      </w:r>
      <w:r w:rsidR="008F7AC9">
        <w:t>aeger 2023</w:t>
      </w:r>
      <w:r>
        <w:t xml:space="preserve">) did </w:t>
      </w:r>
      <w:r w:rsidR="00DA78AF">
        <w:t xml:space="preserve">not </w:t>
      </w:r>
      <w:r>
        <w:t xml:space="preserve">identify any studies of DRGS </w:t>
      </w:r>
      <w:r w:rsidR="00E63E06">
        <w:t>that</w:t>
      </w:r>
      <w:r>
        <w:t xml:space="preserve"> met their inclusion criteria. The rapid evidence search identified a further </w:t>
      </w:r>
      <w:r w:rsidR="00606852">
        <w:t xml:space="preserve">five </w:t>
      </w:r>
      <w:r w:rsidR="005C05BD">
        <w:t>SRs</w:t>
      </w:r>
      <w:r w:rsidR="00606852">
        <w:t xml:space="preserve"> </w:t>
      </w:r>
      <w:r w:rsidR="0056757B">
        <w:t>of DRGS</w:t>
      </w:r>
      <w:r w:rsidR="00436669">
        <w:t>;</w:t>
      </w:r>
      <w:r w:rsidR="0056757B">
        <w:t xml:space="preserve"> however</w:t>
      </w:r>
      <w:r w:rsidR="00436669">
        <w:t>,</w:t>
      </w:r>
      <w:r w:rsidR="0056757B">
        <w:t xml:space="preserve"> </w:t>
      </w:r>
      <w:r w:rsidR="007615C4">
        <w:t>all included single</w:t>
      </w:r>
      <w:r w:rsidR="00F27470">
        <w:t xml:space="preserve"> </w:t>
      </w:r>
      <w:r w:rsidR="007615C4">
        <w:t>arm, pre/post studies</w:t>
      </w:r>
      <w:r w:rsidR="00C22505">
        <w:t xml:space="preserve"> and therefore do not provide evidence on the comparative effectiveness of DRGS. </w:t>
      </w:r>
    </w:p>
    <w:p w14:paraId="1D742C35" w14:textId="68D80964" w:rsidR="0017723E" w:rsidRDefault="00FF190F" w:rsidP="0017723E">
      <w:pPr>
        <w:pStyle w:val="BodyText"/>
      </w:pPr>
      <w:r>
        <w:t>A</w:t>
      </w:r>
      <w:r w:rsidR="00C22505">
        <w:t xml:space="preserve"> single RCT o</w:t>
      </w:r>
      <w:r w:rsidR="009647A2">
        <w:t>n</w:t>
      </w:r>
      <w:r w:rsidR="00C22505">
        <w:t xml:space="preserve"> DRGS</w:t>
      </w:r>
      <w:r w:rsidR="0056757B">
        <w:t xml:space="preserve"> </w:t>
      </w:r>
      <w:r>
        <w:t xml:space="preserve">(Deer 2017) </w:t>
      </w:r>
      <w:r w:rsidR="00D4439C">
        <w:t>has been published</w:t>
      </w:r>
      <w:r w:rsidR="009C327E">
        <w:t xml:space="preserve">. The </w:t>
      </w:r>
      <w:r w:rsidR="0030253C">
        <w:t xml:space="preserve">ACCURATE </w:t>
      </w:r>
      <w:r w:rsidR="009C327E">
        <w:t>study is a parallel</w:t>
      </w:r>
      <w:r w:rsidR="002C1BD2">
        <w:t>, open-label,</w:t>
      </w:r>
      <w:r w:rsidR="0030253C">
        <w:t xml:space="preserve"> multicentre</w:t>
      </w:r>
      <w:r w:rsidR="009C327E">
        <w:t xml:space="preserve"> </w:t>
      </w:r>
      <w:r w:rsidR="00E57B42">
        <w:t xml:space="preserve">RCT </w:t>
      </w:r>
      <w:r w:rsidR="00C106C4">
        <w:t xml:space="preserve">in 152 participants </w:t>
      </w:r>
      <w:r w:rsidR="00E57B42">
        <w:t>comparing DRGS and SCS with follow-up to 12 months</w:t>
      </w:r>
      <w:r w:rsidR="009B4D4A">
        <w:t xml:space="preserve"> (</w:t>
      </w:r>
      <w:r w:rsidR="009B4D4A">
        <w:fldChar w:fldCharType="begin"/>
      </w:r>
      <w:r w:rsidR="009B4D4A">
        <w:instrText xml:space="preserve"> REF _Ref129097681 \h </w:instrText>
      </w:r>
      <w:r w:rsidR="009B4D4A">
        <w:fldChar w:fldCharType="separate"/>
      </w:r>
      <w:r w:rsidR="00CE6ACA">
        <w:t xml:space="preserve">Table </w:t>
      </w:r>
      <w:r w:rsidR="00CE6ACA">
        <w:rPr>
          <w:noProof/>
        </w:rPr>
        <w:t>13</w:t>
      </w:r>
      <w:r w:rsidR="009B4D4A">
        <w:fldChar w:fldCharType="end"/>
      </w:r>
      <w:r w:rsidR="00AE3B61">
        <w:t>)</w:t>
      </w:r>
      <w:r w:rsidR="00E57B42">
        <w:t xml:space="preserve">. </w:t>
      </w:r>
      <w:r w:rsidR="00126C69">
        <w:t xml:space="preserve">The </w:t>
      </w:r>
      <w:r w:rsidR="001158C0">
        <w:t>ACCURATE</w:t>
      </w:r>
      <w:r w:rsidR="00126C69">
        <w:t xml:space="preserve"> RCT</w:t>
      </w:r>
      <w:r w:rsidR="007A5881">
        <w:t xml:space="preserve"> is at high risk of bias due to lack o</w:t>
      </w:r>
      <w:r w:rsidR="00021468">
        <w:t>f</w:t>
      </w:r>
      <w:r w:rsidR="007A5881">
        <w:t xml:space="preserve"> blinding.</w:t>
      </w:r>
      <w:r w:rsidR="00021468">
        <w:t xml:space="preserve"> </w:t>
      </w:r>
      <w:r w:rsidR="00897E3B" w:rsidRPr="00E06ED9">
        <w:t>The baseline characteristics reported for the patients in the two arms appeared comparable in terms of age, gender, ethnicity and pain-affected region. However, the authors did not report clinical characteristics such as number of previous surgeries, duration of chronic pain, list/number of current pain medications. As such, it was not possible to determine if the patients in each arm were balanced in terms of the severity of their condition</w:t>
      </w:r>
      <w:r w:rsidR="009953E2" w:rsidRPr="00E06ED9">
        <w:t xml:space="preserve"> or the extent of previous treatment</w:t>
      </w:r>
      <w:r w:rsidR="00897E3B" w:rsidRPr="00E06ED9">
        <w:t>.</w:t>
      </w:r>
      <w:r w:rsidR="00897E3B" w:rsidRPr="00897E3B">
        <w:t xml:space="preserve"> </w:t>
      </w:r>
      <w:r w:rsidR="008D06DA">
        <w:t xml:space="preserve">Although </w:t>
      </w:r>
      <w:r w:rsidR="00831F9F">
        <w:t>this study</w:t>
      </w:r>
      <w:r w:rsidR="008D06DA">
        <w:t xml:space="preserve"> does not compare DRGS to </w:t>
      </w:r>
      <w:r w:rsidR="00C2477C">
        <w:t>either placebo/sham or an alternative (</w:t>
      </w:r>
      <w:r w:rsidR="00D10A1B">
        <w:t xml:space="preserve">non-neurostimulator) treatment, it is the sole </w:t>
      </w:r>
      <w:r w:rsidR="0007387D">
        <w:t xml:space="preserve">comparative study of these devices identified and therefore </w:t>
      </w:r>
      <w:r w:rsidR="003175D2">
        <w:t>the</w:t>
      </w:r>
      <w:r w:rsidR="0007387D">
        <w:t xml:space="preserve"> results are reported</w:t>
      </w:r>
      <w:r w:rsidR="007D0E41">
        <w:t xml:space="preserve"> </w:t>
      </w:r>
      <w:r w:rsidR="003924F2">
        <w:t>below</w:t>
      </w:r>
      <w:r w:rsidR="006D7F96">
        <w:t>.</w:t>
      </w:r>
    </w:p>
    <w:p w14:paraId="7F5B938B" w14:textId="03DB296C" w:rsidR="00DC4267" w:rsidRDefault="00DC4267" w:rsidP="00DC4267">
      <w:pPr>
        <w:pStyle w:val="Caption"/>
      </w:pPr>
      <w:bookmarkStart w:id="87" w:name="_Ref129097681"/>
      <w:r>
        <w:lastRenderedPageBreak/>
        <w:t xml:space="preserve">Table </w:t>
      </w:r>
      <w:r>
        <w:fldChar w:fldCharType="begin"/>
      </w:r>
      <w:r>
        <w:instrText>SEQ Table \* ARABIC</w:instrText>
      </w:r>
      <w:r>
        <w:fldChar w:fldCharType="separate"/>
      </w:r>
      <w:r w:rsidR="00CE6ACA">
        <w:rPr>
          <w:noProof/>
        </w:rPr>
        <w:t>13</w:t>
      </w:r>
      <w:r>
        <w:fldChar w:fldCharType="end"/>
      </w:r>
      <w:bookmarkEnd w:id="87"/>
      <w:r>
        <w:tab/>
        <w:t>Characteristics of RCT comparing DRGS v</w:t>
      </w:r>
      <w:r w:rsidR="002F3C4E">
        <w:t>ersu</w:t>
      </w:r>
      <w:r>
        <w:t xml:space="preserve">s </w:t>
      </w:r>
      <w:r w:rsidR="00D7399A">
        <w:t xml:space="preserve">conventional </w:t>
      </w:r>
      <w:r>
        <w:t>SCS (Deer</w:t>
      </w:r>
      <w:r w:rsidR="002F3C4E">
        <w:t xml:space="preserve"> </w:t>
      </w:r>
      <w:r>
        <w:t>2017)</w:t>
      </w:r>
    </w:p>
    <w:tbl>
      <w:tblPr>
        <w:tblStyle w:val="TableGrid"/>
        <w:tblW w:w="0" w:type="auto"/>
        <w:tblLook w:val="04A0" w:firstRow="1" w:lastRow="0" w:firstColumn="1" w:lastColumn="0" w:noHBand="0" w:noVBand="1"/>
        <w:tblCaption w:val="Characteristics of RCT comparing DRGS versus conventional SCS"/>
        <w:tblDescription w:val="Table showing the study characteristics of the ACCURATE RCT (Deer 2017) which compares DRGS versus conventional SCS."/>
      </w:tblPr>
      <w:tblGrid>
        <w:gridCol w:w="1350"/>
        <w:gridCol w:w="1530"/>
        <w:gridCol w:w="2250"/>
        <w:gridCol w:w="3092"/>
        <w:gridCol w:w="1416"/>
      </w:tblGrid>
      <w:tr w:rsidR="00DC61D0" w:rsidRPr="00820842" w14:paraId="5D298449" w14:textId="77777777" w:rsidTr="00DB634A">
        <w:trPr>
          <w:cnfStyle w:val="100000000000" w:firstRow="1" w:lastRow="0" w:firstColumn="0" w:lastColumn="0" w:oddVBand="0" w:evenVBand="0" w:oddHBand="0" w:evenHBand="0" w:firstRowFirstColumn="0" w:firstRowLastColumn="0" w:lastRowFirstColumn="0" w:lastRowLastColumn="0"/>
        </w:trPr>
        <w:tc>
          <w:tcPr>
            <w:tcW w:w="1350" w:type="dxa"/>
          </w:tcPr>
          <w:p w14:paraId="6BAE6CAA" w14:textId="4759912A" w:rsidR="00DC61D0" w:rsidRPr="00820842" w:rsidRDefault="00DC61D0" w:rsidP="00DC61D0">
            <w:pPr>
              <w:pStyle w:val="011TableHeading8pt"/>
              <w:rPr>
                <w:sz w:val="18"/>
                <w:szCs w:val="24"/>
              </w:rPr>
            </w:pPr>
            <w:r w:rsidRPr="00820842">
              <w:rPr>
                <w:sz w:val="18"/>
                <w:szCs w:val="24"/>
              </w:rPr>
              <w:t>Study ID</w:t>
            </w:r>
          </w:p>
        </w:tc>
        <w:tc>
          <w:tcPr>
            <w:tcW w:w="1530" w:type="dxa"/>
          </w:tcPr>
          <w:p w14:paraId="1D8BB643" w14:textId="72515823" w:rsidR="00544774" w:rsidRPr="00820842" w:rsidRDefault="00544774" w:rsidP="00DC61D0">
            <w:pPr>
              <w:pStyle w:val="011TableHeading8pt"/>
              <w:rPr>
                <w:sz w:val="18"/>
                <w:szCs w:val="24"/>
              </w:rPr>
            </w:pPr>
            <w:r w:rsidRPr="00820842">
              <w:rPr>
                <w:sz w:val="18"/>
                <w:szCs w:val="24"/>
              </w:rPr>
              <w:t>Intervention</w:t>
            </w:r>
            <w:r w:rsidR="00B84FA6" w:rsidRPr="00820842">
              <w:rPr>
                <w:sz w:val="18"/>
                <w:szCs w:val="24"/>
              </w:rPr>
              <w:br/>
            </w:r>
            <w:r w:rsidRPr="00820842">
              <w:rPr>
                <w:sz w:val="18"/>
                <w:szCs w:val="24"/>
              </w:rPr>
              <w:t>Comparator</w:t>
            </w:r>
          </w:p>
        </w:tc>
        <w:tc>
          <w:tcPr>
            <w:tcW w:w="2250" w:type="dxa"/>
          </w:tcPr>
          <w:p w14:paraId="13DBEF9A" w14:textId="5EF030C0" w:rsidR="00DC61D0" w:rsidRPr="00820842" w:rsidRDefault="00544774" w:rsidP="00DC61D0">
            <w:pPr>
              <w:pStyle w:val="011TableHeading8pt"/>
              <w:rPr>
                <w:sz w:val="18"/>
                <w:szCs w:val="24"/>
              </w:rPr>
            </w:pPr>
            <w:r w:rsidRPr="00820842">
              <w:rPr>
                <w:sz w:val="18"/>
                <w:szCs w:val="24"/>
              </w:rPr>
              <w:t xml:space="preserve">Inclusion/Exclusion </w:t>
            </w:r>
            <w:r w:rsidR="00A32205">
              <w:rPr>
                <w:sz w:val="18"/>
                <w:szCs w:val="24"/>
              </w:rPr>
              <w:t>c</w:t>
            </w:r>
            <w:r w:rsidRPr="00820842">
              <w:rPr>
                <w:sz w:val="18"/>
                <w:szCs w:val="24"/>
              </w:rPr>
              <w:t>riteria</w:t>
            </w:r>
          </w:p>
        </w:tc>
        <w:tc>
          <w:tcPr>
            <w:tcW w:w="3092" w:type="dxa"/>
          </w:tcPr>
          <w:p w14:paraId="77839074" w14:textId="1706DCA3" w:rsidR="00DC61D0" w:rsidRPr="00820842" w:rsidRDefault="00544774" w:rsidP="00DC61D0">
            <w:pPr>
              <w:pStyle w:val="011TableHeading8pt"/>
              <w:rPr>
                <w:sz w:val="18"/>
                <w:szCs w:val="24"/>
              </w:rPr>
            </w:pPr>
            <w:r w:rsidRPr="00820842">
              <w:rPr>
                <w:sz w:val="18"/>
                <w:szCs w:val="24"/>
              </w:rPr>
              <w:t>Outcomes</w:t>
            </w:r>
          </w:p>
        </w:tc>
        <w:tc>
          <w:tcPr>
            <w:tcW w:w="1416" w:type="dxa"/>
          </w:tcPr>
          <w:p w14:paraId="0D49A41C" w14:textId="1355875B" w:rsidR="00544774" w:rsidRPr="00820842" w:rsidRDefault="00544774" w:rsidP="00DC61D0">
            <w:pPr>
              <w:pStyle w:val="011TableHeading8pt"/>
              <w:rPr>
                <w:sz w:val="18"/>
                <w:szCs w:val="24"/>
              </w:rPr>
            </w:pPr>
            <w:r w:rsidRPr="00820842">
              <w:rPr>
                <w:sz w:val="18"/>
                <w:szCs w:val="24"/>
              </w:rPr>
              <w:t>Funding</w:t>
            </w:r>
            <w:r w:rsidR="00B84FA6" w:rsidRPr="00820842">
              <w:rPr>
                <w:sz w:val="18"/>
                <w:szCs w:val="24"/>
              </w:rPr>
              <w:br/>
            </w:r>
            <w:r w:rsidRPr="00820842">
              <w:rPr>
                <w:sz w:val="18"/>
                <w:szCs w:val="24"/>
              </w:rPr>
              <w:t>Author COIs</w:t>
            </w:r>
          </w:p>
        </w:tc>
      </w:tr>
      <w:tr w:rsidR="00DC61D0" w:rsidRPr="00820842" w14:paraId="387A3F43" w14:textId="77777777" w:rsidTr="00DB634A">
        <w:tc>
          <w:tcPr>
            <w:tcW w:w="1350" w:type="dxa"/>
          </w:tcPr>
          <w:p w14:paraId="19DB1C09" w14:textId="40622625" w:rsidR="00544774" w:rsidRPr="00820842" w:rsidRDefault="00544774" w:rsidP="00DC61D0">
            <w:pPr>
              <w:pStyle w:val="061Tabletext628pt"/>
              <w:rPr>
                <w:sz w:val="18"/>
                <w:szCs w:val="24"/>
              </w:rPr>
            </w:pPr>
            <w:r w:rsidRPr="00820842">
              <w:rPr>
                <w:sz w:val="18"/>
                <w:szCs w:val="24"/>
              </w:rPr>
              <w:t>ACCURATE (Deer 2017)</w:t>
            </w:r>
          </w:p>
          <w:p w14:paraId="457B2617" w14:textId="5027A873" w:rsidR="00544774" w:rsidRPr="00820842" w:rsidRDefault="00544774" w:rsidP="00DC61D0">
            <w:pPr>
              <w:pStyle w:val="061Tabletext628pt"/>
              <w:rPr>
                <w:sz w:val="18"/>
                <w:szCs w:val="24"/>
              </w:rPr>
            </w:pPr>
            <w:r w:rsidRPr="00820842">
              <w:rPr>
                <w:sz w:val="18"/>
                <w:szCs w:val="24"/>
              </w:rPr>
              <w:t>Multicentre, open-label RCT</w:t>
            </w:r>
            <w:r w:rsidR="00DC4267" w:rsidRPr="00820842">
              <w:rPr>
                <w:sz w:val="18"/>
                <w:szCs w:val="24"/>
              </w:rPr>
              <w:t xml:space="preserve"> (</w:t>
            </w:r>
            <w:r w:rsidR="000C3920" w:rsidRPr="00820842">
              <w:rPr>
                <w:sz w:val="18"/>
                <w:szCs w:val="24"/>
              </w:rPr>
              <w:t>N</w:t>
            </w:r>
            <w:r w:rsidR="00DC4267" w:rsidRPr="00820842">
              <w:rPr>
                <w:sz w:val="18"/>
                <w:szCs w:val="24"/>
              </w:rPr>
              <w:t>=</w:t>
            </w:r>
            <w:r w:rsidR="00AE776B" w:rsidRPr="00820842">
              <w:rPr>
                <w:sz w:val="18"/>
                <w:szCs w:val="24"/>
              </w:rPr>
              <w:t>152)</w:t>
            </w:r>
          </w:p>
          <w:p w14:paraId="1CC4D49D" w14:textId="076DC94B" w:rsidR="00CA5191" w:rsidRPr="00820842" w:rsidRDefault="00CA5191" w:rsidP="00DC61D0">
            <w:pPr>
              <w:pStyle w:val="061Tabletext628pt"/>
              <w:rPr>
                <w:sz w:val="18"/>
                <w:szCs w:val="24"/>
              </w:rPr>
            </w:pPr>
            <w:r w:rsidRPr="00820842">
              <w:rPr>
                <w:sz w:val="18"/>
                <w:szCs w:val="24"/>
              </w:rPr>
              <w:t>USA</w:t>
            </w:r>
          </w:p>
        </w:tc>
        <w:tc>
          <w:tcPr>
            <w:tcW w:w="1530" w:type="dxa"/>
          </w:tcPr>
          <w:p w14:paraId="4105148E" w14:textId="77777777" w:rsidR="00DC61D0" w:rsidRPr="00820842" w:rsidRDefault="00741657" w:rsidP="00DC61D0">
            <w:pPr>
              <w:pStyle w:val="061Tabletext628pt"/>
              <w:rPr>
                <w:sz w:val="18"/>
                <w:szCs w:val="24"/>
              </w:rPr>
            </w:pPr>
            <w:r w:rsidRPr="00820842">
              <w:rPr>
                <w:sz w:val="18"/>
                <w:szCs w:val="24"/>
              </w:rPr>
              <w:t>DRGS (</w:t>
            </w:r>
            <w:r w:rsidR="00575AE1" w:rsidRPr="00820842">
              <w:rPr>
                <w:sz w:val="18"/>
                <w:szCs w:val="24"/>
              </w:rPr>
              <w:t>AXIUM Neurostimulator System)</w:t>
            </w:r>
          </w:p>
          <w:p w14:paraId="461D5AAF" w14:textId="2A581019" w:rsidR="00575AE1" w:rsidRPr="00820842" w:rsidRDefault="00575AE1" w:rsidP="00DC61D0">
            <w:pPr>
              <w:pStyle w:val="061Tabletext628pt"/>
              <w:rPr>
                <w:sz w:val="18"/>
                <w:szCs w:val="24"/>
              </w:rPr>
            </w:pPr>
            <w:r w:rsidRPr="00820842">
              <w:rPr>
                <w:sz w:val="18"/>
                <w:szCs w:val="24"/>
              </w:rPr>
              <w:t>SCS (</w:t>
            </w:r>
            <w:proofErr w:type="spellStart"/>
            <w:r w:rsidRPr="00820842">
              <w:rPr>
                <w:sz w:val="18"/>
                <w:szCs w:val="24"/>
              </w:rPr>
              <w:t>RestoreUltra</w:t>
            </w:r>
            <w:proofErr w:type="spellEnd"/>
            <w:r w:rsidRPr="00820842">
              <w:rPr>
                <w:sz w:val="18"/>
                <w:szCs w:val="24"/>
              </w:rPr>
              <w:t xml:space="preserve"> or </w:t>
            </w:r>
            <w:proofErr w:type="spellStart"/>
            <w:r w:rsidRPr="00820842">
              <w:rPr>
                <w:sz w:val="18"/>
                <w:szCs w:val="24"/>
              </w:rPr>
              <w:t>RestoreSensor</w:t>
            </w:r>
            <w:proofErr w:type="spellEnd"/>
            <w:r w:rsidRPr="00820842">
              <w:rPr>
                <w:sz w:val="18"/>
                <w:szCs w:val="24"/>
              </w:rPr>
              <w:t>)</w:t>
            </w:r>
          </w:p>
        </w:tc>
        <w:tc>
          <w:tcPr>
            <w:tcW w:w="2250" w:type="dxa"/>
          </w:tcPr>
          <w:p w14:paraId="7AB5D7EF" w14:textId="44BDF8B7" w:rsidR="00DC61D0" w:rsidRPr="00820842" w:rsidRDefault="00DC2F44" w:rsidP="00DC61D0">
            <w:pPr>
              <w:pStyle w:val="061Tabletext628pt"/>
              <w:rPr>
                <w:sz w:val="18"/>
                <w:szCs w:val="24"/>
              </w:rPr>
            </w:pPr>
            <w:r w:rsidRPr="00820842">
              <w:rPr>
                <w:sz w:val="18"/>
                <w:szCs w:val="24"/>
                <w:u w:val="single"/>
              </w:rPr>
              <w:t>Inclusion:</w:t>
            </w:r>
            <w:r w:rsidRPr="00820842">
              <w:rPr>
                <w:sz w:val="18"/>
                <w:szCs w:val="24"/>
              </w:rPr>
              <w:t xml:space="preserve"> CRPS or causalgia</w:t>
            </w:r>
            <w:r w:rsidR="00C05600" w:rsidRPr="00820842">
              <w:rPr>
                <w:sz w:val="18"/>
                <w:szCs w:val="24"/>
              </w:rPr>
              <w:t xml:space="preserve"> in the lower extremities</w:t>
            </w:r>
            <w:r w:rsidRPr="00820842">
              <w:rPr>
                <w:sz w:val="18"/>
                <w:szCs w:val="24"/>
              </w:rPr>
              <w:t xml:space="preserve">, </w:t>
            </w:r>
            <w:r w:rsidR="00DC75C7" w:rsidRPr="00820842">
              <w:rPr>
                <w:sz w:val="18"/>
                <w:szCs w:val="24"/>
              </w:rPr>
              <w:t xml:space="preserve">naïve to simulation, pain &gt;6 </w:t>
            </w:r>
            <w:proofErr w:type="spellStart"/>
            <w:r w:rsidR="00DC75C7" w:rsidRPr="00820842">
              <w:rPr>
                <w:sz w:val="18"/>
                <w:szCs w:val="24"/>
              </w:rPr>
              <w:t>mo</w:t>
            </w:r>
            <w:proofErr w:type="spellEnd"/>
            <w:r w:rsidR="00DC75C7" w:rsidRPr="00820842">
              <w:rPr>
                <w:sz w:val="18"/>
                <w:szCs w:val="24"/>
              </w:rPr>
              <w:t xml:space="preserve">, failed </w:t>
            </w:r>
            <w:r w:rsidR="00DC75C7" w:rsidRPr="00820842">
              <w:rPr>
                <w:rFonts w:cs="Calibri"/>
                <w:sz w:val="18"/>
                <w:szCs w:val="24"/>
              </w:rPr>
              <w:t>≥</w:t>
            </w:r>
            <w:r w:rsidR="00DC75C7" w:rsidRPr="00820842">
              <w:rPr>
                <w:sz w:val="18"/>
                <w:szCs w:val="24"/>
              </w:rPr>
              <w:t xml:space="preserve">2 </w:t>
            </w:r>
            <w:r w:rsidR="005E70B3" w:rsidRPr="00820842">
              <w:rPr>
                <w:sz w:val="18"/>
                <w:szCs w:val="24"/>
              </w:rPr>
              <w:t xml:space="preserve">pharmacological treatments, stable neurologic function, </w:t>
            </w:r>
            <w:r w:rsidR="006A7526" w:rsidRPr="00820842">
              <w:rPr>
                <w:sz w:val="18"/>
                <w:szCs w:val="24"/>
              </w:rPr>
              <w:t>no psychological contraindication</w:t>
            </w:r>
          </w:p>
          <w:p w14:paraId="6F2CC8A2" w14:textId="3F823964" w:rsidR="006A7526" w:rsidRPr="00820842" w:rsidRDefault="006A7526" w:rsidP="00DC61D0">
            <w:pPr>
              <w:pStyle w:val="061Tabletext628pt"/>
              <w:rPr>
                <w:sz w:val="18"/>
                <w:szCs w:val="24"/>
              </w:rPr>
            </w:pPr>
            <w:r w:rsidRPr="00820842">
              <w:rPr>
                <w:sz w:val="18"/>
                <w:szCs w:val="24"/>
                <w:u w:val="single"/>
              </w:rPr>
              <w:t xml:space="preserve">Exclusion: </w:t>
            </w:r>
            <w:r w:rsidR="001449CD" w:rsidRPr="00820842">
              <w:rPr>
                <w:sz w:val="18"/>
                <w:szCs w:val="24"/>
              </w:rPr>
              <w:t>changing or escalating pain</w:t>
            </w:r>
          </w:p>
        </w:tc>
        <w:tc>
          <w:tcPr>
            <w:tcW w:w="3092" w:type="dxa"/>
          </w:tcPr>
          <w:p w14:paraId="40FABF28" w14:textId="635B5CFA" w:rsidR="00DC61D0" w:rsidRPr="00820842" w:rsidRDefault="00032CE1" w:rsidP="00DC61D0">
            <w:pPr>
              <w:pStyle w:val="061Tabletext628pt"/>
              <w:rPr>
                <w:sz w:val="18"/>
                <w:szCs w:val="24"/>
              </w:rPr>
            </w:pPr>
            <w:r w:rsidRPr="00820842">
              <w:rPr>
                <w:sz w:val="18"/>
                <w:szCs w:val="24"/>
                <w:u w:val="single"/>
              </w:rPr>
              <w:t xml:space="preserve">Primary: </w:t>
            </w:r>
            <w:r w:rsidR="00301635">
              <w:rPr>
                <w:sz w:val="18"/>
                <w:szCs w:val="24"/>
                <w:u w:val="single"/>
              </w:rPr>
              <w:br/>
            </w:r>
            <w:r w:rsidRPr="00820842">
              <w:rPr>
                <w:sz w:val="18"/>
                <w:szCs w:val="24"/>
              </w:rPr>
              <w:t xml:space="preserve">treatment </w:t>
            </w:r>
            <w:r w:rsidR="00E61696" w:rsidRPr="00820842">
              <w:rPr>
                <w:sz w:val="18"/>
                <w:szCs w:val="24"/>
              </w:rPr>
              <w:t>success (composite outcome</w:t>
            </w:r>
            <w:r w:rsidR="00BC0B1C" w:rsidRPr="00820842">
              <w:rPr>
                <w:sz w:val="18"/>
                <w:szCs w:val="24"/>
              </w:rPr>
              <w:t>:</w:t>
            </w:r>
            <w:r w:rsidR="00E61696" w:rsidRPr="00820842">
              <w:rPr>
                <w:sz w:val="18"/>
                <w:szCs w:val="24"/>
              </w:rPr>
              <w:t xml:space="preserve"> </w:t>
            </w:r>
            <w:r w:rsidR="00E61696" w:rsidRPr="00820842">
              <w:rPr>
                <w:rFonts w:cs="Calibri"/>
                <w:sz w:val="18"/>
                <w:szCs w:val="24"/>
              </w:rPr>
              <w:t>≥</w:t>
            </w:r>
            <w:r w:rsidR="00E61696" w:rsidRPr="00820842">
              <w:rPr>
                <w:sz w:val="18"/>
                <w:szCs w:val="24"/>
              </w:rPr>
              <w:t>50% reduction in VAS score</w:t>
            </w:r>
            <w:r w:rsidR="00271FDA" w:rsidRPr="00820842">
              <w:rPr>
                <w:sz w:val="18"/>
                <w:szCs w:val="24"/>
              </w:rPr>
              <w:t xml:space="preserve"> at 3 months and trial end plus no stimulation-related neurological deficit</w:t>
            </w:r>
            <w:r w:rsidR="00BC0B1C" w:rsidRPr="00820842">
              <w:rPr>
                <w:sz w:val="18"/>
                <w:szCs w:val="24"/>
              </w:rPr>
              <w:t>)</w:t>
            </w:r>
          </w:p>
          <w:p w14:paraId="2419DF9F" w14:textId="0F046349" w:rsidR="000378F7" w:rsidRPr="00820842" w:rsidRDefault="00BC0B1C" w:rsidP="00531F69">
            <w:pPr>
              <w:pStyle w:val="061Tabletext628pt"/>
              <w:rPr>
                <w:sz w:val="18"/>
                <w:szCs w:val="24"/>
                <w:u w:val="single"/>
              </w:rPr>
            </w:pPr>
            <w:r w:rsidRPr="00820842">
              <w:rPr>
                <w:sz w:val="18"/>
                <w:szCs w:val="24"/>
                <w:u w:val="single"/>
              </w:rPr>
              <w:t>Secondary:</w:t>
            </w:r>
            <w:r w:rsidR="00847D9C" w:rsidRPr="00820842">
              <w:rPr>
                <w:sz w:val="18"/>
                <w:szCs w:val="24"/>
                <w:u w:val="single"/>
              </w:rPr>
              <w:br/>
            </w:r>
            <w:r w:rsidRPr="00820842">
              <w:rPr>
                <w:sz w:val="18"/>
                <w:szCs w:val="24"/>
              </w:rPr>
              <w:t xml:space="preserve">Positional effects on </w:t>
            </w:r>
            <w:r w:rsidR="00877936" w:rsidRPr="00820842">
              <w:rPr>
                <w:sz w:val="18"/>
                <w:szCs w:val="24"/>
              </w:rPr>
              <w:t>paraesthesia</w:t>
            </w:r>
            <w:r w:rsidRPr="00820842">
              <w:rPr>
                <w:sz w:val="18"/>
                <w:szCs w:val="24"/>
              </w:rPr>
              <w:t xml:space="preserve"> intensity</w:t>
            </w:r>
            <w:r w:rsidR="00847D9C" w:rsidRPr="00820842">
              <w:rPr>
                <w:sz w:val="18"/>
                <w:szCs w:val="24"/>
              </w:rPr>
              <w:br/>
            </w:r>
            <w:r w:rsidR="00DC5F98" w:rsidRPr="00820842">
              <w:rPr>
                <w:sz w:val="18"/>
                <w:szCs w:val="24"/>
              </w:rPr>
              <w:t>SF-36</w:t>
            </w:r>
            <w:r w:rsidR="00531F69" w:rsidRPr="00820842">
              <w:rPr>
                <w:sz w:val="18"/>
                <w:szCs w:val="24"/>
              </w:rPr>
              <w:br/>
            </w:r>
            <w:r w:rsidR="00DC5F98" w:rsidRPr="00820842">
              <w:rPr>
                <w:sz w:val="18"/>
                <w:szCs w:val="24"/>
              </w:rPr>
              <w:t>Profile of mood states</w:t>
            </w:r>
            <w:r w:rsidR="00531F69" w:rsidRPr="00820842">
              <w:rPr>
                <w:sz w:val="18"/>
                <w:szCs w:val="24"/>
              </w:rPr>
              <w:br/>
            </w:r>
            <w:r w:rsidR="00DC5F98" w:rsidRPr="00820842">
              <w:rPr>
                <w:sz w:val="18"/>
                <w:szCs w:val="24"/>
              </w:rPr>
              <w:t>Brief pain inventory</w:t>
            </w:r>
            <w:r w:rsidR="00531F69" w:rsidRPr="00820842">
              <w:rPr>
                <w:sz w:val="18"/>
                <w:szCs w:val="24"/>
              </w:rPr>
              <w:br/>
            </w:r>
            <w:r w:rsidR="00DC5F98" w:rsidRPr="00820842">
              <w:rPr>
                <w:sz w:val="18"/>
                <w:szCs w:val="24"/>
              </w:rPr>
              <w:t>Subject satisfaction</w:t>
            </w:r>
            <w:r w:rsidR="00531F69" w:rsidRPr="00820842">
              <w:rPr>
                <w:sz w:val="18"/>
                <w:szCs w:val="24"/>
              </w:rPr>
              <w:br/>
            </w:r>
            <w:r w:rsidR="000378F7" w:rsidRPr="00820842">
              <w:rPr>
                <w:sz w:val="18"/>
                <w:szCs w:val="24"/>
              </w:rPr>
              <w:t>Stimulation specificity</w:t>
            </w:r>
            <w:r w:rsidR="00531F69" w:rsidRPr="00820842">
              <w:rPr>
                <w:sz w:val="18"/>
                <w:szCs w:val="24"/>
              </w:rPr>
              <w:br/>
            </w:r>
            <w:r w:rsidR="000378F7" w:rsidRPr="00820842">
              <w:rPr>
                <w:sz w:val="18"/>
                <w:szCs w:val="24"/>
              </w:rPr>
              <w:t>% change in VAS</w:t>
            </w:r>
            <w:r w:rsidR="00531F69" w:rsidRPr="00820842">
              <w:rPr>
                <w:sz w:val="18"/>
                <w:szCs w:val="24"/>
              </w:rPr>
              <w:br/>
            </w:r>
            <w:r w:rsidR="007F14D2">
              <w:rPr>
                <w:sz w:val="18"/>
                <w:szCs w:val="24"/>
              </w:rPr>
              <w:t>A</w:t>
            </w:r>
            <w:r w:rsidR="007F14D2" w:rsidRPr="00820842">
              <w:rPr>
                <w:sz w:val="18"/>
                <w:szCs w:val="24"/>
              </w:rPr>
              <w:t>Es</w:t>
            </w:r>
          </w:p>
        </w:tc>
        <w:tc>
          <w:tcPr>
            <w:tcW w:w="1416" w:type="dxa"/>
          </w:tcPr>
          <w:p w14:paraId="44C89F2A" w14:textId="77777777" w:rsidR="00DC61D0" w:rsidRPr="00820842" w:rsidRDefault="00D141BD" w:rsidP="00DC61D0">
            <w:pPr>
              <w:pStyle w:val="061Tabletext628pt"/>
              <w:rPr>
                <w:sz w:val="18"/>
                <w:szCs w:val="24"/>
              </w:rPr>
            </w:pPr>
            <w:r w:rsidRPr="00820842">
              <w:rPr>
                <w:sz w:val="18"/>
                <w:szCs w:val="24"/>
              </w:rPr>
              <w:t>Spinal Modulation &amp; St Jude Medical</w:t>
            </w:r>
          </w:p>
          <w:p w14:paraId="0FA4987A" w14:textId="01FE3B2A" w:rsidR="00E11E91" w:rsidRPr="00820842" w:rsidRDefault="00E11E91" w:rsidP="00DC61D0">
            <w:pPr>
              <w:pStyle w:val="061Tabletext628pt"/>
              <w:rPr>
                <w:sz w:val="18"/>
                <w:szCs w:val="24"/>
              </w:rPr>
            </w:pPr>
            <w:r w:rsidRPr="00820842">
              <w:rPr>
                <w:sz w:val="18"/>
                <w:szCs w:val="24"/>
              </w:rPr>
              <w:t>Yes</w:t>
            </w:r>
          </w:p>
        </w:tc>
      </w:tr>
    </w:tbl>
    <w:p w14:paraId="083039AF" w14:textId="3C6AAE0E" w:rsidR="0007387D" w:rsidRDefault="00172D7E" w:rsidP="00172D7E">
      <w:pPr>
        <w:pStyle w:val="111Tablefootnoteslast-nostick8pt"/>
      </w:pPr>
      <w:r>
        <w:t xml:space="preserve">Abbreviations: </w:t>
      </w:r>
      <w:r w:rsidR="00175757">
        <w:t>AE, adverse event;</w:t>
      </w:r>
      <w:r>
        <w:t xml:space="preserve"> </w:t>
      </w:r>
      <w:r w:rsidR="0052233E">
        <w:t xml:space="preserve">COI, conflict of interest; CRPS, complex regional pain syndrome; </w:t>
      </w:r>
      <w:r>
        <w:t xml:space="preserve">DRGS, dorsal root ganglion stimulation; </w:t>
      </w:r>
      <w:proofErr w:type="spellStart"/>
      <w:r w:rsidR="000C3920">
        <w:t>mo</w:t>
      </w:r>
      <w:proofErr w:type="spellEnd"/>
      <w:r w:rsidR="000C3920">
        <w:t xml:space="preserve">, months; N, population; </w:t>
      </w:r>
      <w:r>
        <w:t>RCT, randomised controlled trial</w:t>
      </w:r>
      <w:r w:rsidR="0052233E">
        <w:t xml:space="preserve">; </w:t>
      </w:r>
      <w:r w:rsidR="00531F69">
        <w:t xml:space="preserve">SCS, spinal cord stimulation; </w:t>
      </w:r>
      <w:r w:rsidR="00175757">
        <w:t xml:space="preserve">SF-36, </w:t>
      </w:r>
      <w:r w:rsidR="00E83213">
        <w:t xml:space="preserve">36-item short form survey; </w:t>
      </w:r>
      <w:r w:rsidR="0052233E">
        <w:t>VAS, visual analogue scale</w:t>
      </w:r>
    </w:p>
    <w:p w14:paraId="6D13D32A" w14:textId="5CE7CA98" w:rsidR="00AE3B61" w:rsidRDefault="000E5A5F" w:rsidP="000E5A5F">
      <w:pPr>
        <w:pStyle w:val="Heading5"/>
      </w:pPr>
      <w:r>
        <w:t>Findings</w:t>
      </w:r>
    </w:p>
    <w:p w14:paraId="085C8FC1" w14:textId="0399BD90" w:rsidR="000E5A5F" w:rsidRDefault="0038285D" w:rsidP="000E5A5F">
      <w:pPr>
        <w:pStyle w:val="BodyText"/>
      </w:pPr>
      <w:r>
        <w:t>The outcomes of the trial</w:t>
      </w:r>
      <w:r w:rsidR="00374C51">
        <w:t xml:space="preserve"> </w:t>
      </w:r>
      <w:r>
        <w:t xml:space="preserve">are presented in </w:t>
      </w:r>
      <w:r>
        <w:fldChar w:fldCharType="begin"/>
      </w:r>
      <w:r>
        <w:instrText xml:space="preserve"> REF _Ref129097912 \h </w:instrText>
      </w:r>
      <w:r>
        <w:fldChar w:fldCharType="separate"/>
      </w:r>
      <w:r w:rsidR="00CE6ACA">
        <w:t xml:space="preserve">Table </w:t>
      </w:r>
      <w:r w:rsidR="00CE6ACA">
        <w:rPr>
          <w:noProof/>
        </w:rPr>
        <w:t>14</w:t>
      </w:r>
      <w:r>
        <w:fldChar w:fldCharType="end"/>
      </w:r>
      <w:r w:rsidR="00F67231">
        <w:t xml:space="preserve"> at medium term (6 months) and long term (12 months)</w:t>
      </w:r>
      <w:r w:rsidR="00945F4B">
        <w:t>, using the same outcomes reported in the O’Connell (2021) Cochrane review</w:t>
      </w:r>
      <w:r w:rsidR="00374C51">
        <w:t xml:space="preserve">. </w:t>
      </w:r>
      <w:r w:rsidR="00C95370">
        <w:t xml:space="preserve">Of the 152 participants randomised, </w:t>
      </w:r>
      <w:r w:rsidR="00BE3CC7">
        <w:t>105 (69%) completed the 12-month visit</w:t>
      </w:r>
      <w:r w:rsidR="009F3DA6">
        <w:t>. For several outcomes, only participants wi</w:t>
      </w:r>
      <w:r w:rsidR="009945A7">
        <w:t>th</w:t>
      </w:r>
      <w:r w:rsidR="009F3DA6">
        <w:t xml:space="preserve"> full data at that time point are included in the analysis.</w:t>
      </w:r>
    </w:p>
    <w:p w14:paraId="482FCCEB" w14:textId="2AA2697D" w:rsidR="009F3DA6" w:rsidRDefault="009F3DA6" w:rsidP="009F3DA6">
      <w:pPr>
        <w:pStyle w:val="Heading6"/>
      </w:pPr>
      <w:r>
        <w:t>Pain intensity</w:t>
      </w:r>
    </w:p>
    <w:p w14:paraId="59502D9E" w14:textId="67AE3621" w:rsidR="009F3DA6" w:rsidRDefault="00325502" w:rsidP="009F3DA6">
      <w:pPr>
        <w:pStyle w:val="BodyText"/>
      </w:pPr>
      <w:r>
        <w:t>Mean difference in pain intensity favour</w:t>
      </w:r>
      <w:r w:rsidR="00461E2A">
        <w:t>ed</w:t>
      </w:r>
      <w:r>
        <w:t xml:space="preserve"> DRGS at both medium</w:t>
      </w:r>
      <w:r w:rsidR="00435070">
        <w:t xml:space="preserve"> and long-term follow</w:t>
      </w:r>
      <w:r w:rsidR="006541C2">
        <w:t>-</w:t>
      </w:r>
      <w:r w:rsidR="00435070">
        <w:t>up, however insufficient data w</w:t>
      </w:r>
      <w:r w:rsidR="008F1111">
        <w:t>ere</w:t>
      </w:r>
      <w:r w:rsidR="00435070">
        <w:t xml:space="preserve"> provide</w:t>
      </w:r>
      <w:r w:rsidR="00F66C16">
        <w:t>d</w:t>
      </w:r>
      <w:r w:rsidR="00435070">
        <w:t xml:space="preserve"> to </w:t>
      </w:r>
      <w:r w:rsidR="00DC6710">
        <w:t xml:space="preserve">assess the significance of this. The minimum clinically important difference is 10 </w:t>
      </w:r>
      <w:r w:rsidR="00F66C16">
        <w:t>(O’Connell 2021).</w:t>
      </w:r>
    </w:p>
    <w:p w14:paraId="3B9F3E93" w14:textId="3865E2AD" w:rsidR="00395C68" w:rsidRDefault="00600263" w:rsidP="009F3DA6">
      <w:pPr>
        <w:pStyle w:val="BodyText"/>
      </w:pPr>
      <w:r>
        <w:t>At long-term follow-up</w:t>
      </w:r>
      <w:r w:rsidR="0046297D">
        <w:t>,</w:t>
      </w:r>
      <w:r>
        <w:t xml:space="preserve"> </w:t>
      </w:r>
      <w:r w:rsidR="00552F85">
        <w:t xml:space="preserve">the proportion of participants reporting </w:t>
      </w:r>
      <w:r w:rsidR="00552F85">
        <w:rPr>
          <w:rFonts w:cs="Calibri"/>
        </w:rPr>
        <w:t>≥</w:t>
      </w:r>
      <w:r w:rsidR="00552F85">
        <w:t>50% pain reduction favour</w:t>
      </w:r>
      <w:r w:rsidR="00461E2A">
        <w:t>ed</w:t>
      </w:r>
      <w:r w:rsidR="00552F85">
        <w:t xml:space="preserve"> DRGS (</w:t>
      </w:r>
      <w:r w:rsidR="00552F85" w:rsidRPr="00552F85">
        <w:t>RR 1.4</w:t>
      </w:r>
      <w:r w:rsidR="001B0F38">
        <w:t>,</w:t>
      </w:r>
      <w:r w:rsidR="00552F85" w:rsidRPr="00552F85">
        <w:t xml:space="preserve"> 95% CI 1.05 </w:t>
      </w:r>
      <w:r w:rsidR="001B0F38">
        <w:t>to</w:t>
      </w:r>
      <w:r w:rsidR="00552F85" w:rsidRPr="00552F85">
        <w:t xml:space="preserve"> 1.87, p = 0.02)</w:t>
      </w:r>
      <w:r w:rsidR="00176A02">
        <w:t>.</w:t>
      </w:r>
      <w:r w:rsidR="00BE4C40">
        <w:t xml:space="preserve"> </w:t>
      </w:r>
    </w:p>
    <w:p w14:paraId="6F36C680" w14:textId="63ACBC1B" w:rsidR="00176A02" w:rsidRDefault="00176A02" w:rsidP="00176A02">
      <w:pPr>
        <w:pStyle w:val="Heading6"/>
      </w:pPr>
      <w:r>
        <w:t>Adverse events</w:t>
      </w:r>
    </w:p>
    <w:p w14:paraId="043BCABC" w14:textId="295D36EA" w:rsidR="00176A02" w:rsidRDefault="002130B3" w:rsidP="00176A02">
      <w:pPr>
        <w:pStyle w:val="BodyText"/>
      </w:pPr>
      <w:r>
        <w:t>Participants receiving DRGS were at greater risk</w:t>
      </w:r>
      <w:r w:rsidR="00943DC6">
        <w:t>, although not statistically significant,</w:t>
      </w:r>
      <w:r>
        <w:t xml:space="preserve"> of device</w:t>
      </w:r>
      <w:r w:rsidR="001330B4">
        <w:t>-</w:t>
      </w:r>
      <w:r>
        <w:t xml:space="preserve">related </w:t>
      </w:r>
      <w:r w:rsidR="007F14D2">
        <w:t xml:space="preserve">AEs </w:t>
      </w:r>
      <w:r>
        <w:t>than those receiving SCS (RR 1.4</w:t>
      </w:r>
      <w:r w:rsidR="001330B4">
        <w:t>,</w:t>
      </w:r>
      <w:r>
        <w:t xml:space="preserve"> 95% CI 0.87 to 1.26, p=0.22) at </w:t>
      </w:r>
      <w:r w:rsidR="000F2FFA">
        <w:t xml:space="preserve">long-term (12-month) follow-up. </w:t>
      </w:r>
      <w:r w:rsidR="000E0840">
        <w:t>The authors attribute this to a longer procedure time and a greater number of implanted leads (3 or 4 compared to 1 or 2) in the DRGS arm.</w:t>
      </w:r>
      <w:r w:rsidR="008A67BE">
        <w:t xml:space="preserve"> There was no difference in the rate of </w:t>
      </w:r>
      <w:r w:rsidR="00A10534">
        <w:t>S</w:t>
      </w:r>
      <w:r w:rsidR="007F14D2">
        <w:t>AEs</w:t>
      </w:r>
      <w:r w:rsidR="008A67BE">
        <w:t xml:space="preserve">. </w:t>
      </w:r>
      <w:r w:rsidR="00DB630A">
        <w:t xml:space="preserve">Two </w:t>
      </w:r>
      <w:r w:rsidR="00A10534">
        <w:t>S</w:t>
      </w:r>
      <w:r w:rsidR="007F14D2">
        <w:t xml:space="preserve">AEs </w:t>
      </w:r>
      <w:r w:rsidR="00DB630A">
        <w:t xml:space="preserve">in the SCS arm were infections requiring device </w:t>
      </w:r>
      <w:proofErr w:type="spellStart"/>
      <w:r w:rsidR="00DB630A">
        <w:t>explantation</w:t>
      </w:r>
      <w:proofErr w:type="spellEnd"/>
      <w:r w:rsidR="00DB630A">
        <w:t xml:space="preserve">. </w:t>
      </w:r>
    </w:p>
    <w:p w14:paraId="6F3C5231" w14:textId="2035518B" w:rsidR="00DB630A" w:rsidRDefault="00DB630A" w:rsidP="00DB630A">
      <w:pPr>
        <w:pStyle w:val="Heading6"/>
      </w:pPr>
      <w:r>
        <w:t>Secondary outcomes</w:t>
      </w:r>
    </w:p>
    <w:p w14:paraId="076F967C" w14:textId="6817B165" w:rsidR="00DB630A" w:rsidRPr="00DB630A" w:rsidRDefault="00956417" w:rsidP="00DB630A">
      <w:pPr>
        <w:pStyle w:val="BodyText"/>
      </w:pPr>
      <w:proofErr w:type="spellStart"/>
      <w:r>
        <w:t>HRQoL</w:t>
      </w:r>
      <w:proofErr w:type="spellEnd"/>
      <w:r w:rsidR="00944B45">
        <w:t xml:space="preserve"> was measured using the SF-36. No </w:t>
      </w:r>
      <w:r w:rsidR="00364B32">
        <w:t xml:space="preserve">statistically significant </w:t>
      </w:r>
      <w:r w:rsidR="00944B45">
        <w:t>difference was found between the DRGS and SCS arms</w:t>
      </w:r>
      <w:r w:rsidR="00364B32">
        <w:t xml:space="preserve"> at medium or long</w:t>
      </w:r>
      <w:r w:rsidR="00FD79E7">
        <w:t>-</w:t>
      </w:r>
      <w:r w:rsidR="00364B32">
        <w:t>term follow</w:t>
      </w:r>
      <w:r w:rsidR="006541C2">
        <w:t>-</w:t>
      </w:r>
      <w:r w:rsidR="00364B32">
        <w:t>up</w:t>
      </w:r>
      <w:r w:rsidR="00944B45">
        <w:t xml:space="preserve">. </w:t>
      </w:r>
    </w:p>
    <w:p w14:paraId="16C79A5A" w14:textId="7FDE9697" w:rsidR="00297C0A" w:rsidRDefault="00297C0A" w:rsidP="00297C0A">
      <w:pPr>
        <w:pStyle w:val="Caption"/>
      </w:pPr>
      <w:bookmarkStart w:id="88" w:name="_Ref129097912"/>
      <w:r>
        <w:t xml:space="preserve">Table </w:t>
      </w:r>
      <w:r>
        <w:fldChar w:fldCharType="begin"/>
      </w:r>
      <w:r>
        <w:instrText>SEQ Table \* ARABIC</w:instrText>
      </w:r>
      <w:r>
        <w:fldChar w:fldCharType="separate"/>
      </w:r>
      <w:r w:rsidR="00CE6ACA">
        <w:rPr>
          <w:noProof/>
        </w:rPr>
        <w:t>14</w:t>
      </w:r>
      <w:r>
        <w:fldChar w:fldCharType="end"/>
      </w:r>
      <w:bookmarkEnd w:id="88"/>
      <w:r>
        <w:tab/>
        <w:t xml:space="preserve">Outcomes of RCT </w:t>
      </w:r>
      <w:r w:rsidR="007D0E41">
        <w:t>comparing DRGS v</w:t>
      </w:r>
      <w:r w:rsidR="002F3C4E">
        <w:t>ersu</w:t>
      </w:r>
      <w:r w:rsidR="007D0E41">
        <w:t xml:space="preserve">s </w:t>
      </w:r>
      <w:r w:rsidR="00A11363">
        <w:t>conventional</w:t>
      </w:r>
      <w:r w:rsidR="007D0E41">
        <w:t xml:space="preserve"> SCS (Deer 2017)</w:t>
      </w:r>
    </w:p>
    <w:tbl>
      <w:tblPr>
        <w:tblStyle w:val="TableGrid"/>
        <w:tblW w:w="0" w:type="auto"/>
        <w:tblLook w:val="04A0" w:firstRow="1" w:lastRow="0" w:firstColumn="1" w:lastColumn="0" w:noHBand="0" w:noVBand="1"/>
        <w:tblCaption w:val="Outcomes of RCT comparing DRGS versus conventional SCS (Deer 2017)"/>
        <w:tblDescription w:val="Table showing the outcomes at medium term (3 or 6 months) and long term (12 months) of the ACCURATE RCT (Deer 2017) which compares DRGS versus conventional SCS."/>
      </w:tblPr>
      <w:tblGrid>
        <w:gridCol w:w="3474"/>
        <w:gridCol w:w="2004"/>
        <w:gridCol w:w="1991"/>
        <w:gridCol w:w="2169"/>
      </w:tblGrid>
      <w:tr w:rsidR="00111015" w:rsidRPr="005503F9" w14:paraId="4893DBB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0A90A08" w14:textId="77777777" w:rsidR="00111015" w:rsidRPr="005503F9" w:rsidRDefault="00111015">
            <w:pPr>
              <w:pStyle w:val="011TableHeading8pt"/>
              <w:rPr>
                <w:sz w:val="18"/>
                <w:szCs w:val="18"/>
              </w:rPr>
            </w:pPr>
            <w:r>
              <w:rPr>
                <w:sz w:val="18"/>
                <w:szCs w:val="18"/>
              </w:rPr>
              <w:t>Outcomes</w:t>
            </w:r>
          </w:p>
        </w:tc>
        <w:tc>
          <w:tcPr>
            <w:tcW w:w="0" w:type="auto"/>
          </w:tcPr>
          <w:p w14:paraId="2FF2B9FC" w14:textId="77777777" w:rsidR="00111015" w:rsidRPr="005503F9" w:rsidRDefault="00111015">
            <w:pPr>
              <w:pStyle w:val="011TableHeading8pt"/>
              <w:rPr>
                <w:sz w:val="18"/>
                <w:szCs w:val="18"/>
              </w:rPr>
            </w:pPr>
            <w:r w:rsidRPr="005503F9">
              <w:rPr>
                <w:sz w:val="18"/>
                <w:szCs w:val="18"/>
              </w:rPr>
              <w:t xml:space="preserve">Intervention </w:t>
            </w:r>
          </w:p>
        </w:tc>
        <w:tc>
          <w:tcPr>
            <w:tcW w:w="0" w:type="auto"/>
          </w:tcPr>
          <w:p w14:paraId="0DD5D3AA" w14:textId="77777777" w:rsidR="00111015" w:rsidRPr="005503F9" w:rsidRDefault="00111015">
            <w:pPr>
              <w:pStyle w:val="011TableHeading8pt"/>
              <w:rPr>
                <w:sz w:val="18"/>
                <w:szCs w:val="18"/>
              </w:rPr>
            </w:pPr>
            <w:r w:rsidRPr="005503F9">
              <w:rPr>
                <w:sz w:val="18"/>
                <w:szCs w:val="18"/>
              </w:rPr>
              <w:t>Comparator</w:t>
            </w:r>
          </w:p>
        </w:tc>
        <w:tc>
          <w:tcPr>
            <w:tcW w:w="0" w:type="auto"/>
          </w:tcPr>
          <w:p w14:paraId="5F25CF70" w14:textId="77777777" w:rsidR="00111015" w:rsidRPr="005503F9" w:rsidRDefault="00111015">
            <w:pPr>
              <w:pStyle w:val="011TableHeading8pt"/>
              <w:rPr>
                <w:sz w:val="18"/>
                <w:szCs w:val="18"/>
              </w:rPr>
            </w:pPr>
            <w:r w:rsidRPr="005503F9">
              <w:rPr>
                <w:sz w:val="18"/>
                <w:szCs w:val="18"/>
              </w:rPr>
              <w:t>Summary</w:t>
            </w:r>
          </w:p>
        </w:tc>
      </w:tr>
      <w:tr w:rsidR="00111015" w:rsidRPr="005503F9" w14:paraId="00F17839" w14:textId="77777777">
        <w:tc>
          <w:tcPr>
            <w:tcW w:w="0" w:type="auto"/>
            <w:shd w:val="clear" w:color="auto" w:fill="F2F2F2" w:themeFill="background1" w:themeFillShade="F2"/>
          </w:tcPr>
          <w:p w14:paraId="6B6202FA" w14:textId="77777777" w:rsidR="00111015" w:rsidRPr="005503F9" w:rsidRDefault="00111015">
            <w:pPr>
              <w:pStyle w:val="031Tablesubheading8pt"/>
              <w:rPr>
                <w:sz w:val="18"/>
                <w:szCs w:val="18"/>
              </w:rPr>
            </w:pPr>
            <w:r w:rsidRPr="005503F9">
              <w:rPr>
                <w:sz w:val="18"/>
                <w:szCs w:val="18"/>
              </w:rPr>
              <w:t>Medium term (</w:t>
            </w:r>
            <w:r>
              <w:rPr>
                <w:sz w:val="18"/>
                <w:szCs w:val="18"/>
              </w:rPr>
              <w:t xml:space="preserve">3 or </w:t>
            </w:r>
            <w:r w:rsidRPr="005503F9">
              <w:rPr>
                <w:sz w:val="18"/>
                <w:szCs w:val="18"/>
              </w:rPr>
              <w:t>6 months)</w:t>
            </w:r>
          </w:p>
        </w:tc>
        <w:tc>
          <w:tcPr>
            <w:tcW w:w="0" w:type="auto"/>
            <w:shd w:val="clear" w:color="auto" w:fill="F2F2F2" w:themeFill="background1" w:themeFillShade="F2"/>
          </w:tcPr>
          <w:p w14:paraId="2A1933CC" w14:textId="77777777" w:rsidR="00111015" w:rsidRPr="005503F9" w:rsidRDefault="00111015">
            <w:pPr>
              <w:pStyle w:val="031Tablesubheading8pt"/>
              <w:rPr>
                <w:sz w:val="18"/>
                <w:szCs w:val="18"/>
              </w:rPr>
            </w:pPr>
          </w:p>
        </w:tc>
        <w:tc>
          <w:tcPr>
            <w:tcW w:w="0" w:type="auto"/>
            <w:shd w:val="clear" w:color="auto" w:fill="F2F2F2" w:themeFill="background1" w:themeFillShade="F2"/>
          </w:tcPr>
          <w:p w14:paraId="23E4E012" w14:textId="77777777" w:rsidR="00111015" w:rsidRPr="005503F9" w:rsidRDefault="00111015">
            <w:pPr>
              <w:pStyle w:val="031Tablesubheading8pt"/>
              <w:rPr>
                <w:sz w:val="18"/>
                <w:szCs w:val="18"/>
              </w:rPr>
            </w:pPr>
          </w:p>
        </w:tc>
        <w:tc>
          <w:tcPr>
            <w:tcW w:w="0" w:type="auto"/>
            <w:shd w:val="clear" w:color="auto" w:fill="F2F2F2" w:themeFill="background1" w:themeFillShade="F2"/>
          </w:tcPr>
          <w:p w14:paraId="1E74C68B" w14:textId="77777777" w:rsidR="00111015" w:rsidRPr="005503F9" w:rsidRDefault="00111015">
            <w:pPr>
              <w:pStyle w:val="031Tablesubheading8pt"/>
              <w:rPr>
                <w:sz w:val="18"/>
                <w:szCs w:val="18"/>
              </w:rPr>
            </w:pPr>
          </w:p>
        </w:tc>
      </w:tr>
      <w:tr w:rsidR="00111015" w:rsidRPr="005503F9" w14:paraId="5BD828FD" w14:textId="77777777">
        <w:tc>
          <w:tcPr>
            <w:tcW w:w="0" w:type="auto"/>
          </w:tcPr>
          <w:p w14:paraId="4A9DDF40" w14:textId="77777777" w:rsidR="00111015" w:rsidRPr="005503F9" w:rsidRDefault="00111015">
            <w:pPr>
              <w:pStyle w:val="051Tabletext228pt"/>
              <w:rPr>
                <w:sz w:val="18"/>
                <w:szCs w:val="18"/>
              </w:rPr>
            </w:pPr>
            <w:r w:rsidRPr="005503F9">
              <w:rPr>
                <w:sz w:val="18"/>
                <w:szCs w:val="18"/>
              </w:rPr>
              <w:t>Pain intensity</w:t>
            </w:r>
            <w:r w:rsidRPr="005608B1">
              <w:rPr>
                <w:rFonts w:asciiTheme="minorHAnsi" w:hAnsiTheme="minorHAnsi" w:cstheme="minorHAnsi"/>
                <w:sz w:val="18"/>
                <w:szCs w:val="18"/>
              </w:rPr>
              <w:t xml:space="preserve"> (mean change baseline to follow-up</w:t>
            </w:r>
            <w:r>
              <w:rPr>
                <w:rFonts w:asciiTheme="minorHAnsi" w:hAnsiTheme="minorHAnsi" w:cstheme="minorHAnsi"/>
                <w:sz w:val="18"/>
                <w:szCs w:val="18"/>
              </w:rPr>
              <w:t>)</w:t>
            </w:r>
          </w:p>
        </w:tc>
        <w:tc>
          <w:tcPr>
            <w:tcW w:w="0" w:type="auto"/>
            <w:shd w:val="clear" w:color="auto" w:fill="auto"/>
          </w:tcPr>
          <w:p w14:paraId="258A6B1A" w14:textId="77777777" w:rsidR="00111015" w:rsidRPr="003113F4" w:rsidRDefault="00111015">
            <w:pPr>
              <w:pStyle w:val="051Tabletext228pt"/>
              <w:rPr>
                <w:sz w:val="18"/>
                <w:szCs w:val="18"/>
              </w:rPr>
            </w:pPr>
            <w:r w:rsidRPr="005503F9">
              <w:rPr>
                <w:sz w:val="18"/>
                <w:szCs w:val="18"/>
              </w:rPr>
              <w:t>67.5 (SD NR)</w:t>
            </w:r>
          </w:p>
        </w:tc>
        <w:tc>
          <w:tcPr>
            <w:tcW w:w="0" w:type="auto"/>
            <w:shd w:val="clear" w:color="auto" w:fill="auto"/>
          </w:tcPr>
          <w:p w14:paraId="4A3B8303" w14:textId="77777777" w:rsidR="00111015" w:rsidRPr="003113F4" w:rsidRDefault="00111015">
            <w:pPr>
              <w:pStyle w:val="051Tabletext228pt"/>
              <w:rPr>
                <w:sz w:val="18"/>
                <w:szCs w:val="18"/>
              </w:rPr>
            </w:pPr>
            <w:r w:rsidRPr="005503F9">
              <w:rPr>
                <w:sz w:val="18"/>
                <w:szCs w:val="18"/>
              </w:rPr>
              <w:t>56.9 (SD NR)</w:t>
            </w:r>
          </w:p>
        </w:tc>
        <w:tc>
          <w:tcPr>
            <w:tcW w:w="0" w:type="auto"/>
            <w:shd w:val="clear" w:color="auto" w:fill="auto"/>
          </w:tcPr>
          <w:p w14:paraId="681DD744" w14:textId="77777777" w:rsidR="00111015" w:rsidRPr="003113F4" w:rsidRDefault="00111015">
            <w:pPr>
              <w:pStyle w:val="051Tabletext228pt"/>
              <w:rPr>
                <w:sz w:val="18"/>
                <w:szCs w:val="18"/>
              </w:rPr>
            </w:pPr>
            <w:r w:rsidRPr="005503F9">
              <w:rPr>
                <w:sz w:val="18"/>
                <w:szCs w:val="18"/>
              </w:rPr>
              <w:t>MD 10.6 (95% CI Not estimable)</w:t>
            </w:r>
          </w:p>
        </w:tc>
      </w:tr>
      <w:tr w:rsidR="00111015" w:rsidRPr="005503F9" w14:paraId="71E2D062" w14:textId="77777777">
        <w:tc>
          <w:tcPr>
            <w:tcW w:w="0" w:type="auto"/>
          </w:tcPr>
          <w:p w14:paraId="0EA95139" w14:textId="77777777" w:rsidR="00111015" w:rsidRPr="005503F9" w:rsidRDefault="00111015">
            <w:pPr>
              <w:pStyle w:val="051Tabletext228pt"/>
              <w:rPr>
                <w:sz w:val="18"/>
                <w:szCs w:val="18"/>
              </w:rPr>
            </w:pPr>
            <w:r w:rsidRPr="005503F9">
              <w:rPr>
                <w:sz w:val="18"/>
                <w:szCs w:val="18"/>
              </w:rPr>
              <w:t>Pain intensity (</w:t>
            </w:r>
            <w:r w:rsidRPr="005503F9">
              <w:rPr>
                <w:rFonts w:cs="Calibri"/>
                <w:sz w:val="18"/>
                <w:szCs w:val="18"/>
              </w:rPr>
              <w:t>≥</w:t>
            </w:r>
            <w:r w:rsidRPr="005503F9">
              <w:rPr>
                <w:sz w:val="18"/>
                <w:szCs w:val="18"/>
              </w:rPr>
              <w:t xml:space="preserve"> 50% relief</w:t>
            </w:r>
            <w:r>
              <w:rPr>
                <w:sz w:val="18"/>
                <w:szCs w:val="18"/>
              </w:rPr>
              <w:t xml:space="preserve"> in n/N patients (%)</w:t>
            </w:r>
            <w:r w:rsidRPr="005503F9">
              <w:rPr>
                <w:sz w:val="18"/>
                <w:szCs w:val="18"/>
              </w:rPr>
              <w:t>)</w:t>
            </w:r>
          </w:p>
        </w:tc>
        <w:tc>
          <w:tcPr>
            <w:tcW w:w="0" w:type="auto"/>
          </w:tcPr>
          <w:p w14:paraId="109DACFC" w14:textId="77777777" w:rsidR="00111015" w:rsidRPr="005503F9" w:rsidRDefault="00111015">
            <w:pPr>
              <w:pStyle w:val="051Tabletext228pt"/>
              <w:rPr>
                <w:sz w:val="18"/>
                <w:szCs w:val="18"/>
              </w:rPr>
            </w:pPr>
            <w:r>
              <w:rPr>
                <w:rFonts w:ascii="AdvHelN-L" w:eastAsia="Calibri" w:hAnsi="AdvHelN-L" w:cs="AdvHelN-L"/>
                <w:color w:val="231F20"/>
                <w:sz w:val="18"/>
                <w:szCs w:val="18"/>
                <w:lang w:eastAsia="en-AU"/>
              </w:rPr>
              <w:t>56/69</w:t>
            </w:r>
            <w:r>
              <w:rPr>
                <w:sz w:val="18"/>
                <w:szCs w:val="18"/>
              </w:rPr>
              <w:t xml:space="preserve"> (81.2%)</w:t>
            </w:r>
          </w:p>
        </w:tc>
        <w:tc>
          <w:tcPr>
            <w:tcW w:w="0" w:type="auto"/>
          </w:tcPr>
          <w:p w14:paraId="0C01F8A5" w14:textId="77777777" w:rsidR="00111015" w:rsidRPr="005503F9" w:rsidRDefault="00111015">
            <w:pPr>
              <w:pStyle w:val="051Tabletext228pt"/>
              <w:rPr>
                <w:sz w:val="18"/>
                <w:szCs w:val="18"/>
              </w:rPr>
            </w:pPr>
            <w:r>
              <w:rPr>
                <w:sz w:val="18"/>
                <w:szCs w:val="18"/>
              </w:rPr>
              <w:t>39/70 (55.7%)</w:t>
            </w:r>
          </w:p>
        </w:tc>
        <w:tc>
          <w:tcPr>
            <w:tcW w:w="0" w:type="auto"/>
          </w:tcPr>
          <w:p w14:paraId="42AC9527" w14:textId="77777777" w:rsidR="00111015" w:rsidRPr="005503F9" w:rsidRDefault="00111015">
            <w:pPr>
              <w:pStyle w:val="051Tabletext228pt"/>
              <w:rPr>
                <w:sz w:val="18"/>
                <w:szCs w:val="18"/>
              </w:rPr>
            </w:pPr>
            <w:r w:rsidRPr="00FD20B0">
              <w:rPr>
                <w:sz w:val="18"/>
                <w:szCs w:val="18"/>
              </w:rPr>
              <w:t xml:space="preserve">P </w:t>
            </w:r>
            <w:r>
              <w:rPr>
                <w:sz w:val="18"/>
                <w:szCs w:val="18"/>
              </w:rPr>
              <w:t>&lt;</w:t>
            </w:r>
            <w:r w:rsidRPr="00FD20B0">
              <w:rPr>
                <w:sz w:val="18"/>
                <w:szCs w:val="18"/>
              </w:rPr>
              <w:t xml:space="preserve"> 0.0004</w:t>
            </w:r>
          </w:p>
        </w:tc>
      </w:tr>
      <w:tr w:rsidR="00111015" w:rsidRPr="005503F9" w14:paraId="69FBF055" w14:textId="77777777">
        <w:tc>
          <w:tcPr>
            <w:tcW w:w="0" w:type="auto"/>
          </w:tcPr>
          <w:p w14:paraId="256129ED" w14:textId="77777777" w:rsidR="00111015" w:rsidRPr="005503F9" w:rsidRDefault="00111015">
            <w:pPr>
              <w:pStyle w:val="051Tabletext228pt"/>
              <w:rPr>
                <w:sz w:val="18"/>
                <w:szCs w:val="18"/>
              </w:rPr>
            </w:pPr>
            <w:r w:rsidRPr="005503F9">
              <w:rPr>
                <w:sz w:val="18"/>
                <w:szCs w:val="18"/>
              </w:rPr>
              <w:lastRenderedPageBreak/>
              <w:t>SF-36 – physical component</w:t>
            </w:r>
            <w:r>
              <w:rPr>
                <w:sz w:val="18"/>
                <w:szCs w:val="18"/>
              </w:rPr>
              <w:t>, mean score (SD)</w:t>
            </w:r>
          </w:p>
        </w:tc>
        <w:tc>
          <w:tcPr>
            <w:tcW w:w="0" w:type="auto"/>
          </w:tcPr>
          <w:p w14:paraId="1B923959" w14:textId="77777777" w:rsidR="00111015" w:rsidRPr="005503F9" w:rsidRDefault="00111015">
            <w:pPr>
              <w:pStyle w:val="051Tabletext228pt"/>
              <w:rPr>
                <w:sz w:val="18"/>
                <w:szCs w:val="18"/>
              </w:rPr>
            </w:pPr>
            <w:r w:rsidRPr="005503F9">
              <w:rPr>
                <w:sz w:val="18"/>
                <w:szCs w:val="18"/>
              </w:rPr>
              <w:t>11.1 (8.0)</w:t>
            </w:r>
          </w:p>
        </w:tc>
        <w:tc>
          <w:tcPr>
            <w:tcW w:w="0" w:type="auto"/>
          </w:tcPr>
          <w:p w14:paraId="53AED36A" w14:textId="77777777" w:rsidR="00111015" w:rsidRPr="005503F9" w:rsidRDefault="00111015">
            <w:pPr>
              <w:pStyle w:val="051Tabletext228pt"/>
              <w:rPr>
                <w:sz w:val="18"/>
                <w:szCs w:val="18"/>
              </w:rPr>
            </w:pPr>
            <w:r w:rsidRPr="005503F9">
              <w:rPr>
                <w:sz w:val="18"/>
                <w:szCs w:val="18"/>
              </w:rPr>
              <w:t>8.6 (8.4)</w:t>
            </w:r>
          </w:p>
        </w:tc>
        <w:tc>
          <w:tcPr>
            <w:tcW w:w="0" w:type="auto"/>
          </w:tcPr>
          <w:p w14:paraId="74F1594E" w14:textId="77777777" w:rsidR="00111015" w:rsidRPr="005503F9" w:rsidRDefault="00111015">
            <w:pPr>
              <w:pStyle w:val="051Tabletext228pt"/>
              <w:rPr>
                <w:sz w:val="18"/>
                <w:szCs w:val="18"/>
              </w:rPr>
            </w:pPr>
            <w:r w:rsidRPr="005503F9">
              <w:rPr>
                <w:sz w:val="18"/>
                <w:szCs w:val="18"/>
              </w:rPr>
              <w:t>MD 2.5 (95% CI -0.6 to 5.6)</w:t>
            </w:r>
          </w:p>
        </w:tc>
      </w:tr>
      <w:tr w:rsidR="00111015" w:rsidRPr="005503F9" w14:paraId="5637B363" w14:textId="77777777">
        <w:tc>
          <w:tcPr>
            <w:tcW w:w="0" w:type="auto"/>
          </w:tcPr>
          <w:p w14:paraId="013FD568" w14:textId="77777777" w:rsidR="00111015" w:rsidRPr="005503F9" w:rsidRDefault="00111015">
            <w:pPr>
              <w:pStyle w:val="051Tabletext228pt"/>
              <w:rPr>
                <w:sz w:val="18"/>
                <w:szCs w:val="18"/>
              </w:rPr>
            </w:pPr>
            <w:r w:rsidRPr="005503F9">
              <w:rPr>
                <w:sz w:val="18"/>
                <w:szCs w:val="18"/>
              </w:rPr>
              <w:t>SF-36 – mental component</w:t>
            </w:r>
            <w:r>
              <w:rPr>
                <w:sz w:val="18"/>
                <w:szCs w:val="18"/>
              </w:rPr>
              <w:t xml:space="preserve">, </w:t>
            </w:r>
            <w:r>
              <w:rPr>
                <w:sz w:val="18"/>
                <w:szCs w:val="18"/>
              </w:rPr>
              <w:br/>
              <w:t>mean score (SD)</w:t>
            </w:r>
          </w:p>
        </w:tc>
        <w:tc>
          <w:tcPr>
            <w:tcW w:w="0" w:type="auto"/>
          </w:tcPr>
          <w:p w14:paraId="08EAB92C" w14:textId="77777777" w:rsidR="00111015" w:rsidRPr="005503F9" w:rsidRDefault="00111015">
            <w:pPr>
              <w:pStyle w:val="051Tabletext228pt"/>
              <w:rPr>
                <w:sz w:val="18"/>
                <w:szCs w:val="18"/>
              </w:rPr>
            </w:pPr>
            <w:r w:rsidRPr="005503F9">
              <w:rPr>
                <w:sz w:val="18"/>
                <w:szCs w:val="18"/>
              </w:rPr>
              <w:t>6.6 (13.2)</w:t>
            </w:r>
          </w:p>
        </w:tc>
        <w:tc>
          <w:tcPr>
            <w:tcW w:w="0" w:type="auto"/>
          </w:tcPr>
          <w:p w14:paraId="2FCE7DEA" w14:textId="77777777" w:rsidR="00111015" w:rsidRPr="005503F9" w:rsidRDefault="00111015">
            <w:pPr>
              <w:pStyle w:val="051Tabletext228pt"/>
              <w:rPr>
                <w:sz w:val="18"/>
                <w:szCs w:val="18"/>
              </w:rPr>
            </w:pPr>
            <w:r w:rsidRPr="005503F9">
              <w:rPr>
                <w:sz w:val="18"/>
                <w:szCs w:val="18"/>
              </w:rPr>
              <w:t>4.1 (10.2)</w:t>
            </w:r>
          </w:p>
        </w:tc>
        <w:tc>
          <w:tcPr>
            <w:tcW w:w="0" w:type="auto"/>
          </w:tcPr>
          <w:p w14:paraId="1FC15071" w14:textId="77777777" w:rsidR="00111015" w:rsidRPr="005503F9" w:rsidRDefault="00111015">
            <w:pPr>
              <w:pStyle w:val="051Tabletext228pt"/>
              <w:rPr>
                <w:sz w:val="18"/>
                <w:szCs w:val="18"/>
              </w:rPr>
            </w:pPr>
            <w:r w:rsidRPr="005503F9">
              <w:rPr>
                <w:sz w:val="18"/>
                <w:szCs w:val="18"/>
              </w:rPr>
              <w:t>MD 2.5 (95% CI -2.0 to 7.0)</w:t>
            </w:r>
          </w:p>
        </w:tc>
      </w:tr>
      <w:tr w:rsidR="00111015" w:rsidRPr="005503F9" w14:paraId="33BE192E" w14:textId="77777777">
        <w:tc>
          <w:tcPr>
            <w:tcW w:w="0" w:type="auto"/>
          </w:tcPr>
          <w:p w14:paraId="31E9C53B" w14:textId="0AD27D9B" w:rsidR="00111015" w:rsidRPr="005503F9" w:rsidRDefault="00111015">
            <w:pPr>
              <w:pStyle w:val="051Tabletext228pt"/>
              <w:rPr>
                <w:sz w:val="18"/>
                <w:szCs w:val="18"/>
              </w:rPr>
            </w:pPr>
            <w:r>
              <w:rPr>
                <w:sz w:val="18"/>
                <w:szCs w:val="18"/>
              </w:rPr>
              <w:t xml:space="preserve">Device-related </w:t>
            </w:r>
            <w:r w:rsidR="007F14D2">
              <w:rPr>
                <w:sz w:val="18"/>
                <w:szCs w:val="18"/>
              </w:rPr>
              <w:t>AEs</w:t>
            </w:r>
          </w:p>
        </w:tc>
        <w:tc>
          <w:tcPr>
            <w:tcW w:w="0" w:type="auto"/>
          </w:tcPr>
          <w:p w14:paraId="70402593" w14:textId="77777777" w:rsidR="00111015" w:rsidRDefault="00111015">
            <w:pPr>
              <w:pStyle w:val="051Tabletext228pt"/>
              <w:rPr>
                <w:sz w:val="18"/>
                <w:szCs w:val="18"/>
              </w:rPr>
            </w:pPr>
            <w:r>
              <w:rPr>
                <w:sz w:val="18"/>
                <w:szCs w:val="18"/>
              </w:rPr>
              <w:t>NR</w:t>
            </w:r>
          </w:p>
        </w:tc>
        <w:tc>
          <w:tcPr>
            <w:tcW w:w="0" w:type="auto"/>
          </w:tcPr>
          <w:p w14:paraId="67EE5AA2" w14:textId="77777777" w:rsidR="00111015" w:rsidRDefault="00111015">
            <w:pPr>
              <w:pStyle w:val="051Tabletext228pt"/>
              <w:rPr>
                <w:sz w:val="18"/>
                <w:szCs w:val="18"/>
              </w:rPr>
            </w:pPr>
            <w:r>
              <w:rPr>
                <w:sz w:val="18"/>
                <w:szCs w:val="18"/>
              </w:rPr>
              <w:t>NR</w:t>
            </w:r>
          </w:p>
        </w:tc>
        <w:tc>
          <w:tcPr>
            <w:tcW w:w="0" w:type="auto"/>
          </w:tcPr>
          <w:p w14:paraId="3E17D7C9" w14:textId="77777777" w:rsidR="00111015" w:rsidRPr="005503F9" w:rsidRDefault="00111015">
            <w:pPr>
              <w:pStyle w:val="051Tabletext228pt"/>
              <w:rPr>
                <w:sz w:val="18"/>
                <w:szCs w:val="18"/>
              </w:rPr>
            </w:pPr>
            <w:r>
              <w:rPr>
                <w:sz w:val="18"/>
                <w:szCs w:val="18"/>
              </w:rPr>
              <w:t>-</w:t>
            </w:r>
          </w:p>
        </w:tc>
      </w:tr>
      <w:tr w:rsidR="00111015" w:rsidRPr="005503F9" w14:paraId="4AD155FB" w14:textId="77777777">
        <w:tc>
          <w:tcPr>
            <w:tcW w:w="0" w:type="auto"/>
            <w:shd w:val="clear" w:color="auto" w:fill="F2F2F2" w:themeFill="background1" w:themeFillShade="F2"/>
          </w:tcPr>
          <w:p w14:paraId="1ED8C76A" w14:textId="77777777" w:rsidR="00111015" w:rsidRPr="005503F9" w:rsidRDefault="00111015">
            <w:pPr>
              <w:pStyle w:val="031Tablesubheading8pt"/>
              <w:rPr>
                <w:sz w:val="18"/>
                <w:szCs w:val="18"/>
              </w:rPr>
            </w:pPr>
            <w:r w:rsidRPr="005503F9">
              <w:rPr>
                <w:sz w:val="18"/>
                <w:szCs w:val="18"/>
              </w:rPr>
              <w:t>Long term (12 months)</w:t>
            </w:r>
          </w:p>
        </w:tc>
        <w:tc>
          <w:tcPr>
            <w:tcW w:w="0" w:type="auto"/>
            <w:shd w:val="clear" w:color="auto" w:fill="F2F2F2" w:themeFill="background1" w:themeFillShade="F2"/>
          </w:tcPr>
          <w:p w14:paraId="7D66EED8" w14:textId="77777777" w:rsidR="00111015" w:rsidRPr="005503F9" w:rsidRDefault="00111015">
            <w:pPr>
              <w:pStyle w:val="051Tabletext228pt"/>
              <w:rPr>
                <w:sz w:val="18"/>
                <w:szCs w:val="18"/>
              </w:rPr>
            </w:pPr>
          </w:p>
        </w:tc>
        <w:tc>
          <w:tcPr>
            <w:tcW w:w="0" w:type="auto"/>
            <w:shd w:val="clear" w:color="auto" w:fill="F2F2F2" w:themeFill="background1" w:themeFillShade="F2"/>
          </w:tcPr>
          <w:p w14:paraId="70E5BD4A" w14:textId="77777777" w:rsidR="00111015" w:rsidRPr="005503F9" w:rsidRDefault="00111015">
            <w:pPr>
              <w:pStyle w:val="051Tabletext228pt"/>
              <w:rPr>
                <w:sz w:val="18"/>
                <w:szCs w:val="18"/>
              </w:rPr>
            </w:pPr>
          </w:p>
        </w:tc>
        <w:tc>
          <w:tcPr>
            <w:tcW w:w="0" w:type="auto"/>
            <w:shd w:val="clear" w:color="auto" w:fill="F2F2F2" w:themeFill="background1" w:themeFillShade="F2"/>
          </w:tcPr>
          <w:p w14:paraId="389BC495" w14:textId="77777777" w:rsidR="00111015" w:rsidRPr="005503F9" w:rsidRDefault="00111015">
            <w:pPr>
              <w:pStyle w:val="051Tabletext228pt"/>
              <w:rPr>
                <w:sz w:val="18"/>
                <w:szCs w:val="18"/>
              </w:rPr>
            </w:pPr>
          </w:p>
        </w:tc>
      </w:tr>
      <w:tr w:rsidR="00111015" w:rsidRPr="005503F9" w14:paraId="33CBF692" w14:textId="77777777">
        <w:tc>
          <w:tcPr>
            <w:tcW w:w="0" w:type="auto"/>
          </w:tcPr>
          <w:p w14:paraId="5BDC4D75" w14:textId="77777777" w:rsidR="00111015" w:rsidRPr="005503F9" w:rsidRDefault="00111015">
            <w:pPr>
              <w:pStyle w:val="051Tabletext228pt"/>
              <w:rPr>
                <w:sz w:val="18"/>
                <w:szCs w:val="18"/>
              </w:rPr>
            </w:pPr>
            <w:r w:rsidRPr="005503F9">
              <w:rPr>
                <w:sz w:val="18"/>
                <w:szCs w:val="18"/>
              </w:rPr>
              <w:t>Pain intensity</w:t>
            </w:r>
            <w:r>
              <w:rPr>
                <w:sz w:val="18"/>
                <w:szCs w:val="18"/>
              </w:rPr>
              <w:t xml:space="preserve"> </w:t>
            </w:r>
            <w:r w:rsidRPr="005608B1">
              <w:rPr>
                <w:rFonts w:asciiTheme="minorHAnsi" w:hAnsiTheme="minorHAnsi" w:cstheme="minorHAnsi"/>
                <w:sz w:val="18"/>
                <w:szCs w:val="18"/>
              </w:rPr>
              <w:t>(mean change baseline to follow-up</w:t>
            </w:r>
            <w:r>
              <w:rPr>
                <w:rFonts w:asciiTheme="minorHAnsi" w:hAnsiTheme="minorHAnsi" w:cstheme="minorHAnsi"/>
                <w:sz w:val="18"/>
                <w:szCs w:val="18"/>
              </w:rPr>
              <w:t>)</w:t>
            </w:r>
          </w:p>
        </w:tc>
        <w:tc>
          <w:tcPr>
            <w:tcW w:w="0" w:type="auto"/>
          </w:tcPr>
          <w:p w14:paraId="2D946217" w14:textId="77777777" w:rsidR="00111015" w:rsidRPr="00692EBA" w:rsidRDefault="00111015">
            <w:pPr>
              <w:pStyle w:val="051Tabletext228pt"/>
              <w:rPr>
                <w:sz w:val="18"/>
                <w:szCs w:val="18"/>
              </w:rPr>
            </w:pPr>
            <w:r w:rsidRPr="005503F9">
              <w:rPr>
                <w:sz w:val="18"/>
                <w:szCs w:val="18"/>
              </w:rPr>
              <w:t>65.6 (SD NR)</w:t>
            </w:r>
          </w:p>
        </w:tc>
        <w:tc>
          <w:tcPr>
            <w:tcW w:w="0" w:type="auto"/>
          </w:tcPr>
          <w:p w14:paraId="3083C501" w14:textId="77777777" w:rsidR="00111015" w:rsidRPr="00692EBA" w:rsidRDefault="00111015">
            <w:pPr>
              <w:pStyle w:val="051Tabletext228pt"/>
              <w:rPr>
                <w:sz w:val="18"/>
                <w:szCs w:val="18"/>
              </w:rPr>
            </w:pPr>
            <w:r w:rsidRPr="005503F9">
              <w:rPr>
                <w:sz w:val="18"/>
                <w:szCs w:val="18"/>
              </w:rPr>
              <w:t>54.2 (SD NR)</w:t>
            </w:r>
          </w:p>
        </w:tc>
        <w:tc>
          <w:tcPr>
            <w:tcW w:w="0" w:type="auto"/>
          </w:tcPr>
          <w:p w14:paraId="4A297721" w14:textId="77777777" w:rsidR="00111015" w:rsidRPr="00692EBA" w:rsidRDefault="00111015">
            <w:pPr>
              <w:pStyle w:val="051Tabletext228pt"/>
              <w:rPr>
                <w:sz w:val="18"/>
                <w:szCs w:val="18"/>
              </w:rPr>
            </w:pPr>
            <w:r w:rsidRPr="005503F9">
              <w:rPr>
                <w:sz w:val="18"/>
                <w:szCs w:val="18"/>
              </w:rPr>
              <w:t>MD 11.4 (95% CI Not estimable)</w:t>
            </w:r>
          </w:p>
        </w:tc>
      </w:tr>
      <w:tr w:rsidR="00111015" w:rsidRPr="005503F9" w14:paraId="3FAB4093" w14:textId="77777777">
        <w:tc>
          <w:tcPr>
            <w:tcW w:w="0" w:type="auto"/>
          </w:tcPr>
          <w:p w14:paraId="32BF00C1" w14:textId="77777777" w:rsidR="00111015" w:rsidRPr="005503F9" w:rsidRDefault="00111015">
            <w:pPr>
              <w:pStyle w:val="051Tabletext228pt"/>
              <w:rPr>
                <w:sz w:val="18"/>
                <w:szCs w:val="18"/>
              </w:rPr>
            </w:pPr>
            <w:r w:rsidRPr="005503F9">
              <w:rPr>
                <w:sz w:val="18"/>
                <w:szCs w:val="18"/>
              </w:rPr>
              <w:t>Pain intensity (</w:t>
            </w:r>
            <w:r w:rsidRPr="005503F9">
              <w:rPr>
                <w:rFonts w:cs="Calibri"/>
                <w:sz w:val="18"/>
                <w:szCs w:val="18"/>
              </w:rPr>
              <w:t>≥</w:t>
            </w:r>
            <w:r w:rsidRPr="005503F9">
              <w:rPr>
                <w:sz w:val="18"/>
                <w:szCs w:val="18"/>
              </w:rPr>
              <w:t xml:space="preserve"> 50% relief</w:t>
            </w:r>
            <w:r>
              <w:rPr>
                <w:sz w:val="18"/>
                <w:szCs w:val="18"/>
              </w:rPr>
              <w:t xml:space="preserve"> in n/N patients (%)</w:t>
            </w:r>
            <w:r w:rsidRPr="005503F9">
              <w:rPr>
                <w:sz w:val="18"/>
                <w:szCs w:val="18"/>
              </w:rPr>
              <w:t>)</w:t>
            </w:r>
          </w:p>
        </w:tc>
        <w:tc>
          <w:tcPr>
            <w:tcW w:w="0" w:type="auto"/>
          </w:tcPr>
          <w:p w14:paraId="648CAB0D" w14:textId="77777777" w:rsidR="00111015" w:rsidRPr="005503F9" w:rsidRDefault="00111015">
            <w:pPr>
              <w:pStyle w:val="051Tabletext228pt"/>
              <w:rPr>
                <w:sz w:val="18"/>
                <w:szCs w:val="18"/>
              </w:rPr>
            </w:pPr>
            <w:r w:rsidRPr="005503F9">
              <w:rPr>
                <w:sz w:val="18"/>
                <w:szCs w:val="18"/>
              </w:rPr>
              <w:t>49/</w:t>
            </w:r>
            <w:r>
              <w:rPr>
                <w:sz w:val="18"/>
                <w:szCs w:val="18"/>
              </w:rPr>
              <w:t>66</w:t>
            </w:r>
            <w:r w:rsidRPr="005503F9">
              <w:rPr>
                <w:sz w:val="18"/>
                <w:szCs w:val="18"/>
              </w:rPr>
              <w:t xml:space="preserve"> (</w:t>
            </w:r>
            <w:r>
              <w:rPr>
                <w:sz w:val="18"/>
                <w:szCs w:val="18"/>
              </w:rPr>
              <w:t>74.2</w:t>
            </w:r>
            <w:r w:rsidRPr="005503F9">
              <w:rPr>
                <w:sz w:val="18"/>
                <w:szCs w:val="18"/>
              </w:rPr>
              <w:t>%)</w:t>
            </w:r>
          </w:p>
        </w:tc>
        <w:tc>
          <w:tcPr>
            <w:tcW w:w="0" w:type="auto"/>
          </w:tcPr>
          <w:p w14:paraId="038B01BF" w14:textId="77777777" w:rsidR="00111015" w:rsidRPr="005503F9" w:rsidRDefault="00111015">
            <w:pPr>
              <w:pStyle w:val="051Tabletext228pt"/>
              <w:rPr>
                <w:sz w:val="18"/>
                <w:szCs w:val="18"/>
              </w:rPr>
            </w:pPr>
            <w:r w:rsidRPr="005503F9">
              <w:rPr>
                <w:sz w:val="18"/>
                <w:szCs w:val="18"/>
              </w:rPr>
              <w:t>35/</w:t>
            </w:r>
            <w:r>
              <w:rPr>
                <w:sz w:val="18"/>
                <w:szCs w:val="18"/>
              </w:rPr>
              <w:t>66</w:t>
            </w:r>
            <w:r w:rsidRPr="005503F9">
              <w:rPr>
                <w:sz w:val="18"/>
                <w:szCs w:val="18"/>
              </w:rPr>
              <w:t xml:space="preserve"> (</w:t>
            </w:r>
            <w:r>
              <w:rPr>
                <w:sz w:val="18"/>
                <w:szCs w:val="18"/>
              </w:rPr>
              <w:t>53.0</w:t>
            </w:r>
            <w:r w:rsidRPr="005503F9">
              <w:rPr>
                <w:sz w:val="18"/>
                <w:szCs w:val="18"/>
              </w:rPr>
              <w:t>%)</w:t>
            </w:r>
          </w:p>
        </w:tc>
        <w:tc>
          <w:tcPr>
            <w:tcW w:w="0" w:type="auto"/>
          </w:tcPr>
          <w:p w14:paraId="06CE9EB5" w14:textId="77777777" w:rsidR="00111015" w:rsidRPr="005503F9" w:rsidRDefault="00111015">
            <w:pPr>
              <w:pStyle w:val="051Tabletext228pt"/>
              <w:rPr>
                <w:sz w:val="18"/>
                <w:szCs w:val="18"/>
              </w:rPr>
            </w:pPr>
            <w:r w:rsidRPr="00FD20B0">
              <w:rPr>
                <w:sz w:val="18"/>
                <w:szCs w:val="18"/>
              </w:rPr>
              <w:t xml:space="preserve">P </w:t>
            </w:r>
            <w:r>
              <w:rPr>
                <w:sz w:val="18"/>
                <w:szCs w:val="18"/>
              </w:rPr>
              <w:t>&lt;</w:t>
            </w:r>
            <w:r w:rsidRPr="00FD20B0">
              <w:rPr>
                <w:sz w:val="18"/>
                <w:szCs w:val="18"/>
              </w:rPr>
              <w:t xml:space="preserve"> 0.0004</w:t>
            </w:r>
          </w:p>
        </w:tc>
      </w:tr>
      <w:tr w:rsidR="00111015" w:rsidRPr="005503F9" w14:paraId="2526E175" w14:textId="77777777">
        <w:tc>
          <w:tcPr>
            <w:tcW w:w="0" w:type="auto"/>
          </w:tcPr>
          <w:p w14:paraId="27D9116F" w14:textId="77777777" w:rsidR="00111015" w:rsidRPr="005503F9" w:rsidRDefault="00111015">
            <w:pPr>
              <w:pStyle w:val="051Tabletext228pt"/>
              <w:rPr>
                <w:sz w:val="18"/>
                <w:szCs w:val="18"/>
              </w:rPr>
            </w:pPr>
            <w:r w:rsidRPr="005503F9">
              <w:rPr>
                <w:sz w:val="18"/>
                <w:szCs w:val="18"/>
              </w:rPr>
              <w:t>SF-36 – physical component</w:t>
            </w:r>
            <w:r>
              <w:rPr>
                <w:sz w:val="18"/>
                <w:szCs w:val="18"/>
              </w:rPr>
              <w:t xml:space="preserve"> </w:t>
            </w:r>
            <w:r w:rsidRPr="005608B1">
              <w:rPr>
                <w:rFonts w:asciiTheme="minorHAnsi" w:hAnsiTheme="minorHAnsi" w:cstheme="minorHAnsi"/>
                <w:sz w:val="18"/>
                <w:szCs w:val="18"/>
              </w:rPr>
              <w:t>(mean change baseline to follow-up</w:t>
            </w:r>
            <w:r>
              <w:rPr>
                <w:rFonts w:asciiTheme="minorHAnsi" w:hAnsiTheme="minorHAnsi" w:cstheme="minorHAnsi"/>
                <w:sz w:val="18"/>
                <w:szCs w:val="18"/>
              </w:rPr>
              <w:t>)</w:t>
            </w:r>
          </w:p>
        </w:tc>
        <w:tc>
          <w:tcPr>
            <w:tcW w:w="0" w:type="auto"/>
          </w:tcPr>
          <w:p w14:paraId="4D7E947C" w14:textId="77777777" w:rsidR="00111015" w:rsidRPr="005503F9" w:rsidRDefault="00111015">
            <w:pPr>
              <w:pStyle w:val="051Tabletext228pt"/>
              <w:rPr>
                <w:sz w:val="18"/>
                <w:szCs w:val="18"/>
              </w:rPr>
            </w:pPr>
            <w:r w:rsidRPr="005503F9">
              <w:rPr>
                <w:sz w:val="18"/>
                <w:szCs w:val="18"/>
              </w:rPr>
              <w:t>11.5 (9.4)</w:t>
            </w:r>
          </w:p>
        </w:tc>
        <w:tc>
          <w:tcPr>
            <w:tcW w:w="0" w:type="auto"/>
          </w:tcPr>
          <w:p w14:paraId="0C1325A1" w14:textId="77777777" w:rsidR="00111015" w:rsidRPr="005503F9" w:rsidRDefault="00111015">
            <w:pPr>
              <w:pStyle w:val="051Tabletext228pt"/>
              <w:rPr>
                <w:sz w:val="18"/>
                <w:szCs w:val="18"/>
              </w:rPr>
            </w:pPr>
            <w:r w:rsidRPr="005503F9">
              <w:rPr>
                <w:sz w:val="18"/>
                <w:szCs w:val="18"/>
              </w:rPr>
              <w:t>8.0 (9.0)</w:t>
            </w:r>
          </w:p>
        </w:tc>
        <w:tc>
          <w:tcPr>
            <w:tcW w:w="0" w:type="auto"/>
          </w:tcPr>
          <w:p w14:paraId="55973707" w14:textId="77777777" w:rsidR="00111015" w:rsidRPr="005503F9" w:rsidRDefault="00111015">
            <w:pPr>
              <w:pStyle w:val="051Tabletext228pt"/>
              <w:rPr>
                <w:sz w:val="18"/>
                <w:szCs w:val="18"/>
              </w:rPr>
            </w:pPr>
            <w:r w:rsidRPr="005503F9">
              <w:rPr>
                <w:sz w:val="18"/>
                <w:szCs w:val="18"/>
              </w:rPr>
              <w:t>MD 3.5 (95% CI -0.1 to 7.1)</w:t>
            </w:r>
          </w:p>
        </w:tc>
      </w:tr>
      <w:tr w:rsidR="00111015" w:rsidRPr="005503F9" w14:paraId="2AE0D7A4" w14:textId="77777777">
        <w:tc>
          <w:tcPr>
            <w:tcW w:w="0" w:type="auto"/>
          </w:tcPr>
          <w:p w14:paraId="5FA41E24" w14:textId="77777777" w:rsidR="00111015" w:rsidRPr="005503F9" w:rsidRDefault="00111015">
            <w:pPr>
              <w:pStyle w:val="051Tabletext228pt"/>
              <w:rPr>
                <w:sz w:val="18"/>
                <w:szCs w:val="18"/>
              </w:rPr>
            </w:pPr>
            <w:r w:rsidRPr="005503F9">
              <w:rPr>
                <w:sz w:val="18"/>
                <w:szCs w:val="18"/>
              </w:rPr>
              <w:t>SF-36 – mental component</w:t>
            </w:r>
            <w:r>
              <w:rPr>
                <w:sz w:val="18"/>
                <w:szCs w:val="18"/>
              </w:rPr>
              <w:br/>
            </w:r>
            <w:r w:rsidRPr="005608B1">
              <w:rPr>
                <w:rFonts w:asciiTheme="minorHAnsi" w:hAnsiTheme="minorHAnsi" w:cstheme="minorHAnsi"/>
                <w:sz w:val="18"/>
                <w:szCs w:val="18"/>
              </w:rPr>
              <w:t>(mean change baseline to follow-up</w:t>
            </w:r>
            <w:r>
              <w:rPr>
                <w:rFonts w:asciiTheme="minorHAnsi" w:hAnsiTheme="minorHAnsi" w:cstheme="minorHAnsi"/>
                <w:sz w:val="18"/>
                <w:szCs w:val="18"/>
              </w:rPr>
              <w:t>)</w:t>
            </w:r>
          </w:p>
        </w:tc>
        <w:tc>
          <w:tcPr>
            <w:tcW w:w="0" w:type="auto"/>
          </w:tcPr>
          <w:p w14:paraId="362546B6" w14:textId="77777777" w:rsidR="00111015" w:rsidRPr="005503F9" w:rsidRDefault="00111015">
            <w:pPr>
              <w:pStyle w:val="051Tabletext228pt"/>
              <w:rPr>
                <w:sz w:val="18"/>
                <w:szCs w:val="18"/>
              </w:rPr>
            </w:pPr>
            <w:r w:rsidRPr="005503F9">
              <w:rPr>
                <w:sz w:val="18"/>
                <w:szCs w:val="18"/>
              </w:rPr>
              <w:t>6.2 (12.3</w:t>
            </w:r>
            <w:r>
              <w:rPr>
                <w:sz w:val="18"/>
                <w:szCs w:val="18"/>
              </w:rPr>
              <w:t>)</w:t>
            </w:r>
          </w:p>
        </w:tc>
        <w:tc>
          <w:tcPr>
            <w:tcW w:w="0" w:type="auto"/>
          </w:tcPr>
          <w:p w14:paraId="4F1682B7" w14:textId="77777777" w:rsidR="00111015" w:rsidRPr="005503F9" w:rsidRDefault="00111015">
            <w:pPr>
              <w:pStyle w:val="051Tabletext228pt"/>
              <w:rPr>
                <w:sz w:val="18"/>
                <w:szCs w:val="18"/>
              </w:rPr>
            </w:pPr>
            <w:r w:rsidRPr="005503F9">
              <w:rPr>
                <w:sz w:val="18"/>
                <w:szCs w:val="18"/>
              </w:rPr>
              <w:t>3.6 (11.1)</w:t>
            </w:r>
          </w:p>
        </w:tc>
        <w:tc>
          <w:tcPr>
            <w:tcW w:w="0" w:type="auto"/>
          </w:tcPr>
          <w:p w14:paraId="2DA19513" w14:textId="77777777" w:rsidR="00111015" w:rsidRPr="005503F9" w:rsidRDefault="00111015">
            <w:pPr>
              <w:pStyle w:val="051Tabletext228pt"/>
              <w:rPr>
                <w:sz w:val="18"/>
                <w:szCs w:val="18"/>
              </w:rPr>
            </w:pPr>
            <w:r w:rsidRPr="005503F9">
              <w:rPr>
                <w:sz w:val="18"/>
                <w:szCs w:val="18"/>
              </w:rPr>
              <w:t>MD 2.6 (95% CI -1.9 to 7.1)</w:t>
            </w:r>
          </w:p>
        </w:tc>
      </w:tr>
      <w:tr w:rsidR="00111015" w:rsidRPr="005503F9" w14:paraId="08E91B1E" w14:textId="77777777">
        <w:tc>
          <w:tcPr>
            <w:tcW w:w="0" w:type="auto"/>
          </w:tcPr>
          <w:p w14:paraId="0EBD6AF9" w14:textId="74B111AA" w:rsidR="00111015" w:rsidRPr="005503F9" w:rsidRDefault="00111015">
            <w:pPr>
              <w:pStyle w:val="051Tabletext228pt"/>
              <w:rPr>
                <w:sz w:val="18"/>
                <w:szCs w:val="18"/>
              </w:rPr>
            </w:pPr>
            <w:r w:rsidRPr="005503F9">
              <w:rPr>
                <w:sz w:val="18"/>
                <w:szCs w:val="18"/>
              </w:rPr>
              <w:t xml:space="preserve">Device related </w:t>
            </w:r>
            <w:r w:rsidR="007F14D2">
              <w:rPr>
                <w:sz w:val="18"/>
                <w:szCs w:val="18"/>
              </w:rPr>
              <w:t>A</w:t>
            </w:r>
            <w:r w:rsidR="007F14D2" w:rsidRPr="005503F9">
              <w:rPr>
                <w:sz w:val="18"/>
                <w:szCs w:val="18"/>
              </w:rPr>
              <w:t>Es</w:t>
            </w:r>
          </w:p>
        </w:tc>
        <w:tc>
          <w:tcPr>
            <w:tcW w:w="0" w:type="auto"/>
          </w:tcPr>
          <w:p w14:paraId="13BD955F" w14:textId="77777777" w:rsidR="00111015" w:rsidRPr="005503F9" w:rsidRDefault="00111015">
            <w:pPr>
              <w:pStyle w:val="051Tabletext228pt"/>
              <w:rPr>
                <w:sz w:val="18"/>
                <w:szCs w:val="18"/>
              </w:rPr>
            </w:pPr>
            <w:r w:rsidRPr="005503F9">
              <w:rPr>
                <w:sz w:val="18"/>
                <w:szCs w:val="18"/>
              </w:rPr>
              <w:t>39 events (28/76 subjects, 37%)</w:t>
            </w:r>
          </w:p>
        </w:tc>
        <w:tc>
          <w:tcPr>
            <w:tcW w:w="0" w:type="auto"/>
          </w:tcPr>
          <w:p w14:paraId="6B1818DA" w14:textId="77777777" w:rsidR="00111015" w:rsidRPr="005503F9" w:rsidRDefault="00111015">
            <w:pPr>
              <w:pStyle w:val="051Tabletext228pt"/>
              <w:rPr>
                <w:sz w:val="18"/>
                <w:szCs w:val="18"/>
              </w:rPr>
            </w:pPr>
            <w:r w:rsidRPr="005503F9">
              <w:rPr>
                <w:sz w:val="18"/>
                <w:szCs w:val="18"/>
              </w:rPr>
              <w:t>24 events (20/76 subjects, 26%)</w:t>
            </w:r>
          </w:p>
        </w:tc>
        <w:tc>
          <w:tcPr>
            <w:tcW w:w="0" w:type="auto"/>
          </w:tcPr>
          <w:p w14:paraId="167E5E01" w14:textId="77777777" w:rsidR="00111015" w:rsidRPr="005503F9" w:rsidRDefault="00111015">
            <w:pPr>
              <w:pStyle w:val="051Tabletext228pt"/>
              <w:rPr>
                <w:sz w:val="18"/>
                <w:szCs w:val="18"/>
              </w:rPr>
            </w:pPr>
            <w:r w:rsidRPr="005503F9">
              <w:rPr>
                <w:sz w:val="18"/>
                <w:szCs w:val="18"/>
              </w:rPr>
              <w:t>RR 1.4 (95% CI 0.87 to 1.26, p=0.22)</w:t>
            </w:r>
          </w:p>
        </w:tc>
      </w:tr>
      <w:tr w:rsidR="00111015" w:rsidRPr="005503F9" w14:paraId="176B3A6D" w14:textId="77777777">
        <w:tc>
          <w:tcPr>
            <w:tcW w:w="0" w:type="auto"/>
          </w:tcPr>
          <w:p w14:paraId="71C1FDB3" w14:textId="3298C103" w:rsidR="00111015" w:rsidRPr="005503F9" w:rsidRDefault="00111015">
            <w:pPr>
              <w:pStyle w:val="051Tabletext228pt"/>
              <w:rPr>
                <w:sz w:val="18"/>
                <w:szCs w:val="18"/>
              </w:rPr>
            </w:pPr>
            <w:r w:rsidRPr="005503F9">
              <w:rPr>
                <w:sz w:val="18"/>
                <w:szCs w:val="18"/>
              </w:rPr>
              <w:t xml:space="preserve">Serious </w:t>
            </w:r>
            <w:r w:rsidR="007F14D2">
              <w:rPr>
                <w:sz w:val="18"/>
                <w:szCs w:val="18"/>
              </w:rPr>
              <w:t>A</w:t>
            </w:r>
            <w:r w:rsidR="007F14D2" w:rsidRPr="005503F9">
              <w:rPr>
                <w:sz w:val="18"/>
                <w:szCs w:val="18"/>
              </w:rPr>
              <w:t>Es</w:t>
            </w:r>
          </w:p>
        </w:tc>
        <w:tc>
          <w:tcPr>
            <w:tcW w:w="0" w:type="auto"/>
          </w:tcPr>
          <w:p w14:paraId="3A2EB7E2" w14:textId="77777777" w:rsidR="00111015" w:rsidRPr="00271ACE" w:rsidRDefault="00111015">
            <w:pPr>
              <w:pStyle w:val="051Tabletext228pt"/>
              <w:rPr>
                <w:sz w:val="18"/>
                <w:szCs w:val="18"/>
              </w:rPr>
            </w:pPr>
            <w:r w:rsidRPr="0007281F">
              <w:rPr>
                <w:sz w:val="18"/>
                <w:szCs w:val="18"/>
              </w:rPr>
              <w:t>8/76 subjects (11%)</w:t>
            </w:r>
          </w:p>
          <w:p w14:paraId="2D513CAF" w14:textId="77777777" w:rsidR="00111015" w:rsidRPr="0007281F" w:rsidRDefault="00111015">
            <w:pPr>
              <w:pStyle w:val="051Tabletext228pt"/>
              <w:rPr>
                <w:sz w:val="18"/>
                <w:szCs w:val="18"/>
              </w:rPr>
            </w:pPr>
            <w:r w:rsidRPr="00271ACE">
              <w:rPr>
                <w:sz w:val="18"/>
                <w:szCs w:val="18"/>
              </w:rPr>
              <w:t>0 SAEs device-related</w:t>
            </w:r>
          </w:p>
        </w:tc>
        <w:tc>
          <w:tcPr>
            <w:tcW w:w="0" w:type="auto"/>
          </w:tcPr>
          <w:p w14:paraId="2091C86A" w14:textId="77777777" w:rsidR="00111015" w:rsidRPr="00271ACE" w:rsidRDefault="00111015">
            <w:pPr>
              <w:pStyle w:val="051Tabletext228pt"/>
              <w:rPr>
                <w:sz w:val="18"/>
                <w:szCs w:val="18"/>
              </w:rPr>
            </w:pPr>
            <w:r w:rsidRPr="0007281F">
              <w:rPr>
                <w:sz w:val="18"/>
                <w:szCs w:val="18"/>
              </w:rPr>
              <w:t>11/76 subjects (14%)</w:t>
            </w:r>
          </w:p>
          <w:p w14:paraId="13C23EE3" w14:textId="77777777" w:rsidR="00111015" w:rsidRPr="0007281F" w:rsidRDefault="00111015">
            <w:pPr>
              <w:pStyle w:val="051Tabletext228pt"/>
              <w:rPr>
                <w:sz w:val="18"/>
                <w:szCs w:val="18"/>
              </w:rPr>
            </w:pPr>
            <w:r w:rsidRPr="00271ACE">
              <w:rPr>
                <w:sz w:val="18"/>
                <w:szCs w:val="18"/>
              </w:rPr>
              <w:t xml:space="preserve">2 SAEs device-related </w:t>
            </w:r>
          </w:p>
        </w:tc>
        <w:tc>
          <w:tcPr>
            <w:tcW w:w="0" w:type="auto"/>
          </w:tcPr>
          <w:p w14:paraId="1DF33CAB" w14:textId="77777777" w:rsidR="00111015" w:rsidRPr="005503F9" w:rsidRDefault="00111015">
            <w:pPr>
              <w:pStyle w:val="051Tabletext228pt"/>
              <w:rPr>
                <w:sz w:val="18"/>
                <w:szCs w:val="18"/>
              </w:rPr>
            </w:pPr>
            <w:r w:rsidRPr="005503F9">
              <w:rPr>
                <w:sz w:val="18"/>
                <w:szCs w:val="18"/>
              </w:rPr>
              <w:t>RR 0.72 (95% CI 0.31 to 1.71, p=0.62)</w:t>
            </w:r>
          </w:p>
        </w:tc>
      </w:tr>
    </w:tbl>
    <w:p w14:paraId="759E9158" w14:textId="671A0677" w:rsidR="00DC3FE1" w:rsidRDefault="00DC3FE1" w:rsidP="006F34D8">
      <w:pPr>
        <w:pStyle w:val="111Tablefootnoteslast-nostick8pt"/>
      </w:pPr>
      <w:r>
        <w:t xml:space="preserve">Abbreviations: AE, adverse event; CI, </w:t>
      </w:r>
      <w:r w:rsidR="002E065A">
        <w:t>confidence interval</w:t>
      </w:r>
      <w:r>
        <w:t xml:space="preserve">; </w:t>
      </w:r>
      <w:r w:rsidR="00845820">
        <w:t xml:space="preserve">ITT, intention to treat; </w:t>
      </w:r>
      <w:r w:rsidR="005F5977">
        <w:t xml:space="preserve">MD, mean difference; </w:t>
      </w:r>
      <w:r w:rsidR="008F0AA0">
        <w:t xml:space="preserve">NR, not reported; </w:t>
      </w:r>
      <w:r w:rsidR="005F5977">
        <w:t xml:space="preserve">SD, standard deviation; RR, relative risk; </w:t>
      </w:r>
      <w:r>
        <w:t>SF-36, 36-item short form survey</w:t>
      </w:r>
    </w:p>
    <w:p w14:paraId="7C59A278" w14:textId="312BBA80" w:rsidR="00AE776B" w:rsidRDefault="00623C20" w:rsidP="00DD260A">
      <w:pPr>
        <w:pStyle w:val="Heading4"/>
      </w:pPr>
      <w:r>
        <w:t xml:space="preserve">Other SCS </w:t>
      </w:r>
      <w:r w:rsidR="00D06D09">
        <w:t>approaches versus conventional SCS</w:t>
      </w:r>
    </w:p>
    <w:p w14:paraId="6D43FA2F" w14:textId="150CA0F3" w:rsidR="00D06D09" w:rsidRPr="00D06D09" w:rsidRDefault="00CD1F36" w:rsidP="00D06D09">
      <w:pPr>
        <w:pStyle w:val="BodyText"/>
      </w:pPr>
      <w:r>
        <w:t xml:space="preserve">Four additional RCTs </w:t>
      </w:r>
      <w:r w:rsidR="0058710C">
        <w:t xml:space="preserve">(ESTIMET </w:t>
      </w:r>
      <w:r w:rsidR="0070027B">
        <w:t>[</w:t>
      </w:r>
      <w:proofErr w:type="spellStart"/>
      <w:r w:rsidR="0058710C">
        <w:t>Rigoard</w:t>
      </w:r>
      <w:proofErr w:type="spellEnd"/>
      <w:r w:rsidR="0058710C">
        <w:t xml:space="preserve"> 2021</w:t>
      </w:r>
      <w:r w:rsidR="0070027B">
        <w:t>]</w:t>
      </w:r>
      <w:r w:rsidR="0058710C">
        <w:t xml:space="preserve">; EVOKE </w:t>
      </w:r>
      <w:r w:rsidR="0070027B">
        <w:t>[</w:t>
      </w:r>
      <w:proofErr w:type="spellStart"/>
      <w:r w:rsidR="0058710C">
        <w:t>Mekhail</w:t>
      </w:r>
      <w:proofErr w:type="spellEnd"/>
      <w:r w:rsidR="0058710C">
        <w:t xml:space="preserve"> 2020</w:t>
      </w:r>
      <w:r w:rsidR="0070027B">
        <w:t>]</w:t>
      </w:r>
      <w:r w:rsidR="0058710C">
        <w:t>;</w:t>
      </w:r>
      <w:r>
        <w:t xml:space="preserve"> </w:t>
      </w:r>
      <w:r w:rsidR="00377333">
        <w:t>Fishman (20</w:t>
      </w:r>
      <w:r w:rsidR="003172F6">
        <w:t>21</w:t>
      </w:r>
      <w:r w:rsidR="00377333">
        <w:t xml:space="preserve">) and SUNBURST </w:t>
      </w:r>
      <w:r w:rsidR="0070027B">
        <w:t>[</w:t>
      </w:r>
      <w:r w:rsidR="00377333">
        <w:t xml:space="preserve">Deer </w:t>
      </w:r>
      <w:r w:rsidR="006B26FD">
        <w:t>201</w:t>
      </w:r>
      <w:r w:rsidR="00AA518E">
        <w:t>8</w:t>
      </w:r>
      <w:r w:rsidR="0070027B">
        <w:t>]</w:t>
      </w:r>
      <w:r w:rsidR="00CA3065">
        <w:t>)</w:t>
      </w:r>
      <w:r w:rsidR="006B26FD">
        <w:t xml:space="preserve"> </w:t>
      </w:r>
      <w:r>
        <w:t xml:space="preserve">were identified </w:t>
      </w:r>
      <w:r w:rsidR="00800CA8">
        <w:t xml:space="preserve">that </w:t>
      </w:r>
      <w:r>
        <w:t>compare</w:t>
      </w:r>
      <w:r w:rsidR="00800CA8">
        <w:t>d</w:t>
      </w:r>
      <w:r>
        <w:t xml:space="preserve"> various modifications to conventional SCS against conventional </w:t>
      </w:r>
      <w:r w:rsidR="00426DFB">
        <w:t xml:space="preserve">SCS, have at least moderate follow-up and </w:t>
      </w:r>
      <w:r w:rsidR="008D34CC">
        <w:t xml:space="preserve">include pain </w:t>
      </w:r>
      <w:r w:rsidR="00F12FF1">
        <w:t>intensity</w:t>
      </w:r>
      <w:r w:rsidR="008D34CC">
        <w:t xml:space="preserve"> as an outcome</w:t>
      </w:r>
      <w:r w:rsidR="007F3556">
        <w:t xml:space="preserve"> (</w:t>
      </w:r>
      <w:r w:rsidR="00674B66">
        <w:fldChar w:fldCharType="begin"/>
      </w:r>
      <w:r w:rsidR="00674B66">
        <w:instrText xml:space="preserve"> REF _Ref134541913 \h </w:instrText>
      </w:r>
      <w:r w:rsidR="00674B66">
        <w:fldChar w:fldCharType="separate"/>
      </w:r>
      <w:r w:rsidR="00CE6ACA">
        <w:t xml:space="preserve">Table </w:t>
      </w:r>
      <w:r w:rsidR="00CE6ACA">
        <w:rPr>
          <w:noProof/>
        </w:rPr>
        <w:t>15</w:t>
      </w:r>
      <w:r w:rsidR="00674B66">
        <w:fldChar w:fldCharType="end"/>
      </w:r>
      <w:r w:rsidR="00674B66">
        <w:t>)</w:t>
      </w:r>
      <w:r w:rsidR="008D34CC">
        <w:t xml:space="preserve">. </w:t>
      </w:r>
      <w:r w:rsidR="006D2763">
        <w:t xml:space="preserve">Two of these studies reported that patients and investigators were </w:t>
      </w:r>
      <w:r w:rsidR="00800CA8">
        <w:t xml:space="preserve">both </w:t>
      </w:r>
      <w:r w:rsidR="006D2763">
        <w:t xml:space="preserve">blinded </w:t>
      </w:r>
      <w:r w:rsidR="00B97F1E">
        <w:t>(ESTIMET; EVOKE)</w:t>
      </w:r>
      <w:r w:rsidR="000E07E0">
        <w:t xml:space="preserve">. </w:t>
      </w:r>
      <w:r w:rsidR="009B5124">
        <w:t>One study was a cross-over design with patients switching arms after 12</w:t>
      </w:r>
      <w:r w:rsidR="00A12E3E">
        <w:t xml:space="preserve"> </w:t>
      </w:r>
      <w:r w:rsidR="009B5124">
        <w:t>weeks (SUNBURST) and the remainder were parallel arm.</w:t>
      </w:r>
    </w:p>
    <w:p w14:paraId="78FCFA4D" w14:textId="4CDC6189" w:rsidR="00920227" w:rsidRDefault="00AC1326" w:rsidP="00920227">
      <w:pPr>
        <w:pStyle w:val="Caption"/>
      </w:pPr>
      <w:bookmarkStart w:id="89" w:name="_Ref134541913"/>
      <w:r>
        <w:t xml:space="preserve">Table </w:t>
      </w:r>
      <w:r>
        <w:fldChar w:fldCharType="begin"/>
      </w:r>
      <w:r>
        <w:instrText>SEQ Table \* ARABIC</w:instrText>
      </w:r>
      <w:r>
        <w:fldChar w:fldCharType="separate"/>
      </w:r>
      <w:r w:rsidR="00CE6ACA">
        <w:rPr>
          <w:noProof/>
        </w:rPr>
        <w:t>15</w:t>
      </w:r>
      <w:r>
        <w:fldChar w:fldCharType="end"/>
      </w:r>
      <w:bookmarkEnd w:id="89"/>
      <w:r w:rsidR="00920227" w:rsidRPr="00920227">
        <w:t xml:space="preserve"> </w:t>
      </w:r>
      <w:r w:rsidR="00A12E3E">
        <w:tab/>
      </w:r>
      <w:r w:rsidR="00920227">
        <w:t>Characteristics of RCTs comparing alternative SCS approaches to conventional SCS</w:t>
      </w:r>
    </w:p>
    <w:tbl>
      <w:tblPr>
        <w:tblStyle w:val="TableGrid"/>
        <w:tblW w:w="0" w:type="auto"/>
        <w:tblLook w:val="04A0" w:firstRow="1" w:lastRow="0" w:firstColumn="1" w:lastColumn="0" w:noHBand="0" w:noVBand="1"/>
        <w:tblCaption w:val="Characteristics of RCTs comparing alternative SCS approaches to conventional SCS"/>
        <w:tblDescription w:val="Table showing the study characteristics of RCTs that compare alternative SCS approaches to conventional SCS."/>
      </w:tblPr>
      <w:tblGrid>
        <w:gridCol w:w="1560"/>
        <w:gridCol w:w="1701"/>
        <w:gridCol w:w="2976"/>
        <w:gridCol w:w="1985"/>
        <w:gridCol w:w="1416"/>
      </w:tblGrid>
      <w:tr w:rsidR="00AC1326" w:rsidRPr="00820842" w14:paraId="608DBC0C" w14:textId="77777777" w:rsidTr="00DF406F">
        <w:trPr>
          <w:cnfStyle w:val="100000000000" w:firstRow="1" w:lastRow="0" w:firstColumn="0" w:lastColumn="0" w:oddVBand="0" w:evenVBand="0" w:oddHBand="0" w:evenHBand="0" w:firstRowFirstColumn="0" w:firstRowLastColumn="0" w:lastRowFirstColumn="0" w:lastRowLastColumn="0"/>
        </w:trPr>
        <w:tc>
          <w:tcPr>
            <w:tcW w:w="1560" w:type="dxa"/>
          </w:tcPr>
          <w:p w14:paraId="1245EFE1" w14:textId="77777777" w:rsidR="00AC1326" w:rsidRPr="00820842" w:rsidRDefault="00AC1326">
            <w:pPr>
              <w:pStyle w:val="011TableHeading8pt"/>
              <w:rPr>
                <w:sz w:val="18"/>
                <w:szCs w:val="18"/>
              </w:rPr>
            </w:pPr>
            <w:r w:rsidRPr="00820842">
              <w:rPr>
                <w:sz w:val="18"/>
                <w:szCs w:val="18"/>
              </w:rPr>
              <w:t>Study ID</w:t>
            </w:r>
          </w:p>
        </w:tc>
        <w:tc>
          <w:tcPr>
            <w:tcW w:w="1701" w:type="dxa"/>
          </w:tcPr>
          <w:p w14:paraId="2E17E8A6" w14:textId="6CF21AAD" w:rsidR="00AC1326" w:rsidRPr="00820842" w:rsidRDefault="00AC1326">
            <w:pPr>
              <w:pStyle w:val="011TableHeading8pt"/>
              <w:rPr>
                <w:sz w:val="18"/>
                <w:szCs w:val="18"/>
              </w:rPr>
            </w:pPr>
            <w:r w:rsidRPr="00820842">
              <w:rPr>
                <w:sz w:val="18"/>
                <w:szCs w:val="18"/>
              </w:rPr>
              <w:t>Intervention</w:t>
            </w:r>
            <w:r w:rsidR="00820842" w:rsidRPr="00820842">
              <w:rPr>
                <w:sz w:val="18"/>
                <w:szCs w:val="18"/>
              </w:rPr>
              <w:br/>
            </w:r>
            <w:r w:rsidRPr="00820842">
              <w:rPr>
                <w:sz w:val="18"/>
                <w:szCs w:val="18"/>
              </w:rPr>
              <w:t>Comparator</w:t>
            </w:r>
          </w:p>
        </w:tc>
        <w:tc>
          <w:tcPr>
            <w:tcW w:w="2976" w:type="dxa"/>
          </w:tcPr>
          <w:p w14:paraId="7E2B713C" w14:textId="610689F6" w:rsidR="00AC1326" w:rsidRPr="00820842" w:rsidRDefault="00AC1326">
            <w:pPr>
              <w:pStyle w:val="011TableHeading8pt"/>
              <w:rPr>
                <w:sz w:val="18"/>
                <w:szCs w:val="18"/>
              </w:rPr>
            </w:pPr>
            <w:r w:rsidRPr="00820842">
              <w:rPr>
                <w:sz w:val="18"/>
                <w:szCs w:val="18"/>
              </w:rPr>
              <w:t>Patient population</w:t>
            </w:r>
            <w:r w:rsidR="00820842" w:rsidRPr="00820842">
              <w:rPr>
                <w:sz w:val="18"/>
                <w:szCs w:val="18"/>
              </w:rPr>
              <w:br/>
            </w:r>
            <w:r w:rsidRPr="00820842">
              <w:rPr>
                <w:sz w:val="18"/>
                <w:szCs w:val="18"/>
              </w:rPr>
              <w:t>Follow-up</w:t>
            </w:r>
          </w:p>
        </w:tc>
        <w:tc>
          <w:tcPr>
            <w:tcW w:w="1985" w:type="dxa"/>
          </w:tcPr>
          <w:p w14:paraId="63A3FF02" w14:textId="77777777" w:rsidR="00AC1326" w:rsidRPr="00820842" w:rsidRDefault="00AC1326">
            <w:pPr>
              <w:pStyle w:val="011TableHeading8pt"/>
              <w:rPr>
                <w:sz w:val="18"/>
                <w:szCs w:val="18"/>
              </w:rPr>
            </w:pPr>
            <w:r w:rsidRPr="00820842">
              <w:rPr>
                <w:sz w:val="18"/>
                <w:szCs w:val="18"/>
              </w:rPr>
              <w:t>Outcomes</w:t>
            </w:r>
          </w:p>
        </w:tc>
        <w:tc>
          <w:tcPr>
            <w:tcW w:w="1416" w:type="dxa"/>
          </w:tcPr>
          <w:p w14:paraId="76C0E13C" w14:textId="446DCA2A" w:rsidR="00AC1326" w:rsidRPr="00820842" w:rsidRDefault="00AC1326">
            <w:pPr>
              <w:pStyle w:val="011TableHeading8pt"/>
              <w:rPr>
                <w:sz w:val="18"/>
                <w:szCs w:val="18"/>
              </w:rPr>
            </w:pPr>
            <w:r w:rsidRPr="00820842">
              <w:rPr>
                <w:sz w:val="18"/>
                <w:szCs w:val="18"/>
              </w:rPr>
              <w:t>Funding</w:t>
            </w:r>
            <w:r w:rsidR="00820842" w:rsidRPr="00820842">
              <w:rPr>
                <w:sz w:val="18"/>
                <w:szCs w:val="18"/>
              </w:rPr>
              <w:br/>
            </w:r>
            <w:r w:rsidRPr="00820842">
              <w:rPr>
                <w:sz w:val="18"/>
                <w:szCs w:val="18"/>
              </w:rPr>
              <w:t>Author COIs</w:t>
            </w:r>
          </w:p>
        </w:tc>
      </w:tr>
      <w:tr w:rsidR="00AC1326" w:rsidRPr="00820842" w14:paraId="5571AAD2" w14:textId="77777777" w:rsidTr="00DF406F">
        <w:tc>
          <w:tcPr>
            <w:tcW w:w="1560" w:type="dxa"/>
          </w:tcPr>
          <w:p w14:paraId="3873FEF0" w14:textId="0B4376FB" w:rsidR="00AC1326" w:rsidRPr="00820842" w:rsidRDefault="009E7FED">
            <w:pPr>
              <w:pStyle w:val="061Tabletext628pt"/>
              <w:rPr>
                <w:sz w:val="18"/>
                <w:szCs w:val="18"/>
              </w:rPr>
            </w:pPr>
            <w:r w:rsidRPr="00820842">
              <w:rPr>
                <w:sz w:val="18"/>
                <w:szCs w:val="18"/>
              </w:rPr>
              <w:t>ESTIM</w:t>
            </w:r>
            <w:r w:rsidR="00566835" w:rsidRPr="00820842">
              <w:rPr>
                <w:sz w:val="18"/>
                <w:szCs w:val="18"/>
              </w:rPr>
              <w:t>ET</w:t>
            </w:r>
            <w:r w:rsidR="00AC1326" w:rsidRPr="00820842">
              <w:rPr>
                <w:sz w:val="18"/>
                <w:szCs w:val="18"/>
              </w:rPr>
              <w:t xml:space="preserve"> (</w:t>
            </w:r>
            <w:proofErr w:type="spellStart"/>
            <w:r w:rsidR="00566835" w:rsidRPr="00820842">
              <w:rPr>
                <w:sz w:val="18"/>
                <w:szCs w:val="18"/>
              </w:rPr>
              <w:t>Rigoard</w:t>
            </w:r>
            <w:proofErr w:type="spellEnd"/>
            <w:r w:rsidR="00820842">
              <w:rPr>
                <w:sz w:val="18"/>
                <w:szCs w:val="18"/>
              </w:rPr>
              <w:t xml:space="preserve"> </w:t>
            </w:r>
            <w:r w:rsidR="00AC1326" w:rsidRPr="00820842">
              <w:rPr>
                <w:sz w:val="18"/>
                <w:szCs w:val="18"/>
              </w:rPr>
              <w:t>20</w:t>
            </w:r>
            <w:r w:rsidR="00566835" w:rsidRPr="00820842">
              <w:rPr>
                <w:sz w:val="18"/>
                <w:szCs w:val="18"/>
              </w:rPr>
              <w:t>21</w:t>
            </w:r>
            <w:r w:rsidR="00AC1326" w:rsidRPr="00820842">
              <w:rPr>
                <w:sz w:val="18"/>
                <w:szCs w:val="18"/>
              </w:rPr>
              <w:t>)</w:t>
            </w:r>
          </w:p>
          <w:p w14:paraId="55080A36" w14:textId="61900C38" w:rsidR="00AC1326" w:rsidRPr="00820842" w:rsidRDefault="00AC1326">
            <w:pPr>
              <w:pStyle w:val="061Tabletext628pt"/>
              <w:rPr>
                <w:sz w:val="18"/>
                <w:szCs w:val="18"/>
              </w:rPr>
            </w:pPr>
            <w:r w:rsidRPr="00820842">
              <w:rPr>
                <w:sz w:val="18"/>
                <w:szCs w:val="18"/>
              </w:rPr>
              <w:t xml:space="preserve">Multicentre, </w:t>
            </w:r>
            <w:r w:rsidR="00566835" w:rsidRPr="00820842">
              <w:rPr>
                <w:sz w:val="18"/>
                <w:szCs w:val="18"/>
              </w:rPr>
              <w:t>double-blind</w:t>
            </w:r>
            <w:r w:rsidRPr="00820842">
              <w:rPr>
                <w:sz w:val="18"/>
                <w:szCs w:val="18"/>
              </w:rPr>
              <w:t xml:space="preserve"> RCT (</w:t>
            </w:r>
            <w:r w:rsidR="00820842">
              <w:rPr>
                <w:sz w:val="18"/>
                <w:szCs w:val="18"/>
              </w:rPr>
              <w:t>N</w:t>
            </w:r>
            <w:r w:rsidRPr="00820842">
              <w:rPr>
                <w:sz w:val="18"/>
                <w:szCs w:val="18"/>
              </w:rPr>
              <w:t>=</w:t>
            </w:r>
            <w:r w:rsidR="00686AF2" w:rsidRPr="00820842">
              <w:rPr>
                <w:sz w:val="18"/>
                <w:szCs w:val="18"/>
              </w:rPr>
              <w:t>115</w:t>
            </w:r>
            <w:r w:rsidRPr="00820842">
              <w:rPr>
                <w:sz w:val="18"/>
                <w:szCs w:val="18"/>
              </w:rPr>
              <w:t>)</w:t>
            </w:r>
          </w:p>
          <w:p w14:paraId="307CAF55" w14:textId="62EC7046" w:rsidR="00AC1326" w:rsidRPr="00820842" w:rsidRDefault="00686AF2">
            <w:pPr>
              <w:pStyle w:val="061Tabletext628pt"/>
              <w:rPr>
                <w:sz w:val="18"/>
                <w:szCs w:val="18"/>
              </w:rPr>
            </w:pPr>
            <w:r w:rsidRPr="00820842">
              <w:rPr>
                <w:sz w:val="18"/>
                <w:szCs w:val="18"/>
              </w:rPr>
              <w:t>France</w:t>
            </w:r>
          </w:p>
        </w:tc>
        <w:tc>
          <w:tcPr>
            <w:tcW w:w="1701" w:type="dxa"/>
          </w:tcPr>
          <w:p w14:paraId="109107B2" w14:textId="77777777" w:rsidR="00E307AD" w:rsidRPr="00820842" w:rsidRDefault="00963020" w:rsidP="00E307AD">
            <w:pPr>
              <w:pStyle w:val="061Tabletext628pt"/>
              <w:rPr>
                <w:sz w:val="18"/>
                <w:szCs w:val="18"/>
              </w:rPr>
            </w:pPr>
            <w:r w:rsidRPr="00820842">
              <w:rPr>
                <w:sz w:val="18"/>
                <w:szCs w:val="18"/>
              </w:rPr>
              <w:t>Multicolumn programming of</w:t>
            </w:r>
            <w:r w:rsidR="00AC1326" w:rsidRPr="00820842">
              <w:rPr>
                <w:sz w:val="18"/>
                <w:szCs w:val="18"/>
              </w:rPr>
              <w:t xml:space="preserve"> SCS </w:t>
            </w:r>
          </w:p>
          <w:p w14:paraId="6C1E9410" w14:textId="28423FA9" w:rsidR="00AC1326" w:rsidRPr="00820842" w:rsidRDefault="008A1A60">
            <w:pPr>
              <w:pStyle w:val="061Tabletext628pt"/>
              <w:rPr>
                <w:sz w:val="18"/>
                <w:szCs w:val="18"/>
              </w:rPr>
            </w:pPr>
            <w:r w:rsidRPr="00820842">
              <w:rPr>
                <w:sz w:val="18"/>
                <w:szCs w:val="18"/>
              </w:rPr>
              <w:t xml:space="preserve">Conventional </w:t>
            </w:r>
            <w:r w:rsidR="00AC1326" w:rsidRPr="00820842">
              <w:rPr>
                <w:sz w:val="18"/>
                <w:szCs w:val="18"/>
              </w:rPr>
              <w:t xml:space="preserve">SCS </w:t>
            </w:r>
          </w:p>
        </w:tc>
        <w:tc>
          <w:tcPr>
            <w:tcW w:w="2976" w:type="dxa"/>
          </w:tcPr>
          <w:p w14:paraId="6C231050" w14:textId="0FC94857" w:rsidR="00AC1326" w:rsidRPr="00820842" w:rsidRDefault="00AC1326">
            <w:pPr>
              <w:pStyle w:val="061Tabletext628pt"/>
              <w:rPr>
                <w:sz w:val="18"/>
                <w:szCs w:val="18"/>
              </w:rPr>
            </w:pPr>
            <w:r w:rsidRPr="00820842">
              <w:rPr>
                <w:sz w:val="18"/>
                <w:szCs w:val="18"/>
                <w:u w:val="single"/>
              </w:rPr>
              <w:t>Population:</w:t>
            </w:r>
            <w:r w:rsidRPr="00820842">
              <w:rPr>
                <w:sz w:val="18"/>
                <w:szCs w:val="18"/>
              </w:rPr>
              <w:t xml:space="preserve"> </w:t>
            </w:r>
            <w:r w:rsidR="009557ED" w:rsidRPr="00820842">
              <w:rPr>
                <w:sz w:val="18"/>
                <w:szCs w:val="18"/>
              </w:rPr>
              <w:t>FBSS patients (defined as persistent back and leg pain present for six months following at least one surgical procedure), with pain refractory to well conducted conservative management (with or without drugs) and treated under the guidance of a multidisciplinary pain clinic</w:t>
            </w:r>
          </w:p>
          <w:p w14:paraId="1835B97D" w14:textId="57502FA3" w:rsidR="00AC1326" w:rsidRPr="00820842" w:rsidRDefault="00AC1326">
            <w:pPr>
              <w:pStyle w:val="061Tabletext628pt"/>
              <w:rPr>
                <w:sz w:val="18"/>
                <w:szCs w:val="18"/>
              </w:rPr>
            </w:pPr>
            <w:r w:rsidRPr="00820842">
              <w:rPr>
                <w:sz w:val="18"/>
                <w:szCs w:val="18"/>
                <w:u w:val="single"/>
              </w:rPr>
              <w:t xml:space="preserve">Follow-up: </w:t>
            </w:r>
            <w:r w:rsidRPr="00820842">
              <w:rPr>
                <w:sz w:val="18"/>
                <w:szCs w:val="18"/>
              </w:rPr>
              <w:t>6</w:t>
            </w:r>
            <w:r w:rsidR="005F309D" w:rsidRPr="00820842">
              <w:rPr>
                <w:sz w:val="18"/>
                <w:szCs w:val="18"/>
              </w:rPr>
              <w:t xml:space="preserve"> </w:t>
            </w:r>
            <w:proofErr w:type="spellStart"/>
            <w:r w:rsidR="005F309D" w:rsidRPr="00820842">
              <w:rPr>
                <w:sz w:val="18"/>
                <w:szCs w:val="18"/>
              </w:rPr>
              <w:t>mo</w:t>
            </w:r>
            <w:proofErr w:type="spellEnd"/>
            <w:r w:rsidRPr="00820842">
              <w:rPr>
                <w:sz w:val="18"/>
                <w:szCs w:val="18"/>
              </w:rPr>
              <w:t xml:space="preserve"> (</w:t>
            </w:r>
            <w:r w:rsidR="005F309D" w:rsidRPr="00820842">
              <w:rPr>
                <w:sz w:val="18"/>
                <w:szCs w:val="18"/>
              </w:rPr>
              <w:t>100</w:t>
            </w:r>
            <w:r w:rsidRPr="00820842">
              <w:rPr>
                <w:sz w:val="18"/>
                <w:szCs w:val="18"/>
              </w:rPr>
              <w:t xml:space="preserve"> patients)</w:t>
            </w:r>
          </w:p>
        </w:tc>
        <w:tc>
          <w:tcPr>
            <w:tcW w:w="1985" w:type="dxa"/>
          </w:tcPr>
          <w:p w14:paraId="60199D97" w14:textId="53CB4DBD" w:rsidR="00AC1326" w:rsidRPr="00820842" w:rsidRDefault="00AC1326">
            <w:pPr>
              <w:pStyle w:val="061Tabletext628pt"/>
              <w:rPr>
                <w:sz w:val="18"/>
                <w:szCs w:val="18"/>
              </w:rPr>
            </w:pPr>
            <w:r w:rsidRPr="00820842">
              <w:rPr>
                <w:sz w:val="18"/>
                <w:szCs w:val="18"/>
                <w:u w:val="single"/>
              </w:rPr>
              <w:t xml:space="preserve">Primary: </w:t>
            </w:r>
            <w:r w:rsidR="001B6F18">
              <w:rPr>
                <w:sz w:val="18"/>
                <w:szCs w:val="18"/>
                <w:u w:val="single"/>
              </w:rPr>
              <w:br/>
            </w:r>
            <w:r w:rsidR="005F309D" w:rsidRPr="00820842">
              <w:rPr>
                <w:sz w:val="18"/>
                <w:szCs w:val="18"/>
              </w:rPr>
              <w:t>Change in VAS</w:t>
            </w:r>
            <w:r w:rsidR="00F073C0" w:rsidRPr="00820842">
              <w:rPr>
                <w:sz w:val="18"/>
                <w:szCs w:val="18"/>
              </w:rPr>
              <w:t xml:space="preserve"> for </w:t>
            </w:r>
            <w:r w:rsidR="00B027DB" w:rsidRPr="00820842">
              <w:rPr>
                <w:sz w:val="18"/>
                <w:szCs w:val="18"/>
              </w:rPr>
              <w:t>back pain</w:t>
            </w:r>
          </w:p>
          <w:p w14:paraId="6F2F6E03" w14:textId="58B9580A" w:rsidR="00AC1326" w:rsidRPr="00820842" w:rsidRDefault="00AC1326" w:rsidP="00AC3510">
            <w:pPr>
              <w:pStyle w:val="061Tabletext628pt"/>
              <w:rPr>
                <w:sz w:val="18"/>
                <w:szCs w:val="18"/>
              </w:rPr>
            </w:pPr>
            <w:r w:rsidRPr="00820842">
              <w:rPr>
                <w:sz w:val="18"/>
                <w:szCs w:val="18"/>
                <w:u w:val="single"/>
              </w:rPr>
              <w:t>Secondary:</w:t>
            </w:r>
            <w:r w:rsidR="00AC3510">
              <w:rPr>
                <w:sz w:val="18"/>
                <w:szCs w:val="18"/>
                <w:u w:val="single"/>
              </w:rPr>
              <w:br/>
            </w:r>
            <w:r w:rsidR="00F073C0" w:rsidRPr="00820842">
              <w:rPr>
                <w:sz w:val="18"/>
                <w:szCs w:val="18"/>
              </w:rPr>
              <w:t xml:space="preserve">50% </w:t>
            </w:r>
            <w:r w:rsidR="0045482B" w:rsidRPr="00820842">
              <w:rPr>
                <w:sz w:val="18"/>
                <w:szCs w:val="18"/>
              </w:rPr>
              <w:t>decrease in VAS</w:t>
            </w:r>
            <w:r w:rsidR="00DF406F">
              <w:rPr>
                <w:sz w:val="18"/>
                <w:szCs w:val="18"/>
              </w:rPr>
              <w:br/>
            </w:r>
            <w:r w:rsidRPr="00820842">
              <w:rPr>
                <w:sz w:val="18"/>
                <w:szCs w:val="18"/>
              </w:rPr>
              <w:t>ODI</w:t>
            </w:r>
            <w:r w:rsidR="00DF406F">
              <w:rPr>
                <w:sz w:val="18"/>
                <w:szCs w:val="18"/>
              </w:rPr>
              <w:br/>
            </w:r>
            <w:r w:rsidRPr="00820842">
              <w:rPr>
                <w:sz w:val="18"/>
                <w:szCs w:val="18"/>
              </w:rPr>
              <w:t xml:space="preserve">EQ-5D-5L </w:t>
            </w:r>
            <w:r w:rsidR="00DF406F">
              <w:rPr>
                <w:sz w:val="18"/>
                <w:szCs w:val="18"/>
              </w:rPr>
              <w:br/>
            </w:r>
            <w:r w:rsidR="005B64EB">
              <w:rPr>
                <w:sz w:val="18"/>
                <w:szCs w:val="18"/>
              </w:rPr>
              <w:t>A</w:t>
            </w:r>
            <w:r w:rsidR="005B64EB" w:rsidRPr="00820842">
              <w:rPr>
                <w:sz w:val="18"/>
                <w:szCs w:val="18"/>
              </w:rPr>
              <w:t>Es</w:t>
            </w:r>
          </w:p>
        </w:tc>
        <w:tc>
          <w:tcPr>
            <w:tcW w:w="1416" w:type="dxa"/>
          </w:tcPr>
          <w:p w14:paraId="099C6C98" w14:textId="402E432A" w:rsidR="00AC1326" w:rsidRPr="00820842" w:rsidRDefault="00686AF2">
            <w:pPr>
              <w:pStyle w:val="061Tabletext628pt"/>
              <w:rPr>
                <w:sz w:val="18"/>
                <w:szCs w:val="18"/>
              </w:rPr>
            </w:pPr>
            <w:r w:rsidRPr="00820842">
              <w:rPr>
                <w:sz w:val="18"/>
                <w:szCs w:val="18"/>
              </w:rPr>
              <w:t>French Ministry of Health</w:t>
            </w:r>
          </w:p>
          <w:p w14:paraId="50FEAE4D" w14:textId="77777777" w:rsidR="00AC1326" w:rsidRPr="00820842" w:rsidRDefault="00AC1326">
            <w:pPr>
              <w:pStyle w:val="061Tabletext628pt"/>
              <w:rPr>
                <w:sz w:val="18"/>
                <w:szCs w:val="18"/>
              </w:rPr>
            </w:pPr>
            <w:r w:rsidRPr="00820842">
              <w:rPr>
                <w:sz w:val="18"/>
                <w:szCs w:val="18"/>
              </w:rPr>
              <w:t>Yes</w:t>
            </w:r>
          </w:p>
        </w:tc>
      </w:tr>
      <w:tr w:rsidR="00AC1326" w:rsidRPr="00820842" w14:paraId="0C42C0AD" w14:textId="77777777" w:rsidTr="00DF406F">
        <w:tc>
          <w:tcPr>
            <w:tcW w:w="1560" w:type="dxa"/>
          </w:tcPr>
          <w:p w14:paraId="04B314E2" w14:textId="27511950" w:rsidR="00AC1326" w:rsidRPr="00820842" w:rsidRDefault="00801079">
            <w:pPr>
              <w:pStyle w:val="061Tabletext628pt"/>
              <w:rPr>
                <w:sz w:val="18"/>
                <w:szCs w:val="18"/>
              </w:rPr>
            </w:pPr>
            <w:r w:rsidRPr="00820842">
              <w:rPr>
                <w:sz w:val="18"/>
                <w:szCs w:val="18"/>
              </w:rPr>
              <w:t>EVOKE</w:t>
            </w:r>
            <w:r w:rsidR="00AC1326" w:rsidRPr="00820842">
              <w:rPr>
                <w:sz w:val="18"/>
                <w:szCs w:val="18"/>
              </w:rPr>
              <w:t xml:space="preserve"> (</w:t>
            </w:r>
            <w:proofErr w:type="spellStart"/>
            <w:r w:rsidRPr="00820842">
              <w:rPr>
                <w:sz w:val="18"/>
                <w:szCs w:val="18"/>
              </w:rPr>
              <w:t>Mekhail</w:t>
            </w:r>
            <w:proofErr w:type="spellEnd"/>
            <w:r w:rsidRPr="00820842">
              <w:rPr>
                <w:sz w:val="18"/>
                <w:szCs w:val="18"/>
              </w:rPr>
              <w:t xml:space="preserve"> </w:t>
            </w:r>
            <w:r w:rsidR="00AC1326" w:rsidRPr="00820842">
              <w:rPr>
                <w:sz w:val="18"/>
                <w:szCs w:val="18"/>
              </w:rPr>
              <w:t>2020</w:t>
            </w:r>
            <w:r w:rsidRPr="00820842">
              <w:rPr>
                <w:sz w:val="18"/>
                <w:szCs w:val="18"/>
              </w:rPr>
              <w:t xml:space="preserve">; </w:t>
            </w:r>
            <w:proofErr w:type="spellStart"/>
            <w:r w:rsidRPr="00820842">
              <w:rPr>
                <w:sz w:val="18"/>
                <w:szCs w:val="18"/>
              </w:rPr>
              <w:t>Mekhail</w:t>
            </w:r>
            <w:proofErr w:type="spellEnd"/>
            <w:r w:rsidRPr="00820842">
              <w:rPr>
                <w:sz w:val="18"/>
                <w:szCs w:val="18"/>
              </w:rPr>
              <w:t xml:space="preserve"> 2022</w:t>
            </w:r>
            <w:r w:rsidR="00AC1326" w:rsidRPr="00820842">
              <w:rPr>
                <w:sz w:val="18"/>
                <w:szCs w:val="18"/>
              </w:rPr>
              <w:t>)</w:t>
            </w:r>
          </w:p>
          <w:p w14:paraId="6534C65D" w14:textId="0202D715" w:rsidR="00AC1326" w:rsidRPr="00820842" w:rsidRDefault="00CE6C80">
            <w:pPr>
              <w:pStyle w:val="061Tabletext628pt"/>
              <w:rPr>
                <w:sz w:val="18"/>
                <w:szCs w:val="18"/>
              </w:rPr>
            </w:pPr>
            <w:r w:rsidRPr="00820842">
              <w:rPr>
                <w:sz w:val="18"/>
                <w:szCs w:val="18"/>
              </w:rPr>
              <w:t xml:space="preserve">Multicentre, double-blind RCT </w:t>
            </w:r>
            <w:r w:rsidR="00AC1326" w:rsidRPr="00820842">
              <w:rPr>
                <w:sz w:val="18"/>
                <w:szCs w:val="18"/>
              </w:rPr>
              <w:t>(</w:t>
            </w:r>
            <w:r w:rsidR="00820842">
              <w:rPr>
                <w:sz w:val="18"/>
                <w:szCs w:val="18"/>
              </w:rPr>
              <w:t>N</w:t>
            </w:r>
            <w:r w:rsidR="00AC1326" w:rsidRPr="00820842">
              <w:rPr>
                <w:sz w:val="18"/>
                <w:szCs w:val="18"/>
              </w:rPr>
              <w:t>=</w:t>
            </w:r>
            <w:r w:rsidRPr="00820842">
              <w:rPr>
                <w:sz w:val="18"/>
                <w:szCs w:val="18"/>
              </w:rPr>
              <w:t>134</w:t>
            </w:r>
            <w:r w:rsidR="00AC1326" w:rsidRPr="00820842">
              <w:rPr>
                <w:sz w:val="18"/>
                <w:szCs w:val="18"/>
              </w:rPr>
              <w:t>)</w:t>
            </w:r>
          </w:p>
          <w:p w14:paraId="34AADAB1" w14:textId="676090BD" w:rsidR="00AC1326" w:rsidRPr="00820842" w:rsidRDefault="00BE2418">
            <w:pPr>
              <w:pStyle w:val="061Tabletext628pt"/>
              <w:rPr>
                <w:sz w:val="18"/>
                <w:szCs w:val="18"/>
              </w:rPr>
            </w:pPr>
            <w:r w:rsidRPr="00820842">
              <w:rPr>
                <w:sz w:val="18"/>
                <w:szCs w:val="18"/>
              </w:rPr>
              <w:t>USA</w:t>
            </w:r>
          </w:p>
          <w:p w14:paraId="19948A46" w14:textId="77777777" w:rsidR="00AC1326" w:rsidRPr="00820842" w:rsidRDefault="00AC1326">
            <w:pPr>
              <w:pStyle w:val="061Tabletext628pt"/>
              <w:rPr>
                <w:sz w:val="18"/>
                <w:szCs w:val="18"/>
              </w:rPr>
            </w:pPr>
          </w:p>
        </w:tc>
        <w:tc>
          <w:tcPr>
            <w:tcW w:w="1701" w:type="dxa"/>
          </w:tcPr>
          <w:p w14:paraId="72896E54" w14:textId="0BC15E51" w:rsidR="00AC1326" w:rsidRPr="00820842" w:rsidRDefault="00D502DF">
            <w:pPr>
              <w:pStyle w:val="061Tabletext628pt"/>
              <w:rPr>
                <w:sz w:val="18"/>
                <w:szCs w:val="18"/>
              </w:rPr>
            </w:pPr>
            <w:r w:rsidRPr="00820842">
              <w:rPr>
                <w:sz w:val="18"/>
                <w:szCs w:val="18"/>
              </w:rPr>
              <w:t xml:space="preserve">ECAP-controlled closed-loop </w:t>
            </w:r>
            <w:r w:rsidR="00F86028" w:rsidRPr="00820842">
              <w:rPr>
                <w:sz w:val="18"/>
                <w:szCs w:val="18"/>
              </w:rPr>
              <w:t>SCS</w:t>
            </w:r>
            <w:r w:rsidR="00AC1326" w:rsidRPr="00820842">
              <w:rPr>
                <w:sz w:val="18"/>
                <w:szCs w:val="18"/>
              </w:rPr>
              <w:t xml:space="preserve"> </w:t>
            </w:r>
            <w:r w:rsidR="00A15ED0" w:rsidRPr="00820842">
              <w:rPr>
                <w:sz w:val="18"/>
                <w:szCs w:val="18"/>
              </w:rPr>
              <w:t>(Evoke System, Saluda Medical, Sydney, Australia)</w:t>
            </w:r>
          </w:p>
          <w:p w14:paraId="319F5104" w14:textId="45E18AFA" w:rsidR="00AC1326" w:rsidRPr="00820842" w:rsidRDefault="00AC1326">
            <w:pPr>
              <w:pStyle w:val="061Tabletext628pt"/>
              <w:rPr>
                <w:sz w:val="18"/>
                <w:szCs w:val="18"/>
              </w:rPr>
            </w:pPr>
            <w:r w:rsidRPr="00820842">
              <w:rPr>
                <w:sz w:val="18"/>
                <w:szCs w:val="18"/>
              </w:rPr>
              <w:t xml:space="preserve">Conventional SCS </w:t>
            </w:r>
            <w:r w:rsidR="00AD2FB8" w:rsidRPr="00820842">
              <w:rPr>
                <w:sz w:val="18"/>
                <w:szCs w:val="18"/>
              </w:rPr>
              <w:t>(Evoke System, Saluda Medical, Sydney, Australia)</w:t>
            </w:r>
          </w:p>
        </w:tc>
        <w:tc>
          <w:tcPr>
            <w:tcW w:w="2976" w:type="dxa"/>
          </w:tcPr>
          <w:p w14:paraId="47F3C458" w14:textId="2B110C4D" w:rsidR="00AC1326" w:rsidRPr="00820842" w:rsidRDefault="00AC1326">
            <w:pPr>
              <w:pStyle w:val="061Tabletext628pt"/>
              <w:rPr>
                <w:sz w:val="18"/>
                <w:szCs w:val="18"/>
              </w:rPr>
            </w:pPr>
            <w:r w:rsidRPr="00820842">
              <w:rPr>
                <w:sz w:val="18"/>
                <w:szCs w:val="18"/>
                <w:u w:val="single"/>
              </w:rPr>
              <w:t>Population:</w:t>
            </w:r>
            <w:r w:rsidRPr="00820842">
              <w:rPr>
                <w:sz w:val="18"/>
                <w:szCs w:val="18"/>
              </w:rPr>
              <w:t xml:space="preserve"> </w:t>
            </w:r>
            <w:r w:rsidR="00BB50D3" w:rsidRPr="00820842">
              <w:rPr>
                <w:sz w:val="18"/>
                <w:szCs w:val="18"/>
              </w:rPr>
              <w:t>chronic, intractable pain of the back and legs (VAS pain ≥60 mm; ODI score 41–80) who were refractory to conservative therapy, on stable pain medications, had no previous experience with spinal cord stimulation, and were appropriate candidates for a spinal cord stimulation trial</w:t>
            </w:r>
          </w:p>
          <w:p w14:paraId="6DC03F27" w14:textId="6E5822F3" w:rsidR="00AC1326" w:rsidRPr="00820842" w:rsidRDefault="00AC1326">
            <w:pPr>
              <w:pStyle w:val="061Tabletext628pt"/>
              <w:rPr>
                <w:sz w:val="18"/>
                <w:szCs w:val="18"/>
              </w:rPr>
            </w:pPr>
            <w:r w:rsidRPr="00820842">
              <w:rPr>
                <w:sz w:val="18"/>
                <w:szCs w:val="18"/>
                <w:u w:val="single"/>
              </w:rPr>
              <w:t>Follow-up:</w:t>
            </w:r>
            <w:r w:rsidRPr="00820842">
              <w:rPr>
                <w:sz w:val="18"/>
                <w:szCs w:val="18"/>
              </w:rPr>
              <w:t xml:space="preserve"> </w:t>
            </w:r>
            <w:r w:rsidR="00BE2418" w:rsidRPr="00820842">
              <w:rPr>
                <w:sz w:val="18"/>
                <w:szCs w:val="18"/>
              </w:rPr>
              <w:t>3</w:t>
            </w:r>
            <w:r w:rsidRPr="00820842">
              <w:rPr>
                <w:sz w:val="18"/>
                <w:szCs w:val="18"/>
              </w:rPr>
              <w:t xml:space="preserve"> </w:t>
            </w:r>
            <w:proofErr w:type="spellStart"/>
            <w:r w:rsidRPr="00820842">
              <w:rPr>
                <w:sz w:val="18"/>
                <w:szCs w:val="18"/>
              </w:rPr>
              <w:t>mo</w:t>
            </w:r>
            <w:proofErr w:type="spellEnd"/>
            <w:r w:rsidRPr="00820842">
              <w:rPr>
                <w:sz w:val="18"/>
                <w:szCs w:val="18"/>
              </w:rPr>
              <w:t xml:space="preserve"> (</w:t>
            </w:r>
            <w:r w:rsidR="00A718AD" w:rsidRPr="00820842">
              <w:rPr>
                <w:sz w:val="18"/>
                <w:szCs w:val="18"/>
              </w:rPr>
              <w:t>125</w:t>
            </w:r>
            <w:r w:rsidRPr="00820842">
              <w:rPr>
                <w:sz w:val="18"/>
                <w:szCs w:val="18"/>
              </w:rPr>
              <w:t xml:space="preserve"> patients)</w:t>
            </w:r>
            <w:r w:rsidR="00A718AD" w:rsidRPr="00820842">
              <w:rPr>
                <w:sz w:val="18"/>
                <w:szCs w:val="18"/>
              </w:rPr>
              <w:t xml:space="preserve">, 12 </w:t>
            </w:r>
            <w:proofErr w:type="spellStart"/>
            <w:r w:rsidR="00A718AD" w:rsidRPr="00820842">
              <w:rPr>
                <w:sz w:val="18"/>
                <w:szCs w:val="18"/>
              </w:rPr>
              <w:t>mo</w:t>
            </w:r>
            <w:proofErr w:type="spellEnd"/>
            <w:r w:rsidR="00A718AD" w:rsidRPr="00820842">
              <w:rPr>
                <w:sz w:val="18"/>
                <w:szCs w:val="18"/>
              </w:rPr>
              <w:t xml:space="preserve"> (</w:t>
            </w:r>
            <w:r w:rsidR="00141474" w:rsidRPr="00820842">
              <w:rPr>
                <w:sz w:val="18"/>
                <w:szCs w:val="18"/>
              </w:rPr>
              <w:t>118 patients)</w:t>
            </w:r>
          </w:p>
        </w:tc>
        <w:tc>
          <w:tcPr>
            <w:tcW w:w="1985" w:type="dxa"/>
          </w:tcPr>
          <w:p w14:paraId="0343BD8C" w14:textId="60E058A7" w:rsidR="00AC1326" w:rsidRPr="00820842" w:rsidRDefault="00AC1326">
            <w:pPr>
              <w:pStyle w:val="061Tabletext628pt"/>
              <w:rPr>
                <w:sz w:val="18"/>
                <w:szCs w:val="18"/>
              </w:rPr>
            </w:pPr>
            <w:r w:rsidRPr="00820842">
              <w:rPr>
                <w:sz w:val="18"/>
                <w:szCs w:val="18"/>
                <w:u w:val="single"/>
              </w:rPr>
              <w:t xml:space="preserve">Primary: </w:t>
            </w:r>
            <w:r w:rsidR="001B6F18">
              <w:rPr>
                <w:sz w:val="18"/>
                <w:szCs w:val="18"/>
                <w:u w:val="single"/>
              </w:rPr>
              <w:br/>
            </w:r>
            <w:r w:rsidRPr="00820842">
              <w:rPr>
                <w:sz w:val="18"/>
                <w:szCs w:val="18"/>
              </w:rPr>
              <w:t>Pain intensity (</w:t>
            </w:r>
            <w:r w:rsidRPr="00820842">
              <w:rPr>
                <w:rFonts w:cs="Calibri"/>
                <w:sz w:val="18"/>
                <w:szCs w:val="18"/>
              </w:rPr>
              <w:t>≥</w:t>
            </w:r>
            <w:r w:rsidRPr="00820842">
              <w:rPr>
                <w:sz w:val="18"/>
                <w:szCs w:val="18"/>
              </w:rPr>
              <w:t>50% reduction in VAS score)</w:t>
            </w:r>
          </w:p>
          <w:p w14:paraId="0C32CC4C" w14:textId="3C1FB18E" w:rsidR="00AC1326" w:rsidRPr="00820842" w:rsidRDefault="00AC1326" w:rsidP="00DF406F">
            <w:pPr>
              <w:pStyle w:val="061Tabletext628pt"/>
              <w:spacing w:before="0"/>
              <w:rPr>
                <w:sz w:val="18"/>
                <w:szCs w:val="18"/>
                <w:u w:val="single"/>
              </w:rPr>
            </w:pPr>
            <w:r w:rsidRPr="00820842">
              <w:rPr>
                <w:sz w:val="18"/>
                <w:szCs w:val="18"/>
                <w:u w:val="single"/>
              </w:rPr>
              <w:t xml:space="preserve">Secondary: </w:t>
            </w:r>
            <w:r w:rsidR="00DF406F">
              <w:rPr>
                <w:sz w:val="18"/>
                <w:szCs w:val="18"/>
                <w:u w:val="single"/>
              </w:rPr>
              <w:br/>
            </w:r>
            <w:r w:rsidR="00DF406F">
              <w:rPr>
                <w:sz w:val="18"/>
                <w:szCs w:val="18"/>
              </w:rPr>
              <w:t>O</w:t>
            </w:r>
            <w:r w:rsidR="00AD2FB8" w:rsidRPr="00820842">
              <w:rPr>
                <w:sz w:val="18"/>
                <w:szCs w:val="18"/>
              </w:rPr>
              <w:t>DI</w:t>
            </w:r>
            <w:r w:rsidR="00DF406F">
              <w:rPr>
                <w:sz w:val="18"/>
                <w:szCs w:val="18"/>
              </w:rPr>
              <w:br/>
            </w:r>
            <w:r w:rsidR="00AD2FB8" w:rsidRPr="00820842">
              <w:rPr>
                <w:sz w:val="18"/>
                <w:szCs w:val="18"/>
              </w:rPr>
              <w:t xml:space="preserve">EQ-5D-5L </w:t>
            </w:r>
            <w:r w:rsidR="00DF406F">
              <w:rPr>
                <w:sz w:val="18"/>
                <w:szCs w:val="18"/>
              </w:rPr>
              <w:br/>
            </w:r>
            <w:r w:rsidR="005B64EB">
              <w:rPr>
                <w:sz w:val="18"/>
                <w:szCs w:val="18"/>
              </w:rPr>
              <w:t>A</w:t>
            </w:r>
            <w:r w:rsidR="005B64EB" w:rsidRPr="00820842">
              <w:rPr>
                <w:sz w:val="18"/>
                <w:szCs w:val="18"/>
              </w:rPr>
              <w:t>Es</w:t>
            </w:r>
          </w:p>
        </w:tc>
        <w:tc>
          <w:tcPr>
            <w:tcW w:w="1416" w:type="dxa"/>
          </w:tcPr>
          <w:p w14:paraId="13D44958" w14:textId="2B8F9A3C" w:rsidR="00AC1326" w:rsidRPr="00820842" w:rsidRDefault="00CE6C80">
            <w:pPr>
              <w:pStyle w:val="061Tabletext628pt"/>
              <w:rPr>
                <w:sz w:val="18"/>
                <w:szCs w:val="18"/>
              </w:rPr>
            </w:pPr>
            <w:r w:rsidRPr="00820842">
              <w:rPr>
                <w:sz w:val="18"/>
                <w:szCs w:val="18"/>
              </w:rPr>
              <w:t>Saluda</w:t>
            </w:r>
          </w:p>
          <w:p w14:paraId="520E5E41" w14:textId="6ECDBA66" w:rsidR="00AC1326" w:rsidRPr="00820842" w:rsidRDefault="004A6565">
            <w:pPr>
              <w:pStyle w:val="061Tabletext628pt"/>
              <w:rPr>
                <w:sz w:val="18"/>
                <w:szCs w:val="18"/>
              </w:rPr>
            </w:pPr>
            <w:r w:rsidRPr="00820842">
              <w:rPr>
                <w:sz w:val="18"/>
                <w:szCs w:val="18"/>
              </w:rPr>
              <w:t>Yes</w:t>
            </w:r>
          </w:p>
        </w:tc>
      </w:tr>
      <w:tr w:rsidR="00AC1326" w:rsidRPr="00820842" w14:paraId="1DF390D8" w14:textId="77777777" w:rsidTr="00DF406F">
        <w:tc>
          <w:tcPr>
            <w:tcW w:w="1560" w:type="dxa"/>
          </w:tcPr>
          <w:p w14:paraId="77E67740" w14:textId="2BC8B53A" w:rsidR="00AC1326" w:rsidRPr="00820842" w:rsidRDefault="002D79B4">
            <w:pPr>
              <w:pStyle w:val="061Tabletext628pt"/>
              <w:rPr>
                <w:sz w:val="18"/>
                <w:szCs w:val="18"/>
              </w:rPr>
            </w:pPr>
            <w:r w:rsidRPr="00820842">
              <w:rPr>
                <w:sz w:val="18"/>
                <w:szCs w:val="18"/>
              </w:rPr>
              <w:lastRenderedPageBreak/>
              <w:t>Fishman</w:t>
            </w:r>
            <w:r w:rsidR="00AC1326" w:rsidRPr="00820842">
              <w:rPr>
                <w:sz w:val="18"/>
                <w:szCs w:val="18"/>
              </w:rPr>
              <w:t xml:space="preserve"> (20</w:t>
            </w:r>
            <w:r w:rsidR="003172F6">
              <w:rPr>
                <w:sz w:val="18"/>
                <w:szCs w:val="18"/>
              </w:rPr>
              <w:t>21</w:t>
            </w:r>
            <w:r w:rsidR="00AC1326" w:rsidRPr="00820842">
              <w:rPr>
                <w:sz w:val="18"/>
                <w:szCs w:val="18"/>
              </w:rPr>
              <w:t>)</w:t>
            </w:r>
          </w:p>
          <w:p w14:paraId="5F79BA40" w14:textId="67EE5F0B" w:rsidR="00AC1326" w:rsidRPr="00820842" w:rsidRDefault="00610A61">
            <w:pPr>
              <w:pStyle w:val="061Tabletext628pt"/>
              <w:rPr>
                <w:sz w:val="18"/>
                <w:szCs w:val="18"/>
              </w:rPr>
            </w:pPr>
            <w:r w:rsidRPr="00820842">
              <w:rPr>
                <w:sz w:val="18"/>
                <w:szCs w:val="18"/>
              </w:rPr>
              <w:t>Multicentre, open</w:t>
            </w:r>
            <w:r w:rsidR="003B335C">
              <w:rPr>
                <w:sz w:val="18"/>
                <w:szCs w:val="18"/>
              </w:rPr>
              <w:t>-</w:t>
            </w:r>
            <w:r w:rsidRPr="00820842">
              <w:rPr>
                <w:sz w:val="18"/>
                <w:szCs w:val="18"/>
              </w:rPr>
              <w:t xml:space="preserve">label RCT </w:t>
            </w:r>
            <w:r w:rsidR="00AC1326" w:rsidRPr="00820842">
              <w:rPr>
                <w:sz w:val="18"/>
                <w:szCs w:val="18"/>
              </w:rPr>
              <w:t>(</w:t>
            </w:r>
            <w:r w:rsidR="00820842">
              <w:rPr>
                <w:sz w:val="18"/>
                <w:szCs w:val="18"/>
              </w:rPr>
              <w:t>N</w:t>
            </w:r>
            <w:r w:rsidR="00AC1326" w:rsidRPr="00820842">
              <w:rPr>
                <w:sz w:val="18"/>
                <w:szCs w:val="18"/>
              </w:rPr>
              <w:t>=</w:t>
            </w:r>
            <w:r w:rsidRPr="00820842">
              <w:rPr>
                <w:sz w:val="18"/>
                <w:szCs w:val="18"/>
              </w:rPr>
              <w:t>128</w:t>
            </w:r>
            <w:r w:rsidR="00AC1326" w:rsidRPr="00820842">
              <w:rPr>
                <w:sz w:val="18"/>
                <w:szCs w:val="18"/>
              </w:rPr>
              <w:t>)</w:t>
            </w:r>
          </w:p>
          <w:p w14:paraId="5BEB0795" w14:textId="77777777" w:rsidR="00AC1326" w:rsidRPr="00820842" w:rsidRDefault="00AC1326">
            <w:pPr>
              <w:pStyle w:val="061Tabletext628pt"/>
              <w:rPr>
                <w:sz w:val="18"/>
                <w:szCs w:val="18"/>
              </w:rPr>
            </w:pPr>
            <w:r w:rsidRPr="00820842">
              <w:rPr>
                <w:sz w:val="18"/>
                <w:szCs w:val="18"/>
              </w:rPr>
              <w:t>Spain</w:t>
            </w:r>
          </w:p>
        </w:tc>
        <w:tc>
          <w:tcPr>
            <w:tcW w:w="1701" w:type="dxa"/>
          </w:tcPr>
          <w:p w14:paraId="628ED344" w14:textId="38029464" w:rsidR="00AC1326" w:rsidRPr="00820842" w:rsidRDefault="00F86028">
            <w:pPr>
              <w:pStyle w:val="061Tabletext628pt"/>
              <w:rPr>
                <w:sz w:val="18"/>
                <w:szCs w:val="18"/>
              </w:rPr>
            </w:pPr>
            <w:r w:rsidRPr="00820842">
              <w:rPr>
                <w:sz w:val="18"/>
                <w:szCs w:val="18"/>
              </w:rPr>
              <w:t>Differential Target Multiplexed</w:t>
            </w:r>
            <w:r w:rsidR="00AC1326" w:rsidRPr="00820842">
              <w:rPr>
                <w:sz w:val="18"/>
                <w:szCs w:val="18"/>
              </w:rPr>
              <w:t xml:space="preserve"> SCS </w:t>
            </w:r>
          </w:p>
          <w:p w14:paraId="1C4BC660" w14:textId="0F76A195" w:rsidR="00AC1326" w:rsidRPr="00820842" w:rsidRDefault="00AC1326">
            <w:pPr>
              <w:pStyle w:val="061Tabletext628pt"/>
              <w:rPr>
                <w:sz w:val="18"/>
                <w:szCs w:val="18"/>
              </w:rPr>
            </w:pPr>
            <w:r w:rsidRPr="00820842">
              <w:rPr>
                <w:sz w:val="18"/>
                <w:szCs w:val="18"/>
              </w:rPr>
              <w:t xml:space="preserve">Conventional SCS </w:t>
            </w:r>
          </w:p>
        </w:tc>
        <w:tc>
          <w:tcPr>
            <w:tcW w:w="2976" w:type="dxa"/>
          </w:tcPr>
          <w:p w14:paraId="22060F38" w14:textId="0E5A8E36" w:rsidR="00AC1326" w:rsidRPr="00820842" w:rsidRDefault="00AC1326">
            <w:pPr>
              <w:pStyle w:val="061Tabletext628pt"/>
              <w:rPr>
                <w:sz w:val="18"/>
                <w:szCs w:val="18"/>
              </w:rPr>
            </w:pPr>
            <w:r w:rsidRPr="00820842">
              <w:rPr>
                <w:sz w:val="18"/>
                <w:szCs w:val="18"/>
                <w:u w:val="single"/>
              </w:rPr>
              <w:t xml:space="preserve">Population: </w:t>
            </w:r>
            <w:r w:rsidR="00E06B94" w:rsidRPr="00820842">
              <w:rPr>
                <w:sz w:val="18"/>
                <w:szCs w:val="18"/>
              </w:rPr>
              <w:t>Average back pain intensity ≥ 5.0 cm on the 10.0 cm VAS with moderate to severe chronic leg pain at the time of enrolment. Stable pain medication regime for at least 30 days prior to enrolment</w:t>
            </w:r>
          </w:p>
          <w:p w14:paraId="5D828F9D" w14:textId="77E8DBA1" w:rsidR="00AC1326" w:rsidRPr="00820842" w:rsidRDefault="00AC1326">
            <w:pPr>
              <w:pStyle w:val="061Tabletext628pt"/>
              <w:rPr>
                <w:sz w:val="18"/>
                <w:szCs w:val="18"/>
              </w:rPr>
            </w:pPr>
            <w:r w:rsidRPr="00820842">
              <w:rPr>
                <w:sz w:val="18"/>
                <w:szCs w:val="18"/>
                <w:u w:val="single"/>
              </w:rPr>
              <w:t>Follow-up:</w:t>
            </w:r>
            <w:r w:rsidRPr="00820842">
              <w:rPr>
                <w:sz w:val="18"/>
                <w:szCs w:val="18"/>
              </w:rPr>
              <w:t xml:space="preserve"> </w:t>
            </w:r>
            <w:r w:rsidR="00E7383B" w:rsidRPr="00820842">
              <w:rPr>
                <w:sz w:val="18"/>
                <w:szCs w:val="18"/>
              </w:rPr>
              <w:t>3</w:t>
            </w:r>
            <w:r w:rsidRPr="00820842">
              <w:rPr>
                <w:sz w:val="18"/>
                <w:szCs w:val="18"/>
              </w:rPr>
              <w:t xml:space="preserve"> </w:t>
            </w:r>
            <w:proofErr w:type="spellStart"/>
            <w:r w:rsidRPr="00820842">
              <w:rPr>
                <w:sz w:val="18"/>
                <w:szCs w:val="18"/>
              </w:rPr>
              <w:t>mo</w:t>
            </w:r>
            <w:proofErr w:type="spellEnd"/>
            <w:r w:rsidRPr="00820842">
              <w:rPr>
                <w:sz w:val="18"/>
                <w:szCs w:val="18"/>
              </w:rPr>
              <w:t xml:space="preserve"> (</w:t>
            </w:r>
            <w:r w:rsidR="00E7383B" w:rsidRPr="00820842">
              <w:rPr>
                <w:sz w:val="18"/>
                <w:szCs w:val="18"/>
              </w:rPr>
              <w:t>92</w:t>
            </w:r>
            <w:r w:rsidRPr="00820842">
              <w:rPr>
                <w:sz w:val="18"/>
                <w:szCs w:val="18"/>
              </w:rPr>
              <w:t xml:space="preserve"> patients)</w:t>
            </w:r>
            <w:r w:rsidR="00E85569" w:rsidRPr="00820842">
              <w:rPr>
                <w:sz w:val="18"/>
                <w:szCs w:val="18"/>
              </w:rPr>
              <w:t xml:space="preserve">, 6 </w:t>
            </w:r>
            <w:proofErr w:type="spellStart"/>
            <w:r w:rsidR="00E85569" w:rsidRPr="00820842">
              <w:rPr>
                <w:sz w:val="18"/>
                <w:szCs w:val="18"/>
              </w:rPr>
              <w:t>mo</w:t>
            </w:r>
            <w:proofErr w:type="spellEnd"/>
            <w:r w:rsidR="00E85569" w:rsidRPr="00820842">
              <w:rPr>
                <w:sz w:val="18"/>
                <w:szCs w:val="18"/>
              </w:rPr>
              <w:t xml:space="preserve"> (</w:t>
            </w:r>
            <w:r w:rsidR="00036933" w:rsidRPr="00820842">
              <w:rPr>
                <w:sz w:val="18"/>
                <w:szCs w:val="18"/>
              </w:rPr>
              <w:t xml:space="preserve">89 patients), 12 </w:t>
            </w:r>
            <w:proofErr w:type="spellStart"/>
            <w:r w:rsidR="00036933" w:rsidRPr="00820842">
              <w:rPr>
                <w:sz w:val="18"/>
                <w:szCs w:val="18"/>
              </w:rPr>
              <w:t>mo</w:t>
            </w:r>
            <w:proofErr w:type="spellEnd"/>
            <w:r w:rsidR="00036933" w:rsidRPr="00820842">
              <w:rPr>
                <w:sz w:val="18"/>
                <w:szCs w:val="18"/>
              </w:rPr>
              <w:t xml:space="preserve"> (79 patients)</w:t>
            </w:r>
          </w:p>
        </w:tc>
        <w:tc>
          <w:tcPr>
            <w:tcW w:w="1985" w:type="dxa"/>
          </w:tcPr>
          <w:p w14:paraId="74CC63AE" w14:textId="22A595AE" w:rsidR="00AC1326" w:rsidRPr="00820842" w:rsidRDefault="00AC1326">
            <w:pPr>
              <w:pStyle w:val="061Tabletext628pt"/>
              <w:rPr>
                <w:sz w:val="18"/>
                <w:szCs w:val="18"/>
              </w:rPr>
            </w:pPr>
            <w:r w:rsidRPr="00820842">
              <w:rPr>
                <w:sz w:val="18"/>
                <w:szCs w:val="18"/>
                <w:u w:val="single"/>
              </w:rPr>
              <w:t xml:space="preserve">Primary: </w:t>
            </w:r>
            <w:r w:rsidR="001B6F18">
              <w:rPr>
                <w:sz w:val="18"/>
                <w:szCs w:val="18"/>
                <w:u w:val="single"/>
              </w:rPr>
              <w:br/>
            </w:r>
            <w:r w:rsidRPr="00820842">
              <w:rPr>
                <w:sz w:val="18"/>
                <w:szCs w:val="18"/>
              </w:rPr>
              <w:t xml:space="preserve">Pain intensity </w:t>
            </w:r>
          </w:p>
          <w:p w14:paraId="3C580EC1" w14:textId="305164C6" w:rsidR="00AC1326" w:rsidRPr="00DF406F" w:rsidRDefault="00AC1326">
            <w:pPr>
              <w:pStyle w:val="061Tabletext628pt"/>
              <w:rPr>
                <w:sz w:val="18"/>
                <w:szCs w:val="18"/>
                <w:u w:val="single"/>
              </w:rPr>
            </w:pPr>
            <w:r w:rsidRPr="00820842">
              <w:rPr>
                <w:sz w:val="18"/>
                <w:szCs w:val="18"/>
                <w:u w:val="single"/>
              </w:rPr>
              <w:t xml:space="preserve">Secondary: </w:t>
            </w:r>
            <w:r w:rsidR="00DF406F">
              <w:rPr>
                <w:sz w:val="18"/>
                <w:szCs w:val="18"/>
                <w:u w:val="single"/>
              </w:rPr>
              <w:br/>
            </w:r>
            <w:r w:rsidRPr="00820842">
              <w:rPr>
                <w:sz w:val="18"/>
                <w:szCs w:val="18"/>
              </w:rPr>
              <w:t>ODI</w:t>
            </w:r>
            <w:r w:rsidR="00DF406F">
              <w:rPr>
                <w:sz w:val="18"/>
                <w:szCs w:val="18"/>
              </w:rPr>
              <w:br/>
            </w:r>
            <w:r w:rsidR="005B64EB">
              <w:rPr>
                <w:sz w:val="18"/>
                <w:szCs w:val="18"/>
              </w:rPr>
              <w:t>A</w:t>
            </w:r>
            <w:r w:rsidR="005B64EB" w:rsidRPr="00820842">
              <w:rPr>
                <w:sz w:val="18"/>
                <w:szCs w:val="18"/>
              </w:rPr>
              <w:t>Es</w:t>
            </w:r>
          </w:p>
        </w:tc>
        <w:tc>
          <w:tcPr>
            <w:tcW w:w="1416" w:type="dxa"/>
          </w:tcPr>
          <w:p w14:paraId="3DC52A82" w14:textId="114D26D5" w:rsidR="002D79B4" w:rsidRPr="00820842" w:rsidRDefault="002D79B4" w:rsidP="002D79B4">
            <w:pPr>
              <w:pStyle w:val="061Tabletext628pt"/>
              <w:rPr>
                <w:sz w:val="18"/>
                <w:szCs w:val="18"/>
              </w:rPr>
            </w:pPr>
            <w:proofErr w:type="spellStart"/>
            <w:r w:rsidRPr="00820842">
              <w:rPr>
                <w:sz w:val="18"/>
                <w:szCs w:val="18"/>
              </w:rPr>
              <w:t>Stimgenics</w:t>
            </w:r>
            <w:proofErr w:type="spellEnd"/>
            <w:r w:rsidRPr="00820842">
              <w:rPr>
                <w:sz w:val="18"/>
                <w:szCs w:val="18"/>
              </w:rPr>
              <w:t xml:space="preserve"> LLC</w:t>
            </w:r>
          </w:p>
          <w:p w14:paraId="01BBD553" w14:textId="3E66757A" w:rsidR="00AC1326" w:rsidRPr="00820842" w:rsidRDefault="00E85569">
            <w:pPr>
              <w:pStyle w:val="061Tabletext628pt"/>
              <w:rPr>
                <w:sz w:val="18"/>
                <w:szCs w:val="18"/>
              </w:rPr>
            </w:pPr>
            <w:r w:rsidRPr="00820842">
              <w:rPr>
                <w:sz w:val="18"/>
                <w:szCs w:val="18"/>
              </w:rPr>
              <w:t>Yes</w:t>
            </w:r>
          </w:p>
        </w:tc>
      </w:tr>
      <w:tr w:rsidR="00AC1326" w:rsidRPr="00820842" w14:paraId="44F9FC27" w14:textId="77777777" w:rsidTr="00DF406F">
        <w:tc>
          <w:tcPr>
            <w:tcW w:w="1560" w:type="dxa"/>
          </w:tcPr>
          <w:p w14:paraId="24087116" w14:textId="611B3E9D" w:rsidR="00AC1326" w:rsidRPr="00820842" w:rsidRDefault="00036933">
            <w:pPr>
              <w:pStyle w:val="061Tabletext628pt"/>
              <w:rPr>
                <w:sz w:val="18"/>
                <w:szCs w:val="18"/>
              </w:rPr>
            </w:pPr>
            <w:r w:rsidRPr="00820842">
              <w:rPr>
                <w:sz w:val="18"/>
                <w:szCs w:val="18"/>
              </w:rPr>
              <w:t>SUNBURST</w:t>
            </w:r>
            <w:r w:rsidR="00AC1326" w:rsidRPr="00820842">
              <w:rPr>
                <w:sz w:val="18"/>
                <w:szCs w:val="18"/>
              </w:rPr>
              <w:t xml:space="preserve"> (</w:t>
            </w:r>
            <w:r w:rsidRPr="00820842">
              <w:rPr>
                <w:sz w:val="18"/>
                <w:szCs w:val="18"/>
              </w:rPr>
              <w:t>Deer</w:t>
            </w:r>
            <w:r w:rsidR="00AC1326" w:rsidRPr="00820842">
              <w:rPr>
                <w:sz w:val="18"/>
                <w:szCs w:val="18"/>
              </w:rPr>
              <w:t xml:space="preserve"> 201</w:t>
            </w:r>
            <w:r w:rsidR="004C6628">
              <w:rPr>
                <w:sz w:val="18"/>
                <w:szCs w:val="18"/>
              </w:rPr>
              <w:t>8</w:t>
            </w:r>
            <w:r w:rsidR="009555C9" w:rsidRPr="00820842">
              <w:rPr>
                <w:sz w:val="18"/>
                <w:szCs w:val="18"/>
              </w:rPr>
              <w:t>; D'Souza 2021</w:t>
            </w:r>
            <w:r w:rsidR="00AC1326" w:rsidRPr="00820842">
              <w:rPr>
                <w:sz w:val="18"/>
                <w:szCs w:val="18"/>
              </w:rPr>
              <w:t>)</w:t>
            </w:r>
          </w:p>
          <w:p w14:paraId="72E70F76" w14:textId="1122F48D" w:rsidR="00AC1326" w:rsidRPr="00820842" w:rsidRDefault="00AC1326">
            <w:pPr>
              <w:pStyle w:val="061Tabletext628pt"/>
              <w:rPr>
                <w:sz w:val="18"/>
                <w:szCs w:val="18"/>
              </w:rPr>
            </w:pPr>
            <w:r w:rsidRPr="00820842">
              <w:rPr>
                <w:sz w:val="18"/>
                <w:szCs w:val="18"/>
              </w:rPr>
              <w:t>Multicentre, open</w:t>
            </w:r>
            <w:r w:rsidR="003B335C">
              <w:rPr>
                <w:sz w:val="18"/>
                <w:szCs w:val="18"/>
              </w:rPr>
              <w:t>-</w:t>
            </w:r>
            <w:r w:rsidRPr="00820842">
              <w:rPr>
                <w:sz w:val="18"/>
                <w:szCs w:val="18"/>
              </w:rPr>
              <w:t xml:space="preserve">label </w:t>
            </w:r>
            <w:r w:rsidR="00810E20" w:rsidRPr="00820842">
              <w:rPr>
                <w:sz w:val="18"/>
                <w:szCs w:val="18"/>
              </w:rPr>
              <w:t>cross</w:t>
            </w:r>
            <w:r w:rsidR="00BA78A0">
              <w:rPr>
                <w:sz w:val="18"/>
                <w:szCs w:val="18"/>
              </w:rPr>
              <w:t>-</w:t>
            </w:r>
            <w:r w:rsidR="00810E20" w:rsidRPr="00820842">
              <w:rPr>
                <w:sz w:val="18"/>
                <w:szCs w:val="18"/>
              </w:rPr>
              <w:t xml:space="preserve">over </w:t>
            </w:r>
            <w:r w:rsidRPr="00820842">
              <w:rPr>
                <w:sz w:val="18"/>
                <w:szCs w:val="18"/>
              </w:rPr>
              <w:t>RCT (</w:t>
            </w:r>
            <w:r w:rsidR="00820842">
              <w:rPr>
                <w:sz w:val="18"/>
                <w:szCs w:val="18"/>
              </w:rPr>
              <w:t>N</w:t>
            </w:r>
            <w:r w:rsidRPr="00820842">
              <w:rPr>
                <w:sz w:val="18"/>
                <w:szCs w:val="18"/>
              </w:rPr>
              <w:t>=1</w:t>
            </w:r>
            <w:r w:rsidR="002025AD" w:rsidRPr="00820842">
              <w:rPr>
                <w:sz w:val="18"/>
                <w:szCs w:val="18"/>
              </w:rPr>
              <w:t>00</w:t>
            </w:r>
            <w:r w:rsidRPr="00820842">
              <w:rPr>
                <w:sz w:val="18"/>
                <w:szCs w:val="18"/>
              </w:rPr>
              <w:t>)</w:t>
            </w:r>
          </w:p>
          <w:p w14:paraId="25492418" w14:textId="77777777" w:rsidR="00AC1326" w:rsidRPr="00820842" w:rsidRDefault="00AC1326">
            <w:pPr>
              <w:pStyle w:val="061Tabletext628pt"/>
              <w:rPr>
                <w:sz w:val="18"/>
                <w:szCs w:val="18"/>
              </w:rPr>
            </w:pPr>
            <w:r w:rsidRPr="00820842">
              <w:rPr>
                <w:sz w:val="18"/>
                <w:szCs w:val="18"/>
              </w:rPr>
              <w:t>USA</w:t>
            </w:r>
          </w:p>
        </w:tc>
        <w:tc>
          <w:tcPr>
            <w:tcW w:w="1701" w:type="dxa"/>
          </w:tcPr>
          <w:p w14:paraId="01FA7AE0" w14:textId="28D57B78" w:rsidR="00AC1326" w:rsidRPr="00820842" w:rsidRDefault="003C7561">
            <w:pPr>
              <w:pStyle w:val="061Tabletext628pt"/>
              <w:rPr>
                <w:sz w:val="18"/>
                <w:szCs w:val="18"/>
              </w:rPr>
            </w:pPr>
            <w:r w:rsidRPr="00820842">
              <w:rPr>
                <w:sz w:val="18"/>
                <w:szCs w:val="18"/>
              </w:rPr>
              <w:t>Burst</w:t>
            </w:r>
            <w:r w:rsidR="00AC1326" w:rsidRPr="00820842">
              <w:rPr>
                <w:sz w:val="18"/>
                <w:szCs w:val="18"/>
              </w:rPr>
              <w:t xml:space="preserve"> SCS </w:t>
            </w:r>
            <w:r w:rsidRPr="00820842">
              <w:rPr>
                <w:sz w:val="18"/>
                <w:szCs w:val="18"/>
              </w:rPr>
              <w:t>(</w:t>
            </w:r>
            <w:proofErr w:type="spellStart"/>
            <w:r w:rsidRPr="00820842">
              <w:rPr>
                <w:sz w:val="18"/>
                <w:szCs w:val="18"/>
              </w:rPr>
              <w:t>Prodigy</w:t>
            </w:r>
            <w:r w:rsidRPr="00820842">
              <w:rPr>
                <w:sz w:val="18"/>
                <w:szCs w:val="18"/>
                <w:vertAlign w:val="superscript"/>
              </w:rPr>
              <w:t>TM</w:t>
            </w:r>
            <w:proofErr w:type="spellEnd"/>
            <w:r w:rsidRPr="00820842">
              <w:rPr>
                <w:sz w:val="18"/>
                <w:szCs w:val="18"/>
              </w:rPr>
              <w:t>, Abbott, Plano, TX, USA</w:t>
            </w:r>
            <w:r w:rsidR="00AC1326" w:rsidRPr="00820842">
              <w:rPr>
                <w:sz w:val="18"/>
                <w:szCs w:val="18"/>
              </w:rPr>
              <w:t>)</w:t>
            </w:r>
          </w:p>
          <w:p w14:paraId="014881CD" w14:textId="543D6218" w:rsidR="00AC1326" w:rsidRPr="00820842" w:rsidRDefault="00AC1326">
            <w:pPr>
              <w:pStyle w:val="061Tabletext628pt"/>
              <w:rPr>
                <w:sz w:val="18"/>
                <w:szCs w:val="18"/>
              </w:rPr>
            </w:pPr>
            <w:r w:rsidRPr="00820842">
              <w:rPr>
                <w:sz w:val="18"/>
                <w:szCs w:val="18"/>
              </w:rPr>
              <w:t>Conventional SCS (</w:t>
            </w:r>
            <w:proofErr w:type="spellStart"/>
            <w:r w:rsidR="003C7561" w:rsidRPr="00820842">
              <w:rPr>
                <w:sz w:val="18"/>
                <w:szCs w:val="18"/>
              </w:rPr>
              <w:t>Prodigy</w:t>
            </w:r>
            <w:r w:rsidR="003C7561" w:rsidRPr="00820842">
              <w:rPr>
                <w:sz w:val="18"/>
                <w:szCs w:val="18"/>
                <w:vertAlign w:val="superscript"/>
              </w:rPr>
              <w:t>TM</w:t>
            </w:r>
            <w:proofErr w:type="spellEnd"/>
            <w:r w:rsidR="003C7561" w:rsidRPr="00820842">
              <w:rPr>
                <w:sz w:val="18"/>
                <w:szCs w:val="18"/>
              </w:rPr>
              <w:t>, Abbott, Plano, TX, USA</w:t>
            </w:r>
            <w:r w:rsidRPr="00820842">
              <w:rPr>
                <w:sz w:val="18"/>
                <w:szCs w:val="18"/>
              </w:rPr>
              <w:t>)</w:t>
            </w:r>
          </w:p>
        </w:tc>
        <w:tc>
          <w:tcPr>
            <w:tcW w:w="2976" w:type="dxa"/>
          </w:tcPr>
          <w:p w14:paraId="55A83F36" w14:textId="66366FC3" w:rsidR="00AC1326" w:rsidRPr="00820842" w:rsidRDefault="00AC1326">
            <w:pPr>
              <w:pStyle w:val="061Tabletext628pt"/>
              <w:rPr>
                <w:sz w:val="18"/>
                <w:szCs w:val="18"/>
              </w:rPr>
            </w:pPr>
            <w:r w:rsidRPr="00820842">
              <w:rPr>
                <w:sz w:val="18"/>
                <w:szCs w:val="18"/>
                <w:u w:val="single"/>
              </w:rPr>
              <w:t xml:space="preserve">Population: </w:t>
            </w:r>
            <w:r w:rsidRPr="00820842">
              <w:rPr>
                <w:sz w:val="18"/>
                <w:szCs w:val="18"/>
              </w:rPr>
              <w:t>chronic intractable pain of the trunk and/or limbs</w:t>
            </w:r>
            <w:r w:rsidR="00CC64E3" w:rsidRPr="00820842">
              <w:rPr>
                <w:sz w:val="18"/>
                <w:szCs w:val="18"/>
              </w:rPr>
              <w:t xml:space="preserve"> (VAS ≥60)</w:t>
            </w:r>
            <w:r w:rsidRPr="00820842">
              <w:rPr>
                <w:sz w:val="18"/>
                <w:szCs w:val="18"/>
              </w:rPr>
              <w:t xml:space="preserve">, </w:t>
            </w:r>
            <w:r w:rsidR="00471A72" w:rsidRPr="00820842">
              <w:rPr>
                <w:sz w:val="18"/>
                <w:szCs w:val="18"/>
              </w:rPr>
              <w:t>failed ≥3 documented medically supervised treatments as well as treatment with ≥2 classes of medication</w:t>
            </w:r>
          </w:p>
          <w:p w14:paraId="328DCBC3" w14:textId="2D0DC65E" w:rsidR="00AC1326" w:rsidRPr="00820842" w:rsidRDefault="00AC1326">
            <w:pPr>
              <w:pStyle w:val="061Tabletext628pt"/>
              <w:rPr>
                <w:sz w:val="18"/>
                <w:szCs w:val="18"/>
              </w:rPr>
            </w:pPr>
            <w:r w:rsidRPr="00820842">
              <w:rPr>
                <w:sz w:val="18"/>
                <w:szCs w:val="18"/>
                <w:u w:val="single"/>
              </w:rPr>
              <w:t>Follow-up:</w:t>
            </w:r>
            <w:r w:rsidRPr="00820842">
              <w:rPr>
                <w:sz w:val="18"/>
                <w:szCs w:val="18"/>
              </w:rPr>
              <w:t xml:space="preserve"> </w:t>
            </w:r>
            <w:r w:rsidR="00CC64E3" w:rsidRPr="00820842">
              <w:rPr>
                <w:sz w:val="18"/>
                <w:szCs w:val="18"/>
              </w:rPr>
              <w:t xml:space="preserve">3 </w:t>
            </w:r>
            <w:proofErr w:type="spellStart"/>
            <w:r w:rsidR="00CC64E3" w:rsidRPr="00820842">
              <w:rPr>
                <w:sz w:val="18"/>
                <w:szCs w:val="18"/>
              </w:rPr>
              <w:t>mo</w:t>
            </w:r>
            <w:proofErr w:type="spellEnd"/>
            <w:r w:rsidRPr="00820842">
              <w:rPr>
                <w:sz w:val="18"/>
                <w:szCs w:val="18"/>
              </w:rPr>
              <w:t xml:space="preserve"> (</w:t>
            </w:r>
            <w:r w:rsidR="002025AD" w:rsidRPr="00820842">
              <w:rPr>
                <w:sz w:val="18"/>
                <w:szCs w:val="18"/>
              </w:rPr>
              <w:t>96</w:t>
            </w:r>
            <w:r w:rsidRPr="00820842">
              <w:rPr>
                <w:sz w:val="18"/>
                <w:szCs w:val="18"/>
              </w:rPr>
              <w:t xml:space="preserve"> patients) </w:t>
            </w:r>
          </w:p>
        </w:tc>
        <w:tc>
          <w:tcPr>
            <w:tcW w:w="1985" w:type="dxa"/>
          </w:tcPr>
          <w:p w14:paraId="04CEB3B6" w14:textId="6BCAB314" w:rsidR="00AC1326" w:rsidRPr="00820842" w:rsidRDefault="00AC1326">
            <w:pPr>
              <w:pStyle w:val="061Tabletext628pt"/>
              <w:rPr>
                <w:sz w:val="18"/>
                <w:szCs w:val="18"/>
              </w:rPr>
            </w:pPr>
            <w:r w:rsidRPr="00820842">
              <w:rPr>
                <w:sz w:val="18"/>
                <w:szCs w:val="18"/>
                <w:u w:val="single"/>
              </w:rPr>
              <w:t>Primary:</w:t>
            </w:r>
            <w:r w:rsidRPr="00820842">
              <w:rPr>
                <w:sz w:val="18"/>
                <w:szCs w:val="18"/>
              </w:rPr>
              <w:t xml:space="preserve"> </w:t>
            </w:r>
            <w:r w:rsidR="001B6F18">
              <w:rPr>
                <w:sz w:val="18"/>
                <w:szCs w:val="18"/>
              </w:rPr>
              <w:br/>
            </w:r>
            <w:r w:rsidR="004C6216" w:rsidRPr="00820842">
              <w:rPr>
                <w:sz w:val="18"/>
                <w:szCs w:val="18"/>
              </w:rPr>
              <w:t>Pain intensity (mean VAS)</w:t>
            </w:r>
          </w:p>
          <w:p w14:paraId="08D1059E" w14:textId="67985FF7" w:rsidR="00AC1326" w:rsidRPr="00DF406F" w:rsidRDefault="00AC1326">
            <w:pPr>
              <w:pStyle w:val="061Tabletext628pt"/>
              <w:rPr>
                <w:sz w:val="18"/>
                <w:szCs w:val="18"/>
                <w:u w:val="single"/>
              </w:rPr>
            </w:pPr>
            <w:r w:rsidRPr="00820842">
              <w:rPr>
                <w:sz w:val="18"/>
                <w:szCs w:val="18"/>
                <w:u w:val="single"/>
              </w:rPr>
              <w:t xml:space="preserve">Secondary: </w:t>
            </w:r>
            <w:r w:rsidR="00DF406F">
              <w:rPr>
                <w:sz w:val="18"/>
                <w:szCs w:val="18"/>
                <w:u w:val="single"/>
              </w:rPr>
              <w:br/>
            </w:r>
            <w:r w:rsidR="00874669" w:rsidRPr="00820842">
              <w:rPr>
                <w:sz w:val="18"/>
                <w:szCs w:val="18"/>
              </w:rPr>
              <w:t>Pain intensity (responders)</w:t>
            </w:r>
            <w:r w:rsidR="00DF406F">
              <w:rPr>
                <w:sz w:val="18"/>
                <w:szCs w:val="18"/>
              </w:rPr>
              <w:br/>
            </w:r>
            <w:r w:rsidRPr="00820842">
              <w:rPr>
                <w:sz w:val="18"/>
                <w:szCs w:val="18"/>
              </w:rPr>
              <w:t>ODI</w:t>
            </w:r>
            <w:r w:rsidR="00DF406F">
              <w:rPr>
                <w:sz w:val="18"/>
                <w:szCs w:val="18"/>
              </w:rPr>
              <w:br/>
            </w:r>
            <w:r w:rsidR="005B64EB">
              <w:rPr>
                <w:sz w:val="18"/>
                <w:szCs w:val="18"/>
              </w:rPr>
              <w:t>A</w:t>
            </w:r>
            <w:r w:rsidR="005B64EB" w:rsidRPr="00820842">
              <w:rPr>
                <w:sz w:val="18"/>
                <w:szCs w:val="18"/>
              </w:rPr>
              <w:t>Es</w:t>
            </w:r>
          </w:p>
        </w:tc>
        <w:tc>
          <w:tcPr>
            <w:tcW w:w="1416" w:type="dxa"/>
          </w:tcPr>
          <w:p w14:paraId="55D1303A" w14:textId="24118799" w:rsidR="00AC1326" w:rsidRPr="00820842" w:rsidRDefault="003000B0">
            <w:pPr>
              <w:pStyle w:val="061Tabletext628pt"/>
              <w:rPr>
                <w:sz w:val="18"/>
                <w:szCs w:val="18"/>
              </w:rPr>
            </w:pPr>
            <w:r w:rsidRPr="00820842">
              <w:rPr>
                <w:sz w:val="18"/>
                <w:szCs w:val="18"/>
              </w:rPr>
              <w:t>Ab</w:t>
            </w:r>
            <w:r w:rsidR="002E1541" w:rsidRPr="00820842">
              <w:rPr>
                <w:sz w:val="18"/>
                <w:szCs w:val="18"/>
              </w:rPr>
              <w:t>bott</w:t>
            </w:r>
          </w:p>
          <w:p w14:paraId="5533F2E4" w14:textId="77777777" w:rsidR="00AC1326" w:rsidRPr="00820842" w:rsidRDefault="00AC1326">
            <w:pPr>
              <w:pStyle w:val="061Tabletext628pt"/>
              <w:rPr>
                <w:sz w:val="18"/>
                <w:szCs w:val="18"/>
              </w:rPr>
            </w:pPr>
            <w:r w:rsidRPr="00820842">
              <w:rPr>
                <w:sz w:val="18"/>
                <w:szCs w:val="18"/>
              </w:rPr>
              <w:t>Yes</w:t>
            </w:r>
          </w:p>
        </w:tc>
      </w:tr>
    </w:tbl>
    <w:p w14:paraId="0A3398C7" w14:textId="041B7624" w:rsidR="00AC1326" w:rsidRDefault="007F0710" w:rsidP="00065BE9">
      <w:pPr>
        <w:pStyle w:val="111Tablefootnoteslast-nostick8pt"/>
      </w:pPr>
      <w:r>
        <w:t xml:space="preserve">Abbreviations: </w:t>
      </w:r>
      <w:r w:rsidR="005B64EB">
        <w:t>AEs</w:t>
      </w:r>
      <w:r>
        <w:t xml:space="preserve">, adverse events; </w:t>
      </w:r>
      <w:r w:rsidR="00DC2C1E">
        <w:t xml:space="preserve">ECAP, </w:t>
      </w:r>
      <w:r w:rsidR="0033283D" w:rsidRPr="0033283D">
        <w:t>evoked compound action potentials</w:t>
      </w:r>
      <w:r w:rsidR="0033283D">
        <w:t>;</w:t>
      </w:r>
      <w:r w:rsidR="0033283D" w:rsidRPr="0033283D">
        <w:t xml:space="preserve"> </w:t>
      </w:r>
      <w:r w:rsidRPr="0035221D">
        <w:t>EQ-5D-5L</w:t>
      </w:r>
      <w:r>
        <w:t>,</w:t>
      </w:r>
      <w:r w:rsidRPr="0035221D">
        <w:t xml:space="preserve"> </w:t>
      </w:r>
      <w:proofErr w:type="spellStart"/>
      <w:r w:rsidRPr="00B51CC7">
        <w:t>EuroQol</w:t>
      </w:r>
      <w:proofErr w:type="spellEnd"/>
      <w:r w:rsidRPr="00B51CC7">
        <w:t xml:space="preserve"> </w:t>
      </w:r>
      <w:r>
        <w:t>5-level version</w:t>
      </w:r>
      <w:r w:rsidR="00D52C51">
        <w:t>;</w:t>
      </w:r>
      <w:r w:rsidR="00C35ACB" w:rsidRPr="00C35ACB">
        <w:t xml:space="preserve"> </w:t>
      </w:r>
      <w:r w:rsidR="00C35ACB">
        <w:t>FBSS, failed back surgery syndrome;</w:t>
      </w:r>
      <w:r w:rsidR="00D52C51">
        <w:t xml:space="preserve"> </w:t>
      </w:r>
      <w:proofErr w:type="spellStart"/>
      <w:r w:rsidR="00A570AC">
        <w:t>mo</w:t>
      </w:r>
      <w:proofErr w:type="spellEnd"/>
      <w:r w:rsidR="00A570AC">
        <w:t xml:space="preserve">, months; </w:t>
      </w:r>
      <w:r>
        <w:t xml:space="preserve">ODI, </w:t>
      </w:r>
      <w:r w:rsidRPr="008A0B04">
        <w:t xml:space="preserve">Oswestry </w:t>
      </w:r>
      <w:r>
        <w:t>D</w:t>
      </w:r>
      <w:r w:rsidRPr="008A0B04">
        <w:t xml:space="preserve">isability </w:t>
      </w:r>
      <w:r>
        <w:t>I</w:t>
      </w:r>
      <w:r w:rsidRPr="008A0B04">
        <w:t>ndex</w:t>
      </w:r>
      <w:r w:rsidR="00AF0AB2">
        <w:t>; RCT, randomised controlled trial;</w:t>
      </w:r>
      <w:r w:rsidRPr="0051351E">
        <w:t xml:space="preserve"> </w:t>
      </w:r>
      <w:r>
        <w:t>SCS, spinal cord stimulat</w:t>
      </w:r>
      <w:r w:rsidR="00820842">
        <w:t>ion</w:t>
      </w:r>
      <w:r>
        <w:t xml:space="preserve">; SF-12, </w:t>
      </w:r>
      <w:r w:rsidRPr="00C57341">
        <w:t>12-Item Short Form Survey</w:t>
      </w:r>
      <w:r w:rsidR="000050D2">
        <w:t>;</w:t>
      </w:r>
      <w:r w:rsidR="000050D2" w:rsidRPr="000050D2">
        <w:t xml:space="preserve"> </w:t>
      </w:r>
      <w:r w:rsidR="000050D2">
        <w:t>VAS, visual analogue scale</w:t>
      </w:r>
    </w:p>
    <w:p w14:paraId="539AE75F" w14:textId="631F4582" w:rsidR="00B205F8" w:rsidRPr="00D06D09" w:rsidRDefault="004B46C1" w:rsidP="00B205F8">
      <w:pPr>
        <w:pStyle w:val="Heading5"/>
      </w:pPr>
      <w:r>
        <w:t>Findings</w:t>
      </w:r>
    </w:p>
    <w:p w14:paraId="5AF36B59" w14:textId="25E4E3BA" w:rsidR="006A5806" w:rsidRPr="006A5806" w:rsidRDefault="006A5806" w:rsidP="006A5806">
      <w:pPr>
        <w:pStyle w:val="Heading6"/>
      </w:pPr>
      <w:r>
        <w:t>Pain intensity</w:t>
      </w:r>
    </w:p>
    <w:p w14:paraId="2A3785D4" w14:textId="31AA59F6" w:rsidR="004B46C1" w:rsidRPr="004B46C1" w:rsidRDefault="004B46C1" w:rsidP="004B46C1">
      <w:pPr>
        <w:pStyle w:val="BodyText"/>
      </w:pPr>
      <w:r>
        <w:t>Only pain intensity and adverse event rates have been extracted from these trials</w:t>
      </w:r>
      <w:r w:rsidR="00B31A93">
        <w:t xml:space="preserve"> (</w:t>
      </w:r>
      <w:r w:rsidR="00B31A93">
        <w:fldChar w:fldCharType="begin"/>
      </w:r>
      <w:r w:rsidR="00B31A93">
        <w:instrText xml:space="preserve"> REF _Ref134610803 \h </w:instrText>
      </w:r>
      <w:r w:rsidR="00B31A93">
        <w:fldChar w:fldCharType="separate"/>
      </w:r>
      <w:r w:rsidR="00CE6ACA">
        <w:t xml:space="preserve">Table </w:t>
      </w:r>
      <w:r w:rsidR="00CE6ACA">
        <w:rPr>
          <w:noProof/>
        </w:rPr>
        <w:t>16</w:t>
      </w:r>
      <w:r w:rsidR="00B31A93">
        <w:fldChar w:fldCharType="end"/>
      </w:r>
      <w:r w:rsidR="00B31A93">
        <w:t>)</w:t>
      </w:r>
      <w:r>
        <w:t xml:space="preserve">. </w:t>
      </w:r>
    </w:p>
    <w:p w14:paraId="5F5040F4" w14:textId="050C7A5A" w:rsidR="00C24840" w:rsidRDefault="00C24840" w:rsidP="00C24840">
      <w:pPr>
        <w:pStyle w:val="BodyText"/>
      </w:pPr>
      <w:r>
        <w:t>The ESTIMET study (</w:t>
      </w:r>
      <w:proofErr w:type="spellStart"/>
      <w:r>
        <w:t>Rigoard</w:t>
      </w:r>
      <w:proofErr w:type="spellEnd"/>
      <w:r>
        <w:t xml:space="preserve"> 202</w:t>
      </w:r>
      <w:r w:rsidR="00C13A25">
        <w:t>1</w:t>
      </w:r>
      <w:r>
        <w:t>)</w:t>
      </w:r>
      <w:r w:rsidR="00B46616">
        <w:t>,</w:t>
      </w:r>
      <w:r>
        <w:t xml:space="preserve"> </w:t>
      </w:r>
      <w:r w:rsidR="00554CF1">
        <w:t>which compared multicolumn programming with conventional SCS</w:t>
      </w:r>
      <w:r w:rsidR="00B46616">
        <w:t>,</w:t>
      </w:r>
      <w:r w:rsidR="00554CF1">
        <w:t xml:space="preserve"> did not report any significant differences in pain outcome at </w:t>
      </w:r>
      <w:r w:rsidR="00B31A93">
        <w:t>medium</w:t>
      </w:r>
      <w:r w:rsidR="0096433C">
        <w:t>-</w:t>
      </w:r>
      <w:r w:rsidR="00B31A93">
        <w:t xml:space="preserve">term </w:t>
      </w:r>
      <w:r w:rsidR="00C00156">
        <w:t>(six month)</w:t>
      </w:r>
      <w:r w:rsidR="00B31A93">
        <w:t xml:space="preserve"> follow-up. </w:t>
      </w:r>
    </w:p>
    <w:p w14:paraId="51502577" w14:textId="1918DE66" w:rsidR="00FD2C74" w:rsidRDefault="00FD2C74" w:rsidP="00C24840">
      <w:pPr>
        <w:pStyle w:val="BodyText"/>
      </w:pPr>
      <w:r>
        <w:t>The EVOKE study (</w:t>
      </w:r>
      <w:proofErr w:type="spellStart"/>
      <w:r>
        <w:t>Mekhail</w:t>
      </w:r>
      <w:proofErr w:type="spellEnd"/>
      <w:r>
        <w:t xml:space="preserve"> </w:t>
      </w:r>
      <w:r w:rsidR="00F76B2A">
        <w:t>2020)</w:t>
      </w:r>
      <w:r w:rsidR="00B46616">
        <w:t>,</w:t>
      </w:r>
      <w:r w:rsidR="00F76B2A">
        <w:t xml:space="preserve"> which compared a closed-loop system with conventional SCS</w:t>
      </w:r>
      <w:r w:rsidR="00B46616">
        <w:t>,</w:t>
      </w:r>
      <w:r w:rsidR="00F76B2A">
        <w:t xml:space="preserve"> </w:t>
      </w:r>
      <w:r w:rsidR="00E63676">
        <w:t>report</w:t>
      </w:r>
      <w:r w:rsidR="00B46616">
        <w:t>ed</w:t>
      </w:r>
      <w:r w:rsidR="00E63676">
        <w:t xml:space="preserve"> a significant difference in favour of the closed-loop system </w:t>
      </w:r>
      <w:r w:rsidR="00272059">
        <w:t>in a responder analysis</w:t>
      </w:r>
      <w:r w:rsidR="00983CC3">
        <w:t xml:space="preserve"> at both medium and long-term follow-up</w:t>
      </w:r>
      <w:r w:rsidR="00272059">
        <w:t xml:space="preserve">. Mean change in pain </w:t>
      </w:r>
      <w:r w:rsidR="00BF6ECB">
        <w:t xml:space="preserve">intensity </w:t>
      </w:r>
      <w:r w:rsidR="004158DA">
        <w:t>also significantly favoured the closed-loop system at both medium and long-term follow-up</w:t>
      </w:r>
      <w:r w:rsidR="00B05365">
        <w:t xml:space="preserve">, with the difference </w:t>
      </w:r>
      <w:r w:rsidR="00C55AC9">
        <w:t>around the threshold for clinical significance</w:t>
      </w:r>
      <w:r w:rsidR="00272059">
        <w:t>.</w:t>
      </w:r>
      <w:r w:rsidR="00C55AC9">
        <w:t xml:space="preserve"> </w:t>
      </w:r>
      <w:r w:rsidR="001337BE">
        <w:t xml:space="preserve">The results were </w:t>
      </w:r>
      <w:r w:rsidR="00C2489A">
        <w:t>sustained at 24-month follow-up (</w:t>
      </w:r>
      <w:proofErr w:type="spellStart"/>
      <w:r w:rsidR="00C2489A">
        <w:t>Mekhail</w:t>
      </w:r>
      <w:proofErr w:type="spellEnd"/>
      <w:r w:rsidR="00C2489A">
        <w:t>, 2</w:t>
      </w:r>
      <w:r w:rsidR="00F04EF4">
        <w:t xml:space="preserve">022; not shown in </w:t>
      </w:r>
      <w:r w:rsidR="00F04EF4">
        <w:fldChar w:fldCharType="begin"/>
      </w:r>
      <w:r w:rsidR="00F04EF4">
        <w:instrText xml:space="preserve"> REF _Ref134610803 \h </w:instrText>
      </w:r>
      <w:r w:rsidR="00F04EF4">
        <w:fldChar w:fldCharType="separate"/>
      </w:r>
      <w:r w:rsidR="00CE6ACA">
        <w:t xml:space="preserve">Table </w:t>
      </w:r>
      <w:r w:rsidR="00CE6ACA">
        <w:rPr>
          <w:noProof/>
        </w:rPr>
        <w:t>16</w:t>
      </w:r>
      <w:r w:rsidR="00F04EF4">
        <w:fldChar w:fldCharType="end"/>
      </w:r>
      <w:r w:rsidR="00F04EF4">
        <w:t>).</w:t>
      </w:r>
      <w:r w:rsidR="00272059">
        <w:t xml:space="preserve"> </w:t>
      </w:r>
    </w:p>
    <w:p w14:paraId="43356ABD" w14:textId="4ABE79DB" w:rsidR="00056A7A" w:rsidRDefault="00056A7A" w:rsidP="00C24840">
      <w:pPr>
        <w:pStyle w:val="BodyText"/>
      </w:pPr>
      <w:r>
        <w:t>Fishman (20</w:t>
      </w:r>
      <w:r w:rsidR="00E544F3">
        <w:t>21</w:t>
      </w:r>
      <w:r>
        <w:t xml:space="preserve">) compared </w:t>
      </w:r>
      <w:r w:rsidR="00541958">
        <w:t xml:space="preserve">differential targeted multiplex SCS with conventional SCS. </w:t>
      </w:r>
      <w:r w:rsidR="001A2AD9">
        <w:t xml:space="preserve">A statistically significant difference in favour of the intervention was reported in </w:t>
      </w:r>
      <w:r w:rsidR="006D1629">
        <w:t>responder analysis for back pain at medium and long-term follow-up</w:t>
      </w:r>
      <w:r w:rsidR="00F22864">
        <w:t>. For leg pain</w:t>
      </w:r>
      <w:r w:rsidR="00FF3872">
        <w:t>,</w:t>
      </w:r>
      <w:r w:rsidR="00F22864">
        <w:t xml:space="preserve"> the statistical significance was not reported and the difference between </w:t>
      </w:r>
      <w:r w:rsidR="00FF3872">
        <w:t>groups</w:t>
      </w:r>
      <w:r w:rsidR="00F22864">
        <w:t xml:space="preserve"> was less. </w:t>
      </w:r>
      <w:r w:rsidR="00D70EDD">
        <w:t>M</w:t>
      </w:r>
      <w:r w:rsidR="00E33BA3">
        <w:t>ean change was no</w:t>
      </w:r>
      <w:r w:rsidR="00C32550">
        <w:t>n</w:t>
      </w:r>
      <w:r w:rsidR="002B725D">
        <w:t>-</w:t>
      </w:r>
      <w:r w:rsidR="00E33BA3">
        <w:t>inferior for back pain at medium</w:t>
      </w:r>
      <w:r w:rsidR="0096433C">
        <w:t>-</w:t>
      </w:r>
      <w:r w:rsidR="00E33BA3">
        <w:t>term follow-up</w:t>
      </w:r>
      <w:r w:rsidR="00C32550">
        <w:t xml:space="preserve">, </w:t>
      </w:r>
      <w:r w:rsidR="00D70EDD">
        <w:t>with a similar difference at long-term follow-up. The mean difference was less for leg pain</w:t>
      </w:r>
      <w:r w:rsidR="002B725D">
        <w:t>.</w:t>
      </w:r>
    </w:p>
    <w:p w14:paraId="40ED0DA2" w14:textId="213A20C0" w:rsidR="002B725D" w:rsidRDefault="002B725D" w:rsidP="00C24840">
      <w:pPr>
        <w:pStyle w:val="BodyText"/>
      </w:pPr>
      <w:r>
        <w:t>SUNBURST (Deer</w:t>
      </w:r>
      <w:r w:rsidR="00E544F3">
        <w:t xml:space="preserve"> </w:t>
      </w:r>
      <w:r>
        <w:t>201</w:t>
      </w:r>
      <w:r w:rsidR="00E544F3">
        <w:t>8</w:t>
      </w:r>
      <w:r>
        <w:t>) compared burst SCS with conventional SCS</w:t>
      </w:r>
      <w:r w:rsidR="008F3A74">
        <w:t xml:space="preserve">. </w:t>
      </w:r>
      <w:r w:rsidR="00A9683B">
        <w:t>A</w:t>
      </w:r>
      <w:r w:rsidR="008F3A74">
        <w:t xml:space="preserve"> responder analysis </w:t>
      </w:r>
      <w:r w:rsidR="00977ADF">
        <w:t>(</w:t>
      </w:r>
      <w:r w:rsidR="000E5B84">
        <w:t>defined as</w:t>
      </w:r>
      <w:r w:rsidR="008F3A74">
        <w:t xml:space="preserve"> </w:t>
      </w:r>
      <w:r w:rsidR="008F3A74">
        <w:rPr>
          <w:rFonts w:cs="Calibri"/>
        </w:rPr>
        <w:t>≥</w:t>
      </w:r>
      <w:r w:rsidR="008F3A74">
        <w:t>30</w:t>
      </w:r>
      <w:r w:rsidR="00A62C24">
        <w:t>%</w:t>
      </w:r>
      <w:r w:rsidR="008F3A74">
        <w:t xml:space="preserve"> pain relief</w:t>
      </w:r>
      <w:r w:rsidR="00977ADF">
        <w:t>)</w:t>
      </w:r>
      <w:r w:rsidR="008F3A74">
        <w:t xml:space="preserve"> </w:t>
      </w:r>
      <w:r w:rsidR="00A9683B">
        <w:t xml:space="preserve">was </w:t>
      </w:r>
      <w:r w:rsidR="000E5B84">
        <w:t>undertaken, but</w:t>
      </w:r>
      <w:r w:rsidR="000B072C">
        <w:t xml:space="preserve"> mean pain intensity values</w:t>
      </w:r>
      <w:r w:rsidR="000E5B84">
        <w:t xml:space="preserve"> were not reported</w:t>
      </w:r>
      <w:r w:rsidR="000B072C">
        <w:t xml:space="preserve">. The mean difference between arms at medium-term follow-up was </w:t>
      </w:r>
      <w:r w:rsidR="00A4314F">
        <w:t>statistically significant</w:t>
      </w:r>
      <w:r w:rsidR="00B7157B">
        <w:t xml:space="preserve">, although the values were similar to those reported by ESTIMET and do not meet criteria for </w:t>
      </w:r>
      <w:r w:rsidR="00704B3B">
        <w:t>clinical significance (O’Connell 2021).</w:t>
      </w:r>
    </w:p>
    <w:p w14:paraId="36184009" w14:textId="4C01D3B0" w:rsidR="00AE73EA" w:rsidRDefault="00AE73EA" w:rsidP="00C24840">
      <w:pPr>
        <w:pStyle w:val="BodyText"/>
      </w:pPr>
      <w:r>
        <w:t>All studies demonstrated significant improvements in both arms from baseline to follow-up in pain outcomes</w:t>
      </w:r>
      <w:r w:rsidR="0018258D">
        <w:t xml:space="preserve">. Although ESTIMET and EVOKE were blinded with respect to </w:t>
      </w:r>
      <w:r w:rsidR="00F9356E">
        <w:t xml:space="preserve">the type of SCS, </w:t>
      </w:r>
      <w:r w:rsidR="005C5EBA">
        <w:t>the study is unblinded with respect to SCS treatment itself</w:t>
      </w:r>
      <w:r w:rsidR="00315B06">
        <w:t>.</w:t>
      </w:r>
    </w:p>
    <w:p w14:paraId="6719C9E7" w14:textId="213AAA2F" w:rsidR="00140D3C" w:rsidRDefault="00140D3C" w:rsidP="00140D3C">
      <w:pPr>
        <w:pStyle w:val="Heading6"/>
      </w:pPr>
      <w:r>
        <w:t>Adverse events</w:t>
      </w:r>
    </w:p>
    <w:p w14:paraId="2E889E70" w14:textId="547D50AA" w:rsidR="00140D3C" w:rsidRPr="00140D3C" w:rsidRDefault="00AC5910" w:rsidP="00140D3C">
      <w:pPr>
        <w:pStyle w:val="BodyText"/>
      </w:pPr>
      <w:r>
        <w:t xml:space="preserve">AEs </w:t>
      </w:r>
      <w:r w:rsidR="00FA1548">
        <w:t xml:space="preserve">were often pooled across </w:t>
      </w:r>
      <w:r w:rsidR="00A5701A">
        <w:t xml:space="preserve">study </w:t>
      </w:r>
      <w:r w:rsidR="00FA1548">
        <w:t xml:space="preserve">arms. In those </w:t>
      </w:r>
      <w:r w:rsidR="005E3B87">
        <w:t xml:space="preserve">that </w:t>
      </w:r>
      <w:r w:rsidR="00FA1548">
        <w:t>report</w:t>
      </w:r>
      <w:r w:rsidR="0049038C">
        <w:t>ed</w:t>
      </w:r>
      <w:r w:rsidR="00FA1548">
        <w:t xml:space="preserve"> </w:t>
      </w:r>
      <w:r w:rsidR="00A5701A">
        <w:t xml:space="preserve">device-related </w:t>
      </w:r>
      <w:r>
        <w:t xml:space="preserve">AEs </w:t>
      </w:r>
      <w:r w:rsidR="00A5701A">
        <w:t>by trial arm</w:t>
      </w:r>
      <w:r w:rsidR="0049038C">
        <w:t>,</w:t>
      </w:r>
      <w:r w:rsidR="00807E72">
        <w:t xml:space="preserve"> rates were similar</w:t>
      </w:r>
      <w:r w:rsidR="00691E4E">
        <w:t xml:space="preserve">. </w:t>
      </w:r>
    </w:p>
    <w:p w14:paraId="7D603755" w14:textId="60B3DC18" w:rsidR="00C74378" w:rsidRDefault="00C74378" w:rsidP="00C74378">
      <w:pPr>
        <w:pStyle w:val="Caption"/>
      </w:pPr>
      <w:bookmarkStart w:id="90" w:name="_Ref134610803"/>
      <w:r>
        <w:lastRenderedPageBreak/>
        <w:t xml:space="preserve">Table </w:t>
      </w:r>
      <w:r>
        <w:fldChar w:fldCharType="begin"/>
      </w:r>
      <w:r>
        <w:instrText>SEQ Table \* ARABIC</w:instrText>
      </w:r>
      <w:r>
        <w:fldChar w:fldCharType="separate"/>
      </w:r>
      <w:r w:rsidR="00CE6ACA">
        <w:rPr>
          <w:noProof/>
        </w:rPr>
        <w:t>16</w:t>
      </w:r>
      <w:r>
        <w:fldChar w:fldCharType="end"/>
      </w:r>
      <w:bookmarkEnd w:id="90"/>
      <w:r>
        <w:tab/>
      </w:r>
      <w:r w:rsidR="009824F1">
        <w:t>Outcomes of RCTs comparing alternative SCS approaches to conventional SCS</w:t>
      </w:r>
    </w:p>
    <w:tbl>
      <w:tblPr>
        <w:tblStyle w:val="TableGrid"/>
        <w:tblW w:w="5000" w:type="pct"/>
        <w:tblLook w:val="04A0" w:firstRow="1" w:lastRow="0" w:firstColumn="1" w:lastColumn="0" w:noHBand="0" w:noVBand="1"/>
        <w:tblCaption w:val="Outcomes of RCTs comparing alternative SCS approaches to conventional SCS"/>
        <w:tblDescription w:val="Table showing the outcomes at medium term and long term of RCTs comparing alternative SCS approaches to conventional SCS."/>
      </w:tblPr>
      <w:tblGrid>
        <w:gridCol w:w="1664"/>
        <w:gridCol w:w="607"/>
        <w:gridCol w:w="281"/>
        <w:gridCol w:w="143"/>
        <w:gridCol w:w="93"/>
        <w:gridCol w:w="1852"/>
        <w:gridCol w:w="1901"/>
        <w:gridCol w:w="1829"/>
        <w:gridCol w:w="1268"/>
      </w:tblGrid>
      <w:tr w:rsidR="00E2445A" w:rsidRPr="00652991" w14:paraId="31A57D7C" w14:textId="77777777" w:rsidTr="00931357">
        <w:trPr>
          <w:cnfStyle w:val="100000000000" w:firstRow="1" w:lastRow="0" w:firstColumn="0" w:lastColumn="0" w:oddVBand="0" w:evenVBand="0" w:oddHBand="0" w:evenHBand="0" w:firstRowFirstColumn="0" w:firstRowLastColumn="0" w:lastRowFirstColumn="0" w:lastRowLastColumn="0"/>
        </w:trPr>
        <w:tc>
          <w:tcPr>
            <w:tcW w:w="863" w:type="pct"/>
          </w:tcPr>
          <w:p w14:paraId="31FB1D22" w14:textId="77777777" w:rsidR="00E2445A" w:rsidRPr="00652991" w:rsidRDefault="00E2445A" w:rsidP="0094031F">
            <w:pPr>
              <w:pStyle w:val="011TableHeading8pt"/>
              <w:rPr>
                <w:sz w:val="18"/>
                <w:szCs w:val="18"/>
              </w:rPr>
            </w:pPr>
            <w:r w:rsidRPr="00652991">
              <w:rPr>
                <w:sz w:val="18"/>
                <w:szCs w:val="18"/>
              </w:rPr>
              <w:t>Outcome</w:t>
            </w:r>
          </w:p>
        </w:tc>
        <w:tc>
          <w:tcPr>
            <w:tcW w:w="535" w:type="pct"/>
            <w:gridSpan w:val="3"/>
          </w:tcPr>
          <w:p w14:paraId="099977E6" w14:textId="6CCD5F73" w:rsidR="00E2445A" w:rsidRPr="00652991" w:rsidRDefault="00E2445A" w:rsidP="0094031F">
            <w:pPr>
              <w:pStyle w:val="011TableHeading8pt"/>
              <w:rPr>
                <w:sz w:val="18"/>
                <w:szCs w:val="18"/>
              </w:rPr>
            </w:pPr>
            <w:r w:rsidRPr="00652991">
              <w:rPr>
                <w:sz w:val="18"/>
                <w:szCs w:val="18"/>
              </w:rPr>
              <w:t>Study</w:t>
            </w:r>
            <w:r w:rsidR="00850F3B">
              <w:rPr>
                <w:sz w:val="18"/>
                <w:szCs w:val="18"/>
              </w:rPr>
              <w:t xml:space="preserve"> ID</w:t>
            </w:r>
          </w:p>
        </w:tc>
        <w:tc>
          <w:tcPr>
            <w:tcW w:w="1009" w:type="pct"/>
            <w:gridSpan w:val="2"/>
          </w:tcPr>
          <w:p w14:paraId="5F995E29" w14:textId="0C5432DB" w:rsidR="00E2445A" w:rsidRPr="00652991" w:rsidRDefault="00555128" w:rsidP="0094031F">
            <w:pPr>
              <w:pStyle w:val="011TableHeading8pt"/>
              <w:rPr>
                <w:sz w:val="18"/>
                <w:szCs w:val="18"/>
              </w:rPr>
            </w:pPr>
            <w:r w:rsidRPr="00652991">
              <w:rPr>
                <w:sz w:val="18"/>
                <w:szCs w:val="18"/>
              </w:rPr>
              <w:t>Intervention</w:t>
            </w:r>
          </w:p>
        </w:tc>
        <w:tc>
          <w:tcPr>
            <w:tcW w:w="986" w:type="pct"/>
          </w:tcPr>
          <w:p w14:paraId="19BE4029" w14:textId="4E9360B0" w:rsidR="00E2445A" w:rsidRPr="00652991" w:rsidRDefault="00E2445A" w:rsidP="0094031F">
            <w:pPr>
              <w:pStyle w:val="011TableHeading8pt"/>
              <w:rPr>
                <w:sz w:val="18"/>
                <w:szCs w:val="18"/>
              </w:rPr>
            </w:pPr>
            <w:r w:rsidRPr="00652991">
              <w:rPr>
                <w:sz w:val="18"/>
                <w:szCs w:val="18"/>
              </w:rPr>
              <w:t>Conventional SCS</w:t>
            </w:r>
          </w:p>
        </w:tc>
        <w:tc>
          <w:tcPr>
            <w:tcW w:w="949" w:type="pct"/>
          </w:tcPr>
          <w:p w14:paraId="32B022A3" w14:textId="77777777" w:rsidR="00E2445A" w:rsidRPr="00652991" w:rsidRDefault="00E2445A" w:rsidP="0094031F">
            <w:pPr>
              <w:pStyle w:val="011TableHeading8pt"/>
              <w:rPr>
                <w:sz w:val="18"/>
                <w:szCs w:val="18"/>
              </w:rPr>
            </w:pPr>
            <w:r w:rsidRPr="00652991">
              <w:rPr>
                <w:sz w:val="18"/>
                <w:szCs w:val="18"/>
              </w:rPr>
              <w:t>Summary</w:t>
            </w:r>
          </w:p>
        </w:tc>
        <w:tc>
          <w:tcPr>
            <w:tcW w:w="658" w:type="pct"/>
          </w:tcPr>
          <w:p w14:paraId="2A2D9478" w14:textId="77777777" w:rsidR="00E2445A" w:rsidRPr="00652991" w:rsidRDefault="00E2445A" w:rsidP="0094031F">
            <w:pPr>
              <w:pStyle w:val="011TableHeading8pt"/>
              <w:rPr>
                <w:sz w:val="18"/>
                <w:szCs w:val="18"/>
              </w:rPr>
            </w:pPr>
            <w:r w:rsidRPr="00652991">
              <w:rPr>
                <w:sz w:val="18"/>
                <w:szCs w:val="18"/>
              </w:rPr>
              <w:t>Statistical significance</w:t>
            </w:r>
          </w:p>
        </w:tc>
      </w:tr>
      <w:tr w:rsidR="00E2445A" w:rsidRPr="00652991" w14:paraId="278AF024" w14:textId="77777777" w:rsidTr="00931357">
        <w:tc>
          <w:tcPr>
            <w:tcW w:w="1324" w:type="pct"/>
            <w:gridSpan w:val="3"/>
            <w:shd w:val="clear" w:color="auto" w:fill="F2F2F2" w:themeFill="background1" w:themeFillShade="F2"/>
          </w:tcPr>
          <w:p w14:paraId="34CBD93C" w14:textId="05FCE96B" w:rsidR="00E2445A" w:rsidRPr="00652991" w:rsidRDefault="00E2445A" w:rsidP="0094031F">
            <w:pPr>
              <w:pStyle w:val="031Tablesubheading8pt"/>
              <w:rPr>
                <w:sz w:val="18"/>
                <w:szCs w:val="18"/>
              </w:rPr>
            </w:pPr>
            <w:r w:rsidRPr="00652991">
              <w:rPr>
                <w:sz w:val="18"/>
                <w:szCs w:val="18"/>
              </w:rPr>
              <w:t>Medium term (</w:t>
            </w:r>
            <w:r w:rsidR="007D0C2D" w:rsidRPr="00652991">
              <w:rPr>
                <w:rFonts w:cs="Calibri"/>
                <w:sz w:val="18"/>
                <w:szCs w:val="18"/>
              </w:rPr>
              <w:t>≥</w:t>
            </w:r>
            <w:r w:rsidR="007D0C2D" w:rsidRPr="00652991">
              <w:rPr>
                <w:sz w:val="18"/>
                <w:szCs w:val="18"/>
              </w:rPr>
              <w:t>3</w:t>
            </w:r>
            <w:r w:rsidRPr="00652991">
              <w:rPr>
                <w:sz w:val="18"/>
                <w:szCs w:val="18"/>
              </w:rPr>
              <w:t xml:space="preserve"> months)</w:t>
            </w:r>
          </w:p>
        </w:tc>
        <w:tc>
          <w:tcPr>
            <w:tcW w:w="122" w:type="pct"/>
            <w:gridSpan w:val="2"/>
            <w:shd w:val="clear" w:color="auto" w:fill="F2F2F2" w:themeFill="background1" w:themeFillShade="F2"/>
          </w:tcPr>
          <w:p w14:paraId="0B59AED0" w14:textId="77777777" w:rsidR="00E2445A" w:rsidRPr="00652991" w:rsidRDefault="00E2445A" w:rsidP="0094031F">
            <w:pPr>
              <w:pStyle w:val="031Tablesubheading8pt"/>
              <w:rPr>
                <w:sz w:val="18"/>
                <w:szCs w:val="18"/>
              </w:rPr>
            </w:pPr>
          </w:p>
        </w:tc>
        <w:tc>
          <w:tcPr>
            <w:tcW w:w="961" w:type="pct"/>
            <w:shd w:val="clear" w:color="auto" w:fill="F2F2F2" w:themeFill="background1" w:themeFillShade="F2"/>
          </w:tcPr>
          <w:p w14:paraId="0A941724" w14:textId="77777777" w:rsidR="00E2445A" w:rsidRPr="00652991" w:rsidRDefault="00E2445A" w:rsidP="0094031F">
            <w:pPr>
              <w:pStyle w:val="031Tablesubheading8pt"/>
              <w:rPr>
                <w:sz w:val="18"/>
                <w:szCs w:val="18"/>
              </w:rPr>
            </w:pPr>
          </w:p>
        </w:tc>
        <w:tc>
          <w:tcPr>
            <w:tcW w:w="986" w:type="pct"/>
            <w:shd w:val="clear" w:color="auto" w:fill="F2F2F2" w:themeFill="background1" w:themeFillShade="F2"/>
          </w:tcPr>
          <w:p w14:paraId="6E486EAE" w14:textId="77777777" w:rsidR="00E2445A" w:rsidRPr="00652991" w:rsidRDefault="00E2445A" w:rsidP="0094031F">
            <w:pPr>
              <w:pStyle w:val="031Tablesubheading8pt"/>
              <w:rPr>
                <w:sz w:val="18"/>
                <w:szCs w:val="18"/>
              </w:rPr>
            </w:pPr>
          </w:p>
        </w:tc>
        <w:tc>
          <w:tcPr>
            <w:tcW w:w="949" w:type="pct"/>
            <w:shd w:val="clear" w:color="auto" w:fill="F2F2F2" w:themeFill="background1" w:themeFillShade="F2"/>
          </w:tcPr>
          <w:p w14:paraId="6BCB08A9" w14:textId="77777777" w:rsidR="00E2445A" w:rsidRPr="00652991" w:rsidRDefault="00E2445A" w:rsidP="0094031F">
            <w:pPr>
              <w:pStyle w:val="031Tablesubheading8pt"/>
              <w:rPr>
                <w:sz w:val="18"/>
                <w:szCs w:val="18"/>
              </w:rPr>
            </w:pPr>
          </w:p>
        </w:tc>
        <w:tc>
          <w:tcPr>
            <w:tcW w:w="658" w:type="pct"/>
            <w:shd w:val="clear" w:color="auto" w:fill="F2F2F2" w:themeFill="background1" w:themeFillShade="F2"/>
          </w:tcPr>
          <w:p w14:paraId="67183A8C" w14:textId="77777777" w:rsidR="00E2445A" w:rsidRPr="00652991" w:rsidRDefault="00E2445A" w:rsidP="0094031F">
            <w:pPr>
              <w:pStyle w:val="031Tablesubheading8pt"/>
              <w:rPr>
                <w:sz w:val="18"/>
                <w:szCs w:val="18"/>
              </w:rPr>
            </w:pPr>
          </w:p>
        </w:tc>
      </w:tr>
      <w:tr w:rsidR="00E2445A" w:rsidRPr="00652991" w14:paraId="04B555AF" w14:textId="77777777" w:rsidTr="00182437">
        <w:tc>
          <w:tcPr>
            <w:tcW w:w="0" w:type="pct"/>
            <w:tcBorders>
              <w:bottom w:val="nil"/>
            </w:tcBorders>
          </w:tcPr>
          <w:p w14:paraId="182B6268" w14:textId="75A1AE8A" w:rsidR="00E2445A" w:rsidRPr="00652991" w:rsidRDefault="00E2445A" w:rsidP="0094031F">
            <w:pPr>
              <w:pStyle w:val="051Tabletext228pt"/>
              <w:rPr>
                <w:sz w:val="18"/>
                <w:szCs w:val="18"/>
              </w:rPr>
            </w:pPr>
            <w:r w:rsidRPr="00652991">
              <w:rPr>
                <w:sz w:val="18"/>
                <w:szCs w:val="18"/>
              </w:rPr>
              <w:t>Pain intensity (mean change baseline to follow-up)</w:t>
            </w:r>
            <w:r w:rsidR="00CD47DC" w:rsidRPr="00652991">
              <w:rPr>
                <w:sz w:val="18"/>
                <w:szCs w:val="18"/>
                <w:vertAlign w:val="superscript"/>
              </w:rPr>
              <w:t>a</w:t>
            </w:r>
          </w:p>
        </w:tc>
        <w:tc>
          <w:tcPr>
            <w:tcW w:w="0" w:type="pct"/>
            <w:gridSpan w:val="3"/>
            <w:tcBorders>
              <w:bottom w:val="dotted" w:sz="4" w:space="0" w:color="auto"/>
            </w:tcBorders>
          </w:tcPr>
          <w:p w14:paraId="536AF4A4" w14:textId="52C7E3B7" w:rsidR="00E2445A" w:rsidRPr="00652991" w:rsidRDefault="00C53C5C" w:rsidP="0094031F">
            <w:pPr>
              <w:pStyle w:val="051Tabletext228pt"/>
              <w:rPr>
                <w:sz w:val="18"/>
                <w:szCs w:val="18"/>
              </w:rPr>
            </w:pPr>
            <w:r w:rsidRPr="00652991">
              <w:rPr>
                <w:sz w:val="18"/>
                <w:szCs w:val="18"/>
              </w:rPr>
              <w:t>ESTIMET</w:t>
            </w:r>
          </w:p>
        </w:tc>
        <w:tc>
          <w:tcPr>
            <w:tcW w:w="0" w:type="pct"/>
            <w:gridSpan w:val="2"/>
            <w:tcBorders>
              <w:bottom w:val="dotted" w:sz="4" w:space="0" w:color="auto"/>
            </w:tcBorders>
          </w:tcPr>
          <w:p w14:paraId="49380EA5" w14:textId="12E394FD" w:rsidR="00E2445A" w:rsidRPr="00652991" w:rsidRDefault="003D1320" w:rsidP="0094031F">
            <w:pPr>
              <w:pStyle w:val="051Tabletext228pt"/>
              <w:rPr>
                <w:rFonts w:eastAsia="Calibri"/>
                <w:sz w:val="18"/>
                <w:szCs w:val="18"/>
              </w:rPr>
            </w:pPr>
            <w:r w:rsidRPr="00652991">
              <w:rPr>
                <w:rFonts w:eastAsia="Calibri"/>
                <w:sz w:val="18"/>
                <w:szCs w:val="18"/>
              </w:rPr>
              <w:t xml:space="preserve">31.7 </w:t>
            </w:r>
            <w:r w:rsidR="00B47850" w:rsidRPr="00652991">
              <w:rPr>
                <w:rFonts w:eastAsia="Calibri"/>
                <w:sz w:val="18"/>
                <w:szCs w:val="18"/>
              </w:rPr>
              <w:t>(</w:t>
            </w:r>
            <w:r w:rsidR="00780201" w:rsidRPr="00652991">
              <w:rPr>
                <w:rFonts w:ascii="AdvPSAED5" w:eastAsia="Calibri" w:hAnsi="AdvPSAED5" w:cs="AdvPSAED5"/>
                <w:sz w:val="18"/>
                <w:szCs w:val="18"/>
                <w:lang w:eastAsia="en-AU"/>
              </w:rPr>
              <w:t xml:space="preserve">95% CI: </w:t>
            </w:r>
            <w:r w:rsidRPr="00652991">
              <w:rPr>
                <w:rFonts w:eastAsia="Calibri"/>
                <w:sz w:val="18"/>
                <w:szCs w:val="18"/>
              </w:rPr>
              <w:t>23.2</w:t>
            </w:r>
            <w:r w:rsidR="00E83D18" w:rsidRPr="00652991">
              <w:rPr>
                <w:rFonts w:eastAsia="Calibri"/>
                <w:sz w:val="18"/>
                <w:szCs w:val="18"/>
              </w:rPr>
              <w:t xml:space="preserve"> to</w:t>
            </w:r>
            <w:r w:rsidRPr="00652991">
              <w:rPr>
                <w:rFonts w:eastAsia="Calibri"/>
                <w:sz w:val="18"/>
                <w:szCs w:val="18"/>
              </w:rPr>
              <w:t xml:space="preserve"> 40.3</w:t>
            </w:r>
            <w:r w:rsidR="00B47850" w:rsidRPr="00652991">
              <w:rPr>
                <w:rFonts w:eastAsia="Calibri"/>
                <w:sz w:val="18"/>
                <w:szCs w:val="18"/>
              </w:rPr>
              <w:t>)</w:t>
            </w:r>
            <w:r w:rsidRPr="00652991">
              <w:rPr>
                <w:rFonts w:eastAsia="Calibri"/>
                <w:sz w:val="18"/>
                <w:szCs w:val="18"/>
              </w:rPr>
              <w:t xml:space="preserve"> </w:t>
            </w:r>
            <w:r w:rsidR="00E2445A" w:rsidRPr="00652991">
              <w:rPr>
                <w:rFonts w:eastAsia="Calibri"/>
                <w:sz w:val="18"/>
                <w:szCs w:val="18"/>
              </w:rPr>
              <w:t>(back)</w:t>
            </w:r>
          </w:p>
          <w:p w14:paraId="0696AC55" w14:textId="39E0F8FD" w:rsidR="00E2445A" w:rsidRPr="00652991" w:rsidRDefault="00F22049" w:rsidP="0094031F">
            <w:pPr>
              <w:pStyle w:val="051Tabletext228pt"/>
              <w:rPr>
                <w:sz w:val="18"/>
                <w:szCs w:val="18"/>
              </w:rPr>
            </w:pPr>
            <w:r w:rsidRPr="00652991">
              <w:rPr>
                <w:sz w:val="18"/>
                <w:szCs w:val="18"/>
              </w:rPr>
              <w:t xml:space="preserve">49.2 </w:t>
            </w:r>
            <w:r w:rsidR="00B47850" w:rsidRPr="00652991">
              <w:rPr>
                <w:sz w:val="18"/>
                <w:szCs w:val="18"/>
              </w:rPr>
              <w:t>(</w:t>
            </w:r>
            <w:r w:rsidR="00780201" w:rsidRPr="00652991">
              <w:rPr>
                <w:rFonts w:ascii="AdvPSAED5" w:eastAsia="Calibri" w:hAnsi="AdvPSAED5" w:cs="AdvPSAED5"/>
                <w:sz w:val="18"/>
                <w:szCs w:val="18"/>
                <w:lang w:eastAsia="en-AU"/>
              </w:rPr>
              <w:t xml:space="preserve">95% CI: </w:t>
            </w:r>
            <w:r w:rsidRPr="00652991">
              <w:rPr>
                <w:sz w:val="18"/>
                <w:szCs w:val="18"/>
              </w:rPr>
              <w:t>41.7</w:t>
            </w:r>
            <w:r w:rsidR="00E83D18" w:rsidRPr="00652991">
              <w:rPr>
                <w:sz w:val="18"/>
                <w:szCs w:val="18"/>
              </w:rPr>
              <w:t xml:space="preserve"> to</w:t>
            </w:r>
            <w:r w:rsidRPr="00652991">
              <w:rPr>
                <w:sz w:val="18"/>
                <w:szCs w:val="18"/>
              </w:rPr>
              <w:t xml:space="preserve"> 56.6</w:t>
            </w:r>
            <w:r w:rsidR="00B47850" w:rsidRPr="00652991">
              <w:rPr>
                <w:sz w:val="18"/>
                <w:szCs w:val="18"/>
              </w:rPr>
              <w:t>)</w:t>
            </w:r>
            <w:r w:rsidR="00E2445A" w:rsidRPr="00652991">
              <w:rPr>
                <w:sz w:val="18"/>
                <w:szCs w:val="18"/>
              </w:rPr>
              <w:t xml:space="preserve"> (leg)</w:t>
            </w:r>
          </w:p>
        </w:tc>
        <w:tc>
          <w:tcPr>
            <w:tcW w:w="0" w:type="pct"/>
            <w:tcBorders>
              <w:bottom w:val="dotted" w:sz="4" w:space="0" w:color="auto"/>
            </w:tcBorders>
          </w:tcPr>
          <w:p w14:paraId="5D5DEAEE" w14:textId="13049718" w:rsidR="00E2445A" w:rsidRPr="00652991" w:rsidRDefault="002A168A" w:rsidP="0094031F">
            <w:pPr>
              <w:pStyle w:val="051Tabletext228pt"/>
              <w:rPr>
                <w:sz w:val="18"/>
                <w:szCs w:val="18"/>
              </w:rPr>
            </w:pPr>
            <w:r w:rsidRPr="00652991">
              <w:rPr>
                <w:sz w:val="18"/>
                <w:szCs w:val="18"/>
              </w:rPr>
              <w:t xml:space="preserve">26.2 </w:t>
            </w:r>
            <w:r w:rsidR="00B47850" w:rsidRPr="00652991">
              <w:rPr>
                <w:sz w:val="18"/>
                <w:szCs w:val="18"/>
              </w:rPr>
              <w:t>(</w:t>
            </w:r>
            <w:r w:rsidR="00780201" w:rsidRPr="00652991">
              <w:rPr>
                <w:rFonts w:ascii="AdvPSAED5" w:eastAsia="Calibri" w:hAnsi="AdvPSAED5" w:cs="AdvPSAED5"/>
                <w:sz w:val="18"/>
                <w:szCs w:val="18"/>
                <w:lang w:eastAsia="en-AU"/>
              </w:rPr>
              <w:t xml:space="preserve">95% CI: </w:t>
            </w:r>
            <w:r w:rsidRPr="00652991">
              <w:rPr>
                <w:sz w:val="18"/>
                <w:szCs w:val="18"/>
              </w:rPr>
              <w:t>17.9</w:t>
            </w:r>
            <w:r w:rsidR="00E83D18" w:rsidRPr="00652991">
              <w:rPr>
                <w:sz w:val="18"/>
                <w:szCs w:val="18"/>
              </w:rPr>
              <w:t xml:space="preserve"> to</w:t>
            </w:r>
            <w:r w:rsidRPr="00652991">
              <w:rPr>
                <w:sz w:val="18"/>
                <w:szCs w:val="18"/>
              </w:rPr>
              <w:t xml:space="preserve"> 34.5</w:t>
            </w:r>
            <w:r w:rsidR="00B47850" w:rsidRPr="00652991">
              <w:rPr>
                <w:sz w:val="18"/>
                <w:szCs w:val="18"/>
              </w:rPr>
              <w:t>)</w:t>
            </w:r>
            <w:r w:rsidRPr="00652991">
              <w:rPr>
                <w:sz w:val="18"/>
                <w:szCs w:val="18"/>
              </w:rPr>
              <w:t xml:space="preserve"> </w:t>
            </w:r>
            <w:r w:rsidR="00E2445A" w:rsidRPr="00652991">
              <w:rPr>
                <w:sz w:val="18"/>
                <w:szCs w:val="18"/>
              </w:rPr>
              <w:t>(back)</w:t>
            </w:r>
          </w:p>
          <w:p w14:paraId="770A932F" w14:textId="51FE3EA6" w:rsidR="00E2445A" w:rsidRPr="00652991" w:rsidRDefault="00F22049" w:rsidP="0094031F">
            <w:pPr>
              <w:pStyle w:val="051Tabletext228pt"/>
              <w:rPr>
                <w:sz w:val="18"/>
                <w:szCs w:val="18"/>
              </w:rPr>
            </w:pPr>
            <w:r w:rsidRPr="00652991">
              <w:rPr>
                <w:sz w:val="18"/>
                <w:szCs w:val="18"/>
              </w:rPr>
              <w:t xml:space="preserve">44.0 </w:t>
            </w:r>
            <w:r w:rsidR="00B47850" w:rsidRPr="00652991">
              <w:rPr>
                <w:sz w:val="18"/>
                <w:szCs w:val="18"/>
              </w:rPr>
              <w:t>(</w:t>
            </w:r>
            <w:r w:rsidR="00780201" w:rsidRPr="00652991">
              <w:rPr>
                <w:rFonts w:ascii="AdvPSAED5" w:eastAsia="Calibri" w:hAnsi="AdvPSAED5" w:cs="AdvPSAED5"/>
                <w:sz w:val="18"/>
                <w:szCs w:val="18"/>
                <w:lang w:eastAsia="en-AU"/>
              </w:rPr>
              <w:t xml:space="preserve">95% CI: </w:t>
            </w:r>
            <w:r w:rsidRPr="00652991">
              <w:rPr>
                <w:sz w:val="18"/>
                <w:szCs w:val="18"/>
              </w:rPr>
              <w:t>35.6</w:t>
            </w:r>
            <w:r w:rsidR="00E83D18" w:rsidRPr="00652991">
              <w:rPr>
                <w:sz w:val="18"/>
                <w:szCs w:val="18"/>
              </w:rPr>
              <w:t xml:space="preserve"> to</w:t>
            </w:r>
            <w:r w:rsidRPr="00652991">
              <w:rPr>
                <w:sz w:val="18"/>
                <w:szCs w:val="18"/>
              </w:rPr>
              <w:t xml:space="preserve"> 52.4</w:t>
            </w:r>
            <w:r w:rsidR="00B47850" w:rsidRPr="00652991">
              <w:rPr>
                <w:sz w:val="18"/>
                <w:szCs w:val="18"/>
              </w:rPr>
              <w:t>)</w:t>
            </w:r>
            <w:r w:rsidRPr="00652991">
              <w:rPr>
                <w:sz w:val="18"/>
                <w:szCs w:val="18"/>
              </w:rPr>
              <w:t xml:space="preserve"> </w:t>
            </w:r>
            <w:r w:rsidR="00E2445A" w:rsidRPr="00652991">
              <w:rPr>
                <w:sz w:val="18"/>
                <w:szCs w:val="18"/>
              </w:rPr>
              <w:t>(leg)</w:t>
            </w:r>
          </w:p>
        </w:tc>
        <w:tc>
          <w:tcPr>
            <w:tcW w:w="0" w:type="pct"/>
            <w:tcBorders>
              <w:bottom w:val="dotted" w:sz="4" w:space="0" w:color="auto"/>
            </w:tcBorders>
          </w:tcPr>
          <w:p w14:paraId="6BBD7366" w14:textId="03C4AD62" w:rsidR="00E2445A" w:rsidRPr="00652991" w:rsidRDefault="003209CA" w:rsidP="0094031F">
            <w:pPr>
              <w:pStyle w:val="051Tabletext228pt"/>
              <w:rPr>
                <w:sz w:val="18"/>
                <w:szCs w:val="18"/>
              </w:rPr>
            </w:pPr>
            <w:r w:rsidRPr="00652991">
              <w:rPr>
                <w:sz w:val="18"/>
                <w:szCs w:val="18"/>
              </w:rPr>
              <w:t xml:space="preserve">MD </w:t>
            </w:r>
            <w:r w:rsidR="00EF4626" w:rsidRPr="00652991">
              <w:rPr>
                <w:sz w:val="18"/>
                <w:szCs w:val="18"/>
              </w:rPr>
              <w:t>5.5 (NR)</w:t>
            </w:r>
            <w:r w:rsidR="00E2445A" w:rsidRPr="00652991">
              <w:rPr>
                <w:sz w:val="18"/>
                <w:szCs w:val="18"/>
              </w:rPr>
              <w:t xml:space="preserve"> (back)</w:t>
            </w:r>
          </w:p>
          <w:p w14:paraId="5E00FDAC" w14:textId="6BBEE9FA" w:rsidR="00E2445A" w:rsidRPr="00652991" w:rsidRDefault="003209CA" w:rsidP="0094031F">
            <w:pPr>
              <w:pStyle w:val="051Tabletext228pt"/>
              <w:rPr>
                <w:sz w:val="18"/>
                <w:szCs w:val="18"/>
              </w:rPr>
            </w:pPr>
            <w:r w:rsidRPr="00652991">
              <w:rPr>
                <w:sz w:val="18"/>
                <w:szCs w:val="18"/>
              </w:rPr>
              <w:t xml:space="preserve">MD </w:t>
            </w:r>
            <w:r w:rsidR="000F0DC0" w:rsidRPr="00652991">
              <w:rPr>
                <w:sz w:val="18"/>
                <w:szCs w:val="18"/>
              </w:rPr>
              <w:t xml:space="preserve">5.2 </w:t>
            </w:r>
            <w:r w:rsidR="00E2445A" w:rsidRPr="00652991">
              <w:rPr>
                <w:sz w:val="18"/>
                <w:szCs w:val="18"/>
              </w:rPr>
              <w:t>(</w:t>
            </w:r>
            <w:r w:rsidR="000F0DC0" w:rsidRPr="00652991">
              <w:rPr>
                <w:sz w:val="18"/>
                <w:szCs w:val="18"/>
              </w:rPr>
              <w:t>NR</w:t>
            </w:r>
            <w:r w:rsidR="00E2445A" w:rsidRPr="00652991">
              <w:rPr>
                <w:sz w:val="18"/>
                <w:szCs w:val="18"/>
              </w:rPr>
              <w:t>) (leg)</w:t>
            </w:r>
          </w:p>
        </w:tc>
        <w:tc>
          <w:tcPr>
            <w:tcW w:w="658" w:type="pct"/>
            <w:tcBorders>
              <w:bottom w:val="dotted" w:sz="4" w:space="0" w:color="auto"/>
            </w:tcBorders>
          </w:tcPr>
          <w:p w14:paraId="563C23CB" w14:textId="77777777" w:rsidR="00353E7A" w:rsidRPr="00652991" w:rsidRDefault="00353E7A" w:rsidP="00353E7A">
            <w:pPr>
              <w:pStyle w:val="051Tabletext228pt"/>
              <w:rPr>
                <w:sz w:val="18"/>
                <w:szCs w:val="18"/>
              </w:rPr>
            </w:pPr>
            <w:r w:rsidRPr="00652991">
              <w:rPr>
                <w:sz w:val="18"/>
                <w:szCs w:val="18"/>
              </w:rPr>
              <w:t>P=0.3 (back)</w:t>
            </w:r>
          </w:p>
          <w:p w14:paraId="001473C7" w14:textId="35B66C1D" w:rsidR="00F22049" w:rsidRPr="00652991" w:rsidRDefault="00F22049" w:rsidP="00353E7A">
            <w:pPr>
              <w:pStyle w:val="051Tabletext228pt"/>
              <w:rPr>
                <w:sz w:val="18"/>
                <w:szCs w:val="18"/>
              </w:rPr>
            </w:pPr>
            <w:r w:rsidRPr="00652991">
              <w:rPr>
                <w:sz w:val="18"/>
                <w:szCs w:val="18"/>
              </w:rPr>
              <w:t>P=0.3 (leg)</w:t>
            </w:r>
          </w:p>
          <w:p w14:paraId="6710A5CB" w14:textId="086CEFE7" w:rsidR="00E2445A" w:rsidRPr="00652991" w:rsidRDefault="00E2445A" w:rsidP="0094031F">
            <w:pPr>
              <w:pStyle w:val="051Tabletext228pt"/>
              <w:rPr>
                <w:sz w:val="18"/>
                <w:szCs w:val="18"/>
              </w:rPr>
            </w:pPr>
          </w:p>
        </w:tc>
      </w:tr>
      <w:tr w:rsidR="000D6284" w:rsidRPr="00652991" w14:paraId="143E7141" w14:textId="77777777" w:rsidTr="00182437">
        <w:tc>
          <w:tcPr>
            <w:tcW w:w="0" w:type="pct"/>
            <w:tcBorders>
              <w:top w:val="nil"/>
              <w:bottom w:val="nil"/>
            </w:tcBorders>
          </w:tcPr>
          <w:p w14:paraId="7DC863A1" w14:textId="77777777" w:rsidR="000D6284" w:rsidRPr="00652991" w:rsidRDefault="000D6284" w:rsidP="0094031F">
            <w:pPr>
              <w:pStyle w:val="051Tabletext228pt"/>
              <w:rPr>
                <w:sz w:val="18"/>
                <w:szCs w:val="18"/>
              </w:rPr>
            </w:pPr>
          </w:p>
        </w:tc>
        <w:tc>
          <w:tcPr>
            <w:tcW w:w="0" w:type="pct"/>
            <w:gridSpan w:val="3"/>
            <w:tcBorders>
              <w:top w:val="dotted" w:sz="4" w:space="0" w:color="auto"/>
              <w:bottom w:val="dotted" w:sz="4" w:space="0" w:color="auto"/>
            </w:tcBorders>
          </w:tcPr>
          <w:p w14:paraId="0BA31C7D" w14:textId="67404A50" w:rsidR="000D6284" w:rsidRPr="00652991" w:rsidRDefault="001433A2" w:rsidP="0094031F">
            <w:pPr>
              <w:pStyle w:val="051Tabletext228pt"/>
              <w:rPr>
                <w:sz w:val="18"/>
                <w:szCs w:val="18"/>
              </w:rPr>
            </w:pPr>
            <w:r>
              <w:rPr>
                <w:sz w:val="18"/>
                <w:szCs w:val="18"/>
              </w:rPr>
              <w:t>EVOKE</w:t>
            </w:r>
          </w:p>
        </w:tc>
        <w:tc>
          <w:tcPr>
            <w:tcW w:w="0" w:type="pct"/>
            <w:gridSpan w:val="2"/>
            <w:tcBorders>
              <w:top w:val="dotted" w:sz="4" w:space="0" w:color="auto"/>
              <w:bottom w:val="dotted" w:sz="4" w:space="0" w:color="auto"/>
            </w:tcBorders>
          </w:tcPr>
          <w:p w14:paraId="0B88AAC6" w14:textId="6B82E802" w:rsidR="000D6284" w:rsidRPr="00652991" w:rsidRDefault="001433A2" w:rsidP="0094031F">
            <w:pPr>
              <w:pStyle w:val="051Tabletext228pt"/>
              <w:rPr>
                <w:rFonts w:eastAsia="Calibri"/>
                <w:sz w:val="18"/>
                <w:szCs w:val="18"/>
              </w:rPr>
            </w:pPr>
            <w:r w:rsidRPr="001433A2">
              <w:rPr>
                <w:rFonts w:eastAsia="Calibri"/>
                <w:sz w:val="18"/>
                <w:szCs w:val="18"/>
              </w:rPr>
              <w:t>59.8 (SD 23.5)</w:t>
            </w:r>
          </w:p>
        </w:tc>
        <w:tc>
          <w:tcPr>
            <w:tcW w:w="0" w:type="pct"/>
            <w:tcBorders>
              <w:top w:val="dotted" w:sz="4" w:space="0" w:color="auto"/>
              <w:bottom w:val="dotted" w:sz="4" w:space="0" w:color="auto"/>
            </w:tcBorders>
          </w:tcPr>
          <w:p w14:paraId="150C2CB9" w14:textId="253C862F" w:rsidR="000D6284" w:rsidRPr="00652991" w:rsidRDefault="00885D8F" w:rsidP="0094031F">
            <w:pPr>
              <w:pStyle w:val="051Tabletext228pt"/>
              <w:rPr>
                <w:sz w:val="18"/>
                <w:szCs w:val="18"/>
              </w:rPr>
            </w:pPr>
            <w:r w:rsidRPr="00885D8F">
              <w:rPr>
                <w:sz w:val="18"/>
                <w:szCs w:val="18"/>
              </w:rPr>
              <w:t>49.2 (SD 30.2)</w:t>
            </w:r>
          </w:p>
        </w:tc>
        <w:tc>
          <w:tcPr>
            <w:tcW w:w="0" w:type="pct"/>
            <w:tcBorders>
              <w:top w:val="dotted" w:sz="4" w:space="0" w:color="auto"/>
              <w:bottom w:val="dotted" w:sz="4" w:space="0" w:color="auto"/>
            </w:tcBorders>
          </w:tcPr>
          <w:p w14:paraId="0F1C70EE" w14:textId="7464CD77" w:rsidR="000D6284" w:rsidRPr="00652991" w:rsidRDefault="00885D8F" w:rsidP="0094031F">
            <w:pPr>
              <w:pStyle w:val="051Tabletext228pt"/>
              <w:rPr>
                <w:sz w:val="18"/>
                <w:szCs w:val="18"/>
              </w:rPr>
            </w:pPr>
            <w:r w:rsidRPr="00885D8F">
              <w:rPr>
                <w:sz w:val="18"/>
                <w:szCs w:val="18"/>
              </w:rPr>
              <w:t>MD 10.6</w:t>
            </w:r>
            <w:r>
              <w:rPr>
                <w:sz w:val="18"/>
                <w:szCs w:val="18"/>
              </w:rPr>
              <w:t xml:space="preserve"> (</w:t>
            </w:r>
            <w:r w:rsidRPr="00885D8F">
              <w:rPr>
                <w:sz w:val="18"/>
                <w:szCs w:val="18"/>
              </w:rPr>
              <w:t>95% CI</w:t>
            </w:r>
            <w:r>
              <w:rPr>
                <w:sz w:val="18"/>
                <w:szCs w:val="18"/>
              </w:rPr>
              <w:t>:</w:t>
            </w:r>
            <w:r w:rsidRPr="00885D8F">
              <w:rPr>
                <w:sz w:val="18"/>
                <w:szCs w:val="18"/>
              </w:rPr>
              <w:t xml:space="preserve"> 1.0-20.2</w:t>
            </w:r>
            <w:r w:rsidR="00C70CC1">
              <w:rPr>
                <w:sz w:val="18"/>
                <w:szCs w:val="18"/>
              </w:rPr>
              <w:t>)</w:t>
            </w:r>
          </w:p>
        </w:tc>
        <w:tc>
          <w:tcPr>
            <w:tcW w:w="658" w:type="pct"/>
            <w:tcBorders>
              <w:top w:val="dotted" w:sz="4" w:space="0" w:color="auto"/>
              <w:bottom w:val="dotted" w:sz="4" w:space="0" w:color="auto"/>
            </w:tcBorders>
          </w:tcPr>
          <w:p w14:paraId="51250505" w14:textId="347F45C6" w:rsidR="000D6284" w:rsidRPr="00652991" w:rsidRDefault="00C70CC1" w:rsidP="00353E7A">
            <w:pPr>
              <w:pStyle w:val="051Tabletext228pt"/>
              <w:rPr>
                <w:sz w:val="18"/>
                <w:szCs w:val="18"/>
              </w:rPr>
            </w:pPr>
            <w:r>
              <w:rPr>
                <w:sz w:val="18"/>
                <w:szCs w:val="18"/>
              </w:rPr>
              <w:t>P=0.03</w:t>
            </w:r>
          </w:p>
        </w:tc>
      </w:tr>
      <w:tr w:rsidR="00E2445A" w:rsidRPr="00652991" w14:paraId="280F44CD" w14:textId="77777777" w:rsidTr="00931357">
        <w:tc>
          <w:tcPr>
            <w:tcW w:w="863" w:type="pct"/>
            <w:tcBorders>
              <w:top w:val="nil"/>
              <w:bottom w:val="nil"/>
            </w:tcBorders>
          </w:tcPr>
          <w:p w14:paraId="3BA4D47F" w14:textId="77777777" w:rsidR="00E2445A" w:rsidRPr="00652991" w:rsidRDefault="00E2445A" w:rsidP="0094031F">
            <w:pPr>
              <w:pStyle w:val="051Tabletext228pt"/>
              <w:rPr>
                <w:sz w:val="18"/>
                <w:szCs w:val="18"/>
              </w:rPr>
            </w:pPr>
          </w:p>
        </w:tc>
        <w:tc>
          <w:tcPr>
            <w:tcW w:w="535" w:type="pct"/>
            <w:gridSpan w:val="3"/>
            <w:tcBorders>
              <w:top w:val="dotted" w:sz="4" w:space="0" w:color="auto"/>
              <w:bottom w:val="dotted" w:sz="4" w:space="0" w:color="auto"/>
            </w:tcBorders>
          </w:tcPr>
          <w:p w14:paraId="3D78CF46" w14:textId="2A174A45" w:rsidR="00E2445A" w:rsidRPr="00652991" w:rsidRDefault="00A12578" w:rsidP="0094031F">
            <w:pPr>
              <w:pStyle w:val="051Tabletext228pt"/>
              <w:rPr>
                <w:sz w:val="18"/>
                <w:szCs w:val="18"/>
              </w:rPr>
            </w:pPr>
            <w:r w:rsidRPr="00652991">
              <w:rPr>
                <w:sz w:val="18"/>
                <w:szCs w:val="18"/>
              </w:rPr>
              <w:t>Fishman (20</w:t>
            </w:r>
            <w:r w:rsidR="00E544F3">
              <w:rPr>
                <w:sz w:val="18"/>
                <w:szCs w:val="18"/>
              </w:rPr>
              <w:t>21</w:t>
            </w:r>
            <w:r w:rsidRPr="00652991">
              <w:rPr>
                <w:sz w:val="18"/>
                <w:szCs w:val="18"/>
              </w:rPr>
              <w:t>)</w:t>
            </w:r>
          </w:p>
        </w:tc>
        <w:tc>
          <w:tcPr>
            <w:tcW w:w="1009" w:type="pct"/>
            <w:gridSpan w:val="2"/>
            <w:tcBorders>
              <w:top w:val="dotted" w:sz="4" w:space="0" w:color="auto"/>
              <w:bottom w:val="dotted" w:sz="4" w:space="0" w:color="auto"/>
            </w:tcBorders>
          </w:tcPr>
          <w:p w14:paraId="233769A5" w14:textId="1EAABE07" w:rsidR="00E2445A" w:rsidRPr="00652991" w:rsidRDefault="00064F59">
            <w:pPr>
              <w:pStyle w:val="051Tabletext228pt"/>
              <w:rPr>
                <w:rFonts w:eastAsia="Calibri"/>
                <w:sz w:val="18"/>
                <w:szCs w:val="18"/>
              </w:rPr>
            </w:pPr>
            <w:r w:rsidRPr="00652991">
              <w:rPr>
                <w:sz w:val="18"/>
                <w:szCs w:val="18"/>
              </w:rPr>
              <w:t>53</w:t>
            </w:r>
            <w:r w:rsidR="000B5EAE" w:rsidRPr="00652991">
              <w:rPr>
                <w:sz w:val="18"/>
                <w:szCs w:val="18"/>
              </w:rPr>
              <w:t>.</w:t>
            </w:r>
            <w:r w:rsidRPr="00652991">
              <w:rPr>
                <w:sz w:val="18"/>
                <w:szCs w:val="18"/>
              </w:rPr>
              <w:t>6 (SD 26</w:t>
            </w:r>
            <w:r w:rsidR="000B5EAE" w:rsidRPr="00652991">
              <w:rPr>
                <w:sz w:val="18"/>
                <w:szCs w:val="18"/>
              </w:rPr>
              <w:t>.</w:t>
            </w:r>
            <w:r w:rsidRPr="00652991">
              <w:rPr>
                <w:sz w:val="18"/>
                <w:szCs w:val="18"/>
              </w:rPr>
              <w:t>3)</w:t>
            </w:r>
            <w:r w:rsidR="00271EB4" w:rsidRPr="00652991">
              <w:rPr>
                <w:rFonts w:eastAsia="Calibri"/>
                <w:sz w:val="18"/>
                <w:szCs w:val="18"/>
              </w:rPr>
              <w:t xml:space="preserve"> (back)</w:t>
            </w:r>
          </w:p>
          <w:p w14:paraId="5EB480AD" w14:textId="5871F320" w:rsidR="00E2445A" w:rsidRPr="00652991" w:rsidRDefault="00AF5133" w:rsidP="0094031F">
            <w:pPr>
              <w:pStyle w:val="051Tabletext228pt"/>
              <w:rPr>
                <w:sz w:val="18"/>
                <w:szCs w:val="18"/>
              </w:rPr>
            </w:pPr>
            <w:r w:rsidRPr="00652991">
              <w:rPr>
                <w:sz w:val="18"/>
                <w:szCs w:val="18"/>
              </w:rPr>
              <w:t>52</w:t>
            </w:r>
            <w:r w:rsidR="000B5EAE" w:rsidRPr="00652991">
              <w:rPr>
                <w:sz w:val="18"/>
                <w:szCs w:val="18"/>
              </w:rPr>
              <w:t>.</w:t>
            </w:r>
            <w:r w:rsidRPr="00652991">
              <w:rPr>
                <w:sz w:val="18"/>
                <w:szCs w:val="18"/>
              </w:rPr>
              <w:t>9 (SD 24</w:t>
            </w:r>
            <w:r w:rsidR="000B5EAE" w:rsidRPr="00652991">
              <w:rPr>
                <w:sz w:val="18"/>
                <w:szCs w:val="18"/>
              </w:rPr>
              <w:t>.</w:t>
            </w:r>
            <w:r w:rsidRPr="00652991">
              <w:rPr>
                <w:sz w:val="18"/>
                <w:szCs w:val="18"/>
              </w:rPr>
              <w:t>1) (leg)</w:t>
            </w:r>
          </w:p>
        </w:tc>
        <w:tc>
          <w:tcPr>
            <w:tcW w:w="986" w:type="pct"/>
            <w:tcBorders>
              <w:top w:val="dotted" w:sz="4" w:space="0" w:color="auto"/>
              <w:bottom w:val="dotted" w:sz="4" w:space="0" w:color="auto"/>
            </w:tcBorders>
          </w:tcPr>
          <w:p w14:paraId="458E2989" w14:textId="4889D2F0" w:rsidR="00E2445A" w:rsidRPr="00652991" w:rsidRDefault="00C33505">
            <w:pPr>
              <w:pStyle w:val="051Tabletext228pt"/>
              <w:rPr>
                <w:rFonts w:eastAsia="Calibri"/>
                <w:sz w:val="18"/>
                <w:szCs w:val="18"/>
              </w:rPr>
            </w:pPr>
            <w:r w:rsidRPr="00652991">
              <w:rPr>
                <w:sz w:val="18"/>
                <w:szCs w:val="18"/>
              </w:rPr>
              <w:t>33</w:t>
            </w:r>
            <w:r w:rsidR="000B5EAE" w:rsidRPr="00652991">
              <w:rPr>
                <w:sz w:val="18"/>
                <w:szCs w:val="18"/>
              </w:rPr>
              <w:t>.</w:t>
            </w:r>
            <w:r w:rsidRPr="00652991">
              <w:rPr>
                <w:sz w:val="18"/>
                <w:szCs w:val="18"/>
              </w:rPr>
              <w:t>7 (SD 25</w:t>
            </w:r>
            <w:r w:rsidR="000B5EAE" w:rsidRPr="00652991">
              <w:rPr>
                <w:sz w:val="18"/>
                <w:szCs w:val="18"/>
              </w:rPr>
              <w:t>.</w:t>
            </w:r>
            <w:r w:rsidRPr="00652991">
              <w:rPr>
                <w:sz w:val="18"/>
                <w:szCs w:val="18"/>
              </w:rPr>
              <w:t>2)</w:t>
            </w:r>
            <w:r w:rsidR="00271EB4" w:rsidRPr="00652991">
              <w:rPr>
                <w:rFonts w:eastAsia="Calibri"/>
                <w:sz w:val="18"/>
                <w:szCs w:val="18"/>
              </w:rPr>
              <w:t xml:space="preserve"> (back)</w:t>
            </w:r>
          </w:p>
          <w:p w14:paraId="4DB95B4B" w14:textId="21E915E4" w:rsidR="00E2445A" w:rsidRPr="00652991" w:rsidRDefault="00ED09EC" w:rsidP="0094031F">
            <w:pPr>
              <w:pStyle w:val="051Tabletext228pt"/>
              <w:rPr>
                <w:sz w:val="18"/>
                <w:szCs w:val="18"/>
              </w:rPr>
            </w:pPr>
            <w:r w:rsidRPr="00652991">
              <w:rPr>
                <w:sz w:val="18"/>
                <w:szCs w:val="18"/>
              </w:rPr>
              <w:t>47</w:t>
            </w:r>
            <w:r w:rsidR="000B5EAE" w:rsidRPr="00652991">
              <w:rPr>
                <w:sz w:val="18"/>
                <w:szCs w:val="18"/>
              </w:rPr>
              <w:t>.</w:t>
            </w:r>
            <w:r w:rsidRPr="00652991">
              <w:rPr>
                <w:sz w:val="18"/>
                <w:szCs w:val="18"/>
              </w:rPr>
              <w:t>6 (SD 25</w:t>
            </w:r>
            <w:r w:rsidR="000B5EAE" w:rsidRPr="00652991">
              <w:rPr>
                <w:sz w:val="18"/>
                <w:szCs w:val="18"/>
              </w:rPr>
              <w:t>.</w:t>
            </w:r>
            <w:r w:rsidRPr="00652991">
              <w:rPr>
                <w:sz w:val="18"/>
                <w:szCs w:val="18"/>
              </w:rPr>
              <w:t>2) (leg)</w:t>
            </w:r>
          </w:p>
        </w:tc>
        <w:tc>
          <w:tcPr>
            <w:tcW w:w="949" w:type="pct"/>
            <w:tcBorders>
              <w:top w:val="dotted" w:sz="4" w:space="0" w:color="auto"/>
              <w:bottom w:val="dotted" w:sz="4" w:space="0" w:color="auto"/>
            </w:tcBorders>
          </w:tcPr>
          <w:p w14:paraId="2AA39716" w14:textId="30F9FFDF" w:rsidR="00E2445A" w:rsidRPr="00652991" w:rsidRDefault="00E2445A">
            <w:pPr>
              <w:pStyle w:val="051Tabletext228pt"/>
              <w:rPr>
                <w:rFonts w:eastAsia="Calibri"/>
                <w:sz w:val="18"/>
                <w:szCs w:val="18"/>
              </w:rPr>
            </w:pPr>
            <w:r w:rsidRPr="00652991">
              <w:rPr>
                <w:sz w:val="18"/>
                <w:szCs w:val="18"/>
              </w:rPr>
              <w:t xml:space="preserve">MD </w:t>
            </w:r>
            <w:r w:rsidR="006E4BEA" w:rsidRPr="00652991">
              <w:rPr>
                <w:sz w:val="18"/>
                <w:szCs w:val="18"/>
              </w:rPr>
              <w:t>19</w:t>
            </w:r>
            <w:r w:rsidR="000B5EAE" w:rsidRPr="00652991">
              <w:rPr>
                <w:sz w:val="18"/>
                <w:szCs w:val="18"/>
              </w:rPr>
              <w:t>.</w:t>
            </w:r>
            <w:r w:rsidR="006E4BEA" w:rsidRPr="00652991">
              <w:rPr>
                <w:sz w:val="18"/>
                <w:szCs w:val="18"/>
              </w:rPr>
              <w:t>9</w:t>
            </w:r>
            <w:r w:rsidRPr="00652991">
              <w:rPr>
                <w:sz w:val="18"/>
                <w:szCs w:val="18"/>
              </w:rPr>
              <w:t xml:space="preserve"> (NR)</w:t>
            </w:r>
            <w:r w:rsidR="00271EB4" w:rsidRPr="00652991">
              <w:rPr>
                <w:rFonts w:eastAsia="Calibri"/>
                <w:sz w:val="18"/>
                <w:szCs w:val="18"/>
              </w:rPr>
              <w:t xml:space="preserve"> (back)</w:t>
            </w:r>
          </w:p>
          <w:p w14:paraId="5AF01C0B" w14:textId="43D9F902" w:rsidR="00E2445A" w:rsidRPr="00652991" w:rsidRDefault="00672C17" w:rsidP="0094031F">
            <w:pPr>
              <w:pStyle w:val="051Tabletext228pt"/>
              <w:rPr>
                <w:sz w:val="18"/>
                <w:szCs w:val="18"/>
              </w:rPr>
            </w:pPr>
            <w:r w:rsidRPr="00652991">
              <w:rPr>
                <w:sz w:val="18"/>
                <w:szCs w:val="18"/>
              </w:rPr>
              <w:t xml:space="preserve">MD </w:t>
            </w:r>
            <w:r w:rsidR="00AE60B7" w:rsidRPr="00652991">
              <w:rPr>
                <w:sz w:val="18"/>
                <w:szCs w:val="18"/>
              </w:rPr>
              <w:t>5</w:t>
            </w:r>
            <w:r w:rsidR="000B5EAE" w:rsidRPr="00652991">
              <w:rPr>
                <w:sz w:val="18"/>
                <w:szCs w:val="18"/>
              </w:rPr>
              <w:t>.</w:t>
            </w:r>
            <w:r w:rsidR="00AE60B7" w:rsidRPr="00652991">
              <w:rPr>
                <w:sz w:val="18"/>
                <w:szCs w:val="18"/>
              </w:rPr>
              <w:t>3 (NR) (leg)</w:t>
            </w:r>
          </w:p>
        </w:tc>
        <w:tc>
          <w:tcPr>
            <w:tcW w:w="658" w:type="pct"/>
            <w:tcBorders>
              <w:top w:val="dotted" w:sz="4" w:space="0" w:color="auto"/>
              <w:bottom w:val="dotted" w:sz="4" w:space="0" w:color="auto"/>
            </w:tcBorders>
          </w:tcPr>
          <w:p w14:paraId="3E1FC653" w14:textId="77777777" w:rsidR="00E2445A" w:rsidRPr="00652991" w:rsidRDefault="006E4BEA">
            <w:pPr>
              <w:pStyle w:val="051Tabletext228pt"/>
              <w:rPr>
                <w:rFonts w:eastAsia="Calibri"/>
                <w:sz w:val="18"/>
                <w:szCs w:val="18"/>
              </w:rPr>
            </w:pPr>
            <w:r w:rsidRPr="00652991">
              <w:rPr>
                <w:sz w:val="18"/>
                <w:szCs w:val="18"/>
              </w:rPr>
              <w:t>Non-inferior</w:t>
            </w:r>
            <w:r w:rsidR="00271EB4" w:rsidRPr="00652991">
              <w:rPr>
                <w:sz w:val="18"/>
                <w:szCs w:val="18"/>
              </w:rPr>
              <w:t xml:space="preserve"> </w:t>
            </w:r>
            <w:r w:rsidR="00271EB4" w:rsidRPr="00652991">
              <w:rPr>
                <w:rFonts w:eastAsia="Calibri"/>
                <w:sz w:val="18"/>
                <w:szCs w:val="18"/>
              </w:rPr>
              <w:t>(back)</w:t>
            </w:r>
          </w:p>
          <w:p w14:paraId="4870BCFE" w14:textId="66E40E02" w:rsidR="00E2445A" w:rsidRPr="00652991" w:rsidRDefault="00AE60B7" w:rsidP="0094031F">
            <w:pPr>
              <w:pStyle w:val="051Tabletext228pt"/>
              <w:rPr>
                <w:sz w:val="18"/>
                <w:szCs w:val="18"/>
              </w:rPr>
            </w:pPr>
            <w:r w:rsidRPr="00652991">
              <w:rPr>
                <w:sz w:val="18"/>
                <w:szCs w:val="18"/>
              </w:rPr>
              <w:t>NR (leg)</w:t>
            </w:r>
          </w:p>
        </w:tc>
      </w:tr>
      <w:tr w:rsidR="004F408D" w:rsidRPr="00652991" w14:paraId="7AB44484" w14:textId="77777777" w:rsidTr="00931357">
        <w:tc>
          <w:tcPr>
            <w:tcW w:w="863" w:type="pct"/>
            <w:tcBorders>
              <w:top w:val="nil"/>
              <w:bottom w:val="single" w:sz="4" w:space="0" w:color="auto"/>
            </w:tcBorders>
          </w:tcPr>
          <w:p w14:paraId="52BFA0D0" w14:textId="77777777" w:rsidR="004F408D" w:rsidRPr="00652991" w:rsidRDefault="004F408D">
            <w:pPr>
              <w:pStyle w:val="051Tabletext228pt"/>
              <w:rPr>
                <w:sz w:val="18"/>
                <w:szCs w:val="18"/>
              </w:rPr>
            </w:pPr>
          </w:p>
        </w:tc>
        <w:tc>
          <w:tcPr>
            <w:tcW w:w="535" w:type="pct"/>
            <w:gridSpan w:val="3"/>
            <w:tcBorders>
              <w:top w:val="dotted" w:sz="4" w:space="0" w:color="auto"/>
              <w:bottom w:val="single" w:sz="4" w:space="0" w:color="auto"/>
            </w:tcBorders>
          </w:tcPr>
          <w:p w14:paraId="1C8932E4" w14:textId="5E8F553E" w:rsidR="004F408D" w:rsidRPr="00652991" w:rsidRDefault="00E106B2">
            <w:pPr>
              <w:pStyle w:val="051Tabletext228pt"/>
              <w:rPr>
                <w:sz w:val="18"/>
                <w:szCs w:val="18"/>
              </w:rPr>
            </w:pPr>
            <w:r w:rsidRPr="00652991">
              <w:rPr>
                <w:sz w:val="18"/>
                <w:szCs w:val="18"/>
              </w:rPr>
              <w:t>SUNBURST</w:t>
            </w:r>
          </w:p>
        </w:tc>
        <w:tc>
          <w:tcPr>
            <w:tcW w:w="1009" w:type="pct"/>
            <w:gridSpan w:val="2"/>
            <w:tcBorders>
              <w:top w:val="dotted" w:sz="4" w:space="0" w:color="auto"/>
              <w:bottom w:val="single" w:sz="4" w:space="0" w:color="auto"/>
            </w:tcBorders>
          </w:tcPr>
          <w:p w14:paraId="56721ACF" w14:textId="79F3CD8D" w:rsidR="004F408D" w:rsidRPr="00652991" w:rsidRDefault="003026AD">
            <w:pPr>
              <w:pStyle w:val="051Tabletext228pt"/>
              <w:rPr>
                <w:sz w:val="18"/>
                <w:szCs w:val="18"/>
              </w:rPr>
            </w:pPr>
            <w:r w:rsidRPr="00652991">
              <w:rPr>
                <w:sz w:val="18"/>
                <w:szCs w:val="18"/>
              </w:rPr>
              <w:t>NR</w:t>
            </w:r>
          </w:p>
        </w:tc>
        <w:tc>
          <w:tcPr>
            <w:tcW w:w="986" w:type="pct"/>
            <w:tcBorders>
              <w:top w:val="dotted" w:sz="4" w:space="0" w:color="auto"/>
              <w:bottom w:val="single" w:sz="4" w:space="0" w:color="auto"/>
            </w:tcBorders>
          </w:tcPr>
          <w:p w14:paraId="727B6A10" w14:textId="0B4FD861" w:rsidR="004F408D" w:rsidRPr="00652991" w:rsidRDefault="003026AD">
            <w:pPr>
              <w:pStyle w:val="051Tabletext228pt"/>
              <w:rPr>
                <w:sz w:val="18"/>
                <w:szCs w:val="18"/>
              </w:rPr>
            </w:pPr>
            <w:r w:rsidRPr="00652991">
              <w:rPr>
                <w:sz w:val="18"/>
                <w:szCs w:val="18"/>
              </w:rPr>
              <w:t>NR</w:t>
            </w:r>
          </w:p>
        </w:tc>
        <w:tc>
          <w:tcPr>
            <w:tcW w:w="949" w:type="pct"/>
            <w:tcBorders>
              <w:top w:val="dotted" w:sz="4" w:space="0" w:color="auto"/>
              <w:bottom w:val="single" w:sz="4" w:space="0" w:color="auto"/>
            </w:tcBorders>
          </w:tcPr>
          <w:p w14:paraId="03A0D31D" w14:textId="50F49830" w:rsidR="004F408D" w:rsidRPr="00652991" w:rsidRDefault="003026AD" w:rsidP="003026AD">
            <w:pPr>
              <w:pStyle w:val="051Tabletext228pt"/>
              <w:rPr>
                <w:sz w:val="18"/>
                <w:szCs w:val="18"/>
              </w:rPr>
            </w:pPr>
            <w:r w:rsidRPr="00652991">
              <w:rPr>
                <w:sz w:val="18"/>
                <w:szCs w:val="18"/>
              </w:rPr>
              <w:t xml:space="preserve">MD </w:t>
            </w:r>
            <w:r w:rsidR="00F1799F" w:rsidRPr="00652991">
              <w:rPr>
                <w:sz w:val="18"/>
                <w:szCs w:val="18"/>
              </w:rPr>
              <w:t xml:space="preserve">5.1 </w:t>
            </w:r>
            <w:r w:rsidRPr="00652991">
              <w:rPr>
                <w:sz w:val="18"/>
                <w:szCs w:val="18"/>
              </w:rPr>
              <w:t>(NR)</w:t>
            </w:r>
          </w:p>
        </w:tc>
        <w:tc>
          <w:tcPr>
            <w:tcW w:w="658" w:type="pct"/>
            <w:tcBorders>
              <w:top w:val="dotted" w:sz="4" w:space="0" w:color="auto"/>
              <w:bottom w:val="single" w:sz="4" w:space="0" w:color="auto"/>
            </w:tcBorders>
          </w:tcPr>
          <w:p w14:paraId="4BCFB735" w14:textId="526B4848" w:rsidR="004F408D" w:rsidRPr="00652991" w:rsidRDefault="003026AD">
            <w:pPr>
              <w:pStyle w:val="051Tabletext228pt"/>
              <w:rPr>
                <w:sz w:val="18"/>
                <w:szCs w:val="18"/>
              </w:rPr>
            </w:pPr>
            <w:r w:rsidRPr="00652991">
              <w:rPr>
                <w:sz w:val="18"/>
                <w:szCs w:val="18"/>
              </w:rPr>
              <w:t>P&lt;0.017</w:t>
            </w:r>
          </w:p>
        </w:tc>
      </w:tr>
      <w:tr w:rsidR="00E2445A" w:rsidRPr="00652991" w14:paraId="0B4E0AE3" w14:textId="77777777" w:rsidTr="00931357">
        <w:tc>
          <w:tcPr>
            <w:tcW w:w="863" w:type="pct"/>
            <w:tcBorders>
              <w:bottom w:val="nil"/>
            </w:tcBorders>
          </w:tcPr>
          <w:p w14:paraId="37DF77F2" w14:textId="77777777" w:rsidR="00E2445A" w:rsidRPr="00652991" w:rsidRDefault="00E2445A" w:rsidP="0094031F">
            <w:pPr>
              <w:pStyle w:val="051Tabletext228pt"/>
              <w:rPr>
                <w:sz w:val="18"/>
                <w:szCs w:val="18"/>
              </w:rPr>
            </w:pPr>
            <w:r w:rsidRPr="00652991">
              <w:rPr>
                <w:sz w:val="18"/>
                <w:szCs w:val="18"/>
              </w:rPr>
              <w:t>Pain intensity (</w:t>
            </w:r>
            <w:r w:rsidRPr="00652991">
              <w:rPr>
                <w:rFonts w:cs="Calibri"/>
                <w:sz w:val="18"/>
                <w:szCs w:val="18"/>
              </w:rPr>
              <w:t>≥</w:t>
            </w:r>
            <w:r w:rsidRPr="00652991">
              <w:rPr>
                <w:sz w:val="18"/>
                <w:szCs w:val="18"/>
              </w:rPr>
              <w:t xml:space="preserve"> 50% relief)</w:t>
            </w:r>
          </w:p>
        </w:tc>
        <w:tc>
          <w:tcPr>
            <w:tcW w:w="535" w:type="pct"/>
            <w:gridSpan w:val="3"/>
            <w:tcBorders>
              <w:bottom w:val="dotted" w:sz="4" w:space="0" w:color="auto"/>
            </w:tcBorders>
          </w:tcPr>
          <w:p w14:paraId="1309462D" w14:textId="46E86603" w:rsidR="00E2445A" w:rsidRPr="00652991" w:rsidRDefault="000F0DC0" w:rsidP="0094031F">
            <w:pPr>
              <w:pStyle w:val="051Tabletext228pt"/>
              <w:rPr>
                <w:sz w:val="18"/>
                <w:szCs w:val="18"/>
              </w:rPr>
            </w:pPr>
            <w:r w:rsidRPr="00652991">
              <w:rPr>
                <w:sz w:val="18"/>
                <w:szCs w:val="18"/>
              </w:rPr>
              <w:t>ESTIMET</w:t>
            </w:r>
          </w:p>
        </w:tc>
        <w:tc>
          <w:tcPr>
            <w:tcW w:w="1009" w:type="pct"/>
            <w:gridSpan w:val="2"/>
            <w:tcBorders>
              <w:bottom w:val="dotted" w:sz="4" w:space="0" w:color="auto"/>
            </w:tcBorders>
          </w:tcPr>
          <w:p w14:paraId="4A905F32" w14:textId="77777777" w:rsidR="00E2445A" w:rsidRPr="00652991" w:rsidRDefault="00BF6638" w:rsidP="0094031F">
            <w:pPr>
              <w:pStyle w:val="051Tabletext228pt"/>
              <w:rPr>
                <w:rFonts w:eastAsia="Calibri"/>
                <w:sz w:val="18"/>
                <w:szCs w:val="18"/>
              </w:rPr>
            </w:pPr>
            <w:r w:rsidRPr="00652991">
              <w:rPr>
                <w:rFonts w:eastAsia="Calibri"/>
                <w:sz w:val="18"/>
                <w:szCs w:val="18"/>
              </w:rPr>
              <w:t>46.9</w:t>
            </w:r>
            <w:r w:rsidR="00E2445A" w:rsidRPr="00652991">
              <w:rPr>
                <w:rFonts w:eastAsia="Calibri"/>
                <w:sz w:val="18"/>
                <w:szCs w:val="18"/>
              </w:rPr>
              <w:t>% (</w:t>
            </w:r>
            <w:r w:rsidR="00EA2E7D" w:rsidRPr="00652991">
              <w:rPr>
                <w:rFonts w:eastAsia="Calibri"/>
                <w:sz w:val="18"/>
                <w:szCs w:val="18"/>
              </w:rPr>
              <w:t>23</w:t>
            </w:r>
            <w:r w:rsidR="00E2445A" w:rsidRPr="00652991">
              <w:rPr>
                <w:rFonts w:eastAsia="Calibri"/>
                <w:sz w:val="18"/>
                <w:szCs w:val="18"/>
              </w:rPr>
              <w:t>/</w:t>
            </w:r>
            <w:r w:rsidR="00EA2E7D" w:rsidRPr="00652991">
              <w:rPr>
                <w:rFonts w:eastAsia="Calibri"/>
                <w:sz w:val="18"/>
                <w:szCs w:val="18"/>
              </w:rPr>
              <w:t>49</w:t>
            </w:r>
            <w:r w:rsidR="00E2445A" w:rsidRPr="00652991">
              <w:rPr>
                <w:rFonts w:eastAsia="Calibri"/>
                <w:sz w:val="18"/>
                <w:szCs w:val="18"/>
              </w:rPr>
              <w:t>)</w:t>
            </w:r>
            <w:r w:rsidR="00C347CF" w:rsidRPr="00652991">
              <w:rPr>
                <w:rFonts w:eastAsia="Calibri"/>
                <w:sz w:val="18"/>
                <w:szCs w:val="18"/>
              </w:rPr>
              <w:t xml:space="preserve"> (back)</w:t>
            </w:r>
          </w:p>
          <w:p w14:paraId="65D5D5DB" w14:textId="67CB6AF8" w:rsidR="00C347CF" w:rsidRPr="00652991" w:rsidRDefault="00466407" w:rsidP="0094031F">
            <w:pPr>
              <w:pStyle w:val="051Tabletext228pt"/>
              <w:rPr>
                <w:sz w:val="18"/>
                <w:szCs w:val="18"/>
              </w:rPr>
            </w:pPr>
            <w:r w:rsidRPr="00652991">
              <w:rPr>
                <w:sz w:val="18"/>
                <w:szCs w:val="18"/>
              </w:rPr>
              <w:t>71.4% (35/49) (leg)</w:t>
            </w:r>
          </w:p>
        </w:tc>
        <w:tc>
          <w:tcPr>
            <w:tcW w:w="986" w:type="pct"/>
            <w:tcBorders>
              <w:bottom w:val="dotted" w:sz="4" w:space="0" w:color="auto"/>
            </w:tcBorders>
          </w:tcPr>
          <w:p w14:paraId="2D275815" w14:textId="77777777" w:rsidR="00E2445A" w:rsidRPr="00652991" w:rsidRDefault="00EA2E7D" w:rsidP="0094031F">
            <w:pPr>
              <w:pStyle w:val="051Tabletext228pt"/>
              <w:rPr>
                <w:rFonts w:eastAsia="Calibri"/>
                <w:sz w:val="18"/>
                <w:szCs w:val="18"/>
              </w:rPr>
            </w:pPr>
            <w:r w:rsidRPr="00652991">
              <w:rPr>
                <w:sz w:val="18"/>
                <w:szCs w:val="18"/>
              </w:rPr>
              <w:t>39.2</w:t>
            </w:r>
            <w:r w:rsidR="00E2445A" w:rsidRPr="00652991">
              <w:rPr>
                <w:sz w:val="18"/>
                <w:szCs w:val="18"/>
              </w:rPr>
              <w:t>% (2</w:t>
            </w:r>
            <w:r w:rsidR="0053041D" w:rsidRPr="00652991">
              <w:rPr>
                <w:sz w:val="18"/>
                <w:szCs w:val="18"/>
              </w:rPr>
              <w:t>0</w:t>
            </w:r>
            <w:r w:rsidR="00E2445A" w:rsidRPr="00652991">
              <w:rPr>
                <w:sz w:val="18"/>
                <w:szCs w:val="18"/>
              </w:rPr>
              <w:t>/</w:t>
            </w:r>
            <w:r w:rsidR="0053041D" w:rsidRPr="00652991">
              <w:rPr>
                <w:sz w:val="18"/>
                <w:szCs w:val="18"/>
              </w:rPr>
              <w:t>51</w:t>
            </w:r>
            <w:r w:rsidR="00E2445A" w:rsidRPr="00652991">
              <w:rPr>
                <w:sz w:val="18"/>
                <w:szCs w:val="18"/>
              </w:rPr>
              <w:t>)</w:t>
            </w:r>
            <w:r w:rsidR="00C347CF" w:rsidRPr="00652991">
              <w:rPr>
                <w:rFonts w:eastAsia="Calibri"/>
                <w:sz w:val="18"/>
                <w:szCs w:val="18"/>
              </w:rPr>
              <w:t xml:space="preserve"> (back)</w:t>
            </w:r>
          </w:p>
          <w:p w14:paraId="577A2486" w14:textId="58776C22" w:rsidR="00466407" w:rsidRPr="00652991" w:rsidRDefault="00466407" w:rsidP="0094031F">
            <w:pPr>
              <w:pStyle w:val="051Tabletext228pt"/>
              <w:rPr>
                <w:sz w:val="18"/>
                <w:szCs w:val="18"/>
              </w:rPr>
            </w:pPr>
            <w:r w:rsidRPr="00652991">
              <w:rPr>
                <w:sz w:val="18"/>
                <w:szCs w:val="18"/>
              </w:rPr>
              <w:t>62.7% (32/51) (leg)</w:t>
            </w:r>
          </w:p>
        </w:tc>
        <w:tc>
          <w:tcPr>
            <w:tcW w:w="949" w:type="pct"/>
            <w:tcBorders>
              <w:bottom w:val="dotted" w:sz="4" w:space="0" w:color="auto"/>
            </w:tcBorders>
          </w:tcPr>
          <w:p w14:paraId="51E1DE7E" w14:textId="77777777" w:rsidR="00E2445A" w:rsidRPr="00652991" w:rsidRDefault="0053041D" w:rsidP="0094031F">
            <w:pPr>
              <w:pStyle w:val="051Tabletext228pt"/>
              <w:rPr>
                <w:rFonts w:eastAsia="Calibri"/>
                <w:sz w:val="18"/>
                <w:szCs w:val="18"/>
              </w:rPr>
            </w:pPr>
            <w:r w:rsidRPr="00652991">
              <w:rPr>
                <w:sz w:val="18"/>
                <w:szCs w:val="18"/>
              </w:rPr>
              <w:t>14.9</w:t>
            </w:r>
            <w:r w:rsidR="00E2445A" w:rsidRPr="00652991">
              <w:rPr>
                <w:sz w:val="18"/>
                <w:szCs w:val="18"/>
              </w:rPr>
              <w:t>% difference</w:t>
            </w:r>
            <w:r w:rsidR="00C347CF" w:rsidRPr="00652991">
              <w:rPr>
                <w:sz w:val="18"/>
                <w:szCs w:val="18"/>
              </w:rPr>
              <w:t xml:space="preserve"> </w:t>
            </w:r>
            <w:r w:rsidR="00C347CF" w:rsidRPr="00652991">
              <w:rPr>
                <w:rFonts w:eastAsia="Calibri"/>
                <w:sz w:val="18"/>
                <w:szCs w:val="18"/>
              </w:rPr>
              <w:t>(back)</w:t>
            </w:r>
          </w:p>
          <w:p w14:paraId="03D80D16" w14:textId="095D3D5F" w:rsidR="00466407" w:rsidRPr="00652991" w:rsidRDefault="000D74FE" w:rsidP="0094031F">
            <w:pPr>
              <w:pStyle w:val="051Tabletext228pt"/>
              <w:rPr>
                <w:sz w:val="18"/>
                <w:szCs w:val="18"/>
              </w:rPr>
            </w:pPr>
            <w:r w:rsidRPr="00652991">
              <w:rPr>
                <w:sz w:val="18"/>
                <w:szCs w:val="18"/>
              </w:rPr>
              <w:t>8.7% difference (leg)</w:t>
            </w:r>
          </w:p>
        </w:tc>
        <w:tc>
          <w:tcPr>
            <w:tcW w:w="658" w:type="pct"/>
            <w:tcBorders>
              <w:bottom w:val="dotted" w:sz="4" w:space="0" w:color="auto"/>
            </w:tcBorders>
          </w:tcPr>
          <w:p w14:paraId="28C17BEB" w14:textId="77777777" w:rsidR="00E2445A" w:rsidRPr="00652991" w:rsidRDefault="00E2445A" w:rsidP="0094031F">
            <w:pPr>
              <w:pStyle w:val="051Tabletext228pt"/>
              <w:rPr>
                <w:rFonts w:eastAsia="Calibri"/>
                <w:sz w:val="18"/>
                <w:szCs w:val="18"/>
              </w:rPr>
            </w:pPr>
            <w:r w:rsidRPr="00652991">
              <w:rPr>
                <w:sz w:val="18"/>
                <w:szCs w:val="18"/>
              </w:rPr>
              <w:t>P= 0.</w:t>
            </w:r>
            <w:r w:rsidR="0053041D" w:rsidRPr="00652991">
              <w:rPr>
                <w:sz w:val="18"/>
                <w:szCs w:val="18"/>
              </w:rPr>
              <w:t>5</w:t>
            </w:r>
            <w:r w:rsidR="00C347CF" w:rsidRPr="00652991">
              <w:rPr>
                <w:sz w:val="18"/>
                <w:szCs w:val="18"/>
              </w:rPr>
              <w:t xml:space="preserve"> </w:t>
            </w:r>
            <w:r w:rsidR="00C347CF" w:rsidRPr="00652991">
              <w:rPr>
                <w:rFonts w:eastAsia="Calibri"/>
                <w:sz w:val="18"/>
                <w:szCs w:val="18"/>
              </w:rPr>
              <w:t>(back)</w:t>
            </w:r>
          </w:p>
          <w:p w14:paraId="127AC7C2" w14:textId="0CA28BC6" w:rsidR="000D74FE" w:rsidRPr="00652991" w:rsidRDefault="000D74FE" w:rsidP="0094031F">
            <w:pPr>
              <w:pStyle w:val="051Tabletext228pt"/>
              <w:rPr>
                <w:sz w:val="18"/>
                <w:szCs w:val="18"/>
              </w:rPr>
            </w:pPr>
            <w:r w:rsidRPr="00652991">
              <w:rPr>
                <w:sz w:val="18"/>
                <w:szCs w:val="18"/>
              </w:rPr>
              <w:t>P=0.4 (leg)</w:t>
            </w:r>
          </w:p>
        </w:tc>
      </w:tr>
      <w:tr w:rsidR="007D0C2D" w:rsidRPr="00652991" w14:paraId="4C19F5E5" w14:textId="77777777" w:rsidTr="00931357">
        <w:tc>
          <w:tcPr>
            <w:tcW w:w="863" w:type="pct"/>
            <w:tcBorders>
              <w:top w:val="nil"/>
              <w:bottom w:val="nil"/>
            </w:tcBorders>
          </w:tcPr>
          <w:p w14:paraId="1934257E" w14:textId="77777777" w:rsidR="007D0C2D" w:rsidRPr="00652991" w:rsidRDefault="007D0C2D" w:rsidP="0094031F">
            <w:pPr>
              <w:pStyle w:val="051Tabletext228pt"/>
              <w:rPr>
                <w:sz w:val="18"/>
                <w:szCs w:val="18"/>
              </w:rPr>
            </w:pPr>
          </w:p>
        </w:tc>
        <w:tc>
          <w:tcPr>
            <w:tcW w:w="535" w:type="pct"/>
            <w:gridSpan w:val="3"/>
            <w:tcBorders>
              <w:top w:val="dotted" w:sz="4" w:space="0" w:color="auto"/>
              <w:bottom w:val="dotted" w:sz="4" w:space="0" w:color="auto"/>
            </w:tcBorders>
          </w:tcPr>
          <w:p w14:paraId="008F1ED4" w14:textId="38853928" w:rsidR="007D0C2D" w:rsidRPr="00652991" w:rsidRDefault="007D0C2D" w:rsidP="0094031F">
            <w:pPr>
              <w:pStyle w:val="051Tabletext228pt"/>
              <w:rPr>
                <w:sz w:val="18"/>
                <w:szCs w:val="18"/>
              </w:rPr>
            </w:pPr>
            <w:r w:rsidRPr="00652991">
              <w:rPr>
                <w:sz w:val="18"/>
                <w:szCs w:val="18"/>
              </w:rPr>
              <w:t>EVOKE</w:t>
            </w:r>
          </w:p>
        </w:tc>
        <w:tc>
          <w:tcPr>
            <w:tcW w:w="1009" w:type="pct"/>
            <w:gridSpan w:val="2"/>
            <w:tcBorders>
              <w:top w:val="dotted" w:sz="4" w:space="0" w:color="auto"/>
              <w:bottom w:val="dotted" w:sz="4" w:space="0" w:color="auto"/>
            </w:tcBorders>
          </w:tcPr>
          <w:p w14:paraId="0D9E6C82" w14:textId="352615AA" w:rsidR="007D0C2D" w:rsidRPr="00652991" w:rsidRDefault="0089121C" w:rsidP="0094031F">
            <w:pPr>
              <w:pStyle w:val="051Tabletext228pt"/>
              <w:rPr>
                <w:rFonts w:eastAsia="Calibri"/>
                <w:sz w:val="18"/>
                <w:szCs w:val="18"/>
              </w:rPr>
            </w:pPr>
            <w:r w:rsidRPr="00652991">
              <w:rPr>
                <w:rFonts w:eastAsia="Calibri"/>
                <w:sz w:val="18"/>
                <w:szCs w:val="18"/>
              </w:rPr>
              <w:t xml:space="preserve">82% </w:t>
            </w:r>
            <w:r w:rsidR="004E0F48" w:rsidRPr="00652991">
              <w:rPr>
                <w:rFonts w:eastAsia="Calibri"/>
                <w:sz w:val="18"/>
                <w:szCs w:val="18"/>
              </w:rPr>
              <w:t>(</w:t>
            </w:r>
            <w:r w:rsidRPr="00652991">
              <w:rPr>
                <w:rFonts w:eastAsia="Calibri"/>
                <w:sz w:val="18"/>
                <w:szCs w:val="18"/>
              </w:rPr>
              <w:t>51/62)</w:t>
            </w:r>
          </w:p>
        </w:tc>
        <w:tc>
          <w:tcPr>
            <w:tcW w:w="986" w:type="pct"/>
            <w:tcBorders>
              <w:top w:val="dotted" w:sz="4" w:space="0" w:color="auto"/>
              <w:bottom w:val="dotted" w:sz="4" w:space="0" w:color="auto"/>
            </w:tcBorders>
          </w:tcPr>
          <w:p w14:paraId="11B56144" w14:textId="453E65F2" w:rsidR="007D0C2D" w:rsidRPr="00652991" w:rsidRDefault="0089121C" w:rsidP="0094031F">
            <w:pPr>
              <w:pStyle w:val="051Tabletext228pt"/>
              <w:rPr>
                <w:sz w:val="18"/>
                <w:szCs w:val="18"/>
              </w:rPr>
            </w:pPr>
            <w:r w:rsidRPr="00652991">
              <w:rPr>
                <w:sz w:val="18"/>
                <w:szCs w:val="18"/>
              </w:rPr>
              <w:t xml:space="preserve">60% </w:t>
            </w:r>
            <w:r w:rsidR="004F4490" w:rsidRPr="00652991">
              <w:rPr>
                <w:sz w:val="18"/>
                <w:szCs w:val="18"/>
              </w:rPr>
              <w:t>(</w:t>
            </w:r>
            <w:r w:rsidRPr="00652991">
              <w:rPr>
                <w:sz w:val="18"/>
                <w:szCs w:val="18"/>
              </w:rPr>
              <w:t>38/63</w:t>
            </w:r>
            <w:r w:rsidR="004F4490" w:rsidRPr="00652991">
              <w:rPr>
                <w:sz w:val="18"/>
                <w:szCs w:val="18"/>
              </w:rPr>
              <w:t>)</w:t>
            </w:r>
          </w:p>
        </w:tc>
        <w:tc>
          <w:tcPr>
            <w:tcW w:w="949" w:type="pct"/>
            <w:tcBorders>
              <w:top w:val="dotted" w:sz="4" w:space="0" w:color="auto"/>
              <w:bottom w:val="dotted" w:sz="4" w:space="0" w:color="auto"/>
            </w:tcBorders>
          </w:tcPr>
          <w:p w14:paraId="766128DB" w14:textId="0D34071A" w:rsidR="007D0C2D" w:rsidRPr="00652991" w:rsidRDefault="004F4490" w:rsidP="0094031F">
            <w:pPr>
              <w:pStyle w:val="051Tabletext228pt"/>
              <w:rPr>
                <w:sz w:val="18"/>
                <w:szCs w:val="18"/>
              </w:rPr>
            </w:pPr>
            <w:r w:rsidRPr="00652991">
              <w:rPr>
                <w:sz w:val="18"/>
                <w:szCs w:val="18"/>
              </w:rPr>
              <w:t>21∙9% (</w:t>
            </w:r>
            <w:r w:rsidR="004C7A81" w:rsidRPr="00652991">
              <w:rPr>
                <w:sz w:val="18"/>
                <w:szCs w:val="18"/>
              </w:rPr>
              <w:t xml:space="preserve">95% CI: </w:t>
            </w:r>
            <w:r w:rsidRPr="00652991">
              <w:rPr>
                <w:sz w:val="18"/>
                <w:szCs w:val="18"/>
              </w:rPr>
              <w:t>6∙6 to 37∙3)</w:t>
            </w:r>
          </w:p>
        </w:tc>
        <w:tc>
          <w:tcPr>
            <w:tcW w:w="658" w:type="pct"/>
            <w:tcBorders>
              <w:top w:val="dotted" w:sz="4" w:space="0" w:color="auto"/>
              <w:bottom w:val="dotted" w:sz="4" w:space="0" w:color="auto"/>
            </w:tcBorders>
          </w:tcPr>
          <w:p w14:paraId="08695621" w14:textId="3DD2597E" w:rsidR="007D0C2D" w:rsidRPr="00652991" w:rsidRDefault="0089121C" w:rsidP="0094031F">
            <w:pPr>
              <w:pStyle w:val="051Tabletext228pt"/>
              <w:rPr>
                <w:sz w:val="18"/>
                <w:szCs w:val="18"/>
              </w:rPr>
            </w:pPr>
            <w:r w:rsidRPr="00652991">
              <w:rPr>
                <w:sz w:val="18"/>
                <w:szCs w:val="18"/>
              </w:rPr>
              <w:t>P=0∙0052</w:t>
            </w:r>
          </w:p>
        </w:tc>
      </w:tr>
      <w:tr w:rsidR="005A6C73" w:rsidRPr="00652991" w14:paraId="4B6C16A2" w14:textId="77777777" w:rsidTr="00931357">
        <w:tc>
          <w:tcPr>
            <w:tcW w:w="863" w:type="pct"/>
            <w:tcBorders>
              <w:top w:val="nil"/>
            </w:tcBorders>
          </w:tcPr>
          <w:p w14:paraId="63FA83DA" w14:textId="77777777" w:rsidR="005A6C73" w:rsidRPr="00652991" w:rsidRDefault="005A6C73" w:rsidP="0094031F">
            <w:pPr>
              <w:pStyle w:val="051Tabletext228pt"/>
              <w:rPr>
                <w:sz w:val="18"/>
                <w:szCs w:val="18"/>
              </w:rPr>
            </w:pPr>
          </w:p>
        </w:tc>
        <w:tc>
          <w:tcPr>
            <w:tcW w:w="535" w:type="pct"/>
            <w:gridSpan w:val="3"/>
            <w:tcBorders>
              <w:top w:val="dotted" w:sz="4" w:space="0" w:color="auto"/>
            </w:tcBorders>
          </w:tcPr>
          <w:p w14:paraId="1CA1415A" w14:textId="0BE61F4A" w:rsidR="005A6C73" w:rsidRPr="00652991" w:rsidRDefault="005A6C73" w:rsidP="0094031F">
            <w:pPr>
              <w:pStyle w:val="051Tabletext228pt"/>
              <w:rPr>
                <w:sz w:val="18"/>
                <w:szCs w:val="18"/>
              </w:rPr>
            </w:pPr>
            <w:r w:rsidRPr="00652991">
              <w:rPr>
                <w:sz w:val="18"/>
                <w:szCs w:val="18"/>
              </w:rPr>
              <w:t>Fishman (20</w:t>
            </w:r>
            <w:r w:rsidR="00E544F3">
              <w:rPr>
                <w:sz w:val="18"/>
                <w:szCs w:val="18"/>
              </w:rPr>
              <w:t>21</w:t>
            </w:r>
            <w:r w:rsidR="00AF2B19" w:rsidRPr="00652991">
              <w:rPr>
                <w:sz w:val="18"/>
                <w:szCs w:val="18"/>
              </w:rPr>
              <w:t>)</w:t>
            </w:r>
          </w:p>
        </w:tc>
        <w:tc>
          <w:tcPr>
            <w:tcW w:w="1009" w:type="pct"/>
            <w:gridSpan w:val="2"/>
            <w:tcBorders>
              <w:top w:val="dotted" w:sz="4" w:space="0" w:color="auto"/>
            </w:tcBorders>
          </w:tcPr>
          <w:p w14:paraId="19FB7370" w14:textId="4D02EB09" w:rsidR="005A6C73" w:rsidRPr="00652991" w:rsidRDefault="00AF2B19">
            <w:pPr>
              <w:pStyle w:val="051Tabletext228pt"/>
              <w:rPr>
                <w:rFonts w:eastAsia="Calibri"/>
                <w:sz w:val="18"/>
                <w:szCs w:val="18"/>
              </w:rPr>
            </w:pPr>
            <w:r w:rsidRPr="00652991">
              <w:rPr>
                <w:rFonts w:eastAsia="Calibri"/>
                <w:sz w:val="18"/>
                <w:szCs w:val="18"/>
              </w:rPr>
              <w:t>80.1% (90% CI: 70.6%–89.7%)</w:t>
            </w:r>
            <w:r w:rsidR="00A00884" w:rsidRPr="00652991">
              <w:rPr>
                <w:rFonts w:eastAsia="Calibri"/>
                <w:sz w:val="18"/>
                <w:szCs w:val="18"/>
              </w:rPr>
              <w:t xml:space="preserve"> (back)</w:t>
            </w:r>
          </w:p>
          <w:p w14:paraId="7154D689" w14:textId="3C8DDAE8" w:rsidR="005A6C73" w:rsidRPr="00652991" w:rsidRDefault="00A00884" w:rsidP="0094031F">
            <w:pPr>
              <w:pStyle w:val="051Tabletext228pt"/>
              <w:rPr>
                <w:rFonts w:eastAsia="Calibri"/>
                <w:sz w:val="18"/>
                <w:szCs w:val="18"/>
              </w:rPr>
            </w:pPr>
            <w:r w:rsidRPr="00652991">
              <w:rPr>
                <w:rFonts w:eastAsia="Calibri"/>
                <w:sz w:val="18"/>
                <w:szCs w:val="18"/>
              </w:rPr>
              <w:t>77.1% (NR) (leg)</w:t>
            </w:r>
          </w:p>
        </w:tc>
        <w:tc>
          <w:tcPr>
            <w:tcW w:w="986" w:type="pct"/>
            <w:tcBorders>
              <w:top w:val="dotted" w:sz="4" w:space="0" w:color="auto"/>
            </w:tcBorders>
          </w:tcPr>
          <w:p w14:paraId="6171414B" w14:textId="77777777" w:rsidR="005A6C73" w:rsidRPr="00652991" w:rsidRDefault="00574C68">
            <w:pPr>
              <w:pStyle w:val="051Tabletext228pt"/>
              <w:rPr>
                <w:sz w:val="18"/>
                <w:szCs w:val="18"/>
              </w:rPr>
            </w:pPr>
            <w:r w:rsidRPr="00652991">
              <w:rPr>
                <w:sz w:val="18"/>
                <w:szCs w:val="18"/>
              </w:rPr>
              <w:t>51.2% (90% CI: 40.0%–62.4%)</w:t>
            </w:r>
            <w:r w:rsidR="00A00884" w:rsidRPr="00652991">
              <w:rPr>
                <w:sz w:val="18"/>
                <w:szCs w:val="18"/>
              </w:rPr>
              <w:t xml:space="preserve"> (back)</w:t>
            </w:r>
          </w:p>
          <w:p w14:paraId="5EB7327D" w14:textId="4DC798EA" w:rsidR="005A6C73" w:rsidRPr="00652991" w:rsidRDefault="00ED7E55" w:rsidP="0094031F">
            <w:pPr>
              <w:pStyle w:val="051Tabletext228pt"/>
              <w:rPr>
                <w:sz w:val="18"/>
                <w:szCs w:val="18"/>
              </w:rPr>
            </w:pPr>
            <w:r w:rsidRPr="00652991">
              <w:rPr>
                <w:sz w:val="18"/>
                <w:szCs w:val="18"/>
              </w:rPr>
              <w:t>72.5% (NR) (leg)</w:t>
            </w:r>
          </w:p>
        </w:tc>
        <w:tc>
          <w:tcPr>
            <w:tcW w:w="949" w:type="pct"/>
            <w:tcBorders>
              <w:top w:val="dotted" w:sz="4" w:space="0" w:color="auto"/>
            </w:tcBorders>
          </w:tcPr>
          <w:p w14:paraId="6FC39388" w14:textId="76539CE6" w:rsidR="005A6C73" w:rsidRPr="00652991" w:rsidRDefault="002D1D30">
            <w:pPr>
              <w:pStyle w:val="051Tabletext228pt"/>
              <w:rPr>
                <w:sz w:val="18"/>
                <w:szCs w:val="18"/>
              </w:rPr>
            </w:pPr>
            <w:r w:rsidRPr="00652991">
              <w:rPr>
                <w:sz w:val="18"/>
                <w:szCs w:val="18"/>
              </w:rPr>
              <w:t>28.9% (NR)</w:t>
            </w:r>
            <w:r w:rsidR="00ED7E55" w:rsidRPr="00652991">
              <w:rPr>
                <w:sz w:val="18"/>
                <w:szCs w:val="18"/>
              </w:rPr>
              <w:t xml:space="preserve"> (back)</w:t>
            </w:r>
          </w:p>
          <w:p w14:paraId="02ADA4B5" w14:textId="389B870A" w:rsidR="00ED7E55" w:rsidRPr="00652991" w:rsidRDefault="007C66BE">
            <w:pPr>
              <w:pStyle w:val="051Tabletext228pt"/>
              <w:rPr>
                <w:sz w:val="18"/>
                <w:szCs w:val="18"/>
              </w:rPr>
            </w:pPr>
            <w:r w:rsidRPr="00652991">
              <w:rPr>
                <w:sz w:val="18"/>
                <w:szCs w:val="18"/>
              </w:rPr>
              <w:t>4.6% (NR) (leg)</w:t>
            </w:r>
          </w:p>
          <w:p w14:paraId="3518D4D4" w14:textId="63E57A86" w:rsidR="005A6C73" w:rsidRPr="00652991" w:rsidRDefault="005A6C73" w:rsidP="0094031F">
            <w:pPr>
              <w:pStyle w:val="051Tabletext228pt"/>
              <w:rPr>
                <w:sz w:val="18"/>
                <w:szCs w:val="18"/>
              </w:rPr>
            </w:pPr>
          </w:p>
        </w:tc>
        <w:tc>
          <w:tcPr>
            <w:tcW w:w="658" w:type="pct"/>
            <w:tcBorders>
              <w:top w:val="dotted" w:sz="4" w:space="0" w:color="auto"/>
            </w:tcBorders>
          </w:tcPr>
          <w:p w14:paraId="0A5115CD" w14:textId="77777777" w:rsidR="005A6C73" w:rsidRPr="00652991" w:rsidRDefault="00574C68">
            <w:pPr>
              <w:pStyle w:val="051Tabletext228pt"/>
              <w:rPr>
                <w:sz w:val="18"/>
                <w:szCs w:val="18"/>
              </w:rPr>
            </w:pPr>
            <w:r w:rsidRPr="00652991">
              <w:rPr>
                <w:sz w:val="18"/>
                <w:szCs w:val="18"/>
              </w:rPr>
              <w:t>p &lt; 0.0001</w:t>
            </w:r>
            <w:r w:rsidR="00ED7E55" w:rsidRPr="00652991">
              <w:rPr>
                <w:sz w:val="18"/>
                <w:szCs w:val="18"/>
              </w:rPr>
              <w:t xml:space="preserve"> (back)</w:t>
            </w:r>
          </w:p>
          <w:p w14:paraId="14A9A6AE" w14:textId="4C9E1609" w:rsidR="005A6C73" w:rsidRPr="00652991" w:rsidRDefault="007C66BE" w:rsidP="0094031F">
            <w:pPr>
              <w:pStyle w:val="051Tabletext228pt"/>
              <w:rPr>
                <w:sz w:val="18"/>
                <w:szCs w:val="18"/>
              </w:rPr>
            </w:pPr>
            <w:r w:rsidRPr="00652991">
              <w:rPr>
                <w:sz w:val="18"/>
                <w:szCs w:val="18"/>
              </w:rPr>
              <w:t>NR (leg)</w:t>
            </w:r>
          </w:p>
        </w:tc>
      </w:tr>
      <w:tr w:rsidR="00E2445A" w:rsidRPr="00652991" w14:paraId="5B3853E2" w14:textId="77777777" w:rsidTr="00931357">
        <w:tc>
          <w:tcPr>
            <w:tcW w:w="1178" w:type="pct"/>
            <w:gridSpan w:val="2"/>
            <w:shd w:val="clear" w:color="auto" w:fill="F2F2F2" w:themeFill="background1" w:themeFillShade="F2"/>
          </w:tcPr>
          <w:p w14:paraId="3E52C224" w14:textId="77777777" w:rsidR="00E2445A" w:rsidRPr="00652991" w:rsidRDefault="00E2445A" w:rsidP="0094031F">
            <w:pPr>
              <w:pStyle w:val="031Tablesubheading8pt"/>
              <w:rPr>
                <w:sz w:val="18"/>
                <w:szCs w:val="18"/>
              </w:rPr>
            </w:pPr>
            <w:r w:rsidRPr="00652991">
              <w:rPr>
                <w:sz w:val="18"/>
                <w:szCs w:val="18"/>
              </w:rPr>
              <w:t>Long term (</w:t>
            </w:r>
            <w:r w:rsidRPr="00652991">
              <w:rPr>
                <w:rFonts w:cs="Calibri"/>
                <w:sz w:val="18"/>
                <w:szCs w:val="18"/>
              </w:rPr>
              <w:t>≥</w:t>
            </w:r>
            <w:r w:rsidRPr="00652991">
              <w:rPr>
                <w:sz w:val="18"/>
                <w:szCs w:val="18"/>
              </w:rPr>
              <w:t>12 months)</w:t>
            </w:r>
          </w:p>
        </w:tc>
        <w:tc>
          <w:tcPr>
            <w:tcW w:w="220" w:type="pct"/>
            <w:gridSpan w:val="2"/>
            <w:shd w:val="clear" w:color="auto" w:fill="F2F2F2" w:themeFill="background1" w:themeFillShade="F2"/>
          </w:tcPr>
          <w:p w14:paraId="07EEBD31" w14:textId="77777777" w:rsidR="00E2445A" w:rsidRPr="00652991" w:rsidRDefault="00E2445A" w:rsidP="0094031F">
            <w:pPr>
              <w:pStyle w:val="051Tabletext228pt"/>
              <w:rPr>
                <w:sz w:val="18"/>
                <w:szCs w:val="18"/>
              </w:rPr>
            </w:pPr>
          </w:p>
        </w:tc>
        <w:tc>
          <w:tcPr>
            <w:tcW w:w="1009" w:type="pct"/>
            <w:gridSpan w:val="2"/>
            <w:shd w:val="clear" w:color="auto" w:fill="F2F2F2" w:themeFill="background1" w:themeFillShade="F2"/>
          </w:tcPr>
          <w:p w14:paraId="6CDCB9AB" w14:textId="77777777" w:rsidR="00E2445A" w:rsidRPr="00652991" w:rsidRDefault="00E2445A" w:rsidP="0094031F">
            <w:pPr>
              <w:pStyle w:val="051Tabletext228pt"/>
              <w:rPr>
                <w:sz w:val="18"/>
                <w:szCs w:val="18"/>
              </w:rPr>
            </w:pPr>
          </w:p>
        </w:tc>
        <w:tc>
          <w:tcPr>
            <w:tcW w:w="986" w:type="pct"/>
            <w:shd w:val="clear" w:color="auto" w:fill="F2F2F2" w:themeFill="background1" w:themeFillShade="F2"/>
          </w:tcPr>
          <w:p w14:paraId="6ACBD027" w14:textId="77777777" w:rsidR="00E2445A" w:rsidRPr="00652991" w:rsidRDefault="00E2445A" w:rsidP="0094031F">
            <w:pPr>
              <w:pStyle w:val="051Tabletext228pt"/>
              <w:rPr>
                <w:sz w:val="18"/>
                <w:szCs w:val="18"/>
              </w:rPr>
            </w:pPr>
          </w:p>
        </w:tc>
        <w:tc>
          <w:tcPr>
            <w:tcW w:w="949" w:type="pct"/>
            <w:shd w:val="clear" w:color="auto" w:fill="F2F2F2" w:themeFill="background1" w:themeFillShade="F2"/>
          </w:tcPr>
          <w:p w14:paraId="27FD4BE6" w14:textId="77777777" w:rsidR="00E2445A" w:rsidRPr="00652991" w:rsidRDefault="00E2445A" w:rsidP="0094031F">
            <w:pPr>
              <w:pStyle w:val="051Tabletext228pt"/>
              <w:rPr>
                <w:sz w:val="18"/>
                <w:szCs w:val="18"/>
              </w:rPr>
            </w:pPr>
          </w:p>
        </w:tc>
        <w:tc>
          <w:tcPr>
            <w:tcW w:w="658" w:type="pct"/>
            <w:shd w:val="clear" w:color="auto" w:fill="F2F2F2" w:themeFill="background1" w:themeFillShade="F2"/>
          </w:tcPr>
          <w:p w14:paraId="3B558767" w14:textId="77777777" w:rsidR="00E2445A" w:rsidRPr="00652991" w:rsidRDefault="00E2445A" w:rsidP="0094031F">
            <w:pPr>
              <w:pStyle w:val="051Tabletext228pt"/>
              <w:rPr>
                <w:sz w:val="18"/>
                <w:szCs w:val="18"/>
              </w:rPr>
            </w:pPr>
          </w:p>
        </w:tc>
      </w:tr>
      <w:tr w:rsidR="00E2445A" w:rsidRPr="00652991" w14:paraId="7343F412" w14:textId="77777777" w:rsidTr="00182437">
        <w:tc>
          <w:tcPr>
            <w:tcW w:w="0" w:type="pct"/>
            <w:tcBorders>
              <w:bottom w:val="nil"/>
            </w:tcBorders>
          </w:tcPr>
          <w:p w14:paraId="1AF6DA4C" w14:textId="77777777" w:rsidR="00E2445A" w:rsidRPr="00652991" w:rsidRDefault="00E2445A" w:rsidP="0094031F">
            <w:pPr>
              <w:pStyle w:val="051Tabletext228pt"/>
              <w:rPr>
                <w:sz w:val="18"/>
                <w:szCs w:val="18"/>
              </w:rPr>
            </w:pPr>
            <w:r w:rsidRPr="00652991">
              <w:rPr>
                <w:sz w:val="18"/>
                <w:szCs w:val="18"/>
              </w:rPr>
              <w:t>Pain intensity (mean change baseline to follow-up)</w:t>
            </w:r>
          </w:p>
        </w:tc>
        <w:tc>
          <w:tcPr>
            <w:tcW w:w="0" w:type="pct"/>
            <w:gridSpan w:val="3"/>
            <w:tcBorders>
              <w:bottom w:val="dotted" w:sz="4" w:space="0" w:color="auto"/>
            </w:tcBorders>
          </w:tcPr>
          <w:p w14:paraId="0B215D3F" w14:textId="03EEDB72" w:rsidR="00E2445A" w:rsidRPr="00652991" w:rsidRDefault="00931357" w:rsidP="0094031F">
            <w:pPr>
              <w:pStyle w:val="051Tabletext228pt"/>
              <w:rPr>
                <w:sz w:val="18"/>
                <w:szCs w:val="18"/>
              </w:rPr>
            </w:pPr>
            <w:r>
              <w:rPr>
                <w:sz w:val="18"/>
                <w:szCs w:val="18"/>
              </w:rPr>
              <w:t xml:space="preserve"> EVOKE</w:t>
            </w:r>
          </w:p>
        </w:tc>
        <w:tc>
          <w:tcPr>
            <w:tcW w:w="0" w:type="pct"/>
            <w:gridSpan w:val="2"/>
            <w:tcBorders>
              <w:bottom w:val="dotted" w:sz="4" w:space="0" w:color="auto"/>
            </w:tcBorders>
          </w:tcPr>
          <w:p w14:paraId="1A02DFE1" w14:textId="7763CB8E" w:rsidR="00E2445A" w:rsidRPr="00652991" w:rsidRDefault="00931357" w:rsidP="0094031F">
            <w:pPr>
              <w:pStyle w:val="051Tabletext228pt"/>
              <w:rPr>
                <w:sz w:val="18"/>
                <w:szCs w:val="18"/>
              </w:rPr>
            </w:pPr>
            <w:r>
              <w:rPr>
                <w:sz w:val="18"/>
                <w:szCs w:val="18"/>
              </w:rPr>
              <w:t>58.1 (SD 23.6)</w:t>
            </w:r>
          </w:p>
        </w:tc>
        <w:tc>
          <w:tcPr>
            <w:tcW w:w="0" w:type="pct"/>
            <w:tcBorders>
              <w:bottom w:val="dotted" w:sz="4" w:space="0" w:color="auto"/>
            </w:tcBorders>
          </w:tcPr>
          <w:p w14:paraId="7B5371BB" w14:textId="2FB3CBBB" w:rsidR="00E2445A" w:rsidRPr="00652991" w:rsidRDefault="009E62BD" w:rsidP="0094031F">
            <w:pPr>
              <w:pStyle w:val="051Tabletext228pt"/>
              <w:rPr>
                <w:sz w:val="18"/>
                <w:szCs w:val="18"/>
              </w:rPr>
            </w:pPr>
            <w:r>
              <w:rPr>
                <w:sz w:val="18"/>
                <w:szCs w:val="18"/>
              </w:rPr>
              <w:t>46.4 (SD 32.3)</w:t>
            </w:r>
          </w:p>
        </w:tc>
        <w:tc>
          <w:tcPr>
            <w:tcW w:w="0" w:type="pct"/>
            <w:tcBorders>
              <w:bottom w:val="dotted" w:sz="4" w:space="0" w:color="auto"/>
            </w:tcBorders>
          </w:tcPr>
          <w:p w14:paraId="4B3F1F93" w14:textId="393A4422" w:rsidR="00E2445A" w:rsidRPr="00652991" w:rsidRDefault="009E62BD" w:rsidP="0094031F">
            <w:pPr>
              <w:pStyle w:val="051Tabletext228pt"/>
              <w:rPr>
                <w:sz w:val="18"/>
                <w:szCs w:val="18"/>
              </w:rPr>
            </w:pPr>
            <w:r>
              <w:rPr>
                <w:sz w:val="18"/>
                <w:szCs w:val="18"/>
              </w:rPr>
              <w:t xml:space="preserve"> MD 11.7 (95% CI:</w:t>
            </w:r>
            <w:r w:rsidR="008A2F82">
              <w:rPr>
                <w:sz w:val="18"/>
                <w:szCs w:val="18"/>
              </w:rPr>
              <w:t xml:space="preserve"> 1.4-22.0)</w:t>
            </w:r>
          </w:p>
        </w:tc>
        <w:tc>
          <w:tcPr>
            <w:tcW w:w="658" w:type="pct"/>
            <w:tcBorders>
              <w:bottom w:val="dotted" w:sz="4" w:space="0" w:color="auto"/>
            </w:tcBorders>
          </w:tcPr>
          <w:p w14:paraId="4FAB21FE" w14:textId="55CEFD7C" w:rsidR="00E2445A" w:rsidRPr="00652991" w:rsidRDefault="008A2F82" w:rsidP="0094031F">
            <w:pPr>
              <w:pStyle w:val="051Tabletext228pt"/>
              <w:rPr>
                <w:sz w:val="18"/>
                <w:szCs w:val="18"/>
              </w:rPr>
            </w:pPr>
            <w:r>
              <w:rPr>
                <w:sz w:val="18"/>
                <w:szCs w:val="18"/>
              </w:rPr>
              <w:t>P=0.03</w:t>
            </w:r>
          </w:p>
        </w:tc>
      </w:tr>
      <w:tr w:rsidR="00931357" w:rsidRPr="00652991" w14:paraId="5E5F78CE" w14:textId="77777777" w:rsidTr="00182437">
        <w:tc>
          <w:tcPr>
            <w:tcW w:w="0" w:type="pct"/>
            <w:tcBorders>
              <w:top w:val="nil"/>
              <w:bottom w:val="single" w:sz="4" w:space="0" w:color="auto"/>
            </w:tcBorders>
          </w:tcPr>
          <w:p w14:paraId="6ECF6148" w14:textId="77777777" w:rsidR="00931357" w:rsidRPr="00652991" w:rsidRDefault="00931357" w:rsidP="00931357">
            <w:pPr>
              <w:pStyle w:val="051Tabletext228pt"/>
              <w:rPr>
                <w:sz w:val="18"/>
                <w:szCs w:val="18"/>
              </w:rPr>
            </w:pPr>
          </w:p>
        </w:tc>
        <w:tc>
          <w:tcPr>
            <w:tcW w:w="0" w:type="pct"/>
            <w:gridSpan w:val="3"/>
            <w:tcBorders>
              <w:top w:val="dotted" w:sz="4" w:space="0" w:color="auto"/>
              <w:bottom w:val="single" w:sz="4" w:space="0" w:color="auto"/>
            </w:tcBorders>
          </w:tcPr>
          <w:p w14:paraId="24D3E6C4" w14:textId="53F08D99" w:rsidR="00931357" w:rsidRPr="00652991" w:rsidRDefault="00931357" w:rsidP="00931357">
            <w:pPr>
              <w:pStyle w:val="051Tabletext228pt"/>
              <w:rPr>
                <w:sz w:val="18"/>
                <w:szCs w:val="18"/>
              </w:rPr>
            </w:pPr>
            <w:r w:rsidRPr="00652991">
              <w:rPr>
                <w:sz w:val="18"/>
                <w:szCs w:val="18"/>
              </w:rPr>
              <w:t>Fishman (20</w:t>
            </w:r>
            <w:r>
              <w:rPr>
                <w:sz w:val="18"/>
                <w:szCs w:val="18"/>
              </w:rPr>
              <w:t>21</w:t>
            </w:r>
            <w:r w:rsidRPr="00652991">
              <w:rPr>
                <w:sz w:val="18"/>
                <w:szCs w:val="18"/>
              </w:rPr>
              <w:t>)</w:t>
            </w:r>
          </w:p>
        </w:tc>
        <w:tc>
          <w:tcPr>
            <w:tcW w:w="0" w:type="pct"/>
            <w:gridSpan w:val="2"/>
            <w:tcBorders>
              <w:top w:val="dotted" w:sz="4" w:space="0" w:color="auto"/>
              <w:bottom w:val="single" w:sz="4" w:space="0" w:color="auto"/>
            </w:tcBorders>
          </w:tcPr>
          <w:p w14:paraId="4E751626" w14:textId="77777777" w:rsidR="00931357" w:rsidRPr="00652991" w:rsidRDefault="00931357" w:rsidP="00931357">
            <w:pPr>
              <w:pStyle w:val="051Tabletext228pt"/>
              <w:rPr>
                <w:rFonts w:eastAsia="Calibri"/>
                <w:sz w:val="18"/>
                <w:szCs w:val="18"/>
              </w:rPr>
            </w:pPr>
            <w:r w:rsidRPr="00652991">
              <w:rPr>
                <w:sz w:val="18"/>
                <w:szCs w:val="18"/>
              </w:rPr>
              <w:t>54.8 (SD 26.9)</w:t>
            </w:r>
            <w:r w:rsidRPr="00652991">
              <w:rPr>
                <w:rFonts w:eastAsia="Calibri"/>
                <w:sz w:val="18"/>
                <w:szCs w:val="18"/>
              </w:rPr>
              <w:t xml:space="preserve"> (back)</w:t>
            </w:r>
          </w:p>
          <w:p w14:paraId="7048BE59" w14:textId="7CDF9B66" w:rsidR="00931357" w:rsidRPr="00652991" w:rsidRDefault="00931357" w:rsidP="00931357">
            <w:pPr>
              <w:pStyle w:val="051Tabletext228pt"/>
              <w:rPr>
                <w:sz w:val="18"/>
                <w:szCs w:val="18"/>
              </w:rPr>
            </w:pPr>
            <w:r w:rsidRPr="00652991">
              <w:rPr>
                <w:sz w:val="18"/>
                <w:szCs w:val="18"/>
              </w:rPr>
              <w:t>55.3 (SD 27.9) (leg)</w:t>
            </w:r>
          </w:p>
        </w:tc>
        <w:tc>
          <w:tcPr>
            <w:tcW w:w="0" w:type="pct"/>
            <w:tcBorders>
              <w:top w:val="dotted" w:sz="4" w:space="0" w:color="auto"/>
              <w:bottom w:val="single" w:sz="4" w:space="0" w:color="auto"/>
            </w:tcBorders>
          </w:tcPr>
          <w:p w14:paraId="295991F7" w14:textId="77777777" w:rsidR="00931357" w:rsidRPr="00652991" w:rsidRDefault="00931357" w:rsidP="00931357">
            <w:pPr>
              <w:pStyle w:val="051Tabletext228pt"/>
              <w:rPr>
                <w:rFonts w:eastAsia="Calibri"/>
                <w:sz w:val="18"/>
                <w:szCs w:val="18"/>
              </w:rPr>
            </w:pPr>
            <w:r w:rsidRPr="00652991">
              <w:rPr>
                <w:sz w:val="18"/>
                <w:szCs w:val="18"/>
              </w:rPr>
              <w:t>36.2 (SD 25.3)</w:t>
            </w:r>
            <w:r w:rsidRPr="00652991">
              <w:rPr>
                <w:rFonts w:eastAsia="Calibri"/>
                <w:sz w:val="18"/>
                <w:szCs w:val="18"/>
              </w:rPr>
              <w:t xml:space="preserve"> (back)</w:t>
            </w:r>
          </w:p>
          <w:p w14:paraId="31BB51AC" w14:textId="6C417896" w:rsidR="00931357" w:rsidRPr="00652991" w:rsidRDefault="00931357" w:rsidP="00931357">
            <w:pPr>
              <w:pStyle w:val="051Tabletext228pt"/>
              <w:rPr>
                <w:sz w:val="18"/>
                <w:szCs w:val="18"/>
              </w:rPr>
            </w:pPr>
            <w:r w:rsidRPr="00652991">
              <w:rPr>
                <w:sz w:val="18"/>
                <w:szCs w:val="18"/>
              </w:rPr>
              <w:t>49.5 (SD 23.8) (leg)</w:t>
            </w:r>
          </w:p>
        </w:tc>
        <w:tc>
          <w:tcPr>
            <w:tcW w:w="0" w:type="pct"/>
            <w:tcBorders>
              <w:top w:val="dotted" w:sz="4" w:space="0" w:color="auto"/>
              <w:bottom w:val="single" w:sz="4" w:space="0" w:color="auto"/>
            </w:tcBorders>
          </w:tcPr>
          <w:p w14:paraId="26BBF3C0" w14:textId="77777777" w:rsidR="00931357" w:rsidRPr="00652991" w:rsidRDefault="00931357" w:rsidP="00931357">
            <w:pPr>
              <w:pStyle w:val="051Tabletext228pt"/>
              <w:rPr>
                <w:rFonts w:eastAsia="Calibri"/>
                <w:sz w:val="18"/>
                <w:szCs w:val="18"/>
              </w:rPr>
            </w:pPr>
            <w:r w:rsidRPr="00652991">
              <w:rPr>
                <w:sz w:val="18"/>
                <w:szCs w:val="18"/>
              </w:rPr>
              <w:t>MD 18.6 (NR)</w:t>
            </w:r>
            <w:r w:rsidRPr="00652991">
              <w:rPr>
                <w:rFonts w:eastAsia="Calibri"/>
                <w:sz w:val="18"/>
                <w:szCs w:val="18"/>
              </w:rPr>
              <w:t xml:space="preserve"> (back)</w:t>
            </w:r>
          </w:p>
          <w:p w14:paraId="7A38F857" w14:textId="1382DDE6" w:rsidR="00931357" w:rsidRPr="00652991" w:rsidRDefault="00931357" w:rsidP="00931357">
            <w:pPr>
              <w:pStyle w:val="051Tabletext228pt"/>
              <w:rPr>
                <w:sz w:val="18"/>
                <w:szCs w:val="18"/>
              </w:rPr>
            </w:pPr>
            <w:r w:rsidRPr="00652991">
              <w:rPr>
                <w:sz w:val="18"/>
                <w:szCs w:val="18"/>
              </w:rPr>
              <w:t>MD 5.8 (NR) (leg)</w:t>
            </w:r>
          </w:p>
        </w:tc>
        <w:tc>
          <w:tcPr>
            <w:tcW w:w="658" w:type="pct"/>
            <w:tcBorders>
              <w:top w:val="dotted" w:sz="4" w:space="0" w:color="auto"/>
              <w:bottom w:val="single" w:sz="4" w:space="0" w:color="auto"/>
            </w:tcBorders>
          </w:tcPr>
          <w:p w14:paraId="1E878F88" w14:textId="77777777" w:rsidR="00931357" w:rsidRPr="00652991" w:rsidRDefault="00931357" w:rsidP="00931357">
            <w:pPr>
              <w:pStyle w:val="051Tabletext228pt"/>
              <w:rPr>
                <w:rFonts w:eastAsia="Calibri"/>
                <w:sz w:val="18"/>
                <w:szCs w:val="18"/>
              </w:rPr>
            </w:pPr>
            <w:r w:rsidRPr="00652991">
              <w:rPr>
                <w:sz w:val="18"/>
                <w:szCs w:val="18"/>
              </w:rPr>
              <w:t xml:space="preserve">NR </w:t>
            </w:r>
            <w:r w:rsidRPr="00652991">
              <w:rPr>
                <w:rFonts w:eastAsia="Calibri"/>
                <w:sz w:val="18"/>
                <w:szCs w:val="18"/>
              </w:rPr>
              <w:t>(back)</w:t>
            </w:r>
          </w:p>
          <w:p w14:paraId="769C1F08" w14:textId="519A191D" w:rsidR="00931357" w:rsidRPr="00652991" w:rsidRDefault="00931357" w:rsidP="00931357">
            <w:pPr>
              <w:pStyle w:val="051Tabletext228pt"/>
              <w:rPr>
                <w:sz w:val="18"/>
                <w:szCs w:val="18"/>
              </w:rPr>
            </w:pPr>
            <w:r w:rsidRPr="00652991">
              <w:rPr>
                <w:sz w:val="18"/>
                <w:szCs w:val="18"/>
              </w:rPr>
              <w:t>NR (leg)</w:t>
            </w:r>
          </w:p>
        </w:tc>
      </w:tr>
      <w:tr w:rsidR="00E2445A" w:rsidRPr="00652991" w14:paraId="4AF3A4F9" w14:textId="77777777" w:rsidTr="00931357">
        <w:tc>
          <w:tcPr>
            <w:tcW w:w="863" w:type="pct"/>
            <w:tcBorders>
              <w:bottom w:val="nil"/>
            </w:tcBorders>
          </w:tcPr>
          <w:p w14:paraId="0918FA6C" w14:textId="77777777" w:rsidR="00E2445A" w:rsidRPr="00652991" w:rsidRDefault="00E2445A" w:rsidP="0094031F">
            <w:pPr>
              <w:pStyle w:val="051Tabletext228pt"/>
              <w:rPr>
                <w:sz w:val="18"/>
                <w:szCs w:val="18"/>
              </w:rPr>
            </w:pPr>
            <w:r w:rsidRPr="00652991">
              <w:rPr>
                <w:sz w:val="18"/>
                <w:szCs w:val="18"/>
              </w:rPr>
              <w:t>Pain intensity (</w:t>
            </w:r>
            <w:r w:rsidRPr="00652991">
              <w:rPr>
                <w:rFonts w:cs="Calibri"/>
                <w:sz w:val="18"/>
                <w:szCs w:val="18"/>
              </w:rPr>
              <w:t>≥</w:t>
            </w:r>
            <w:r w:rsidRPr="00652991">
              <w:rPr>
                <w:sz w:val="18"/>
                <w:szCs w:val="18"/>
              </w:rPr>
              <w:t xml:space="preserve"> 50% relief)</w:t>
            </w:r>
          </w:p>
        </w:tc>
        <w:tc>
          <w:tcPr>
            <w:tcW w:w="535" w:type="pct"/>
            <w:gridSpan w:val="3"/>
            <w:tcBorders>
              <w:bottom w:val="dotted" w:sz="4" w:space="0" w:color="auto"/>
            </w:tcBorders>
          </w:tcPr>
          <w:p w14:paraId="1E4BB4CA" w14:textId="7CA5BFEA" w:rsidR="00E2445A" w:rsidRPr="00652991" w:rsidRDefault="004C7A81" w:rsidP="0094031F">
            <w:pPr>
              <w:pStyle w:val="051Tabletext228pt"/>
              <w:rPr>
                <w:sz w:val="18"/>
                <w:szCs w:val="18"/>
              </w:rPr>
            </w:pPr>
            <w:r w:rsidRPr="00652991">
              <w:rPr>
                <w:sz w:val="18"/>
                <w:szCs w:val="18"/>
              </w:rPr>
              <w:t>EVOKE</w:t>
            </w:r>
          </w:p>
        </w:tc>
        <w:tc>
          <w:tcPr>
            <w:tcW w:w="1009" w:type="pct"/>
            <w:gridSpan w:val="2"/>
            <w:tcBorders>
              <w:bottom w:val="dotted" w:sz="4" w:space="0" w:color="auto"/>
            </w:tcBorders>
          </w:tcPr>
          <w:p w14:paraId="53C037A9" w14:textId="65FE0CBD" w:rsidR="00E2445A" w:rsidRPr="00652991" w:rsidRDefault="0057088C"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83%</w:t>
            </w:r>
            <w:r w:rsidR="00AF263D" w:rsidRPr="00652991">
              <w:rPr>
                <w:rFonts w:ascii="AdvPSAED5" w:eastAsia="Calibri" w:hAnsi="AdvPSAED5" w:cs="AdvPSAED5"/>
                <w:sz w:val="18"/>
                <w:szCs w:val="18"/>
                <w:lang w:eastAsia="en-AU"/>
              </w:rPr>
              <w:t xml:space="preserve"> (</w:t>
            </w:r>
            <w:r w:rsidRPr="00652991">
              <w:rPr>
                <w:rFonts w:ascii="AdvPSAED5" w:eastAsia="Calibri" w:hAnsi="AdvPSAED5" w:cs="AdvPSAED5"/>
                <w:sz w:val="18"/>
                <w:szCs w:val="18"/>
                <w:lang w:eastAsia="en-AU"/>
              </w:rPr>
              <w:t>49/59</w:t>
            </w:r>
            <w:r w:rsidR="00AF263D" w:rsidRPr="00652991">
              <w:rPr>
                <w:rFonts w:ascii="AdvPSAED5" w:eastAsia="Calibri" w:hAnsi="AdvPSAED5" w:cs="AdvPSAED5"/>
                <w:sz w:val="18"/>
                <w:szCs w:val="18"/>
                <w:lang w:eastAsia="en-AU"/>
              </w:rPr>
              <w:t>)</w:t>
            </w:r>
          </w:p>
        </w:tc>
        <w:tc>
          <w:tcPr>
            <w:tcW w:w="986" w:type="pct"/>
            <w:tcBorders>
              <w:bottom w:val="dotted" w:sz="4" w:space="0" w:color="auto"/>
            </w:tcBorders>
          </w:tcPr>
          <w:p w14:paraId="5A38E8A7" w14:textId="444FFA2A" w:rsidR="00E2445A" w:rsidRPr="00652991" w:rsidRDefault="00AF263D"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 xml:space="preserve"> </w:t>
            </w:r>
            <w:r w:rsidR="0057088C" w:rsidRPr="00652991">
              <w:rPr>
                <w:rFonts w:ascii="AdvPSAED5" w:eastAsia="Calibri" w:hAnsi="AdvPSAED5" w:cs="AdvPSAED5"/>
                <w:sz w:val="18"/>
                <w:szCs w:val="18"/>
                <w:lang w:eastAsia="en-AU"/>
              </w:rPr>
              <w:t xml:space="preserve">61% </w:t>
            </w:r>
            <w:r w:rsidRPr="00652991">
              <w:rPr>
                <w:rFonts w:ascii="AdvPSAED5" w:eastAsia="Calibri" w:hAnsi="AdvPSAED5" w:cs="AdvPSAED5"/>
                <w:sz w:val="18"/>
                <w:szCs w:val="18"/>
                <w:lang w:eastAsia="en-AU"/>
              </w:rPr>
              <w:t>(</w:t>
            </w:r>
            <w:r w:rsidR="0057088C" w:rsidRPr="00652991">
              <w:rPr>
                <w:rFonts w:ascii="AdvPSAED5" w:eastAsia="Calibri" w:hAnsi="AdvPSAED5" w:cs="AdvPSAED5"/>
                <w:sz w:val="18"/>
                <w:szCs w:val="18"/>
                <w:lang w:eastAsia="en-AU"/>
              </w:rPr>
              <w:t>36/59</w:t>
            </w:r>
            <w:r w:rsidRPr="00652991">
              <w:rPr>
                <w:rFonts w:ascii="AdvPSAED5" w:eastAsia="Calibri" w:hAnsi="AdvPSAED5" w:cs="AdvPSAED5"/>
                <w:sz w:val="18"/>
                <w:szCs w:val="18"/>
                <w:lang w:eastAsia="en-AU"/>
              </w:rPr>
              <w:t>)</w:t>
            </w:r>
          </w:p>
        </w:tc>
        <w:tc>
          <w:tcPr>
            <w:tcW w:w="949" w:type="pct"/>
            <w:tcBorders>
              <w:bottom w:val="dotted" w:sz="4" w:space="0" w:color="auto"/>
            </w:tcBorders>
          </w:tcPr>
          <w:p w14:paraId="51C3E0AF" w14:textId="4D208D27" w:rsidR="00E2445A" w:rsidRPr="00652991" w:rsidRDefault="00CD27C0"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22∙0% (</w:t>
            </w:r>
            <w:r w:rsidR="0057088C" w:rsidRPr="00652991">
              <w:rPr>
                <w:rFonts w:ascii="AdvPSAED5" w:eastAsia="Calibri" w:hAnsi="AdvPSAED5" w:cs="AdvPSAED5"/>
                <w:sz w:val="18"/>
                <w:szCs w:val="18"/>
                <w:lang w:eastAsia="en-AU"/>
              </w:rPr>
              <w:t xml:space="preserve">95% CI: </w:t>
            </w:r>
            <w:r w:rsidRPr="00652991">
              <w:rPr>
                <w:rFonts w:ascii="AdvPSAED5" w:eastAsia="Calibri" w:hAnsi="AdvPSAED5" w:cs="AdvPSAED5"/>
                <w:sz w:val="18"/>
                <w:szCs w:val="18"/>
                <w:lang w:eastAsia="en-AU"/>
              </w:rPr>
              <w:t>6∙3 to 37∙7)</w:t>
            </w:r>
          </w:p>
        </w:tc>
        <w:tc>
          <w:tcPr>
            <w:tcW w:w="658" w:type="pct"/>
            <w:tcBorders>
              <w:bottom w:val="dotted" w:sz="4" w:space="0" w:color="auto"/>
            </w:tcBorders>
          </w:tcPr>
          <w:p w14:paraId="337C847E" w14:textId="6277EF0F" w:rsidR="00E2445A" w:rsidRPr="00652991" w:rsidRDefault="00E2445A" w:rsidP="0094031F">
            <w:pPr>
              <w:pStyle w:val="051Tabletext228pt"/>
              <w:rPr>
                <w:sz w:val="18"/>
                <w:szCs w:val="18"/>
              </w:rPr>
            </w:pPr>
            <w:r w:rsidRPr="00652991">
              <w:rPr>
                <w:sz w:val="18"/>
                <w:szCs w:val="18"/>
              </w:rPr>
              <w:t>P</w:t>
            </w:r>
            <w:r w:rsidR="00CD27C0" w:rsidRPr="00652991">
              <w:rPr>
                <w:sz w:val="18"/>
                <w:szCs w:val="18"/>
              </w:rPr>
              <w:t>=0∙0060</w:t>
            </w:r>
          </w:p>
        </w:tc>
      </w:tr>
      <w:tr w:rsidR="005A7741" w:rsidRPr="00652991" w14:paraId="1E58B62D" w14:textId="77777777" w:rsidTr="00931357">
        <w:tc>
          <w:tcPr>
            <w:tcW w:w="863" w:type="pct"/>
            <w:tcBorders>
              <w:top w:val="nil"/>
              <w:bottom w:val="single" w:sz="4" w:space="0" w:color="auto"/>
            </w:tcBorders>
          </w:tcPr>
          <w:p w14:paraId="41B84F9F" w14:textId="77777777" w:rsidR="005A7741" w:rsidRPr="00652991" w:rsidRDefault="005A7741" w:rsidP="0094031F">
            <w:pPr>
              <w:pStyle w:val="051Tabletext228pt"/>
              <w:rPr>
                <w:sz w:val="18"/>
                <w:szCs w:val="18"/>
              </w:rPr>
            </w:pPr>
          </w:p>
        </w:tc>
        <w:tc>
          <w:tcPr>
            <w:tcW w:w="535" w:type="pct"/>
            <w:gridSpan w:val="3"/>
            <w:tcBorders>
              <w:top w:val="dotted" w:sz="4" w:space="0" w:color="auto"/>
              <w:bottom w:val="single" w:sz="4" w:space="0" w:color="auto"/>
            </w:tcBorders>
          </w:tcPr>
          <w:p w14:paraId="56D354E9" w14:textId="512A77CE" w:rsidR="005A7741" w:rsidRPr="00652991" w:rsidRDefault="005A7741" w:rsidP="0094031F">
            <w:pPr>
              <w:pStyle w:val="051Tabletext228pt"/>
              <w:rPr>
                <w:sz w:val="18"/>
                <w:szCs w:val="18"/>
              </w:rPr>
            </w:pPr>
            <w:r w:rsidRPr="00652991">
              <w:rPr>
                <w:sz w:val="18"/>
                <w:szCs w:val="18"/>
              </w:rPr>
              <w:t>Fishman (20</w:t>
            </w:r>
            <w:r w:rsidR="00E544F3">
              <w:rPr>
                <w:sz w:val="18"/>
                <w:szCs w:val="18"/>
              </w:rPr>
              <w:t>21</w:t>
            </w:r>
            <w:r w:rsidRPr="00652991">
              <w:rPr>
                <w:sz w:val="18"/>
                <w:szCs w:val="18"/>
              </w:rPr>
              <w:t>)</w:t>
            </w:r>
          </w:p>
        </w:tc>
        <w:tc>
          <w:tcPr>
            <w:tcW w:w="1009" w:type="pct"/>
            <w:gridSpan w:val="2"/>
            <w:tcBorders>
              <w:top w:val="dotted" w:sz="4" w:space="0" w:color="auto"/>
              <w:bottom w:val="single" w:sz="4" w:space="0" w:color="auto"/>
            </w:tcBorders>
          </w:tcPr>
          <w:p w14:paraId="52C16F39" w14:textId="77777777" w:rsidR="005A7741" w:rsidRPr="00652991" w:rsidRDefault="000B255E">
            <w:pPr>
              <w:pStyle w:val="051Tabletext228pt"/>
              <w:rPr>
                <w:rFonts w:eastAsia="Calibri"/>
                <w:sz w:val="18"/>
                <w:szCs w:val="18"/>
              </w:rPr>
            </w:pPr>
            <w:r w:rsidRPr="00652991">
              <w:rPr>
                <w:sz w:val="18"/>
                <w:szCs w:val="18"/>
              </w:rPr>
              <w:t>83.7% (NR)</w:t>
            </w:r>
            <w:r w:rsidR="0076068B" w:rsidRPr="00652991">
              <w:rPr>
                <w:sz w:val="18"/>
                <w:szCs w:val="18"/>
              </w:rPr>
              <w:t xml:space="preserve"> </w:t>
            </w:r>
            <w:r w:rsidR="0076068B" w:rsidRPr="00652991">
              <w:rPr>
                <w:rFonts w:eastAsia="Calibri"/>
                <w:sz w:val="18"/>
                <w:szCs w:val="18"/>
              </w:rPr>
              <w:t>(back)</w:t>
            </w:r>
          </w:p>
          <w:p w14:paraId="046D59CC" w14:textId="5879E91F" w:rsidR="005A7741" w:rsidRPr="00652991" w:rsidRDefault="00D743B8"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80.0% (NR) (leg)</w:t>
            </w:r>
          </w:p>
        </w:tc>
        <w:tc>
          <w:tcPr>
            <w:tcW w:w="986" w:type="pct"/>
            <w:tcBorders>
              <w:top w:val="dotted" w:sz="4" w:space="0" w:color="auto"/>
              <w:bottom w:val="single" w:sz="4" w:space="0" w:color="auto"/>
            </w:tcBorders>
          </w:tcPr>
          <w:p w14:paraId="5B50109B" w14:textId="77777777" w:rsidR="005A7741" w:rsidRPr="00652991" w:rsidRDefault="000B255E">
            <w:pPr>
              <w:pStyle w:val="051Tabletext228pt"/>
              <w:rPr>
                <w:rFonts w:eastAsia="Calibri"/>
                <w:sz w:val="18"/>
                <w:szCs w:val="18"/>
              </w:rPr>
            </w:pPr>
            <w:r w:rsidRPr="00652991">
              <w:rPr>
                <w:rFonts w:ascii="AdvPSAED5" w:eastAsia="Calibri" w:hAnsi="AdvPSAED5" w:cs="AdvPSAED5"/>
                <w:sz w:val="18"/>
                <w:szCs w:val="18"/>
                <w:lang w:eastAsia="en-AU"/>
              </w:rPr>
              <w:t>51.1% (NR)</w:t>
            </w:r>
            <w:r w:rsidR="0076068B" w:rsidRPr="00652991">
              <w:rPr>
                <w:rFonts w:ascii="AdvPSAED5" w:eastAsia="Calibri" w:hAnsi="AdvPSAED5" w:cs="AdvPSAED5"/>
                <w:sz w:val="18"/>
                <w:szCs w:val="18"/>
                <w:lang w:eastAsia="en-AU"/>
              </w:rPr>
              <w:t xml:space="preserve"> </w:t>
            </w:r>
            <w:r w:rsidR="0076068B" w:rsidRPr="00652991">
              <w:rPr>
                <w:rFonts w:eastAsia="Calibri"/>
                <w:sz w:val="18"/>
                <w:szCs w:val="18"/>
              </w:rPr>
              <w:t>(back)</w:t>
            </w:r>
          </w:p>
          <w:p w14:paraId="721A90D7" w14:textId="27B978EB" w:rsidR="005A7741" w:rsidRPr="00652991" w:rsidRDefault="002D5E9C"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75.0% (NR) (leg)</w:t>
            </w:r>
          </w:p>
        </w:tc>
        <w:tc>
          <w:tcPr>
            <w:tcW w:w="949" w:type="pct"/>
            <w:tcBorders>
              <w:top w:val="dotted" w:sz="4" w:space="0" w:color="auto"/>
              <w:bottom w:val="single" w:sz="4" w:space="0" w:color="auto"/>
            </w:tcBorders>
          </w:tcPr>
          <w:p w14:paraId="4259E489" w14:textId="77777777" w:rsidR="005A7741" w:rsidRPr="00652991" w:rsidRDefault="004E4E3C">
            <w:pPr>
              <w:pStyle w:val="051Tabletext228pt"/>
              <w:rPr>
                <w:rFonts w:eastAsia="Calibri"/>
                <w:sz w:val="18"/>
                <w:szCs w:val="18"/>
              </w:rPr>
            </w:pPr>
            <w:r w:rsidRPr="00652991">
              <w:rPr>
                <w:rFonts w:ascii="AdvPSAED5" w:eastAsia="Calibri" w:hAnsi="AdvPSAED5" w:cs="AdvPSAED5"/>
                <w:sz w:val="18"/>
                <w:szCs w:val="18"/>
                <w:lang w:eastAsia="en-AU"/>
              </w:rPr>
              <w:t>32.6% (NR)</w:t>
            </w:r>
            <w:r w:rsidR="0076068B" w:rsidRPr="00652991">
              <w:rPr>
                <w:rFonts w:ascii="AdvPSAED5" w:eastAsia="Calibri" w:hAnsi="AdvPSAED5" w:cs="AdvPSAED5"/>
                <w:sz w:val="18"/>
                <w:szCs w:val="18"/>
                <w:lang w:eastAsia="en-AU"/>
              </w:rPr>
              <w:t xml:space="preserve"> </w:t>
            </w:r>
            <w:r w:rsidR="0076068B" w:rsidRPr="00652991">
              <w:rPr>
                <w:rFonts w:eastAsia="Calibri"/>
                <w:sz w:val="18"/>
                <w:szCs w:val="18"/>
              </w:rPr>
              <w:t>(back)</w:t>
            </w:r>
          </w:p>
          <w:p w14:paraId="00338EFB" w14:textId="741AB281" w:rsidR="005A7741" w:rsidRPr="00652991" w:rsidRDefault="002D5E9C"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rPr>
              <w:t>5.0% (NR) (leg)</w:t>
            </w:r>
          </w:p>
        </w:tc>
        <w:tc>
          <w:tcPr>
            <w:tcW w:w="658" w:type="pct"/>
            <w:tcBorders>
              <w:top w:val="dotted" w:sz="4" w:space="0" w:color="auto"/>
              <w:bottom w:val="single" w:sz="4" w:space="0" w:color="auto"/>
            </w:tcBorders>
          </w:tcPr>
          <w:p w14:paraId="6F0B3E13" w14:textId="77777777" w:rsidR="005A7741" w:rsidRPr="00652991" w:rsidRDefault="00A12578">
            <w:pPr>
              <w:pStyle w:val="051Tabletext228pt"/>
              <w:rPr>
                <w:rFonts w:eastAsia="Calibri"/>
                <w:sz w:val="18"/>
                <w:szCs w:val="18"/>
              </w:rPr>
            </w:pPr>
            <w:r w:rsidRPr="00652991">
              <w:rPr>
                <w:sz w:val="18"/>
                <w:szCs w:val="18"/>
              </w:rPr>
              <w:t xml:space="preserve">Significant (value </w:t>
            </w:r>
            <w:r w:rsidR="004E4E3C" w:rsidRPr="00652991">
              <w:rPr>
                <w:sz w:val="18"/>
                <w:szCs w:val="18"/>
              </w:rPr>
              <w:t>NR</w:t>
            </w:r>
            <w:r w:rsidRPr="00652991">
              <w:rPr>
                <w:sz w:val="18"/>
                <w:szCs w:val="18"/>
              </w:rPr>
              <w:t>)</w:t>
            </w:r>
            <w:r w:rsidR="0076068B" w:rsidRPr="00652991">
              <w:rPr>
                <w:sz w:val="18"/>
                <w:szCs w:val="18"/>
              </w:rPr>
              <w:t xml:space="preserve"> </w:t>
            </w:r>
            <w:r w:rsidR="0076068B" w:rsidRPr="00652991">
              <w:rPr>
                <w:rFonts w:eastAsia="Calibri"/>
                <w:sz w:val="18"/>
                <w:szCs w:val="18"/>
              </w:rPr>
              <w:t>(back)</w:t>
            </w:r>
          </w:p>
          <w:p w14:paraId="5500E4DC" w14:textId="3011501B" w:rsidR="005A7741" w:rsidRPr="00652991" w:rsidRDefault="002D5E9C" w:rsidP="0094031F">
            <w:pPr>
              <w:pStyle w:val="051Tabletext228pt"/>
              <w:rPr>
                <w:sz w:val="18"/>
                <w:szCs w:val="18"/>
              </w:rPr>
            </w:pPr>
            <w:r w:rsidRPr="00652991">
              <w:rPr>
                <w:sz w:val="18"/>
                <w:szCs w:val="18"/>
              </w:rPr>
              <w:t>NR (leg)</w:t>
            </w:r>
          </w:p>
        </w:tc>
      </w:tr>
      <w:tr w:rsidR="00EE1713" w:rsidRPr="00652991" w14:paraId="64DB6C08" w14:textId="77777777" w:rsidTr="00931357">
        <w:tc>
          <w:tcPr>
            <w:tcW w:w="863" w:type="pct"/>
            <w:tcBorders>
              <w:bottom w:val="nil"/>
            </w:tcBorders>
          </w:tcPr>
          <w:p w14:paraId="17E1C225" w14:textId="7A79CD26" w:rsidR="00EE1713" w:rsidRPr="00652991" w:rsidRDefault="00B22A48" w:rsidP="0094031F">
            <w:pPr>
              <w:pStyle w:val="051Tabletext228pt"/>
              <w:rPr>
                <w:sz w:val="18"/>
                <w:szCs w:val="18"/>
              </w:rPr>
            </w:pPr>
            <w:r w:rsidRPr="00652991">
              <w:rPr>
                <w:sz w:val="18"/>
                <w:szCs w:val="18"/>
              </w:rPr>
              <w:t>Dev</w:t>
            </w:r>
            <w:r w:rsidR="0090243A" w:rsidRPr="00652991">
              <w:rPr>
                <w:sz w:val="18"/>
                <w:szCs w:val="18"/>
              </w:rPr>
              <w:t>ice</w:t>
            </w:r>
            <w:r w:rsidR="00DB6800">
              <w:rPr>
                <w:sz w:val="18"/>
                <w:szCs w:val="18"/>
              </w:rPr>
              <w:t>-</w:t>
            </w:r>
            <w:bookmarkStart w:id="91" w:name="_Toc126153519"/>
            <w:r w:rsidR="0090243A" w:rsidRPr="00652991">
              <w:rPr>
                <w:sz w:val="18"/>
                <w:szCs w:val="18"/>
              </w:rPr>
              <w:t xml:space="preserve">related </w:t>
            </w:r>
            <w:r w:rsidR="005B64EB">
              <w:rPr>
                <w:sz w:val="18"/>
                <w:szCs w:val="18"/>
              </w:rPr>
              <w:t>A</w:t>
            </w:r>
            <w:r w:rsidR="005B64EB" w:rsidRPr="00652991">
              <w:rPr>
                <w:sz w:val="18"/>
                <w:szCs w:val="18"/>
              </w:rPr>
              <w:t>Es</w:t>
            </w:r>
          </w:p>
        </w:tc>
        <w:tc>
          <w:tcPr>
            <w:tcW w:w="535" w:type="pct"/>
            <w:gridSpan w:val="3"/>
            <w:tcBorders>
              <w:bottom w:val="dotted" w:sz="4" w:space="0" w:color="auto"/>
            </w:tcBorders>
          </w:tcPr>
          <w:p w14:paraId="4AE1B88B" w14:textId="5B729F39" w:rsidR="00EE1713" w:rsidRPr="00652991" w:rsidRDefault="0090243A" w:rsidP="0094031F">
            <w:pPr>
              <w:pStyle w:val="051Tabletext228pt"/>
              <w:rPr>
                <w:sz w:val="18"/>
                <w:szCs w:val="18"/>
              </w:rPr>
            </w:pPr>
            <w:r w:rsidRPr="00652991">
              <w:rPr>
                <w:sz w:val="18"/>
                <w:szCs w:val="18"/>
              </w:rPr>
              <w:t>EVOKE</w:t>
            </w:r>
          </w:p>
        </w:tc>
        <w:tc>
          <w:tcPr>
            <w:tcW w:w="1009" w:type="pct"/>
            <w:gridSpan w:val="2"/>
            <w:tcBorders>
              <w:bottom w:val="dotted" w:sz="4" w:space="0" w:color="auto"/>
            </w:tcBorders>
          </w:tcPr>
          <w:p w14:paraId="507181B0" w14:textId="3CC3A591" w:rsidR="00EE1713" w:rsidRPr="00652991" w:rsidRDefault="0090243A"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23</w:t>
            </w:r>
            <w:r w:rsidRPr="00652991" w:rsidDel="005B64EB">
              <w:rPr>
                <w:rFonts w:ascii="AdvPSAED5" w:eastAsia="Calibri" w:hAnsi="AdvPSAED5" w:cs="AdvPSAED5"/>
                <w:sz w:val="18"/>
                <w:szCs w:val="18"/>
                <w:lang w:eastAsia="en-AU"/>
              </w:rPr>
              <w:t xml:space="preserve"> </w:t>
            </w:r>
            <w:r w:rsidR="005B64EB">
              <w:rPr>
                <w:rFonts w:ascii="AdvPSAED5" w:eastAsia="Calibri" w:hAnsi="AdvPSAED5" w:cs="AdvPSAED5"/>
                <w:sz w:val="18"/>
                <w:szCs w:val="18"/>
                <w:lang w:eastAsia="en-AU"/>
              </w:rPr>
              <w:t>A</w:t>
            </w:r>
            <w:r w:rsidR="005B64EB" w:rsidRPr="00652991">
              <w:rPr>
                <w:rFonts w:ascii="AdvPSAED5" w:eastAsia="Calibri" w:hAnsi="AdvPSAED5" w:cs="AdvPSAED5"/>
                <w:sz w:val="18"/>
                <w:szCs w:val="18"/>
                <w:lang w:eastAsia="en-AU"/>
              </w:rPr>
              <w:t xml:space="preserve">Es </w:t>
            </w:r>
            <w:r w:rsidRPr="00652991">
              <w:rPr>
                <w:rFonts w:ascii="AdvPSAED5" w:eastAsia="Calibri" w:hAnsi="AdvPSAED5" w:cs="AdvPSAED5"/>
                <w:sz w:val="18"/>
                <w:szCs w:val="18"/>
                <w:lang w:eastAsia="en-AU"/>
              </w:rPr>
              <w:t>in 13 patients</w:t>
            </w:r>
            <w:r w:rsidR="00AF6FE1" w:rsidRPr="00652991">
              <w:rPr>
                <w:rFonts w:ascii="AdvPSAED5" w:eastAsia="Calibri" w:hAnsi="AdvPSAED5" w:cs="AdvPSAED5"/>
                <w:sz w:val="18"/>
                <w:szCs w:val="18"/>
                <w:lang w:eastAsia="en-AU"/>
              </w:rPr>
              <w:t xml:space="preserve"> (19% [95% CI</w:t>
            </w:r>
            <w:r w:rsidR="00BA50B7" w:rsidRPr="00652991">
              <w:rPr>
                <w:rFonts w:ascii="AdvPSAED5" w:eastAsia="Calibri" w:hAnsi="AdvPSAED5" w:cs="AdvPSAED5"/>
                <w:sz w:val="18"/>
                <w:szCs w:val="18"/>
                <w:lang w:eastAsia="en-AU"/>
              </w:rPr>
              <w:t>:</w:t>
            </w:r>
            <w:r w:rsidR="00AF6FE1" w:rsidRPr="00652991">
              <w:rPr>
                <w:rFonts w:ascii="AdvPSAED5" w:eastAsia="Calibri" w:hAnsi="AdvPSAED5" w:cs="AdvPSAED5"/>
                <w:sz w:val="18"/>
                <w:szCs w:val="18"/>
                <w:lang w:eastAsia="en-AU"/>
              </w:rPr>
              <w:t xml:space="preserve"> 10∙8–30∙9])</w:t>
            </w:r>
          </w:p>
        </w:tc>
        <w:tc>
          <w:tcPr>
            <w:tcW w:w="986" w:type="pct"/>
            <w:tcBorders>
              <w:bottom w:val="dotted" w:sz="4" w:space="0" w:color="auto"/>
            </w:tcBorders>
          </w:tcPr>
          <w:p w14:paraId="2D892AEF" w14:textId="570AEDAC" w:rsidR="00EE1713" w:rsidRPr="00652991" w:rsidRDefault="00AF6FE1"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11</w:t>
            </w:r>
            <w:r w:rsidRPr="00652991" w:rsidDel="005B64EB">
              <w:rPr>
                <w:rFonts w:ascii="AdvPSAED5" w:eastAsia="Calibri" w:hAnsi="AdvPSAED5" w:cs="AdvPSAED5"/>
                <w:sz w:val="18"/>
                <w:szCs w:val="18"/>
                <w:lang w:eastAsia="en-AU"/>
              </w:rPr>
              <w:t xml:space="preserve"> </w:t>
            </w:r>
            <w:r w:rsidR="005B64EB">
              <w:rPr>
                <w:rFonts w:ascii="AdvPSAED5" w:eastAsia="Calibri" w:hAnsi="AdvPSAED5" w:cs="AdvPSAED5"/>
                <w:sz w:val="18"/>
                <w:szCs w:val="18"/>
                <w:lang w:eastAsia="en-AU"/>
              </w:rPr>
              <w:t>A</w:t>
            </w:r>
            <w:r w:rsidR="005B64EB" w:rsidRPr="00652991">
              <w:rPr>
                <w:rFonts w:ascii="AdvPSAED5" w:eastAsia="Calibri" w:hAnsi="AdvPSAED5" w:cs="AdvPSAED5"/>
                <w:sz w:val="18"/>
                <w:szCs w:val="18"/>
                <w:lang w:eastAsia="en-AU"/>
              </w:rPr>
              <w:t xml:space="preserve">Es </w:t>
            </w:r>
            <w:r w:rsidRPr="00652991">
              <w:rPr>
                <w:rFonts w:ascii="AdvPSAED5" w:eastAsia="Calibri" w:hAnsi="AdvPSAED5" w:cs="AdvPSAED5"/>
                <w:sz w:val="18"/>
                <w:szCs w:val="18"/>
                <w:lang w:eastAsia="en-AU"/>
              </w:rPr>
              <w:t>in 11 patients (</w:t>
            </w:r>
            <w:r w:rsidR="005C52D0" w:rsidRPr="00652991">
              <w:rPr>
                <w:rFonts w:cs="ScalaLancetPro"/>
                <w:color w:val="000000"/>
                <w:sz w:val="18"/>
                <w:szCs w:val="18"/>
              </w:rPr>
              <w:t>16% [95% CI</w:t>
            </w:r>
            <w:r w:rsidR="00BA50B7" w:rsidRPr="00652991">
              <w:rPr>
                <w:rFonts w:cs="ScalaLancetPro"/>
                <w:color w:val="000000"/>
                <w:sz w:val="18"/>
                <w:szCs w:val="18"/>
              </w:rPr>
              <w:t>:</w:t>
            </w:r>
            <w:r w:rsidR="005C52D0" w:rsidRPr="00652991">
              <w:rPr>
                <w:rFonts w:cs="ScalaLancetPro"/>
                <w:color w:val="000000"/>
                <w:sz w:val="18"/>
                <w:szCs w:val="18"/>
              </w:rPr>
              <w:t>8∙5–27∙5])</w:t>
            </w:r>
          </w:p>
        </w:tc>
        <w:tc>
          <w:tcPr>
            <w:tcW w:w="949" w:type="pct"/>
            <w:tcBorders>
              <w:bottom w:val="dotted" w:sz="4" w:space="0" w:color="auto"/>
            </w:tcBorders>
          </w:tcPr>
          <w:p w14:paraId="0240DF2E" w14:textId="11DE84D9" w:rsidR="00EE1713" w:rsidRPr="00652991" w:rsidRDefault="00BA50B7" w:rsidP="0094031F">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w:t>
            </w:r>
          </w:p>
        </w:tc>
        <w:tc>
          <w:tcPr>
            <w:tcW w:w="658" w:type="pct"/>
            <w:tcBorders>
              <w:bottom w:val="dotted" w:sz="4" w:space="0" w:color="auto"/>
            </w:tcBorders>
          </w:tcPr>
          <w:p w14:paraId="0DBE9EB6" w14:textId="209B3F91" w:rsidR="00EE1713" w:rsidRPr="00652991" w:rsidRDefault="00BA50B7" w:rsidP="0094031F">
            <w:pPr>
              <w:pStyle w:val="051Tabletext228pt"/>
              <w:rPr>
                <w:sz w:val="18"/>
                <w:szCs w:val="18"/>
              </w:rPr>
            </w:pPr>
            <w:r w:rsidRPr="00652991">
              <w:rPr>
                <w:sz w:val="18"/>
                <w:szCs w:val="18"/>
              </w:rPr>
              <w:t>-</w:t>
            </w:r>
          </w:p>
        </w:tc>
      </w:tr>
      <w:tr w:rsidR="007E782D" w:rsidRPr="00652991" w14:paraId="3001F3FB" w14:textId="77777777" w:rsidTr="00931357">
        <w:tc>
          <w:tcPr>
            <w:tcW w:w="863" w:type="pct"/>
            <w:tcBorders>
              <w:top w:val="nil"/>
            </w:tcBorders>
          </w:tcPr>
          <w:p w14:paraId="67C0C16E" w14:textId="77777777" w:rsidR="007E782D" w:rsidRPr="00652991" w:rsidRDefault="007E782D">
            <w:pPr>
              <w:pStyle w:val="051Tabletext228pt"/>
              <w:rPr>
                <w:sz w:val="18"/>
                <w:szCs w:val="18"/>
              </w:rPr>
            </w:pPr>
          </w:p>
        </w:tc>
        <w:tc>
          <w:tcPr>
            <w:tcW w:w="535" w:type="pct"/>
            <w:gridSpan w:val="3"/>
            <w:tcBorders>
              <w:top w:val="dotted" w:sz="4" w:space="0" w:color="auto"/>
            </w:tcBorders>
          </w:tcPr>
          <w:p w14:paraId="68C97F76" w14:textId="224F7F16" w:rsidR="007E782D" w:rsidRPr="00652991" w:rsidRDefault="00273E8B">
            <w:pPr>
              <w:pStyle w:val="051Tabletext228pt"/>
              <w:rPr>
                <w:sz w:val="18"/>
                <w:szCs w:val="18"/>
              </w:rPr>
            </w:pPr>
            <w:r w:rsidRPr="00652991">
              <w:rPr>
                <w:sz w:val="18"/>
                <w:szCs w:val="18"/>
              </w:rPr>
              <w:t>Fishman (20</w:t>
            </w:r>
            <w:r w:rsidR="00E544F3">
              <w:rPr>
                <w:sz w:val="18"/>
                <w:szCs w:val="18"/>
              </w:rPr>
              <w:t>21</w:t>
            </w:r>
            <w:r w:rsidRPr="00652991">
              <w:rPr>
                <w:sz w:val="18"/>
                <w:szCs w:val="18"/>
              </w:rPr>
              <w:t>)</w:t>
            </w:r>
          </w:p>
        </w:tc>
        <w:tc>
          <w:tcPr>
            <w:tcW w:w="1009" w:type="pct"/>
            <w:gridSpan w:val="2"/>
            <w:tcBorders>
              <w:top w:val="dotted" w:sz="4" w:space="0" w:color="auto"/>
            </w:tcBorders>
          </w:tcPr>
          <w:p w14:paraId="152BBE4B" w14:textId="7001103A" w:rsidR="007E782D" w:rsidRPr="00652991" w:rsidRDefault="00B414E2">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4</w:t>
            </w:r>
            <w:r w:rsidRPr="00652991" w:rsidDel="005B64EB">
              <w:rPr>
                <w:rFonts w:ascii="AdvPSAED5" w:eastAsia="Calibri" w:hAnsi="AdvPSAED5" w:cs="AdvPSAED5"/>
                <w:sz w:val="18"/>
                <w:szCs w:val="18"/>
                <w:lang w:eastAsia="en-AU"/>
              </w:rPr>
              <w:t xml:space="preserve"> </w:t>
            </w:r>
            <w:r w:rsidR="005B64EB">
              <w:rPr>
                <w:rFonts w:ascii="AdvPSAED5" w:eastAsia="Calibri" w:hAnsi="AdvPSAED5" w:cs="AdvPSAED5"/>
                <w:sz w:val="18"/>
                <w:szCs w:val="18"/>
                <w:lang w:eastAsia="en-AU"/>
              </w:rPr>
              <w:t>A</w:t>
            </w:r>
            <w:r w:rsidR="005B64EB" w:rsidRPr="00652991">
              <w:rPr>
                <w:rFonts w:ascii="AdvPSAED5" w:eastAsia="Calibri" w:hAnsi="AdvPSAED5" w:cs="AdvPSAED5"/>
                <w:sz w:val="18"/>
                <w:szCs w:val="18"/>
                <w:lang w:eastAsia="en-AU"/>
              </w:rPr>
              <w:t xml:space="preserve">Es </w:t>
            </w:r>
            <w:r w:rsidR="00E162A2" w:rsidRPr="00652991">
              <w:rPr>
                <w:rFonts w:ascii="AdvPSAED5" w:eastAsia="Calibri" w:hAnsi="AdvPSAED5" w:cs="AdvPSAED5"/>
                <w:sz w:val="18"/>
                <w:szCs w:val="18"/>
                <w:lang w:eastAsia="en-AU"/>
              </w:rPr>
              <w:t>in 4</w:t>
            </w:r>
            <w:r w:rsidRPr="00652991">
              <w:rPr>
                <w:rFonts w:ascii="AdvPSAED5" w:eastAsia="Calibri" w:hAnsi="AdvPSAED5" w:cs="AdvPSAED5"/>
                <w:sz w:val="18"/>
                <w:szCs w:val="18"/>
                <w:lang w:eastAsia="en-AU"/>
              </w:rPr>
              <w:t xml:space="preserve"> patients</w:t>
            </w:r>
            <w:r w:rsidR="00E162A2" w:rsidRPr="00652991">
              <w:rPr>
                <w:rFonts w:ascii="AdvPSAED5" w:eastAsia="Calibri" w:hAnsi="AdvPSAED5" w:cs="AdvPSAED5"/>
                <w:sz w:val="18"/>
                <w:szCs w:val="18"/>
                <w:lang w:eastAsia="en-AU"/>
              </w:rPr>
              <w:t xml:space="preserve"> </w:t>
            </w:r>
            <w:r w:rsidRPr="00652991">
              <w:rPr>
                <w:rFonts w:ascii="AdvPSAED5" w:eastAsia="Calibri" w:hAnsi="AdvPSAED5" w:cs="AdvPSAED5"/>
                <w:sz w:val="18"/>
                <w:szCs w:val="18"/>
                <w:lang w:eastAsia="en-AU"/>
              </w:rPr>
              <w:t>(6%)</w:t>
            </w:r>
          </w:p>
        </w:tc>
        <w:tc>
          <w:tcPr>
            <w:tcW w:w="986" w:type="pct"/>
            <w:tcBorders>
              <w:top w:val="dotted" w:sz="4" w:space="0" w:color="auto"/>
            </w:tcBorders>
          </w:tcPr>
          <w:p w14:paraId="4A2FF05A" w14:textId="5112AC90" w:rsidR="007E782D" w:rsidRPr="00652991" w:rsidRDefault="00B91440">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8</w:t>
            </w:r>
            <w:r w:rsidRPr="00652991" w:rsidDel="005B64EB">
              <w:rPr>
                <w:rFonts w:ascii="AdvPSAED5" w:eastAsia="Calibri" w:hAnsi="AdvPSAED5" w:cs="AdvPSAED5"/>
                <w:sz w:val="18"/>
                <w:szCs w:val="18"/>
                <w:lang w:eastAsia="en-AU"/>
              </w:rPr>
              <w:t xml:space="preserve"> </w:t>
            </w:r>
            <w:r w:rsidR="005B64EB">
              <w:rPr>
                <w:rFonts w:ascii="AdvPSAED5" w:eastAsia="Calibri" w:hAnsi="AdvPSAED5" w:cs="AdvPSAED5"/>
                <w:sz w:val="18"/>
                <w:szCs w:val="18"/>
                <w:lang w:eastAsia="en-AU"/>
              </w:rPr>
              <w:t>A</w:t>
            </w:r>
            <w:r w:rsidR="005B64EB" w:rsidRPr="00652991">
              <w:rPr>
                <w:rFonts w:ascii="AdvPSAED5" w:eastAsia="Calibri" w:hAnsi="AdvPSAED5" w:cs="AdvPSAED5"/>
                <w:sz w:val="18"/>
                <w:szCs w:val="18"/>
                <w:lang w:eastAsia="en-AU"/>
              </w:rPr>
              <w:t xml:space="preserve">Es </w:t>
            </w:r>
            <w:r w:rsidR="00305868" w:rsidRPr="00652991">
              <w:rPr>
                <w:rFonts w:ascii="AdvPSAED5" w:eastAsia="Calibri" w:hAnsi="AdvPSAED5" w:cs="AdvPSAED5"/>
                <w:sz w:val="18"/>
                <w:szCs w:val="18"/>
                <w:lang w:eastAsia="en-AU"/>
              </w:rPr>
              <w:t xml:space="preserve">in 7 patients </w:t>
            </w:r>
            <w:r w:rsidRPr="00652991">
              <w:rPr>
                <w:rFonts w:ascii="AdvPSAED5" w:eastAsia="Calibri" w:hAnsi="AdvPSAED5" w:cs="AdvPSAED5"/>
                <w:sz w:val="18"/>
                <w:szCs w:val="18"/>
                <w:lang w:eastAsia="en-AU"/>
              </w:rPr>
              <w:t>(</w:t>
            </w:r>
            <w:r w:rsidR="00305868" w:rsidRPr="00652991">
              <w:rPr>
                <w:rFonts w:ascii="AdvPSAED5" w:eastAsia="Calibri" w:hAnsi="AdvPSAED5" w:cs="AdvPSAED5"/>
                <w:sz w:val="18"/>
                <w:szCs w:val="18"/>
                <w:lang w:eastAsia="en-AU"/>
              </w:rPr>
              <w:t>11.5%)</w:t>
            </w:r>
          </w:p>
        </w:tc>
        <w:tc>
          <w:tcPr>
            <w:tcW w:w="949" w:type="pct"/>
            <w:tcBorders>
              <w:top w:val="dotted" w:sz="4" w:space="0" w:color="auto"/>
            </w:tcBorders>
          </w:tcPr>
          <w:p w14:paraId="2C2493E0" w14:textId="1F3141C2" w:rsidR="007E782D" w:rsidRPr="00652991" w:rsidRDefault="0022036A">
            <w:pPr>
              <w:pStyle w:val="051Tabletext228pt"/>
              <w:rPr>
                <w:rFonts w:ascii="AdvPSAED5" w:eastAsia="Calibri" w:hAnsi="AdvPSAED5" w:cs="AdvPSAED5"/>
                <w:sz w:val="18"/>
                <w:szCs w:val="18"/>
                <w:lang w:eastAsia="en-AU"/>
              </w:rPr>
            </w:pPr>
            <w:r w:rsidRPr="00652991">
              <w:rPr>
                <w:rFonts w:ascii="AdvPSAED5" w:eastAsia="Calibri" w:hAnsi="AdvPSAED5" w:cs="AdvPSAED5"/>
                <w:sz w:val="18"/>
                <w:szCs w:val="18"/>
                <w:lang w:eastAsia="en-AU"/>
              </w:rPr>
              <w:t>-</w:t>
            </w:r>
          </w:p>
        </w:tc>
        <w:tc>
          <w:tcPr>
            <w:tcW w:w="658" w:type="pct"/>
            <w:tcBorders>
              <w:top w:val="dotted" w:sz="4" w:space="0" w:color="auto"/>
            </w:tcBorders>
          </w:tcPr>
          <w:p w14:paraId="1249B06D" w14:textId="3FB462A7" w:rsidR="007E782D" w:rsidRPr="00652991" w:rsidRDefault="0022036A">
            <w:pPr>
              <w:pStyle w:val="051Tabletext228pt"/>
              <w:rPr>
                <w:sz w:val="18"/>
                <w:szCs w:val="18"/>
              </w:rPr>
            </w:pPr>
            <w:r w:rsidRPr="00652991">
              <w:rPr>
                <w:sz w:val="18"/>
                <w:szCs w:val="18"/>
              </w:rPr>
              <w:t>-</w:t>
            </w:r>
          </w:p>
        </w:tc>
      </w:tr>
    </w:tbl>
    <w:p w14:paraId="2CEF7EA5" w14:textId="131C77EC" w:rsidR="00E2445A" w:rsidRPr="00C24840" w:rsidRDefault="00EC5AD0" w:rsidP="00CD47DC">
      <w:pPr>
        <w:pStyle w:val="101Tablefootnotes8pt"/>
      </w:pPr>
      <w:r w:rsidRPr="00EC5AD0">
        <w:t xml:space="preserve">Abbreviations: AE, adverse event; CI, confidence interval; MD, mean difference; NR, not reported; </w:t>
      </w:r>
      <w:r w:rsidR="00983ECD">
        <w:t xml:space="preserve">SCS, spinal cord stimulation; </w:t>
      </w:r>
      <w:r w:rsidRPr="00EC5AD0">
        <w:t>SD, standard deviation</w:t>
      </w:r>
    </w:p>
    <w:p w14:paraId="2D05F497" w14:textId="4181E4A9" w:rsidR="00CD47DC" w:rsidRPr="00CD47DC" w:rsidRDefault="00CD47DC" w:rsidP="00A31480">
      <w:pPr>
        <w:pStyle w:val="111Tablefootnoteslast-nostick8pt"/>
      </w:pPr>
      <w:r w:rsidRPr="00122C61">
        <w:t>a.</w:t>
      </w:r>
      <w:r>
        <w:t xml:space="preserve"> </w:t>
      </w:r>
      <w:proofErr w:type="spellStart"/>
      <w:r>
        <w:t>normalised</w:t>
      </w:r>
      <w:proofErr w:type="spellEnd"/>
      <w:r>
        <w:t xml:space="preserve"> to a 0-100 scale for comparison. O’Connell considered a 10 point difference clinically significant (O’Connell, 2021).</w:t>
      </w:r>
    </w:p>
    <w:p w14:paraId="77D359D7" w14:textId="6909B7BE" w:rsidR="00670DB2" w:rsidRDefault="00E72C85" w:rsidP="00670DB2">
      <w:pPr>
        <w:pStyle w:val="Heading3"/>
      </w:pPr>
      <w:bookmarkStart w:id="92" w:name="_Ref134458677"/>
      <w:bookmarkStart w:id="93" w:name="_Toc165634672"/>
      <w:bookmarkEnd w:id="91"/>
      <w:r>
        <w:t>Additional</w:t>
      </w:r>
      <w:r w:rsidR="00670DB2">
        <w:t xml:space="preserve"> </w:t>
      </w:r>
      <w:r>
        <w:t>n</w:t>
      </w:r>
      <w:r w:rsidR="00670DB2">
        <w:t>on-randomised comparative evidence</w:t>
      </w:r>
      <w:bookmarkEnd w:id="92"/>
      <w:bookmarkEnd w:id="93"/>
    </w:p>
    <w:p w14:paraId="7E59B785" w14:textId="256606AC" w:rsidR="00062442" w:rsidRDefault="00062442" w:rsidP="00670DB2">
      <w:pPr>
        <w:pStyle w:val="BodyText"/>
      </w:pPr>
      <w:r>
        <w:t xml:space="preserve">As SCS is a </w:t>
      </w:r>
      <w:r w:rsidR="00C8643B">
        <w:t>long-term</w:t>
      </w:r>
      <w:r>
        <w:t xml:space="preserve"> implanted device, appropriately adjusted non-randomised comparative studies </w:t>
      </w:r>
      <w:r w:rsidR="00554E5C">
        <w:t>may</w:t>
      </w:r>
      <w:r>
        <w:t xml:space="preserve"> provide additional information </w:t>
      </w:r>
      <w:r w:rsidR="00554E5C">
        <w:t>to inform the assessment of comparative effectiveness</w:t>
      </w:r>
      <w:r w:rsidR="00BC184C">
        <w:t>,</w:t>
      </w:r>
      <w:r w:rsidR="00C8643B">
        <w:t xml:space="preserve"> possibly overcoming some of the limitations of RCTs</w:t>
      </w:r>
      <w:r w:rsidR="00554E5C">
        <w:t xml:space="preserve">. </w:t>
      </w:r>
      <w:r w:rsidR="00634238">
        <w:t>These studies were identified from sponsor and stakeholder</w:t>
      </w:r>
      <w:r w:rsidR="00CE32A0">
        <w:t xml:space="preserve"> submission</w:t>
      </w:r>
      <w:r w:rsidR="00634238">
        <w:t xml:space="preserve">s. </w:t>
      </w:r>
    </w:p>
    <w:p w14:paraId="04DAA0A3" w14:textId="4D84D410" w:rsidR="005269F3" w:rsidRDefault="00670DB2" w:rsidP="005269F3">
      <w:pPr>
        <w:pStyle w:val="BodyText"/>
      </w:pPr>
      <w:r>
        <w:t xml:space="preserve">From the 255 studies identified for this </w:t>
      </w:r>
      <w:r w:rsidR="00762D78">
        <w:t>r</w:t>
      </w:r>
      <w:r>
        <w:t xml:space="preserve">eport (see </w:t>
      </w:r>
      <w:r w:rsidR="003E4E37">
        <w:t>Section</w:t>
      </w:r>
      <w:r>
        <w:t xml:space="preserve"> </w:t>
      </w:r>
      <w:r>
        <w:fldChar w:fldCharType="begin"/>
      </w:r>
      <w:r>
        <w:instrText xml:space="preserve"> REF _Ref134028222 \n \h </w:instrText>
      </w:r>
      <w:r>
        <w:fldChar w:fldCharType="separate"/>
      </w:r>
      <w:r w:rsidR="00CE6ACA">
        <w:t>C.1.2</w:t>
      </w:r>
      <w:r>
        <w:fldChar w:fldCharType="end"/>
      </w:r>
      <w:r>
        <w:t>), a total of five are non-randomised comparative cohort studies. Two are large registry studies (</w:t>
      </w:r>
      <w:r w:rsidRPr="003301A2">
        <w:t>Dhruva 2023</w:t>
      </w:r>
      <w:r>
        <w:t xml:space="preserve"> and Vu 2022) and three are </w:t>
      </w:r>
      <w:r>
        <w:lastRenderedPageBreak/>
        <w:t>multicentre studies</w:t>
      </w:r>
      <w:r w:rsidR="00645DAB">
        <w:t xml:space="preserve"> (Brill 2022; De Ridder 2015; </w:t>
      </w:r>
      <w:proofErr w:type="spellStart"/>
      <w:r w:rsidR="00645DAB">
        <w:t>Veizi</w:t>
      </w:r>
      <w:proofErr w:type="spellEnd"/>
      <w:r w:rsidR="00645DAB">
        <w:t xml:space="preserve"> 2017)</w:t>
      </w:r>
      <w:r>
        <w:rPr>
          <w:rStyle w:val="FootnoteReference"/>
        </w:rPr>
        <w:footnoteReference w:id="15"/>
      </w:r>
      <w:r w:rsidR="007957DE">
        <w:t>.</w:t>
      </w:r>
      <w:r>
        <w:t xml:space="preserve"> </w:t>
      </w:r>
      <w:r w:rsidR="005269F3">
        <w:t xml:space="preserve">These multi-institution studies provide little </w:t>
      </w:r>
      <w:r w:rsidR="008D0B91">
        <w:t>additional</w:t>
      </w:r>
      <w:r w:rsidR="005269F3">
        <w:t xml:space="preserve"> value in light of the available RCT evidence and are not considered further.</w:t>
      </w:r>
    </w:p>
    <w:p w14:paraId="32473655" w14:textId="77777777" w:rsidR="00670DB2" w:rsidRDefault="00670DB2" w:rsidP="00DD260A">
      <w:pPr>
        <w:pStyle w:val="Heading4"/>
      </w:pPr>
      <w:r>
        <w:t>Registry studies</w:t>
      </w:r>
    </w:p>
    <w:p w14:paraId="150C9034" w14:textId="50E49BB8" w:rsidR="00670DB2" w:rsidRDefault="00670DB2" w:rsidP="00670DB2">
      <w:pPr>
        <w:pStyle w:val="BodyText"/>
      </w:pPr>
      <w:r>
        <w:t xml:space="preserve">The </w:t>
      </w:r>
      <w:r w:rsidRPr="003301A2">
        <w:t>Dhruva 2023</w:t>
      </w:r>
      <w:r>
        <w:t xml:space="preserve"> registry study (</w:t>
      </w:r>
      <w:r w:rsidR="005630E5">
        <w:fldChar w:fldCharType="begin"/>
      </w:r>
      <w:r w:rsidR="005630E5">
        <w:instrText xml:space="preserve"> REF _Ref134972310 \h </w:instrText>
      </w:r>
      <w:r w:rsidR="005630E5">
        <w:fldChar w:fldCharType="separate"/>
      </w:r>
      <w:r w:rsidR="00CE6ACA">
        <w:t xml:space="preserve">Table </w:t>
      </w:r>
      <w:r w:rsidR="00CE6ACA">
        <w:rPr>
          <w:noProof/>
        </w:rPr>
        <w:t>17</w:t>
      </w:r>
      <w:r w:rsidR="005630E5">
        <w:fldChar w:fldCharType="end"/>
      </w:r>
      <w:r w:rsidR="000E1620">
        <w:t xml:space="preserve">) </w:t>
      </w:r>
      <w:r>
        <w:t xml:space="preserve">used data from the </w:t>
      </w:r>
      <w:r w:rsidRPr="005753D3">
        <w:t>Optum Labs Data Warehouse</w:t>
      </w:r>
      <w:r>
        <w:t xml:space="preserve"> in the USA and included patients with back and extremity pain of various aetiology. Patients who received SCS were compared with those who instead received (CMM): pharmacological; non-pharmacological; or surgical interventions. Confounding was addressed with propensity score matching that drew on an extensive range of variables. Cohorts were paired 1:5 (SCS vs no SCS). </w:t>
      </w:r>
    </w:p>
    <w:p w14:paraId="1E04E5BF" w14:textId="77777777" w:rsidR="00670DB2" w:rsidRDefault="00670DB2" w:rsidP="00670DB2">
      <w:pPr>
        <w:pStyle w:val="BodyText"/>
      </w:pPr>
      <w:r>
        <w:t>The primary outcomes were two pain surrogates:</w:t>
      </w:r>
    </w:p>
    <w:p w14:paraId="3CEE9579" w14:textId="02DAD583" w:rsidR="00670DB2" w:rsidRDefault="00300F6C" w:rsidP="00670DB2">
      <w:pPr>
        <w:pStyle w:val="Bulletpoint"/>
      </w:pPr>
      <w:r>
        <w:t>c</w:t>
      </w:r>
      <w:r w:rsidR="00670DB2" w:rsidRPr="00613BF8">
        <w:t>hronic opioid use</w:t>
      </w:r>
      <w:r w:rsidR="00670DB2">
        <w:t xml:space="preserve"> (greater than or equal to 120 days’ supply, or 10 or more fills)</w:t>
      </w:r>
    </w:p>
    <w:p w14:paraId="27E90891" w14:textId="203DAAD4" w:rsidR="00670DB2" w:rsidRDefault="00300F6C" w:rsidP="00670DB2">
      <w:pPr>
        <w:pStyle w:val="Bulletpoint"/>
      </w:pPr>
      <w:r>
        <w:t>e</w:t>
      </w:r>
      <w:r w:rsidR="00670DB2">
        <w:t>pidural and facet corticosteroid injection use.</w:t>
      </w:r>
    </w:p>
    <w:p w14:paraId="700F1690" w14:textId="78CF4F3F" w:rsidR="00670DB2" w:rsidRPr="00871B56" w:rsidRDefault="00670DB2" w:rsidP="00670DB2">
      <w:pPr>
        <w:pStyle w:val="BodyText"/>
        <w:rPr>
          <w:highlight w:val="yellow"/>
        </w:rPr>
      </w:pPr>
      <w:r>
        <w:t xml:space="preserve">Safety outcomes were captured for patients in the SCS group. They included lead/generator breakdown, displacement, infection or inflammation, and other mechanical </w:t>
      </w:r>
      <w:r w:rsidRPr="004712BA">
        <w:t>complications</w:t>
      </w:r>
      <w:r>
        <w:t xml:space="preserve"> which</w:t>
      </w:r>
      <w:r w:rsidRPr="004712BA">
        <w:t xml:space="preserve"> were separately analysed</w:t>
      </w:r>
      <w:r>
        <w:t>. Revisions and removals were also analysed separately: lead/generator revision; lead removal; and generator removal.</w:t>
      </w:r>
    </w:p>
    <w:p w14:paraId="0DE194D7" w14:textId="3FA42A8A" w:rsidR="00670DB2" w:rsidRDefault="00670DB2" w:rsidP="00670DB2">
      <w:pPr>
        <w:pStyle w:val="BodyText"/>
      </w:pPr>
      <w:r>
        <w:t>Follow</w:t>
      </w:r>
      <w:r w:rsidR="006541C2">
        <w:t>-</w:t>
      </w:r>
      <w:r>
        <w:t xml:space="preserve">up periods were the first year and the second year after index date. </w:t>
      </w:r>
    </w:p>
    <w:p w14:paraId="79B4C81A" w14:textId="5477AB38" w:rsidR="00A331E7" w:rsidRDefault="00A331E7" w:rsidP="00670DB2">
      <w:pPr>
        <w:pStyle w:val="BodyText"/>
      </w:pPr>
      <w:r>
        <w:t>The Vu 2022 registry study (</w:t>
      </w:r>
      <w:r>
        <w:fldChar w:fldCharType="begin"/>
      </w:r>
      <w:r>
        <w:instrText xml:space="preserve"> REF _Ref134972310 \h </w:instrText>
      </w:r>
      <w:r>
        <w:fldChar w:fldCharType="separate"/>
      </w:r>
      <w:r w:rsidR="00CE6ACA">
        <w:t xml:space="preserve">Table </w:t>
      </w:r>
      <w:r w:rsidR="00CE6ACA">
        <w:rPr>
          <w:noProof/>
        </w:rPr>
        <w:t>17</w:t>
      </w:r>
      <w:r>
        <w:fldChar w:fldCharType="end"/>
      </w:r>
      <w:r>
        <w:t xml:space="preserve">) used the </w:t>
      </w:r>
      <w:proofErr w:type="spellStart"/>
      <w:r>
        <w:t>TriNetX</w:t>
      </w:r>
      <w:proofErr w:type="spellEnd"/>
      <w:r>
        <w:t xml:space="preserve"> Diamond </w:t>
      </w:r>
      <w:r w:rsidR="00556BC4">
        <w:t>Network and</w:t>
      </w:r>
      <w:r>
        <w:t xml:space="preserve"> was restricted to patients with post</w:t>
      </w:r>
      <w:r w:rsidR="00A60D5E">
        <w:t>-laminectomy</w:t>
      </w:r>
      <w:r>
        <w:t xml:space="preserve"> syndrome (PLS). Two propensity score matched cohorts were defined – SCS or no SCS. Two opioid</w:t>
      </w:r>
      <w:r w:rsidR="003B335C">
        <w:t xml:space="preserve"> </w:t>
      </w:r>
      <w:r>
        <w:t>use outcomes were reported</w:t>
      </w:r>
      <w:r w:rsidR="00273FDF">
        <w:t>:</w:t>
      </w:r>
      <w:r>
        <w:t xml:space="preserve"> cessation of, or commencement of, long</w:t>
      </w:r>
      <w:r w:rsidR="0009380F">
        <w:t>-term</w:t>
      </w:r>
      <w:r>
        <w:t xml:space="preserve"> opioid therapy in the 12-month study periods (from 3 to 15 months post-SCS implantation or post-PLS index date). </w:t>
      </w:r>
    </w:p>
    <w:p w14:paraId="5FD55E0A" w14:textId="6869EFB4" w:rsidR="00E75C90" w:rsidRDefault="00E75C90" w:rsidP="00E75C90">
      <w:pPr>
        <w:pStyle w:val="Caption"/>
      </w:pPr>
      <w:bookmarkStart w:id="94" w:name="_Ref134972310"/>
      <w:r>
        <w:t xml:space="preserve">Table </w:t>
      </w:r>
      <w:fldSimple w:instr=" SEQ Table \* ARABIC ">
        <w:r w:rsidR="00CE6ACA">
          <w:rPr>
            <w:noProof/>
          </w:rPr>
          <w:t>17</w:t>
        </w:r>
      </w:fldSimple>
      <w:bookmarkEnd w:id="94"/>
      <w:r w:rsidRPr="00E75C90">
        <w:t xml:space="preserve"> </w:t>
      </w:r>
      <w:r>
        <w:tab/>
      </w:r>
      <w:r w:rsidRPr="00E75C90">
        <w:t>Characteristics of large, propensity matched comparative studies identified from stakeholder submissions</w:t>
      </w:r>
    </w:p>
    <w:tbl>
      <w:tblPr>
        <w:tblStyle w:val="TableGrid"/>
        <w:tblW w:w="0" w:type="auto"/>
        <w:tblLook w:val="04A0" w:firstRow="1" w:lastRow="0" w:firstColumn="1" w:lastColumn="0" w:noHBand="0" w:noVBand="1"/>
        <w:tblCaption w:val="Characteristics of large, propensity matched comparative sutides identified from stakeholder submissions"/>
        <w:tblDescription w:val="Table showing the tile, population and setting, and comparison, outcomes and follow-up of large, propensity matched comparative studies identified from stakeholder submissions."/>
      </w:tblPr>
      <w:tblGrid>
        <w:gridCol w:w="1029"/>
        <w:gridCol w:w="2161"/>
        <w:gridCol w:w="2210"/>
        <w:gridCol w:w="4238"/>
      </w:tblGrid>
      <w:tr w:rsidR="00AD5D0A" w:rsidRPr="00211F9F" w14:paraId="721CDD5C" w14:textId="77777777" w:rsidTr="00F329EB">
        <w:trPr>
          <w:cnfStyle w:val="100000000000" w:firstRow="1" w:lastRow="0" w:firstColumn="0" w:lastColumn="0" w:oddVBand="0" w:evenVBand="0" w:oddHBand="0" w:evenHBand="0" w:firstRowFirstColumn="0" w:firstRowLastColumn="0" w:lastRowFirstColumn="0" w:lastRowLastColumn="0"/>
        </w:trPr>
        <w:tc>
          <w:tcPr>
            <w:tcW w:w="1029" w:type="dxa"/>
            <w:tcBorders>
              <w:bottom w:val="single" w:sz="4" w:space="0" w:color="auto"/>
            </w:tcBorders>
          </w:tcPr>
          <w:p w14:paraId="525B8C7C" w14:textId="1E5D8BF7" w:rsidR="00AD5D0A" w:rsidRPr="00211F9F" w:rsidRDefault="00DC1452">
            <w:pPr>
              <w:pStyle w:val="011TableHeading8pt"/>
              <w:rPr>
                <w:sz w:val="18"/>
                <w:szCs w:val="18"/>
              </w:rPr>
            </w:pPr>
            <w:r>
              <w:rPr>
                <w:sz w:val="18"/>
                <w:szCs w:val="18"/>
              </w:rPr>
              <w:t>Study</w:t>
            </w:r>
            <w:r w:rsidR="00AD5D0A" w:rsidRPr="00211F9F">
              <w:rPr>
                <w:sz w:val="18"/>
                <w:szCs w:val="18"/>
              </w:rPr>
              <w:t xml:space="preserve"> ID</w:t>
            </w:r>
          </w:p>
        </w:tc>
        <w:tc>
          <w:tcPr>
            <w:tcW w:w="2161" w:type="dxa"/>
            <w:tcBorders>
              <w:bottom w:val="single" w:sz="4" w:space="0" w:color="auto"/>
            </w:tcBorders>
          </w:tcPr>
          <w:p w14:paraId="1D29451E" w14:textId="77777777" w:rsidR="00AD5D0A" w:rsidRPr="00211F9F" w:rsidRDefault="00AD5D0A">
            <w:pPr>
              <w:pStyle w:val="011TableHeading8pt"/>
              <w:rPr>
                <w:sz w:val="18"/>
                <w:szCs w:val="18"/>
              </w:rPr>
            </w:pPr>
            <w:r w:rsidRPr="00211F9F">
              <w:rPr>
                <w:sz w:val="18"/>
                <w:szCs w:val="18"/>
              </w:rPr>
              <w:t>Title</w:t>
            </w:r>
          </w:p>
        </w:tc>
        <w:tc>
          <w:tcPr>
            <w:tcW w:w="2210" w:type="dxa"/>
            <w:tcBorders>
              <w:bottom w:val="single" w:sz="4" w:space="0" w:color="auto"/>
            </w:tcBorders>
          </w:tcPr>
          <w:p w14:paraId="534D6218" w14:textId="77777777" w:rsidR="00AD5D0A" w:rsidRPr="00211F9F" w:rsidRDefault="00AD5D0A">
            <w:pPr>
              <w:pStyle w:val="011TableHeading8pt"/>
              <w:rPr>
                <w:sz w:val="18"/>
                <w:szCs w:val="18"/>
              </w:rPr>
            </w:pPr>
            <w:r w:rsidRPr="00211F9F">
              <w:rPr>
                <w:sz w:val="18"/>
                <w:szCs w:val="18"/>
              </w:rPr>
              <w:t>Population and setting</w:t>
            </w:r>
          </w:p>
        </w:tc>
        <w:tc>
          <w:tcPr>
            <w:tcW w:w="4238" w:type="dxa"/>
            <w:tcBorders>
              <w:bottom w:val="single" w:sz="4" w:space="0" w:color="auto"/>
            </w:tcBorders>
          </w:tcPr>
          <w:p w14:paraId="5AB91686" w14:textId="79EA8770" w:rsidR="00AD5D0A" w:rsidRPr="00211F9F" w:rsidRDefault="00AD5D0A">
            <w:pPr>
              <w:pStyle w:val="011TableHeading8pt"/>
              <w:rPr>
                <w:sz w:val="18"/>
                <w:szCs w:val="18"/>
              </w:rPr>
            </w:pPr>
            <w:r w:rsidRPr="00211F9F">
              <w:rPr>
                <w:sz w:val="18"/>
                <w:szCs w:val="18"/>
              </w:rPr>
              <w:t>Comparison, outcomes and follow</w:t>
            </w:r>
            <w:r w:rsidR="006541C2">
              <w:rPr>
                <w:sz w:val="18"/>
                <w:szCs w:val="18"/>
              </w:rPr>
              <w:t>-</w:t>
            </w:r>
            <w:r w:rsidRPr="00211F9F">
              <w:rPr>
                <w:sz w:val="18"/>
                <w:szCs w:val="18"/>
              </w:rPr>
              <w:t>up</w:t>
            </w:r>
          </w:p>
        </w:tc>
      </w:tr>
      <w:tr w:rsidR="00AD5D0A" w:rsidRPr="00211F9F" w14:paraId="450A6C61" w14:textId="77777777" w:rsidTr="00F329EB">
        <w:tc>
          <w:tcPr>
            <w:tcW w:w="1029" w:type="dxa"/>
            <w:tcBorders>
              <w:top w:val="single" w:sz="4" w:space="0" w:color="auto"/>
              <w:bottom w:val="nil"/>
            </w:tcBorders>
            <w:shd w:val="clear" w:color="auto" w:fill="D9D9D9" w:themeFill="background1" w:themeFillShade="D9"/>
          </w:tcPr>
          <w:p w14:paraId="5864FC85" w14:textId="77777777" w:rsidR="00AD5D0A" w:rsidRPr="00211F9F" w:rsidRDefault="00AD5D0A">
            <w:pPr>
              <w:pStyle w:val="031Tablesubheading8pt"/>
              <w:rPr>
                <w:sz w:val="18"/>
                <w:szCs w:val="18"/>
              </w:rPr>
            </w:pPr>
          </w:p>
        </w:tc>
        <w:tc>
          <w:tcPr>
            <w:tcW w:w="2161" w:type="dxa"/>
            <w:tcBorders>
              <w:top w:val="single" w:sz="4" w:space="0" w:color="auto"/>
              <w:bottom w:val="nil"/>
            </w:tcBorders>
            <w:shd w:val="clear" w:color="auto" w:fill="D9D9D9" w:themeFill="background1" w:themeFillShade="D9"/>
          </w:tcPr>
          <w:p w14:paraId="35385BF3" w14:textId="77777777" w:rsidR="00AD5D0A" w:rsidRPr="00211F9F" w:rsidRDefault="00AD5D0A">
            <w:pPr>
              <w:pStyle w:val="031Tablesubheading8pt"/>
              <w:rPr>
                <w:sz w:val="18"/>
                <w:szCs w:val="18"/>
              </w:rPr>
            </w:pPr>
            <w:r w:rsidRPr="00211F9F">
              <w:rPr>
                <w:sz w:val="18"/>
                <w:szCs w:val="18"/>
              </w:rPr>
              <w:t>Registry studies</w:t>
            </w:r>
          </w:p>
        </w:tc>
        <w:tc>
          <w:tcPr>
            <w:tcW w:w="2210" w:type="dxa"/>
            <w:tcBorders>
              <w:top w:val="single" w:sz="4" w:space="0" w:color="auto"/>
              <w:bottom w:val="nil"/>
            </w:tcBorders>
            <w:shd w:val="clear" w:color="auto" w:fill="D9D9D9" w:themeFill="background1" w:themeFillShade="D9"/>
          </w:tcPr>
          <w:p w14:paraId="4E2C46C1" w14:textId="77777777" w:rsidR="00AD5D0A" w:rsidRPr="00211F9F" w:rsidRDefault="00AD5D0A">
            <w:pPr>
              <w:pStyle w:val="031Tablesubheading8pt"/>
              <w:rPr>
                <w:sz w:val="18"/>
                <w:szCs w:val="18"/>
                <w:u w:val="single"/>
              </w:rPr>
            </w:pPr>
          </w:p>
        </w:tc>
        <w:tc>
          <w:tcPr>
            <w:tcW w:w="4238" w:type="dxa"/>
            <w:tcBorders>
              <w:top w:val="single" w:sz="4" w:space="0" w:color="auto"/>
              <w:bottom w:val="nil"/>
            </w:tcBorders>
            <w:shd w:val="clear" w:color="auto" w:fill="D9D9D9" w:themeFill="background1" w:themeFillShade="D9"/>
          </w:tcPr>
          <w:p w14:paraId="13A32CE9" w14:textId="77777777" w:rsidR="00AD5D0A" w:rsidRPr="00211F9F" w:rsidRDefault="00AD5D0A">
            <w:pPr>
              <w:pStyle w:val="031Tablesubheading8pt"/>
              <w:rPr>
                <w:sz w:val="18"/>
                <w:szCs w:val="18"/>
              </w:rPr>
            </w:pPr>
          </w:p>
        </w:tc>
      </w:tr>
      <w:tr w:rsidR="00AD5D0A" w:rsidRPr="00211F9F" w14:paraId="2C1F0CFC" w14:textId="77777777" w:rsidTr="00F329EB">
        <w:tc>
          <w:tcPr>
            <w:tcW w:w="1029" w:type="dxa"/>
            <w:tcBorders>
              <w:top w:val="nil"/>
              <w:bottom w:val="single" w:sz="4" w:space="0" w:color="auto"/>
            </w:tcBorders>
          </w:tcPr>
          <w:p w14:paraId="3BECB016" w14:textId="77777777" w:rsidR="00AD5D0A" w:rsidRPr="00211F9F" w:rsidRDefault="00AD5D0A">
            <w:pPr>
              <w:pStyle w:val="051Tabletext228pt"/>
              <w:rPr>
                <w:sz w:val="18"/>
                <w:szCs w:val="18"/>
              </w:rPr>
            </w:pPr>
            <w:r w:rsidRPr="00211F9F">
              <w:rPr>
                <w:sz w:val="18"/>
                <w:szCs w:val="18"/>
              </w:rPr>
              <w:t>Dhruva 2023</w:t>
            </w:r>
          </w:p>
        </w:tc>
        <w:tc>
          <w:tcPr>
            <w:tcW w:w="2161" w:type="dxa"/>
            <w:tcBorders>
              <w:top w:val="nil"/>
              <w:bottom w:val="single" w:sz="4" w:space="0" w:color="auto"/>
            </w:tcBorders>
          </w:tcPr>
          <w:p w14:paraId="022C1696" w14:textId="77777777" w:rsidR="00AD5D0A" w:rsidRPr="00211F9F" w:rsidRDefault="00AD5D0A">
            <w:pPr>
              <w:pStyle w:val="051Tabletext228pt"/>
              <w:rPr>
                <w:sz w:val="18"/>
                <w:szCs w:val="18"/>
              </w:rPr>
            </w:pPr>
            <w:r w:rsidRPr="00211F9F">
              <w:rPr>
                <w:sz w:val="18"/>
                <w:szCs w:val="18"/>
              </w:rPr>
              <w:t>Long-term Outcomes in Use of Opioids, Nonpharmacologic Pain Interventions, and Total Costs of Spinal Cord Stimulators Compared With Conventional Medical Therapy for Chronic Pain</w:t>
            </w:r>
          </w:p>
        </w:tc>
        <w:tc>
          <w:tcPr>
            <w:tcW w:w="2210" w:type="dxa"/>
            <w:tcBorders>
              <w:top w:val="nil"/>
              <w:bottom w:val="single" w:sz="4" w:space="0" w:color="auto"/>
            </w:tcBorders>
          </w:tcPr>
          <w:p w14:paraId="706B1CC1" w14:textId="355AC607" w:rsidR="00AD5D0A" w:rsidRPr="00211F9F" w:rsidRDefault="00AD5D0A">
            <w:pPr>
              <w:pStyle w:val="051Tabletext228pt"/>
              <w:rPr>
                <w:sz w:val="18"/>
                <w:szCs w:val="18"/>
              </w:rPr>
            </w:pPr>
            <w:r w:rsidRPr="00211F9F">
              <w:rPr>
                <w:sz w:val="18"/>
                <w:szCs w:val="18"/>
              </w:rPr>
              <w:t xml:space="preserve">Patients with </w:t>
            </w:r>
            <w:r w:rsidR="0052081E">
              <w:rPr>
                <w:sz w:val="18"/>
                <w:szCs w:val="18"/>
              </w:rPr>
              <w:t>FBSS</w:t>
            </w:r>
            <w:r w:rsidRPr="00211F9F">
              <w:rPr>
                <w:sz w:val="18"/>
                <w:szCs w:val="18"/>
              </w:rPr>
              <w:t xml:space="preserve">, </w:t>
            </w:r>
            <w:r w:rsidR="0052081E">
              <w:rPr>
                <w:sz w:val="18"/>
                <w:szCs w:val="18"/>
              </w:rPr>
              <w:t>CRPS</w:t>
            </w:r>
            <w:r w:rsidRPr="00211F9F">
              <w:rPr>
                <w:sz w:val="18"/>
                <w:szCs w:val="18"/>
              </w:rPr>
              <w:t>, chronic pain syndrome, and other chronic post</w:t>
            </w:r>
            <w:r w:rsidR="00A60D5E">
              <w:rPr>
                <w:sz w:val="18"/>
                <w:szCs w:val="18"/>
              </w:rPr>
              <w:t>-surgical</w:t>
            </w:r>
            <w:r w:rsidRPr="00211F9F">
              <w:rPr>
                <w:sz w:val="18"/>
                <w:szCs w:val="18"/>
              </w:rPr>
              <w:t xml:space="preserve"> back and extremity pain</w:t>
            </w:r>
          </w:p>
          <w:p w14:paraId="583B1505" w14:textId="77777777" w:rsidR="00AD5D0A" w:rsidRPr="00211F9F" w:rsidRDefault="00AD5D0A">
            <w:pPr>
              <w:pStyle w:val="061Tabletext628pt"/>
              <w:rPr>
                <w:sz w:val="18"/>
                <w:szCs w:val="18"/>
              </w:rPr>
            </w:pPr>
            <w:r w:rsidRPr="00211F9F">
              <w:rPr>
                <w:sz w:val="18"/>
                <w:szCs w:val="18"/>
              </w:rPr>
              <w:t>Optum Labs Data Warehouse, Oct 2015 to Aug 2020</w:t>
            </w:r>
          </w:p>
        </w:tc>
        <w:tc>
          <w:tcPr>
            <w:tcW w:w="4238" w:type="dxa"/>
            <w:tcBorders>
              <w:top w:val="nil"/>
              <w:bottom w:val="single" w:sz="4" w:space="0" w:color="auto"/>
            </w:tcBorders>
          </w:tcPr>
          <w:p w14:paraId="6DA249CA" w14:textId="77777777" w:rsidR="00AD5D0A" w:rsidRPr="00211F9F" w:rsidRDefault="00AD5D0A">
            <w:pPr>
              <w:pStyle w:val="051Tabletext228pt"/>
              <w:rPr>
                <w:sz w:val="18"/>
                <w:szCs w:val="18"/>
              </w:rPr>
            </w:pPr>
            <w:r w:rsidRPr="00211F9F">
              <w:rPr>
                <w:sz w:val="18"/>
                <w:szCs w:val="18"/>
              </w:rPr>
              <w:t>SCS (n=1,260) vs CMM (n=6,300) in propensity score matched sets (1:5) selected from original cohorts of 1,419 (SCS) and 91,307 (no SCS)</w:t>
            </w:r>
          </w:p>
          <w:p w14:paraId="05F5B695" w14:textId="77777777" w:rsidR="00AD5D0A" w:rsidRPr="00211F9F" w:rsidRDefault="00AD5D0A">
            <w:pPr>
              <w:pStyle w:val="061Tabletext628pt"/>
              <w:rPr>
                <w:sz w:val="18"/>
                <w:szCs w:val="18"/>
              </w:rPr>
            </w:pPr>
            <w:r w:rsidRPr="00211F9F">
              <w:rPr>
                <w:sz w:val="18"/>
                <w:szCs w:val="18"/>
              </w:rPr>
              <w:t>Outcomes:</w:t>
            </w:r>
          </w:p>
          <w:p w14:paraId="3E6A30B2" w14:textId="77777777" w:rsidR="00AD5D0A" w:rsidRPr="00211F9F" w:rsidRDefault="00AD5D0A">
            <w:pPr>
              <w:pStyle w:val="071Tablebullet8pt"/>
              <w:spacing w:before="0" w:after="0"/>
              <w:rPr>
                <w:sz w:val="18"/>
                <w:szCs w:val="18"/>
              </w:rPr>
            </w:pPr>
            <w:r w:rsidRPr="00211F9F">
              <w:rPr>
                <w:sz w:val="18"/>
                <w:szCs w:val="18"/>
              </w:rPr>
              <w:t xml:space="preserve">chronic opioid </w:t>
            </w:r>
            <w:proofErr w:type="spellStart"/>
            <w:r w:rsidRPr="00211F9F">
              <w:rPr>
                <w:sz w:val="18"/>
                <w:szCs w:val="18"/>
              </w:rPr>
              <w:t>use</w:t>
            </w:r>
            <w:r w:rsidRPr="00211F9F">
              <w:rPr>
                <w:sz w:val="18"/>
                <w:szCs w:val="18"/>
                <w:vertAlign w:val="superscript"/>
              </w:rPr>
              <w:t>a</w:t>
            </w:r>
            <w:proofErr w:type="spellEnd"/>
            <w:r w:rsidRPr="00211F9F">
              <w:rPr>
                <w:sz w:val="18"/>
                <w:szCs w:val="18"/>
              </w:rPr>
              <w:t xml:space="preserve">; </w:t>
            </w:r>
          </w:p>
          <w:p w14:paraId="0ADAE9D8" w14:textId="77777777" w:rsidR="00AD5D0A" w:rsidRPr="00211F9F" w:rsidRDefault="00AD5D0A">
            <w:pPr>
              <w:pStyle w:val="071Tablebullet8pt"/>
              <w:spacing w:before="0" w:after="0"/>
              <w:rPr>
                <w:sz w:val="18"/>
                <w:szCs w:val="18"/>
              </w:rPr>
            </w:pPr>
            <w:r w:rsidRPr="00211F9F">
              <w:rPr>
                <w:sz w:val="18"/>
                <w:szCs w:val="18"/>
              </w:rPr>
              <w:t xml:space="preserve">epidural and facet corticosteroid injection use; </w:t>
            </w:r>
          </w:p>
          <w:p w14:paraId="0B49BA65" w14:textId="77777777" w:rsidR="00AD5D0A" w:rsidRPr="00211F9F" w:rsidRDefault="00AD5D0A">
            <w:pPr>
              <w:pStyle w:val="071Tablebullet8pt"/>
              <w:spacing w:before="0" w:after="0"/>
              <w:rPr>
                <w:sz w:val="18"/>
                <w:szCs w:val="18"/>
              </w:rPr>
            </w:pPr>
            <w:r w:rsidRPr="00211F9F">
              <w:rPr>
                <w:sz w:val="18"/>
                <w:szCs w:val="18"/>
              </w:rPr>
              <w:t xml:space="preserve">other treatments, incl new spine </w:t>
            </w:r>
            <w:proofErr w:type="spellStart"/>
            <w:r w:rsidRPr="00211F9F">
              <w:rPr>
                <w:sz w:val="18"/>
                <w:szCs w:val="18"/>
              </w:rPr>
              <w:t>surgery</w:t>
            </w:r>
            <w:r w:rsidRPr="00211F9F">
              <w:rPr>
                <w:sz w:val="18"/>
                <w:szCs w:val="18"/>
                <w:vertAlign w:val="superscript"/>
              </w:rPr>
              <w:t>b</w:t>
            </w:r>
            <w:proofErr w:type="spellEnd"/>
            <w:r w:rsidRPr="00211F9F">
              <w:rPr>
                <w:sz w:val="18"/>
                <w:szCs w:val="18"/>
              </w:rPr>
              <w:t>;</w:t>
            </w:r>
          </w:p>
          <w:p w14:paraId="26806DA4" w14:textId="77777777" w:rsidR="00AD5D0A" w:rsidRPr="00211F9F" w:rsidRDefault="00AD5D0A">
            <w:pPr>
              <w:pStyle w:val="071Tablebullet8pt"/>
              <w:spacing w:before="0" w:after="0"/>
              <w:rPr>
                <w:sz w:val="18"/>
                <w:szCs w:val="18"/>
              </w:rPr>
            </w:pPr>
            <w:r w:rsidRPr="00211F9F">
              <w:rPr>
                <w:sz w:val="18"/>
                <w:szCs w:val="18"/>
              </w:rPr>
              <w:t>healthcare utilisation and costs;</w:t>
            </w:r>
          </w:p>
          <w:p w14:paraId="27FAE1DB" w14:textId="77777777" w:rsidR="00AD5D0A" w:rsidRPr="00211F9F" w:rsidRDefault="00AD5D0A">
            <w:pPr>
              <w:pStyle w:val="071Tablebullet8pt"/>
              <w:spacing w:before="0" w:after="0"/>
              <w:rPr>
                <w:sz w:val="18"/>
                <w:szCs w:val="18"/>
              </w:rPr>
            </w:pPr>
            <w:r w:rsidRPr="00211F9F">
              <w:rPr>
                <w:sz w:val="18"/>
                <w:szCs w:val="18"/>
              </w:rPr>
              <w:t>complications.</w:t>
            </w:r>
          </w:p>
          <w:p w14:paraId="5EB747A7" w14:textId="766BDB92" w:rsidR="00AD5D0A" w:rsidRPr="00211F9F" w:rsidRDefault="00AD5D0A">
            <w:pPr>
              <w:pStyle w:val="061Tabletext628pt"/>
              <w:rPr>
                <w:sz w:val="18"/>
                <w:szCs w:val="18"/>
              </w:rPr>
            </w:pPr>
            <w:r w:rsidRPr="00211F9F">
              <w:rPr>
                <w:sz w:val="18"/>
                <w:szCs w:val="18"/>
              </w:rPr>
              <w:t xml:space="preserve">Time points: 12 &amp; 24 months </w:t>
            </w:r>
            <w:r w:rsidRPr="00211F9F">
              <w:rPr>
                <w:sz w:val="18"/>
                <w:szCs w:val="18"/>
              </w:rPr>
              <w:br/>
              <w:t>(min follow</w:t>
            </w:r>
            <w:r w:rsidR="006541C2">
              <w:rPr>
                <w:sz w:val="18"/>
                <w:szCs w:val="18"/>
              </w:rPr>
              <w:t>-</w:t>
            </w:r>
            <w:r w:rsidRPr="00211F9F">
              <w:rPr>
                <w:sz w:val="18"/>
                <w:szCs w:val="18"/>
              </w:rPr>
              <w:t>up 12 months)</w:t>
            </w:r>
          </w:p>
        </w:tc>
      </w:tr>
      <w:tr w:rsidR="00AD5D0A" w:rsidRPr="00211F9F" w14:paraId="44329704" w14:textId="77777777" w:rsidTr="00F329EB">
        <w:tc>
          <w:tcPr>
            <w:tcW w:w="1029" w:type="dxa"/>
            <w:tcBorders>
              <w:top w:val="single" w:sz="4" w:space="0" w:color="auto"/>
            </w:tcBorders>
          </w:tcPr>
          <w:p w14:paraId="3E41EFB8" w14:textId="7CEE9307" w:rsidR="00AD5D0A" w:rsidRPr="00211F9F" w:rsidRDefault="00AD5D0A">
            <w:pPr>
              <w:pStyle w:val="051Tabletext228pt"/>
              <w:rPr>
                <w:sz w:val="18"/>
                <w:szCs w:val="18"/>
              </w:rPr>
            </w:pPr>
            <w:r w:rsidRPr="00211F9F">
              <w:rPr>
                <w:sz w:val="18"/>
                <w:szCs w:val="18"/>
              </w:rPr>
              <w:t>Vu 2022</w:t>
            </w:r>
          </w:p>
        </w:tc>
        <w:tc>
          <w:tcPr>
            <w:tcW w:w="2161" w:type="dxa"/>
            <w:tcBorders>
              <w:top w:val="single" w:sz="4" w:space="0" w:color="auto"/>
            </w:tcBorders>
          </w:tcPr>
          <w:p w14:paraId="02964D53" w14:textId="22D378DC" w:rsidR="00AD5D0A" w:rsidRPr="00211F9F" w:rsidRDefault="00AD5D0A">
            <w:pPr>
              <w:pStyle w:val="051Tabletext228pt"/>
              <w:rPr>
                <w:sz w:val="18"/>
                <w:szCs w:val="18"/>
              </w:rPr>
            </w:pPr>
            <w:r w:rsidRPr="00211F9F">
              <w:rPr>
                <w:sz w:val="18"/>
                <w:szCs w:val="18"/>
              </w:rPr>
              <w:t>Association of Spinal Cord Stimulator Implantation with Persistent Opioid Use in Patients with Post</w:t>
            </w:r>
            <w:r w:rsidR="00A60D5E">
              <w:rPr>
                <w:sz w:val="18"/>
                <w:szCs w:val="18"/>
              </w:rPr>
              <w:t>-laminectomy</w:t>
            </w:r>
            <w:r w:rsidRPr="00211F9F">
              <w:rPr>
                <w:sz w:val="18"/>
                <w:szCs w:val="18"/>
              </w:rPr>
              <w:t xml:space="preserve"> Syndrome</w:t>
            </w:r>
          </w:p>
        </w:tc>
        <w:tc>
          <w:tcPr>
            <w:tcW w:w="2210" w:type="dxa"/>
            <w:tcBorders>
              <w:top w:val="single" w:sz="4" w:space="0" w:color="auto"/>
            </w:tcBorders>
          </w:tcPr>
          <w:p w14:paraId="5B2116B5" w14:textId="77777777" w:rsidR="00AD5D0A" w:rsidRPr="00211F9F" w:rsidRDefault="00AD5D0A">
            <w:pPr>
              <w:pStyle w:val="051Tabletext228pt"/>
              <w:rPr>
                <w:sz w:val="18"/>
                <w:szCs w:val="18"/>
              </w:rPr>
            </w:pPr>
            <w:r w:rsidRPr="00211F9F">
              <w:rPr>
                <w:sz w:val="18"/>
                <w:szCs w:val="18"/>
              </w:rPr>
              <w:t>Patients with PLS</w:t>
            </w:r>
          </w:p>
          <w:p w14:paraId="1F710862" w14:textId="77777777" w:rsidR="00AD5D0A" w:rsidRPr="00211F9F" w:rsidRDefault="00AD5D0A">
            <w:pPr>
              <w:pStyle w:val="061Tabletext628pt"/>
              <w:rPr>
                <w:sz w:val="18"/>
                <w:szCs w:val="18"/>
              </w:rPr>
            </w:pPr>
            <w:proofErr w:type="spellStart"/>
            <w:r w:rsidRPr="00211F9F">
              <w:rPr>
                <w:sz w:val="18"/>
                <w:szCs w:val="18"/>
              </w:rPr>
              <w:t>TriNetX</w:t>
            </w:r>
            <w:proofErr w:type="spellEnd"/>
            <w:r w:rsidRPr="00211F9F">
              <w:rPr>
                <w:sz w:val="18"/>
                <w:szCs w:val="18"/>
              </w:rPr>
              <w:t xml:space="preserve"> Diamond database, May-Aug 2021</w:t>
            </w:r>
          </w:p>
        </w:tc>
        <w:tc>
          <w:tcPr>
            <w:tcW w:w="4238" w:type="dxa"/>
            <w:tcBorders>
              <w:top w:val="single" w:sz="4" w:space="0" w:color="auto"/>
            </w:tcBorders>
          </w:tcPr>
          <w:p w14:paraId="4E5B4DED" w14:textId="77777777" w:rsidR="00AD5D0A" w:rsidRPr="00211F9F" w:rsidRDefault="00AD5D0A">
            <w:pPr>
              <w:pStyle w:val="051Tabletext228pt"/>
              <w:rPr>
                <w:sz w:val="18"/>
                <w:szCs w:val="18"/>
              </w:rPr>
            </w:pPr>
            <w:r w:rsidRPr="00211F9F">
              <w:rPr>
                <w:sz w:val="18"/>
                <w:szCs w:val="18"/>
              </w:rPr>
              <w:t xml:space="preserve">Any SCS modality (n=17,334) </w:t>
            </w:r>
          </w:p>
          <w:p w14:paraId="1FC94B06" w14:textId="77777777" w:rsidR="00AD5D0A" w:rsidRPr="00211F9F" w:rsidRDefault="00AD5D0A">
            <w:pPr>
              <w:pStyle w:val="051Tabletext228pt"/>
              <w:rPr>
                <w:sz w:val="18"/>
                <w:szCs w:val="18"/>
              </w:rPr>
            </w:pPr>
            <w:r w:rsidRPr="00211F9F">
              <w:rPr>
                <w:sz w:val="18"/>
                <w:szCs w:val="18"/>
              </w:rPr>
              <w:t>vs</w:t>
            </w:r>
          </w:p>
          <w:p w14:paraId="084FFB6D" w14:textId="06B3AFB6" w:rsidR="00AD5D0A" w:rsidRPr="00211F9F" w:rsidRDefault="00AD5D0A">
            <w:pPr>
              <w:pStyle w:val="051Tabletext228pt"/>
              <w:rPr>
                <w:sz w:val="18"/>
                <w:szCs w:val="18"/>
              </w:rPr>
            </w:pPr>
            <w:r w:rsidRPr="00211F9F">
              <w:rPr>
                <w:sz w:val="18"/>
                <w:szCs w:val="18"/>
              </w:rPr>
              <w:t>no SCS (</w:t>
            </w:r>
            <w:r w:rsidR="008F63E6">
              <w:rPr>
                <w:sz w:val="18"/>
                <w:szCs w:val="18"/>
              </w:rPr>
              <w:t>n=</w:t>
            </w:r>
            <w:r w:rsidRPr="00211F9F">
              <w:rPr>
                <w:sz w:val="18"/>
                <w:szCs w:val="18"/>
              </w:rPr>
              <w:t xml:space="preserve">173,328) </w:t>
            </w:r>
          </w:p>
          <w:p w14:paraId="7F6D3AB1" w14:textId="77777777" w:rsidR="00AD5D0A" w:rsidRPr="00211F9F" w:rsidRDefault="00AD5D0A">
            <w:pPr>
              <w:pStyle w:val="051Tabletext228pt"/>
              <w:rPr>
                <w:sz w:val="18"/>
                <w:szCs w:val="18"/>
              </w:rPr>
            </w:pPr>
            <w:r w:rsidRPr="00211F9F">
              <w:rPr>
                <w:sz w:val="18"/>
                <w:szCs w:val="18"/>
              </w:rPr>
              <w:t>Propensity score matched sets (1:10)</w:t>
            </w:r>
            <w:r w:rsidRPr="00211F9F">
              <w:rPr>
                <w:sz w:val="18"/>
                <w:szCs w:val="18"/>
                <w:vertAlign w:val="superscript"/>
              </w:rPr>
              <w:t>c</w:t>
            </w:r>
            <w:r w:rsidRPr="00211F9F">
              <w:rPr>
                <w:sz w:val="18"/>
                <w:szCs w:val="18"/>
              </w:rPr>
              <w:t xml:space="preserve"> selected from original cohorts of 26,179 (SCS) and 526,758 (no SCS)</w:t>
            </w:r>
          </w:p>
          <w:p w14:paraId="1C719E0D" w14:textId="25D05D79" w:rsidR="00AD5D0A" w:rsidRPr="00211F9F" w:rsidRDefault="00AD5D0A">
            <w:pPr>
              <w:pStyle w:val="061Tabletext628pt"/>
              <w:rPr>
                <w:sz w:val="18"/>
                <w:szCs w:val="18"/>
              </w:rPr>
            </w:pPr>
            <w:r w:rsidRPr="00211F9F">
              <w:rPr>
                <w:sz w:val="18"/>
                <w:szCs w:val="18"/>
              </w:rPr>
              <w:t xml:space="preserve">Cessation of, or prevention of initiating, long-term opioid use, defined as </w:t>
            </w:r>
            <w:r w:rsidRPr="00211F9F">
              <w:rPr>
                <w:rFonts w:cs="Calibri"/>
                <w:sz w:val="18"/>
                <w:szCs w:val="18"/>
              </w:rPr>
              <w:t>≥</w:t>
            </w:r>
            <w:r w:rsidRPr="00211F9F">
              <w:rPr>
                <w:sz w:val="18"/>
                <w:szCs w:val="18"/>
              </w:rPr>
              <w:t>6 scripts within 12-month follow</w:t>
            </w:r>
            <w:r w:rsidR="006541C2">
              <w:rPr>
                <w:sz w:val="18"/>
                <w:szCs w:val="18"/>
              </w:rPr>
              <w:t>-</w:t>
            </w:r>
            <w:r w:rsidRPr="00211F9F">
              <w:rPr>
                <w:sz w:val="18"/>
                <w:szCs w:val="18"/>
              </w:rPr>
              <w:t>up period (3-15 months after implantation/index date)</w:t>
            </w:r>
          </w:p>
        </w:tc>
      </w:tr>
    </w:tbl>
    <w:p w14:paraId="34BCF12E" w14:textId="76EDB7E8" w:rsidR="005269F3" w:rsidRPr="00951E73" w:rsidRDefault="005269F3" w:rsidP="005269F3">
      <w:pPr>
        <w:pStyle w:val="101Tablefootnotes8pt"/>
        <w:rPr>
          <w:lang w:val="en-US"/>
        </w:rPr>
      </w:pPr>
      <w:r>
        <w:rPr>
          <w:lang w:val="en-US"/>
        </w:rPr>
        <w:lastRenderedPageBreak/>
        <w:t xml:space="preserve">Abbreviations: CMM, conventional medical management; </w:t>
      </w:r>
      <w:r w:rsidR="00E11B55">
        <w:rPr>
          <w:lang w:val="en-US"/>
        </w:rPr>
        <w:t xml:space="preserve">CRPS, complex regional pain syndrome; </w:t>
      </w:r>
      <w:r w:rsidR="00432A94">
        <w:rPr>
          <w:lang w:val="en-US"/>
        </w:rPr>
        <w:t xml:space="preserve">FBSS, failed </w:t>
      </w:r>
      <w:r w:rsidR="00E11B55">
        <w:rPr>
          <w:lang w:val="en-US"/>
        </w:rPr>
        <w:t>back surgery syndrome</w:t>
      </w:r>
      <w:r>
        <w:rPr>
          <w:lang w:val="en-US"/>
        </w:rPr>
        <w:t>; PLS, post</w:t>
      </w:r>
      <w:r w:rsidR="00A60D5E">
        <w:rPr>
          <w:lang w:val="en-US"/>
        </w:rPr>
        <w:t>-laminectomy</w:t>
      </w:r>
      <w:r>
        <w:rPr>
          <w:lang w:val="en-US"/>
        </w:rPr>
        <w:t xml:space="preserve"> syndrome; SCS, spinal cord stimulation; vs, versus</w:t>
      </w:r>
      <w:r>
        <w:rPr>
          <w:lang w:val="en-US"/>
        </w:rPr>
        <w:br/>
      </w:r>
      <w:r>
        <w:rPr>
          <w:b/>
          <w:bCs/>
          <w:lang w:val="en-US"/>
        </w:rPr>
        <w:t>a</w:t>
      </w:r>
      <w:r>
        <w:rPr>
          <w:lang w:val="en-US"/>
        </w:rPr>
        <w:t xml:space="preserve"> </w:t>
      </w:r>
      <w:r w:rsidRPr="00FB4CCE">
        <w:rPr>
          <w:lang w:val="en-US"/>
        </w:rPr>
        <w:t>Defined as total length of opioid possession of 90 days or longer with either (1) greater than or equal to 120 days’ supply or (2) 10 or more fills</w:t>
      </w:r>
      <w:r>
        <w:rPr>
          <w:lang w:val="en-US"/>
        </w:rPr>
        <w:br/>
      </w:r>
      <w:r>
        <w:rPr>
          <w:b/>
          <w:bCs/>
          <w:lang w:val="en-US"/>
        </w:rPr>
        <w:t>b</w:t>
      </w:r>
      <w:r>
        <w:rPr>
          <w:lang w:val="en-US"/>
        </w:rPr>
        <w:t xml:space="preserve"> </w:t>
      </w:r>
      <w:r w:rsidRPr="000768DA">
        <w:rPr>
          <w:lang w:val="en-US"/>
        </w:rPr>
        <w:t>Included long-acting opioid use; greater than 50 morphine milligram equivalent (MME) per day; radiofrequency ablations; new spine surgeries; and any fills for non</w:t>
      </w:r>
      <w:r w:rsidR="00A60D5E">
        <w:rPr>
          <w:lang w:val="en-US"/>
        </w:rPr>
        <w:t>-steroidal</w:t>
      </w:r>
      <w:r w:rsidRPr="000768DA">
        <w:rPr>
          <w:lang w:val="en-US"/>
        </w:rPr>
        <w:t xml:space="preserve"> anti-inflammatory drugs (NSAIDs), systemic corticosteroids, antidepressants, </w:t>
      </w:r>
      <w:proofErr w:type="spellStart"/>
      <w:r w:rsidRPr="000768DA">
        <w:rPr>
          <w:lang w:val="en-US"/>
        </w:rPr>
        <w:t>gabapentinoids</w:t>
      </w:r>
      <w:proofErr w:type="spellEnd"/>
      <w:r w:rsidRPr="000768DA">
        <w:rPr>
          <w:lang w:val="en-US"/>
        </w:rPr>
        <w:t>, and benzodiazepines</w:t>
      </w:r>
      <w:r>
        <w:rPr>
          <w:lang w:val="en-US"/>
        </w:rPr>
        <w:br/>
      </w:r>
      <w:r>
        <w:rPr>
          <w:b/>
          <w:bCs/>
          <w:lang w:val="en-US"/>
        </w:rPr>
        <w:t>c</w:t>
      </w:r>
      <w:r>
        <w:rPr>
          <w:lang w:val="en-US"/>
        </w:rPr>
        <w:t xml:space="preserve"> </w:t>
      </w:r>
      <w:r w:rsidRPr="00951E73">
        <w:rPr>
          <w:lang w:val="en-US"/>
        </w:rPr>
        <w:t>See supplemental material for results for propensity matched sets</w:t>
      </w:r>
    </w:p>
    <w:p w14:paraId="19474F8A" w14:textId="5E8879D6" w:rsidR="00E6604B" w:rsidRDefault="00E6604B" w:rsidP="00E6604B">
      <w:pPr>
        <w:pStyle w:val="Heading5"/>
      </w:pPr>
      <w:r>
        <w:t>Findings</w:t>
      </w:r>
    </w:p>
    <w:p w14:paraId="2217BFC5" w14:textId="235016E1" w:rsidR="00670DB2" w:rsidRDefault="00670DB2" w:rsidP="00670DB2">
      <w:pPr>
        <w:pStyle w:val="BodyText"/>
      </w:pPr>
      <w:r>
        <w:t>D</w:t>
      </w:r>
      <w:r w:rsidR="004C6998">
        <w:t>hruva (2023) reported that d</w:t>
      </w:r>
      <w:r>
        <w:t xml:space="preserve">uring the first 12 months, patients with SCS were more likely to have chronic opioid use, long-acting opioid use and &gt;50 </w:t>
      </w:r>
      <w:r w:rsidR="007D368C">
        <w:t>morphine milligram equivalent (</w:t>
      </w:r>
      <w:r>
        <w:t>MME</w:t>
      </w:r>
      <w:r w:rsidR="007D368C">
        <w:t>)</w:t>
      </w:r>
      <w:r>
        <w:t xml:space="preserve">/day. During the second year, there were no statistically significant differences in these pharmacologic pain treatments between the SCS and CMM groups. For those patients taking opioids prior to the index date, there was no difference in discontinuation rates between the SCS and CMM groups. SCS patients were less likely to receive </w:t>
      </w:r>
      <w:r w:rsidRPr="00E01231">
        <w:t>epidural and facet corticosteroid injection</w:t>
      </w:r>
      <w:r>
        <w:t xml:space="preserve">s in the first year, but not the second. </w:t>
      </w:r>
    </w:p>
    <w:p w14:paraId="04249CDF" w14:textId="77777777" w:rsidR="00670DB2" w:rsidRDefault="00670DB2" w:rsidP="00670DB2">
      <w:pPr>
        <w:pStyle w:val="BodyText"/>
      </w:pPr>
      <w:r>
        <w:t xml:space="preserve">During the entire follow-up period, 22.1% of patients in the SCS group had an implant removal and/or revision; 10% of these were in the absence of a complication, which the authors infer was due to a lack of effectiveness. </w:t>
      </w:r>
    </w:p>
    <w:p w14:paraId="0BA2C240" w14:textId="77777777" w:rsidR="00670DB2" w:rsidRDefault="00670DB2" w:rsidP="00670DB2">
      <w:pPr>
        <w:pStyle w:val="BodyText"/>
      </w:pPr>
      <w:r>
        <w:t>The authors concluded that SCS “was not associated with a reduction in opioid use or non-pharmacologic pain interventions at 2 years. SCS was associated with higher costs, and SCS-related complications were common.” They also note the study limitations, including potential residual confounding (although 65 variables were used in propensity score matching) and the use of surrogate outcomes for pain. However, this large registry study presents the best currently available ‘real-world’ observational evidence for SCS.</w:t>
      </w:r>
    </w:p>
    <w:p w14:paraId="6F78971B" w14:textId="32314CDF" w:rsidR="00E6604B" w:rsidRDefault="003122C2" w:rsidP="00670DB2">
      <w:pPr>
        <w:pStyle w:val="BodyText"/>
      </w:pPr>
      <w:r>
        <w:t xml:space="preserve">Vu (2022) reported that </w:t>
      </w:r>
      <w:r w:rsidR="00E6604B">
        <w:t xml:space="preserve">SCS was associated with a small reduction in opioid scripts, and with a small decrease in the likelihood of commencing opioid therapy. These findings were observed when a threshold of </w:t>
      </w:r>
      <w:r w:rsidR="00E6604B">
        <w:rPr>
          <w:rFonts w:cs="Calibri"/>
        </w:rPr>
        <w:t>≥</w:t>
      </w:r>
      <w:r w:rsidR="00E6604B">
        <w:t>6 scripts per 12</w:t>
      </w:r>
      <w:r w:rsidR="00F17684">
        <w:t xml:space="preserve"> </w:t>
      </w:r>
      <w:r w:rsidR="00E6604B">
        <w:t xml:space="preserve">months was used, but the associations were lost when the threshold was reduced to </w:t>
      </w:r>
      <w:r w:rsidR="00E6604B">
        <w:rPr>
          <w:rFonts w:cs="Calibri"/>
        </w:rPr>
        <w:t>≥4</w:t>
      </w:r>
      <w:r w:rsidR="00E6604B">
        <w:t xml:space="preserve"> scripts per 12</w:t>
      </w:r>
      <w:r w:rsidR="00567569">
        <w:t xml:space="preserve"> </w:t>
      </w:r>
      <w:r w:rsidR="00E6604B">
        <w:t xml:space="preserve">months. </w:t>
      </w:r>
      <w:r>
        <w:t>The authors conclu</w:t>
      </w:r>
      <w:r w:rsidR="00655046">
        <w:t>ded that ‘</w:t>
      </w:r>
      <w:r w:rsidR="00382BDB">
        <w:t>t</w:t>
      </w:r>
      <w:r w:rsidR="00382BDB" w:rsidRPr="00382BDB">
        <w:t xml:space="preserve">hese findings suggest that under real-life conditions, SCS was associated with small, clinically questionable associations with opioid discontinuation and not starting opioids in the context of </w:t>
      </w:r>
      <w:r w:rsidR="00C42426">
        <w:t>PLS</w:t>
      </w:r>
      <w:r w:rsidR="00927487">
        <w:t>.’</w:t>
      </w:r>
    </w:p>
    <w:p w14:paraId="60654591" w14:textId="10CA2066" w:rsidR="002F7593" w:rsidRDefault="004412F3" w:rsidP="002F7593">
      <w:pPr>
        <w:pStyle w:val="Heading3"/>
      </w:pPr>
      <w:bookmarkStart w:id="95" w:name="_Toc165634673"/>
      <w:r>
        <w:t>Non-comparative evidence</w:t>
      </w:r>
      <w:bookmarkEnd w:id="95"/>
    </w:p>
    <w:p w14:paraId="5ACCE946" w14:textId="59D49E81" w:rsidR="00E03E92" w:rsidRDefault="00E03E92" w:rsidP="00E03E92">
      <w:pPr>
        <w:pStyle w:val="BodyText"/>
      </w:pPr>
      <w:r>
        <w:t xml:space="preserve">As discussed in Section </w:t>
      </w:r>
      <w:r w:rsidR="00B41AD4">
        <w:fldChar w:fldCharType="begin"/>
      </w:r>
      <w:r w:rsidR="00B41AD4">
        <w:instrText xml:space="preserve"> REF _Ref134797668 \n \h </w:instrText>
      </w:r>
      <w:r w:rsidR="00B41AD4">
        <w:fldChar w:fldCharType="separate"/>
      </w:r>
      <w:r w:rsidR="00CE6ACA">
        <w:t>1.2.1</w:t>
      </w:r>
      <w:r w:rsidR="00B41AD4">
        <w:fldChar w:fldCharType="end"/>
      </w:r>
      <w:r>
        <w:t xml:space="preserve">, this </w:t>
      </w:r>
      <w:r w:rsidR="00D6272D">
        <w:t xml:space="preserve">PLR </w:t>
      </w:r>
      <w:r>
        <w:t xml:space="preserve">was triggered by </w:t>
      </w:r>
      <w:r w:rsidR="001F4B74">
        <w:t xml:space="preserve">an Australian </w:t>
      </w:r>
      <w:r w:rsidR="00E41C7F">
        <w:t>article</w:t>
      </w:r>
      <w:r w:rsidR="001F4B74">
        <w:t xml:space="preserve"> by </w:t>
      </w:r>
      <w:r>
        <w:t>Jones et al</w:t>
      </w:r>
      <w:r w:rsidR="000807B3">
        <w:t xml:space="preserve"> (</w:t>
      </w:r>
      <w:r w:rsidR="00337B7A">
        <w:t>2022</w:t>
      </w:r>
      <w:r w:rsidR="000807B3">
        <w:t>)</w:t>
      </w:r>
      <w:r w:rsidR="00FD2148">
        <w:t xml:space="preserve">, which </w:t>
      </w:r>
      <w:r>
        <w:t>provided an analysis o</w:t>
      </w:r>
      <w:r w:rsidR="00FD2148">
        <w:t>f</w:t>
      </w:r>
      <w:r>
        <w:t xml:space="preserve"> SCS-attributed </w:t>
      </w:r>
      <w:r w:rsidR="005A057B">
        <w:t>A</w:t>
      </w:r>
      <w:r>
        <w:t>Es reported to the TG</w:t>
      </w:r>
      <w:r w:rsidR="00DE7E5D">
        <w:t>A</w:t>
      </w:r>
      <w:r>
        <w:t xml:space="preserve"> between July 2012 and January 2019. Data from the Australian Institute of Health and Welfare’s (AIHW) National Hospital Morbidity Database was used to provide context to the analysis</w:t>
      </w:r>
      <w:r w:rsidR="006C6B14">
        <w:t>,</w:t>
      </w:r>
      <w:r>
        <w:t xml:space="preserve"> by providing information on the number of SCS implanted and retrieved per year in Australia. This methodology has been criticised </w:t>
      </w:r>
      <w:r w:rsidR="001B39E2">
        <w:t>(</w:t>
      </w:r>
      <w:r w:rsidR="001B39E2" w:rsidRPr="00745E12">
        <w:t>Sullivan 2023</w:t>
      </w:r>
      <w:r w:rsidR="00710D28">
        <w:t xml:space="preserve"> and stakeholder submissions</w:t>
      </w:r>
      <w:r w:rsidR="001B39E2">
        <w:t>)</w:t>
      </w:r>
      <w:r w:rsidR="00710D28">
        <w:t>.</w:t>
      </w:r>
      <w:r w:rsidR="00DE7E5D">
        <w:t xml:space="preserve"> </w:t>
      </w:r>
      <w:r>
        <w:t xml:space="preserve">Although the review provides useful information on safety signals, it is not </w:t>
      </w:r>
      <w:r w:rsidR="0020662C">
        <w:t>a robust methodology</w:t>
      </w:r>
      <w:r>
        <w:t xml:space="preserve"> for understanding long</w:t>
      </w:r>
      <w:r w:rsidR="00FD79E7">
        <w:t>-</w:t>
      </w:r>
      <w:r>
        <w:t>term AE rates associated with SCS.</w:t>
      </w:r>
    </w:p>
    <w:p w14:paraId="1431EFE5" w14:textId="3ABE2FB5" w:rsidR="00E03E92" w:rsidRPr="00DF6E35" w:rsidRDefault="00AA4AB0" w:rsidP="00DF6E35">
      <w:pPr>
        <w:pStyle w:val="BodyText"/>
      </w:pPr>
      <w:r>
        <w:t xml:space="preserve">Sponsor and stakeholder </w:t>
      </w:r>
      <w:r w:rsidR="00E81170">
        <w:t xml:space="preserve">submissions </w:t>
      </w:r>
      <w:r>
        <w:t xml:space="preserve">provided additional </w:t>
      </w:r>
      <w:r w:rsidR="008168AD">
        <w:t xml:space="preserve">references </w:t>
      </w:r>
      <w:r w:rsidR="001D1F2E">
        <w:t xml:space="preserve">to support the long-term safety of SCS (see </w:t>
      </w:r>
      <w:r w:rsidR="001D1F2E">
        <w:fldChar w:fldCharType="begin"/>
      </w:r>
      <w:r w:rsidR="001D1F2E">
        <w:instrText xml:space="preserve"> REF _Ref134458846 \h </w:instrText>
      </w:r>
      <w:r w:rsidR="001D1F2E">
        <w:fldChar w:fldCharType="separate"/>
      </w:r>
      <w:r w:rsidR="00CE6ACA">
        <w:t xml:space="preserve">Table App </w:t>
      </w:r>
      <w:r w:rsidR="00CE6ACA">
        <w:rPr>
          <w:noProof/>
        </w:rPr>
        <w:t>13</w:t>
      </w:r>
      <w:r w:rsidR="001D1F2E">
        <w:fldChar w:fldCharType="end"/>
      </w:r>
      <w:r w:rsidR="001D1F2E">
        <w:t xml:space="preserve"> </w:t>
      </w:r>
      <w:r w:rsidR="00F24DF2">
        <w:t xml:space="preserve">for non-comparative studies </w:t>
      </w:r>
      <w:r w:rsidR="001D1F2E">
        <w:t xml:space="preserve">and </w:t>
      </w:r>
      <w:r w:rsidR="001D1F2E">
        <w:fldChar w:fldCharType="begin"/>
      </w:r>
      <w:r w:rsidR="001D1F2E">
        <w:instrText xml:space="preserve"> REF _Ref134458883 \h </w:instrText>
      </w:r>
      <w:r w:rsidR="001D1F2E">
        <w:fldChar w:fldCharType="separate"/>
      </w:r>
      <w:r w:rsidR="00CE6ACA">
        <w:t xml:space="preserve">Table App </w:t>
      </w:r>
      <w:r w:rsidR="00CE6ACA">
        <w:rPr>
          <w:noProof/>
        </w:rPr>
        <w:t>15</w:t>
      </w:r>
      <w:r w:rsidR="001D1F2E">
        <w:fldChar w:fldCharType="end"/>
      </w:r>
      <w:r w:rsidR="00F24DF2">
        <w:t xml:space="preserve"> for safety studies)</w:t>
      </w:r>
      <w:r w:rsidR="001D1F2E">
        <w:t xml:space="preserve">. </w:t>
      </w:r>
      <w:r w:rsidR="00F24DF2">
        <w:t xml:space="preserve">As the focus of this PLR is on comparative </w:t>
      </w:r>
      <w:r w:rsidR="003111FF">
        <w:t xml:space="preserve">clinical effectiveness, </w:t>
      </w:r>
      <w:r w:rsidR="00F90F7B">
        <w:t xml:space="preserve">these studies </w:t>
      </w:r>
      <w:r w:rsidR="00564F86">
        <w:t xml:space="preserve">have been collated </w:t>
      </w:r>
      <w:r w:rsidR="00DD4944">
        <w:t xml:space="preserve">in </w:t>
      </w:r>
      <w:r w:rsidR="008161B4">
        <w:t xml:space="preserve">Appendix </w:t>
      </w:r>
      <w:r w:rsidR="008161B4">
        <w:fldChar w:fldCharType="begin"/>
      </w:r>
      <w:r w:rsidR="008161B4">
        <w:instrText xml:space="preserve"> REF _Ref134615669 \n \h </w:instrText>
      </w:r>
      <w:r w:rsidR="008161B4">
        <w:fldChar w:fldCharType="separate"/>
      </w:r>
      <w:r w:rsidR="00CE6ACA">
        <w:t>C.1.2</w:t>
      </w:r>
      <w:r w:rsidR="008161B4">
        <w:fldChar w:fldCharType="end"/>
      </w:r>
      <w:r w:rsidR="005535AA">
        <w:t xml:space="preserve"> </w:t>
      </w:r>
      <w:r w:rsidR="000A5921">
        <w:t xml:space="preserve">of this </w:t>
      </w:r>
      <w:r w:rsidR="00762D78">
        <w:t>r</w:t>
      </w:r>
      <w:r w:rsidR="000A5921">
        <w:t xml:space="preserve">eport but have </w:t>
      </w:r>
      <w:r w:rsidR="00564F86">
        <w:t>not been</w:t>
      </w:r>
      <w:r w:rsidR="009970E6">
        <w:t xml:space="preserve"> </w:t>
      </w:r>
      <w:r w:rsidR="00670EFF">
        <w:t>evaluated</w:t>
      </w:r>
      <w:r w:rsidR="00564F86">
        <w:t>.</w:t>
      </w:r>
    </w:p>
    <w:p w14:paraId="4BC029AB" w14:textId="3CE9AAAF" w:rsidR="00681387" w:rsidRDefault="00595AFE" w:rsidP="00595AFE">
      <w:pPr>
        <w:pStyle w:val="Heading1"/>
      </w:pPr>
      <w:bookmarkStart w:id="96" w:name="_Toc165634674"/>
      <w:r>
        <w:lastRenderedPageBreak/>
        <w:t>Comparative cost</w:t>
      </w:r>
      <w:r w:rsidR="00632586">
        <w:t>-</w:t>
      </w:r>
      <w:r>
        <w:t>effectiveness</w:t>
      </w:r>
      <w:bookmarkEnd w:id="96"/>
    </w:p>
    <w:p w14:paraId="67127EA0" w14:textId="6E2B3852" w:rsidR="006E6F2F" w:rsidRDefault="006E6F2F" w:rsidP="006E6F2F">
      <w:pPr>
        <w:pStyle w:val="BodyText"/>
      </w:pPr>
      <w:r>
        <w:t>The research question to focus the review is:</w:t>
      </w:r>
    </w:p>
    <w:p w14:paraId="60CC7E65" w14:textId="0976C440" w:rsidR="005A459E" w:rsidRDefault="006E6F2F" w:rsidP="006E6F2F">
      <w:pPr>
        <w:pStyle w:val="Boxeditalictext"/>
      </w:pPr>
      <w:r w:rsidRPr="005A459E">
        <w:t>What evidence is available on the comparative cost-effectiveness of SCS for the treatment of chronic pain compared to standard care or other therapeutic approaches? Can any conclusions be drawn from the evidence base?</w:t>
      </w:r>
    </w:p>
    <w:p w14:paraId="072742AD" w14:textId="4345358E" w:rsidR="005A459E" w:rsidRDefault="005A459E" w:rsidP="005A459E">
      <w:pPr>
        <w:pStyle w:val="Heading2"/>
      </w:pPr>
      <w:bookmarkStart w:id="97" w:name="_Toc165634675"/>
      <w:r>
        <w:t>Methodology</w:t>
      </w:r>
      <w:bookmarkEnd w:id="97"/>
    </w:p>
    <w:p w14:paraId="70DAB383" w14:textId="4CFB42D3" w:rsidR="00757AF7" w:rsidRPr="00AF6EA5" w:rsidRDefault="008C1C3C" w:rsidP="00AF6EA5">
      <w:pPr>
        <w:pStyle w:val="BodyText"/>
      </w:pPr>
      <w:r>
        <w:t>Th</w:t>
      </w:r>
      <w:r w:rsidR="008312C0">
        <w:t xml:space="preserve">e research question </w:t>
      </w:r>
      <w:r>
        <w:t xml:space="preserve">was </w:t>
      </w:r>
      <w:r w:rsidR="00552836">
        <w:t xml:space="preserve">addressed </w:t>
      </w:r>
      <w:r w:rsidR="00757AF7">
        <w:t xml:space="preserve">by undertaking a literature review of existing comparative cost-effectiveness studies and </w:t>
      </w:r>
      <w:r w:rsidR="00286BB5">
        <w:t>synthesising</w:t>
      </w:r>
      <w:r w:rsidR="00757AF7">
        <w:t xml:space="preserve"> this with</w:t>
      </w:r>
      <w:r w:rsidR="00B07D7D">
        <w:t xml:space="preserve"> any</w:t>
      </w:r>
      <w:r w:rsidR="00757AF7">
        <w:t xml:space="preserve"> additional </w:t>
      </w:r>
      <w:r w:rsidR="002E5E5C">
        <w:t xml:space="preserve">economic </w:t>
      </w:r>
      <w:r w:rsidR="00757AF7">
        <w:t xml:space="preserve">evidence </w:t>
      </w:r>
      <w:r w:rsidR="00B07D7D">
        <w:t xml:space="preserve">provided by </w:t>
      </w:r>
      <w:proofErr w:type="spellStart"/>
      <w:r w:rsidR="00B07D7D">
        <w:t>DoHA</w:t>
      </w:r>
      <w:r w:rsidR="00A8405C">
        <w:t>C</w:t>
      </w:r>
      <w:proofErr w:type="spellEnd"/>
      <w:r w:rsidR="00B07D7D">
        <w:t>, sponsors</w:t>
      </w:r>
      <w:r w:rsidR="00286BB5">
        <w:t xml:space="preserve"> </w:t>
      </w:r>
      <w:r w:rsidR="00F60C71">
        <w:t>and</w:t>
      </w:r>
      <w:r w:rsidR="00286BB5">
        <w:t xml:space="preserve"> stakeholder</w:t>
      </w:r>
      <w:r w:rsidR="00F60C71">
        <w:t>s</w:t>
      </w:r>
      <w:r w:rsidR="00286BB5">
        <w:t>.</w:t>
      </w:r>
    </w:p>
    <w:p w14:paraId="60B40671" w14:textId="5E3F7F61" w:rsidR="00D45F3F" w:rsidRDefault="008E47D9" w:rsidP="005A459E">
      <w:pPr>
        <w:pStyle w:val="BodyText"/>
      </w:pPr>
      <w:r>
        <w:t>The</w:t>
      </w:r>
      <w:r w:rsidR="005A459E">
        <w:t xml:space="preserve"> literature search was undertaken to identify published </w:t>
      </w:r>
      <w:r w:rsidR="00F479B7">
        <w:t>SR</w:t>
      </w:r>
      <w:r w:rsidR="00C7693A">
        <w:t xml:space="preserve">s and primary studies of </w:t>
      </w:r>
      <w:r w:rsidR="00675701">
        <w:t xml:space="preserve">comparative economic evaluations that focus on SCS and DRGS. The economic evaluations included for assessment were cost-effectiveness analyses, cost-utility analyses, and cost-benefit analyses. </w:t>
      </w:r>
      <w:r w:rsidR="00B209DC">
        <w:t>Published studies and sponsor</w:t>
      </w:r>
      <w:r w:rsidR="00DD691C">
        <w:t>/stakeholder</w:t>
      </w:r>
      <w:r w:rsidR="00B209DC">
        <w:t xml:space="preserve"> submissions </w:t>
      </w:r>
      <w:r w:rsidR="00675701">
        <w:t xml:space="preserve">that included only cost analyses were not included </w:t>
      </w:r>
      <w:r w:rsidR="00460FB1">
        <w:t>in</w:t>
      </w:r>
      <w:r w:rsidR="00675701">
        <w:t xml:space="preserve"> this evaluation.</w:t>
      </w:r>
    </w:p>
    <w:p w14:paraId="6496B5EC" w14:textId="45068734" w:rsidR="00EF5019" w:rsidRPr="001C4A3F" w:rsidRDefault="00EF5019" w:rsidP="005A459E">
      <w:pPr>
        <w:pStyle w:val="BodyText"/>
      </w:pPr>
      <w:r w:rsidRPr="001C4A3F">
        <w:t xml:space="preserve">Some economic studies that were </w:t>
      </w:r>
      <w:r w:rsidR="004D68C8" w:rsidRPr="001C4A3F">
        <w:t xml:space="preserve">returned in the literature search </w:t>
      </w:r>
      <w:r w:rsidRPr="001C4A3F">
        <w:t xml:space="preserve">treated CMM as background therapy to which SCS was </w:t>
      </w:r>
      <w:r w:rsidR="00CD0F5A" w:rsidRPr="001C4A3F">
        <w:t>introduced as an add-on</w:t>
      </w:r>
      <w:r w:rsidR="00E974A0">
        <w:t>;</w:t>
      </w:r>
      <w:r w:rsidR="00197F12" w:rsidRPr="001C4A3F">
        <w:t xml:space="preserve"> these have been </w:t>
      </w:r>
      <w:r w:rsidR="00D12372" w:rsidRPr="001C4A3F">
        <w:t>treated as eligible</w:t>
      </w:r>
      <w:r w:rsidR="00197F12" w:rsidRPr="001C4A3F">
        <w:t xml:space="preserve"> as the definition between studies of CMM was in any case variable.</w:t>
      </w:r>
    </w:p>
    <w:p w14:paraId="02370633" w14:textId="7DD93517" w:rsidR="005A459E" w:rsidRDefault="00D45F3F" w:rsidP="005A459E">
      <w:pPr>
        <w:pStyle w:val="BodyText"/>
      </w:pPr>
      <w:r w:rsidRPr="001C4A3F">
        <w:t xml:space="preserve">Further details of the methodology are provided in </w:t>
      </w:r>
      <w:r w:rsidR="00401762" w:rsidRPr="001C4A3F">
        <w:t xml:space="preserve">Appendix </w:t>
      </w:r>
      <w:r w:rsidR="00401762" w:rsidRPr="001C4A3F">
        <w:fldChar w:fldCharType="begin"/>
      </w:r>
      <w:r w:rsidR="00401762" w:rsidRPr="001C4A3F">
        <w:instrText xml:space="preserve"> REF _Ref134526242 \n \h </w:instrText>
      </w:r>
      <w:r w:rsidR="001C4A3F">
        <w:instrText xml:space="preserve"> \* MERGEFORMAT </w:instrText>
      </w:r>
      <w:r w:rsidR="00401762" w:rsidRPr="001C4A3F">
        <w:fldChar w:fldCharType="separate"/>
      </w:r>
      <w:r w:rsidR="00CE6ACA">
        <w:t>C.2</w:t>
      </w:r>
      <w:r w:rsidR="00401762" w:rsidRPr="001C4A3F">
        <w:fldChar w:fldCharType="end"/>
      </w:r>
      <w:r w:rsidR="00332D55">
        <w:t>.</w:t>
      </w:r>
    </w:p>
    <w:p w14:paraId="7A4E3B94" w14:textId="59E03CDC" w:rsidR="00C3545D" w:rsidRDefault="00BA7E81" w:rsidP="00BA7E81">
      <w:pPr>
        <w:pStyle w:val="Heading2"/>
      </w:pPr>
      <w:bookmarkStart w:id="98" w:name="_Toc165634676"/>
      <w:r>
        <w:t>Summary of the evidence</w:t>
      </w:r>
      <w:bookmarkEnd w:id="98"/>
    </w:p>
    <w:p w14:paraId="3715CE90" w14:textId="1D822108" w:rsidR="00DC3FD5" w:rsidRDefault="0083123F" w:rsidP="0083123F">
      <w:pPr>
        <w:pStyle w:val="BodyText"/>
      </w:pPr>
      <w:r w:rsidRPr="003E6BFC">
        <w:t xml:space="preserve">A total of </w:t>
      </w:r>
      <w:r w:rsidR="009E2D69">
        <w:t>three</w:t>
      </w:r>
      <w:r w:rsidRPr="003E6BFC">
        <w:t xml:space="preserve"> publications</w:t>
      </w:r>
      <w:r w:rsidR="00CB54B7">
        <w:t xml:space="preserve"> were included in th</w:t>
      </w:r>
      <w:r w:rsidR="008C31AD">
        <w:t>is</w:t>
      </w:r>
      <w:r w:rsidR="00CB54B7">
        <w:t xml:space="preserve"> review</w:t>
      </w:r>
      <w:r w:rsidR="00F55D93">
        <w:t xml:space="preserve"> of SCS cost-effectiveness</w:t>
      </w:r>
      <w:r w:rsidR="00CB54B7">
        <w:t>:</w:t>
      </w:r>
      <w:r w:rsidRPr="003E6BFC">
        <w:t xml:space="preserve"> </w:t>
      </w:r>
      <w:r w:rsidR="00F55D93">
        <w:t xml:space="preserve">a </w:t>
      </w:r>
      <w:r w:rsidR="0051178B">
        <w:t xml:space="preserve">recent, comprehensive </w:t>
      </w:r>
      <w:r w:rsidR="00F479B7">
        <w:t>SR</w:t>
      </w:r>
      <w:r w:rsidRPr="003E6BFC">
        <w:t xml:space="preserve"> </w:t>
      </w:r>
      <w:r w:rsidR="0042634F">
        <w:t xml:space="preserve">of published economic evaluations </w:t>
      </w:r>
      <w:r w:rsidR="00F55D93">
        <w:t xml:space="preserve">by </w:t>
      </w:r>
      <w:proofErr w:type="spellStart"/>
      <w:r w:rsidRPr="003E6BFC">
        <w:t>Niyomsri</w:t>
      </w:r>
      <w:proofErr w:type="spellEnd"/>
      <w:r w:rsidRPr="003E6BFC">
        <w:t xml:space="preserve"> (2020)</w:t>
      </w:r>
      <w:r w:rsidR="00F55D93">
        <w:t>, a</w:t>
      </w:r>
      <w:r w:rsidRPr="003E6BFC">
        <w:t xml:space="preserve"> </w:t>
      </w:r>
      <w:r w:rsidR="00BB537B">
        <w:t xml:space="preserve">primary study </w:t>
      </w:r>
      <w:r w:rsidR="009B5B76">
        <w:t xml:space="preserve">subsequently </w:t>
      </w:r>
      <w:r w:rsidR="00E30C09">
        <w:t xml:space="preserve">published by </w:t>
      </w:r>
      <w:r w:rsidR="00A219C8">
        <w:t>Rojo (2021)</w:t>
      </w:r>
      <w:r w:rsidR="00E30C09">
        <w:t>,</w:t>
      </w:r>
      <w:r w:rsidR="00A219C8">
        <w:t xml:space="preserve"> and</w:t>
      </w:r>
      <w:r w:rsidRPr="003E6BFC">
        <w:t xml:space="preserve"> </w:t>
      </w:r>
      <w:r w:rsidR="00BE106D">
        <w:t xml:space="preserve">an </w:t>
      </w:r>
      <w:r w:rsidR="007415DA">
        <w:t xml:space="preserve">Australian </w:t>
      </w:r>
      <w:r w:rsidR="00BE106D">
        <w:t xml:space="preserve">economic evaluation </w:t>
      </w:r>
      <w:r w:rsidR="00B94A77">
        <w:t xml:space="preserve">provided </w:t>
      </w:r>
      <w:r w:rsidR="00F752C2">
        <w:t xml:space="preserve">by </w:t>
      </w:r>
      <w:proofErr w:type="spellStart"/>
      <w:r w:rsidR="00F752C2">
        <w:t>DoHAC</w:t>
      </w:r>
      <w:proofErr w:type="spellEnd"/>
      <w:r w:rsidRPr="003E6BFC">
        <w:t xml:space="preserve"> </w:t>
      </w:r>
      <w:r w:rsidR="00D17EB2">
        <w:t>(</w:t>
      </w:r>
      <w:r w:rsidRPr="003E6BFC">
        <w:t>Deloitte 2019)</w:t>
      </w:r>
      <w:r w:rsidR="00BA2E9E" w:rsidRPr="003E6BFC">
        <w:t xml:space="preserve"> </w:t>
      </w:r>
      <w:r w:rsidR="00DC3FD5">
        <w:t>Two</w:t>
      </w:r>
      <w:r w:rsidR="00BA2E9E" w:rsidRPr="003E6BFC">
        <w:t xml:space="preserve"> further stud</w:t>
      </w:r>
      <w:r w:rsidR="00DC3FD5">
        <w:t xml:space="preserve">ies </w:t>
      </w:r>
      <w:r w:rsidR="008B15AB">
        <w:t xml:space="preserve">initially </w:t>
      </w:r>
      <w:r w:rsidR="00DC3FD5">
        <w:t>appeared to be eligible</w:t>
      </w:r>
      <w:r w:rsidR="00DC3FD5" w:rsidRPr="003E6BFC">
        <w:t xml:space="preserve"> for inclusion</w:t>
      </w:r>
      <w:r w:rsidR="00DC3FD5">
        <w:t xml:space="preserve"> but were excluded:</w:t>
      </w:r>
    </w:p>
    <w:p w14:paraId="1E0707E0" w14:textId="194E296E" w:rsidR="00DC3FD5" w:rsidRDefault="00BA2E9E" w:rsidP="00A26096">
      <w:pPr>
        <w:pStyle w:val="BodyText"/>
        <w:numPr>
          <w:ilvl w:val="0"/>
          <w:numId w:val="9"/>
        </w:numPr>
        <w:spacing w:after="0"/>
      </w:pPr>
      <w:r w:rsidRPr="003E6BFC">
        <w:t xml:space="preserve">Patel </w:t>
      </w:r>
      <w:r w:rsidR="0089061D">
        <w:t>(</w:t>
      </w:r>
      <w:r w:rsidRPr="003E6BFC">
        <w:t>2022) was excluded due to cross-over prior to the primary</w:t>
      </w:r>
      <w:r w:rsidRPr="00BA2E9E">
        <w:t xml:space="preserve"> endpoint</w:t>
      </w:r>
    </w:p>
    <w:p w14:paraId="5877443D" w14:textId="6A3BCFBB" w:rsidR="00DC3FD5" w:rsidRDefault="0089061D" w:rsidP="00A26096">
      <w:pPr>
        <w:pStyle w:val="BodyText"/>
        <w:numPr>
          <w:ilvl w:val="0"/>
          <w:numId w:val="9"/>
        </w:numPr>
      </w:pPr>
      <w:proofErr w:type="spellStart"/>
      <w:r>
        <w:t>Mekhail</w:t>
      </w:r>
      <w:proofErr w:type="spellEnd"/>
      <w:r>
        <w:t xml:space="preserve"> (202</w:t>
      </w:r>
      <w:r w:rsidR="0047253C">
        <w:t>1</w:t>
      </w:r>
      <w:r>
        <w:t xml:space="preserve">) was excluded given the </w:t>
      </w:r>
      <w:r w:rsidR="00FE1E7E">
        <w:t xml:space="preserve">comparison with CMM was based on pre-treatment values and was not a legitimate study </w:t>
      </w:r>
      <w:r w:rsidR="00147C66">
        <w:t>treatment group</w:t>
      </w:r>
      <w:r w:rsidR="00FE1E7E">
        <w:t>.</w:t>
      </w:r>
    </w:p>
    <w:p w14:paraId="3788436C" w14:textId="4C41EC05" w:rsidR="0083123F" w:rsidRPr="0083123F" w:rsidRDefault="00E35F0F" w:rsidP="0083123F">
      <w:pPr>
        <w:pStyle w:val="BodyText"/>
        <w:rPr>
          <w:highlight w:val="yellow"/>
        </w:rPr>
      </w:pPr>
      <w:r>
        <w:t>Rationale for</w:t>
      </w:r>
      <w:r w:rsidR="000439B9">
        <w:t xml:space="preserve"> included and excluded</w:t>
      </w:r>
      <w:r w:rsidR="005E3591">
        <w:t xml:space="preserve"> studies i</w:t>
      </w:r>
      <w:r w:rsidR="000439B9">
        <w:t>s</w:t>
      </w:r>
      <w:r w:rsidR="005E3591">
        <w:t xml:space="preserve"> provided in </w:t>
      </w:r>
      <w:r w:rsidR="003F16EC">
        <w:t xml:space="preserve">Appendix </w:t>
      </w:r>
      <w:r w:rsidR="003F16EC">
        <w:fldChar w:fldCharType="begin"/>
      </w:r>
      <w:r w:rsidR="003F16EC">
        <w:instrText xml:space="preserve"> REF _Ref134532421 \n \h </w:instrText>
      </w:r>
      <w:r w:rsidR="003F16EC">
        <w:fldChar w:fldCharType="separate"/>
      </w:r>
      <w:r w:rsidR="00CE6ACA">
        <w:t>C.2.2</w:t>
      </w:r>
      <w:r w:rsidR="003F16EC">
        <w:fldChar w:fldCharType="end"/>
      </w:r>
      <w:r w:rsidR="003F16EC">
        <w:t xml:space="preserve"> </w:t>
      </w:r>
      <w:r w:rsidR="000439B9">
        <w:fldChar w:fldCharType="begin"/>
      </w:r>
      <w:r w:rsidR="000439B9">
        <w:instrText xml:space="preserve"> REF _Ref134532421 \h </w:instrText>
      </w:r>
      <w:r w:rsidR="000439B9">
        <w:fldChar w:fldCharType="separate"/>
      </w:r>
      <w:r w:rsidR="00CE6ACA">
        <w:t>Included studies</w:t>
      </w:r>
      <w:r w:rsidR="000439B9">
        <w:fldChar w:fldCharType="end"/>
      </w:r>
      <w:r w:rsidR="003F16EC">
        <w:t xml:space="preserve">. </w:t>
      </w:r>
    </w:p>
    <w:p w14:paraId="7FA63A9B" w14:textId="6A22E09C" w:rsidR="005642B2" w:rsidRPr="005642B2" w:rsidRDefault="000B2474" w:rsidP="005642B2">
      <w:pPr>
        <w:pStyle w:val="Heading3"/>
      </w:pPr>
      <w:bookmarkStart w:id="99" w:name="_Toc165634677"/>
      <w:r>
        <w:t>Cost</w:t>
      </w:r>
      <w:r w:rsidR="00632586">
        <w:t>-</w:t>
      </w:r>
      <w:r>
        <w:t>effectiveness studies from other countries</w:t>
      </w:r>
      <w:bookmarkEnd w:id="99"/>
    </w:p>
    <w:p w14:paraId="1171FA65" w14:textId="226AEBE9" w:rsidR="00942B0D" w:rsidRDefault="00436DBF" w:rsidP="00942B0D">
      <w:pPr>
        <w:pStyle w:val="BodyText"/>
      </w:pPr>
      <w:proofErr w:type="spellStart"/>
      <w:r>
        <w:t>Niyomsri</w:t>
      </w:r>
      <w:proofErr w:type="spellEnd"/>
      <w:r>
        <w:t xml:space="preserve"> </w:t>
      </w:r>
      <w:r w:rsidR="00012B59">
        <w:t>(</w:t>
      </w:r>
      <w:r>
        <w:t>2020</w:t>
      </w:r>
      <w:r w:rsidR="00DF2CD4">
        <w:t xml:space="preserve">) </w:t>
      </w:r>
      <w:r w:rsidR="004463C1">
        <w:t>assessed economic evaluations of SCS and DRGS for the management of a</w:t>
      </w:r>
      <w:r w:rsidR="006532F5">
        <w:t xml:space="preserve"> number of</w:t>
      </w:r>
      <w:r w:rsidR="00D0794B">
        <w:t xml:space="preserve"> </w:t>
      </w:r>
      <w:r w:rsidR="004463C1">
        <w:t>chronic pain conditions</w:t>
      </w:r>
      <w:r w:rsidR="00A669AB">
        <w:t xml:space="preserve"> and </w:t>
      </w:r>
      <w:r w:rsidR="00942B0D">
        <w:t xml:space="preserve">included </w:t>
      </w:r>
      <w:r w:rsidR="008A7BA3">
        <w:t xml:space="preserve">published </w:t>
      </w:r>
      <w:r w:rsidR="00942B0D">
        <w:t>studies that incorporated cost</w:t>
      </w:r>
      <w:r w:rsidR="00632586">
        <w:t>-</w:t>
      </w:r>
      <w:r w:rsidR="00942B0D">
        <w:t>effectiveness, cost</w:t>
      </w:r>
      <w:r w:rsidR="008870A5">
        <w:t>-</w:t>
      </w:r>
      <w:r w:rsidR="00942B0D">
        <w:t>utility or cost</w:t>
      </w:r>
      <w:r w:rsidR="0046641E">
        <w:t>-</w:t>
      </w:r>
      <w:r w:rsidR="00942B0D">
        <w:t>benefit analyses.</w:t>
      </w:r>
      <w:r w:rsidR="003203DF">
        <w:t xml:space="preserve"> </w:t>
      </w:r>
      <w:r w:rsidR="00A26A3E">
        <w:t xml:space="preserve">The study characteristics are summarised in </w:t>
      </w:r>
      <w:r w:rsidR="0005287D">
        <w:fldChar w:fldCharType="begin"/>
      </w:r>
      <w:r w:rsidR="0005287D">
        <w:instrText xml:space="preserve"> REF _Ref128403057 \h </w:instrText>
      </w:r>
      <w:r w:rsidR="0005287D">
        <w:fldChar w:fldCharType="separate"/>
      </w:r>
      <w:r w:rsidR="00CE6ACA">
        <w:t xml:space="preserve">Table </w:t>
      </w:r>
      <w:r w:rsidR="00CE6ACA">
        <w:rPr>
          <w:noProof/>
        </w:rPr>
        <w:t>18</w:t>
      </w:r>
      <w:r w:rsidR="0005287D">
        <w:fldChar w:fldCharType="end"/>
      </w:r>
      <w:r w:rsidR="003203DF" w:rsidRPr="003203DF">
        <w:t>.</w:t>
      </w:r>
      <w:r w:rsidR="00013598">
        <w:t xml:space="preserve"> </w:t>
      </w:r>
    </w:p>
    <w:p w14:paraId="28EC99AC" w14:textId="320D1552" w:rsidR="00677F30" w:rsidRDefault="00677F30" w:rsidP="00677F30">
      <w:pPr>
        <w:pStyle w:val="Caption"/>
      </w:pPr>
      <w:bookmarkStart w:id="100" w:name="_Ref128403057"/>
      <w:r>
        <w:t xml:space="preserve">Table </w:t>
      </w:r>
      <w:r>
        <w:fldChar w:fldCharType="begin"/>
      </w:r>
      <w:r>
        <w:instrText>SEQ Table \* ARABIC</w:instrText>
      </w:r>
      <w:r>
        <w:fldChar w:fldCharType="separate"/>
      </w:r>
      <w:r w:rsidR="00CE6ACA">
        <w:rPr>
          <w:noProof/>
        </w:rPr>
        <w:t>18</w:t>
      </w:r>
      <w:r>
        <w:fldChar w:fldCharType="end"/>
      </w:r>
      <w:bookmarkEnd w:id="100"/>
      <w:r>
        <w:tab/>
      </w:r>
      <w:r w:rsidR="0005287D">
        <w:t xml:space="preserve">Study characteristics of </w:t>
      </w:r>
      <w:r w:rsidR="002E390D">
        <w:t xml:space="preserve">systematic </w:t>
      </w:r>
      <w:r w:rsidR="0005287D">
        <w:t>review (</w:t>
      </w:r>
      <w:proofErr w:type="spellStart"/>
      <w:r w:rsidR="0005287D">
        <w:t>Niyomsri</w:t>
      </w:r>
      <w:proofErr w:type="spellEnd"/>
      <w:r w:rsidR="0005287D">
        <w:t xml:space="preserve"> 2020)</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Study characteristics of systematic review (Niyomsri 2020)"/>
        <w:tblDescription w:val="Table showing the search dates, patient population, interventions, comparator, and outcomes of the systematic review by Niyomsri (2020)."/>
      </w:tblPr>
      <w:tblGrid>
        <w:gridCol w:w="1166"/>
        <w:gridCol w:w="1777"/>
        <w:gridCol w:w="1828"/>
        <w:gridCol w:w="1222"/>
        <w:gridCol w:w="1378"/>
        <w:gridCol w:w="2267"/>
      </w:tblGrid>
      <w:tr w:rsidR="00556190" w14:paraId="312AD6B6" w14:textId="77777777" w:rsidTr="00990E04">
        <w:trPr>
          <w:cantSplit/>
          <w:tblHeader/>
        </w:trPr>
        <w:tc>
          <w:tcPr>
            <w:tcW w:w="0" w:type="auto"/>
            <w:shd w:val="clear" w:color="auto" w:fill="BFBFBF"/>
          </w:tcPr>
          <w:p w14:paraId="1FCE6A3F" w14:textId="0CA05ADC" w:rsidR="00465846" w:rsidRPr="00D22AA0" w:rsidRDefault="00465846" w:rsidP="00CA20CF">
            <w:pPr>
              <w:pStyle w:val="011TableHeading8pt"/>
              <w:rPr>
                <w:sz w:val="18"/>
                <w:szCs w:val="24"/>
              </w:rPr>
            </w:pPr>
            <w:r w:rsidRPr="00D22AA0">
              <w:rPr>
                <w:sz w:val="18"/>
                <w:szCs w:val="24"/>
              </w:rPr>
              <w:t>Study ID</w:t>
            </w:r>
          </w:p>
        </w:tc>
        <w:tc>
          <w:tcPr>
            <w:tcW w:w="0" w:type="auto"/>
            <w:shd w:val="clear" w:color="auto" w:fill="BFBFBF"/>
          </w:tcPr>
          <w:p w14:paraId="4CCEA610" w14:textId="77777777" w:rsidR="00465846" w:rsidRPr="00D22AA0" w:rsidRDefault="00465846" w:rsidP="00CA20CF">
            <w:pPr>
              <w:pStyle w:val="011TableHeading8pt"/>
              <w:rPr>
                <w:sz w:val="18"/>
                <w:szCs w:val="24"/>
              </w:rPr>
            </w:pPr>
            <w:r w:rsidRPr="00D22AA0">
              <w:rPr>
                <w:sz w:val="18"/>
                <w:szCs w:val="24"/>
              </w:rPr>
              <w:t>Search dates</w:t>
            </w:r>
          </w:p>
        </w:tc>
        <w:tc>
          <w:tcPr>
            <w:tcW w:w="0" w:type="auto"/>
            <w:shd w:val="clear" w:color="auto" w:fill="BFBFBF"/>
          </w:tcPr>
          <w:p w14:paraId="6C312D54" w14:textId="77777777" w:rsidR="00465846" w:rsidRPr="00D22AA0" w:rsidRDefault="00465846" w:rsidP="00CA20CF">
            <w:pPr>
              <w:pStyle w:val="011TableHeading8pt"/>
              <w:rPr>
                <w:sz w:val="18"/>
                <w:szCs w:val="24"/>
              </w:rPr>
            </w:pPr>
            <w:r w:rsidRPr="00D22AA0">
              <w:rPr>
                <w:sz w:val="18"/>
                <w:szCs w:val="24"/>
              </w:rPr>
              <w:t>Patient population</w:t>
            </w:r>
          </w:p>
        </w:tc>
        <w:tc>
          <w:tcPr>
            <w:tcW w:w="0" w:type="auto"/>
            <w:shd w:val="clear" w:color="auto" w:fill="BFBFBF"/>
          </w:tcPr>
          <w:p w14:paraId="35A4E29B" w14:textId="518F94AE" w:rsidR="00465846" w:rsidRPr="00D22AA0" w:rsidRDefault="00856991" w:rsidP="00CA20CF">
            <w:pPr>
              <w:pStyle w:val="011TableHeading8pt"/>
              <w:rPr>
                <w:sz w:val="18"/>
                <w:szCs w:val="24"/>
              </w:rPr>
            </w:pPr>
            <w:r w:rsidRPr="00D22AA0">
              <w:rPr>
                <w:sz w:val="18"/>
                <w:szCs w:val="24"/>
              </w:rPr>
              <w:t>Interventions</w:t>
            </w:r>
          </w:p>
        </w:tc>
        <w:tc>
          <w:tcPr>
            <w:tcW w:w="1378" w:type="dxa"/>
            <w:shd w:val="clear" w:color="auto" w:fill="BFBFBF"/>
          </w:tcPr>
          <w:p w14:paraId="11962E27" w14:textId="77777777" w:rsidR="00465846" w:rsidRPr="00D22AA0" w:rsidRDefault="00465846" w:rsidP="00CA20CF">
            <w:pPr>
              <w:pStyle w:val="011TableHeading8pt"/>
              <w:rPr>
                <w:sz w:val="18"/>
                <w:szCs w:val="24"/>
              </w:rPr>
            </w:pPr>
            <w:r w:rsidRPr="00D22AA0">
              <w:rPr>
                <w:sz w:val="18"/>
                <w:szCs w:val="24"/>
              </w:rPr>
              <w:t>Comparator</w:t>
            </w:r>
          </w:p>
        </w:tc>
        <w:tc>
          <w:tcPr>
            <w:tcW w:w="2267" w:type="dxa"/>
            <w:shd w:val="clear" w:color="auto" w:fill="BFBFBF"/>
          </w:tcPr>
          <w:p w14:paraId="4975397A" w14:textId="77777777" w:rsidR="00465846" w:rsidRPr="00D22AA0" w:rsidRDefault="00465846" w:rsidP="00CA20CF">
            <w:pPr>
              <w:pStyle w:val="011TableHeading8pt"/>
              <w:rPr>
                <w:sz w:val="18"/>
                <w:szCs w:val="24"/>
              </w:rPr>
            </w:pPr>
            <w:r w:rsidRPr="00D22AA0">
              <w:rPr>
                <w:sz w:val="18"/>
                <w:szCs w:val="24"/>
              </w:rPr>
              <w:t>Outcomes</w:t>
            </w:r>
          </w:p>
        </w:tc>
      </w:tr>
      <w:tr w:rsidR="00556190" w14:paraId="1E016244" w14:textId="77777777" w:rsidTr="00990E04">
        <w:tc>
          <w:tcPr>
            <w:tcW w:w="0" w:type="auto"/>
            <w:shd w:val="clear" w:color="auto" w:fill="auto"/>
          </w:tcPr>
          <w:p w14:paraId="537BD257" w14:textId="4FB44FD0" w:rsidR="00465846" w:rsidRPr="00D22AA0" w:rsidRDefault="00465846" w:rsidP="00CA20CF">
            <w:pPr>
              <w:pStyle w:val="051Tabletext228pt"/>
              <w:rPr>
                <w:sz w:val="18"/>
                <w:szCs w:val="24"/>
              </w:rPr>
            </w:pPr>
            <w:proofErr w:type="spellStart"/>
            <w:r w:rsidRPr="00D22AA0">
              <w:rPr>
                <w:sz w:val="18"/>
                <w:szCs w:val="24"/>
              </w:rPr>
              <w:t>Niyomsri</w:t>
            </w:r>
            <w:proofErr w:type="spellEnd"/>
            <w:r w:rsidRPr="00D22AA0">
              <w:rPr>
                <w:sz w:val="18"/>
                <w:szCs w:val="24"/>
              </w:rPr>
              <w:t xml:space="preserve"> 2020</w:t>
            </w:r>
          </w:p>
        </w:tc>
        <w:tc>
          <w:tcPr>
            <w:tcW w:w="0" w:type="auto"/>
            <w:shd w:val="clear" w:color="auto" w:fill="auto"/>
          </w:tcPr>
          <w:p w14:paraId="090783AC" w14:textId="77777777" w:rsidR="00465846" w:rsidRPr="00D22AA0" w:rsidRDefault="00465846" w:rsidP="00CA20CF">
            <w:pPr>
              <w:pStyle w:val="051Tabletext228pt"/>
              <w:rPr>
                <w:sz w:val="18"/>
                <w:szCs w:val="24"/>
              </w:rPr>
            </w:pPr>
            <w:r w:rsidRPr="00D22AA0">
              <w:rPr>
                <w:sz w:val="18"/>
                <w:szCs w:val="24"/>
              </w:rPr>
              <w:t>Inception to July 12, 2019</w:t>
            </w:r>
          </w:p>
          <w:p w14:paraId="504145B8" w14:textId="3509AC42" w:rsidR="00094716" w:rsidRPr="00D22AA0" w:rsidRDefault="00094716" w:rsidP="00CA20CF">
            <w:pPr>
              <w:pStyle w:val="051Tabletext228pt"/>
              <w:rPr>
                <w:sz w:val="18"/>
                <w:szCs w:val="24"/>
              </w:rPr>
            </w:pPr>
            <w:r w:rsidRPr="00D22AA0">
              <w:rPr>
                <w:sz w:val="18"/>
                <w:szCs w:val="24"/>
              </w:rPr>
              <w:t>K=14</w:t>
            </w:r>
          </w:p>
        </w:tc>
        <w:tc>
          <w:tcPr>
            <w:tcW w:w="0" w:type="auto"/>
            <w:shd w:val="clear" w:color="auto" w:fill="auto"/>
          </w:tcPr>
          <w:p w14:paraId="4C7FB099" w14:textId="2CF5F135" w:rsidR="00465846" w:rsidRPr="00D22AA0" w:rsidRDefault="00465846" w:rsidP="00CA20CF">
            <w:pPr>
              <w:pStyle w:val="051Tabletext228pt"/>
              <w:rPr>
                <w:sz w:val="18"/>
                <w:szCs w:val="24"/>
              </w:rPr>
            </w:pPr>
            <w:r w:rsidRPr="00D22AA0">
              <w:rPr>
                <w:sz w:val="18"/>
                <w:szCs w:val="24"/>
              </w:rPr>
              <w:t>Patients with chronic pain</w:t>
            </w:r>
          </w:p>
        </w:tc>
        <w:tc>
          <w:tcPr>
            <w:tcW w:w="0" w:type="auto"/>
            <w:shd w:val="clear" w:color="auto" w:fill="auto"/>
          </w:tcPr>
          <w:p w14:paraId="59A6BA31" w14:textId="4C7A7832" w:rsidR="00465846" w:rsidRPr="00D22AA0" w:rsidRDefault="00A0624F" w:rsidP="00CA20CF">
            <w:pPr>
              <w:pStyle w:val="051Tabletext228pt"/>
              <w:rPr>
                <w:sz w:val="18"/>
                <w:szCs w:val="24"/>
              </w:rPr>
            </w:pPr>
            <w:r w:rsidRPr="00D22AA0">
              <w:rPr>
                <w:sz w:val="18"/>
                <w:szCs w:val="24"/>
              </w:rPr>
              <w:t>SCS or DRGS</w:t>
            </w:r>
          </w:p>
        </w:tc>
        <w:tc>
          <w:tcPr>
            <w:tcW w:w="1378" w:type="dxa"/>
            <w:shd w:val="clear" w:color="auto" w:fill="auto"/>
          </w:tcPr>
          <w:p w14:paraId="6C41D71E" w14:textId="02B11582" w:rsidR="00465846" w:rsidRPr="00D22AA0" w:rsidRDefault="00465846" w:rsidP="00CA20CF">
            <w:pPr>
              <w:pStyle w:val="051Tabletext228pt"/>
              <w:rPr>
                <w:sz w:val="18"/>
                <w:szCs w:val="24"/>
              </w:rPr>
            </w:pPr>
            <w:r w:rsidRPr="00D22AA0">
              <w:rPr>
                <w:sz w:val="18"/>
                <w:szCs w:val="24"/>
              </w:rPr>
              <w:t>Any alternative therapy</w:t>
            </w:r>
          </w:p>
        </w:tc>
        <w:tc>
          <w:tcPr>
            <w:tcW w:w="2267" w:type="dxa"/>
            <w:shd w:val="clear" w:color="auto" w:fill="auto"/>
          </w:tcPr>
          <w:p w14:paraId="22AA523A" w14:textId="77777777" w:rsidR="00556190" w:rsidRPr="00D22AA0" w:rsidRDefault="00556190" w:rsidP="00CA20CF">
            <w:pPr>
              <w:pStyle w:val="051Tabletext228pt"/>
              <w:rPr>
                <w:sz w:val="18"/>
                <w:szCs w:val="24"/>
              </w:rPr>
            </w:pPr>
            <w:r w:rsidRPr="00D22AA0">
              <w:rPr>
                <w:sz w:val="18"/>
                <w:szCs w:val="24"/>
              </w:rPr>
              <w:t>Costs</w:t>
            </w:r>
          </w:p>
          <w:p w14:paraId="5D165488" w14:textId="77777777" w:rsidR="00556190" w:rsidRPr="00D22AA0" w:rsidRDefault="00556190" w:rsidP="00CA20CF">
            <w:pPr>
              <w:pStyle w:val="051Tabletext228pt"/>
              <w:rPr>
                <w:sz w:val="18"/>
                <w:szCs w:val="24"/>
              </w:rPr>
            </w:pPr>
            <w:r w:rsidRPr="00D22AA0">
              <w:rPr>
                <w:sz w:val="18"/>
                <w:szCs w:val="24"/>
              </w:rPr>
              <w:t>Clinical or utility outcomes</w:t>
            </w:r>
          </w:p>
          <w:p w14:paraId="0DC6C85D" w14:textId="44B0FFC3" w:rsidR="00465846" w:rsidRPr="00D22AA0" w:rsidRDefault="005F7006" w:rsidP="00CA20CF">
            <w:pPr>
              <w:pStyle w:val="051Tabletext228pt"/>
              <w:rPr>
                <w:sz w:val="18"/>
                <w:szCs w:val="24"/>
              </w:rPr>
            </w:pPr>
            <w:r w:rsidRPr="00D22AA0">
              <w:rPr>
                <w:sz w:val="18"/>
                <w:szCs w:val="24"/>
              </w:rPr>
              <w:t xml:space="preserve">ICER </w:t>
            </w:r>
          </w:p>
        </w:tc>
      </w:tr>
    </w:tbl>
    <w:p w14:paraId="4694FE5B" w14:textId="4BE8CFF1" w:rsidR="003203DF" w:rsidRDefault="00F85776" w:rsidP="00ED1FC6">
      <w:pPr>
        <w:pStyle w:val="111Tablefootnoteslast-nostick8pt"/>
      </w:pPr>
      <w:r w:rsidRPr="00091FE4">
        <w:t>Abbreviations:</w:t>
      </w:r>
      <w:r>
        <w:t xml:space="preserve"> </w:t>
      </w:r>
      <w:r w:rsidR="00CE7602">
        <w:t xml:space="preserve">DRGS, dorsal root ganglion stimulator, </w:t>
      </w:r>
      <w:r w:rsidR="00131D99">
        <w:t xml:space="preserve">ICER, incremental cost-effectiveness ratio; </w:t>
      </w:r>
      <w:r w:rsidR="003B6747">
        <w:t>SCS, spinal cord stimulat</w:t>
      </w:r>
      <w:r w:rsidR="003B6770">
        <w:t>ion</w:t>
      </w:r>
      <w:r w:rsidR="003B6747">
        <w:t>; UK, United Kingdom; USA, United States of America.</w:t>
      </w:r>
    </w:p>
    <w:p w14:paraId="38111A07" w14:textId="22507A98" w:rsidR="00013598" w:rsidRDefault="00013598" w:rsidP="00DD260A">
      <w:pPr>
        <w:pStyle w:val="Heading4"/>
      </w:pPr>
      <w:r>
        <w:lastRenderedPageBreak/>
        <w:t>Included studies</w:t>
      </w:r>
    </w:p>
    <w:p w14:paraId="3D51D512" w14:textId="5D646729" w:rsidR="00BA7E81" w:rsidRDefault="00ED36B1" w:rsidP="00BA7E81">
      <w:pPr>
        <w:pStyle w:val="BodyText"/>
      </w:pPr>
      <w:r>
        <w:t xml:space="preserve">Fourteen studies </w:t>
      </w:r>
      <w:r w:rsidR="00D76DA3">
        <w:t>judged to be of acceptable quality</w:t>
      </w:r>
      <w:r>
        <w:t xml:space="preserve"> were included</w:t>
      </w:r>
      <w:r w:rsidR="00942B0D">
        <w:t xml:space="preserve"> in the </w:t>
      </w:r>
      <w:r w:rsidR="00F479B7">
        <w:t>SR</w:t>
      </w:r>
      <w:r w:rsidR="0065779C">
        <w:t>;</w:t>
      </w:r>
      <w:r w:rsidR="00A62186">
        <w:t xml:space="preserve"> all</w:t>
      </w:r>
      <w:r>
        <w:t xml:space="preserve"> assessed SCS </w:t>
      </w:r>
      <w:r w:rsidR="00A62186">
        <w:t xml:space="preserve">and considered </w:t>
      </w:r>
      <w:r>
        <w:t xml:space="preserve">chronic pain as a result of refractory angina pectoris, </w:t>
      </w:r>
      <w:r w:rsidR="00CC59DC">
        <w:t>FBSS, CRPS</w:t>
      </w:r>
      <w:r>
        <w:t xml:space="preserve">, </w:t>
      </w:r>
      <w:r w:rsidR="003203DF">
        <w:t xml:space="preserve">diabetic peripheral neuropathy (DPN), </w:t>
      </w:r>
      <w:r w:rsidR="0065779C">
        <w:t>or</w:t>
      </w:r>
      <w:r w:rsidR="003203DF">
        <w:t xml:space="preserve"> peripheral arterial disease</w:t>
      </w:r>
      <w:r w:rsidR="00643F04">
        <w:t xml:space="preserve"> (</w:t>
      </w:r>
      <w:r w:rsidR="00643F04">
        <w:fldChar w:fldCharType="begin"/>
      </w:r>
      <w:r w:rsidR="00643F04">
        <w:instrText xml:space="preserve"> REF _Ref129168303 \h </w:instrText>
      </w:r>
      <w:r w:rsidR="00643F04">
        <w:fldChar w:fldCharType="separate"/>
      </w:r>
      <w:r w:rsidR="00CE6ACA">
        <w:t xml:space="preserve">Table </w:t>
      </w:r>
      <w:r w:rsidR="00CE6ACA">
        <w:rPr>
          <w:noProof/>
        </w:rPr>
        <w:t>19</w:t>
      </w:r>
      <w:r w:rsidR="00643F04">
        <w:fldChar w:fldCharType="end"/>
      </w:r>
      <w:r w:rsidR="00643F04">
        <w:t>)</w:t>
      </w:r>
      <w:r w:rsidR="003203DF">
        <w:t xml:space="preserve">. </w:t>
      </w:r>
      <w:r w:rsidR="00E15ECC">
        <w:t xml:space="preserve">Six of the included studies were </w:t>
      </w:r>
      <w:r w:rsidR="00380616">
        <w:t>model based</w:t>
      </w:r>
      <w:r w:rsidR="00EF6654">
        <w:t xml:space="preserve">, and ten adopted a healthcare perspective. All models were from </w:t>
      </w:r>
      <w:r w:rsidR="0024148C">
        <w:t>North America or Europe</w:t>
      </w:r>
      <w:r w:rsidR="00A0177B">
        <w:t>;</w:t>
      </w:r>
      <w:r w:rsidR="0024148C">
        <w:t xml:space="preserve"> none were conducted in Australia.</w:t>
      </w:r>
    </w:p>
    <w:p w14:paraId="17959B83" w14:textId="2B29E216" w:rsidR="00D64D74" w:rsidRDefault="00D64D74" w:rsidP="00BA7E81">
      <w:pPr>
        <w:pStyle w:val="BodyText"/>
      </w:pPr>
      <w:r>
        <w:t xml:space="preserve">One additional study </w:t>
      </w:r>
      <w:r w:rsidR="005549BE">
        <w:t xml:space="preserve">that was published after the </w:t>
      </w:r>
      <w:proofErr w:type="spellStart"/>
      <w:r w:rsidR="005549BE">
        <w:t>Niyomsri</w:t>
      </w:r>
      <w:proofErr w:type="spellEnd"/>
      <w:r w:rsidR="005549BE">
        <w:t xml:space="preserve"> (2020) </w:t>
      </w:r>
      <w:r w:rsidR="00F479B7">
        <w:t>SR</w:t>
      </w:r>
      <w:r w:rsidR="005549BE">
        <w:t xml:space="preserve"> </w:t>
      </w:r>
      <w:r>
        <w:t xml:space="preserve">was identified in the literature review </w:t>
      </w:r>
      <w:r w:rsidR="005549BE">
        <w:t>for this PLR</w:t>
      </w:r>
      <w:r>
        <w:t>.</w:t>
      </w:r>
      <w:r w:rsidR="005549BE">
        <w:t xml:space="preserve"> This study </w:t>
      </w:r>
      <w:r w:rsidR="00771FDA">
        <w:t xml:space="preserve">(Rojo </w:t>
      </w:r>
      <w:r w:rsidR="00315D94">
        <w:t xml:space="preserve">2021) </w:t>
      </w:r>
      <w:r w:rsidR="005549BE">
        <w:t xml:space="preserve">is also shown in the </w:t>
      </w:r>
      <w:r w:rsidR="00771FDA">
        <w:t>table below.</w:t>
      </w:r>
      <w:r w:rsidR="007029C1">
        <w:t xml:space="preserve"> </w:t>
      </w:r>
    </w:p>
    <w:p w14:paraId="7801231A" w14:textId="60EF35AF" w:rsidR="00A03C09" w:rsidRPr="00BA7E81" w:rsidRDefault="00D00F0B" w:rsidP="00D00F0B">
      <w:pPr>
        <w:pStyle w:val="Caption"/>
      </w:pPr>
      <w:bookmarkStart w:id="101" w:name="_Ref129168303"/>
      <w:r>
        <w:t xml:space="preserve">Table </w:t>
      </w:r>
      <w:r>
        <w:fldChar w:fldCharType="begin"/>
      </w:r>
      <w:r>
        <w:instrText>SEQ Table \* ARABIC</w:instrText>
      </w:r>
      <w:r>
        <w:fldChar w:fldCharType="separate"/>
      </w:r>
      <w:r w:rsidR="00CE6ACA">
        <w:rPr>
          <w:noProof/>
        </w:rPr>
        <w:t>19</w:t>
      </w:r>
      <w:r>
        <w:fldChar w:fldCharType="end"/>
      </w:r>
      <w:bookmarkEnd w:id="101"/>
      <w:r>
        <w:tab/>
      </w:r>
      <w:r w:rsidR="00A24D88">
        <w:t>Characteristics</w:t>
      </w:r>
      <w:r>
        <w:t xml:space="preserve"> of </w:t>
      </w:r>
      <w:r w:rsidR="00FB60ED">
        <w:t>cost</w:t>
      </w:r>
      <w:r w:rsidR="00632586">
        <w:t>-</w:t>
      </w:r>
      <w:r w:rsidR="00FB60ED">
        <w:t>effectiveness studies</w:t>
      </w:r>
      <w:r>
        <w:t xml:space="preserve"> </w:t>
      </w:r>
      <w:r w:rsidR="00466387">
        <w:t xml:space="preserve">from </w:t>
      </w:r>
      <w:r w:rsidR="006C0FFC">
        <w:t>other countries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Characteristics of cost-effectiveness studies from other countries"/>
        <w:tblDescription w:val="Table showing the study characteristics of the cost-effectiveness studies from other countries."/>
      </w:tblPr>
      <w:tblGrid>
        <w:gridCol w:w="1418"/>
        <w:gridCol w:w="2362"/>
        <w:gridCol w:w="1620"/>
        <w:gridCol w:w="2160"/>
        <w:gridCol w:w="2078"/>
      </w:tblGrid>
      <w:tr w:rsidR="001728D0" w14:paraId="020D42C4" w14:textId="77777777" w:rsidTr="00990E04">
        <w:trPr>
          <w:cantSplit/>
          <w:tblHeader/>
        </w:trPr>
        <w:tc>
          <w:tcPr>
            <w:tcW w:w="1418" w:type="dxa"/>
            <w:shd w:val="clear" w:color="auto" w:fill="BFBFBF"/>
          </w:tcPr>
          <w:p w14:paraId="1B4AA46B" w14:textId="55C79A55" w:rsidR="002E42A5" w:rsidRPr="00D22AA0" w:rsidRDefault="002E42A5" w:rsidP="00D22AA0">
            <w:pPr>
              <w:pStyle w:val="011TableHeading8pt"/>
              <w:spacing w:before="40" w:line="240" w:lineRule="auto"/>
              <w:ind w:left="-57" w:right="-57"/>
              <w:rPr>
                <w:rFonts w:asciiTheme="minorHAnsi" w:hAnsiTheme="minorHAnsi" w:cstheme="minorHAnsi"/>
                <w:sz w:val="18"/>
                <w:szCs w:val="18"/>
              </w:rPr>
            </w:pPr>
            <w:r w:rsidRPr="00D22AA0">
              <w:rPr>
                <w:rFonts w:asciiTheme="minorHAnsi" w:hAnsiTheme="minorHAnsi" w:cstheme="minorHAnsi"/>
                <w:sz w:val="18"/>
                <w:szCs w:val="18"/>
              </w:rPr>
              <w:t>Study ID</w:t>
            </w:r>
            <w:r w:rsidRPr="00D22AA0">
              <w:rPr>
                <w:rFonts w:asciiTheme="minorHAnsi" w:hAnsiTheme="minorHAnsi" w:cstheme="minorHAnsi"/>
                <w:sz w:val="18"/>
                <w:szCs w:val="18"/>
              </w:rPr>
              <w:br/>
            </w:r>
            <w:r w:rsidR="00EC03D3">
              <w:rPr>
                <w:rFonts w:asciiTheme="minorHAnsi" w:hAnsiTheme="minorHAnsi" w:cstheme="minorHAnsi"/>
                <w:sz w:val="18"/>
                <w:szCs w:val="18"/>
              </w:rPr>
              <w:t>Country</w:t>
            </w:r>
          </w:p>
        </w:tc>
        <w:tc>
          <w:tcPr>
            <w:tcW w:w="2362" w:type="dxa"/>
            <w:shd w:val="clear" w:color="auto" w:fill="BFBFBF"/>
          </w:tcPr>
          <w:p w14:paraId="19926C26" w14:textId="3BF8B773" w:rsidR="002E42A5" w:rsidRPr="00D22AA0" w:rsidRDefault="002E42A5" w:rsidP="00D22AA0">
            <w:pPr>
              <w:pStyle w:val="011TableHeading8pt"/>
              <w:spacing w:before="40" w:line="240" w:lineRule="auto"/>
              <w:ind w:left="-57" w:right="-57"/>
              <w:rPr>
                <w:rFonts w:asciiTheme="minorHAnsi" w:hAnsiTheme="minorHAnsi" w:cstheme="minorHAnsi"/>
                <w:sz w:val="18"/>
                <w:szCs w:val="18"/>
              </w:rPr>
            </w:pPr>
            <w:r w:rsidRPr="00D22AA0">
              <w:rPr>
                <w:rFonts w:asciiTheme="minorHAnsi" w:hAnsiTheme="minorHAnsi" w:cstheme="minorHAnsi"/>
                <w:sz w:val="18"/>
                <w:szCs w:val="18"/>
              </w:rPr>
              <w:t xml:space="preserve">Perspective </w:t>
            </w:r>
            <w:r w:rsidRPr="00D22AA0">
              <w:rPr>
                <w:rFonts w:asciiTheme="minorHAnsi" w:hAnsiTheme="minorHAnsi" w:cstheme="minorHAnsi"/>
                <w:sz w:val="18"/>
                <w:szCs w:val="18"/>
              </w:rPr>
              <w:br/>
              <w:t>Time horizon</w:t>
            </w:r>
            <w:r w:rsidRPr="00D22AA0">
              <w:rPr>
                <w:rFonts w:asciiTheme="minorHAnsi" w:hAnsiTheme="minorHAnsi" w:cstheme="minorHAnsi"/>
                <w:sz w:val="18"/>
                <w:szCs w:val="18"/>
              </w:rPr>
              <w:br/>
              <w:t>EE type</w:t>
            </w:r>
          </w:p>
        </w:tc>
        <w:tc>
          <w:tcPr>
            <w:tcW w:w="1620" w:type="dxa"/>
            <w:shd w:val="clear" w:color="auto" w:fill="BFBFBF"/>
          </w:tcPr>
          <w:p w14:paraId="214BA807" w14:textId="52BA1BE7" w:rsidR="002E42A5" w:rsidRPr="00D22AA0" w:rsidRDefault="002E42A5" w:rsidP="00D22AA0">
            <w:pPr>
              <w:pStyle w:val="011TableHeading8pt"/>
              <w:spacing w:before="40" w:line="240" w:lineRule="auto"/>
              <w:ind w:left="-57" w:right="-57"/>
              <w:rPr>
                <w:rFonts w:asciiTheme="minorHAnsi" w:hAnsiTheme="minorHAnsi" w:cstheme="minorHAnsi"/>
                <w:sz w:val="18"/>
                <w:szCs w:val="18"/>
              </w:rPr>
            </w:pPr>
            <w:r w:rsidRPr="00D22AA0">
              <w:rPr>
                <w:rFonts w:asciiTheme="minorHAnsi" w:hAnsiTheme="minorHAnsi" w:cstheme="minorHAnsi"/>
                <w:sz w:val="18"/>
                <w:szCs w:val="18"/>
              </w:rPr>
              <w:t>Participants</w:t>
            </w:r>
          </w:p>
        </w:tc>
        <w:tc>
          <w:tcPr>
            <w:tcW w:w="2160" w:type="dxa"/>
            <w:shd w:val="clear" w:color="auto" w:fill="BFBFBF"/>
          </w:tcPr>
          <w:p w14:paraId="6E79CD30" w14:textId="7AAE16E6" w:rsidR="002E42A5" w:rsidRPr="00D22AA0" w:rsidRDefault="002E42A5" w:rsidP="00D22AA0">
            <w:pPr>
              <w:pStyle w:val="011TableHeading8pt"/>
              <w:spacing w:before="40" w:line="240" w:lineRule="auto"/>
              <w:ind w:left="-57" w:right="-57"/>
              <w:rPr>
                <w:rFonts w:asciiTheme="minorHAnsi" w:hAnsiTheme="minorHAnsi" w:cstheme="minorHAnsi"/>
                <w:sz w:val="18"/>
                <w:szCs w:val="18"/>
              </w:rPr>
            </w:pPr>
            <w:r w:rsidRPr="00D22AA0">
              <w:rPr>
                <w:rFonts w:asciiTheme="minorHAnsi" w:hAnsiTheme="minorHAnsi" w:cstheme="minorHAnsi"/>
                <w:sz w:val="18"/>
                <w:szCs w:val="18"/>
              </w:rPr>
              <w:t>Intervention</w:t>
            </w:r>
            <w:r w:rsidR="00DC3216" w:rsidRPr="00D22AA0">
              <w:rPr>
                <w:rFonts w:asciiTheme="minorHAnsi" w:hAnsiTheme="minorHAnsi" w:cstheme="minorHAnsi"/>
                <w:sz w:val="18"/>
                <w:szCs w:val="18"/>
              </w:rPr>
              <w:br/>
            </w:r>
            <w:r w:rsidRPr="00D22AA0">
              <w:rPr>
                <w:rFonts w:asciiTheme="minorHAnsi" w:hAnsiTheme="minorHAnsi" w:cstheme="minorHAnsi"/>
                <w:sz w:val="18"/>
                <w:szCs w:val="18"/>
              </w:rPr>
              <w:t>Comparator</w:t>
            </w:r>
          </w:p>
        </w:tc>
        <w:tc>
          <w:tcPr>
            <w:tcW w:w="2078" w:type="dxa"/>
            <w:shd w:val="clear" w:color="auto" w:fill="BFBFBF"/>
          </w:tcPr>
          <w:p w14:paraId="51C19090" w14:textId="547B5676" w:rsidR="002E42A5" w:rsidRPr="00D22AA0" w:rsidRDefault="002E42A5" w:rsidP="00D22AA0">
            <w:pPr>
              <w:pStyle w:val="011TableHeading8pt"/>
              <w:spacing w:before="40" w:line="240" w:lineRule="auto"/>
              <w:ind w:left="-57" w:right="-57"/>
              <w:rPr>
                <w:rFonts w:asciiTheme="minorHAnsi" w:hAnsiTheme="minorHAnsi" w:cstheme="minorHAnsi"/>
                <w:sz w:val="18"/>
                <w:szCs w:val="18"/>
              </w:rPr>
            </w:pPr>
            <w:r w:rsidRPr="00D22AA0">
              <w:rPr>
                <w:rFonts w:asciiTheme="minorHAnsi" w:hAnsiTheme="minorHAnsi" w:cstheme="minorHAnsi"/>
                <w:sz w:val="18"/>
                <w:szCs w:val="18"/>
              </w:rPr>
              <w:t>Funding</w:t>
            </w:r>
            <w:r w:rsidRPr="00D22AA0">
              <w:rPr>
                <w:rFonts w:asciiTheme="minorHAnsi" w:hAnsiTheme="minorHAnsi" w:cstheme="minorHAnsi"/>
                <w:sz w:val="18"/>
                <w:szCs w:val="18"/>
              </w:rPr>
              <w:br/>
              <w:t>Author COIs</w:t>
            </w:r>
          </w:p>
        </w:tc>
      </w:tr>
      <w:tr w:rsidR="001728D0" w14:paraId="3EEE1EA5" w14:textId="77777777" w:rsidTr="00990E04">
        <w:trPr>
          <w:cantSplit/>
        </w:trPr>
        <w:tc>
          <w:tcPr>
            <w:tcW w:w="1418" w:type="dxa"/>
            <w:shd w:val="clear" w:color="auto" w:fill="auto"/>
          </w:tcPr>
          <w:p w14:paraId="51C6FF6A" w14:textId="1C7B2FE5" w:rsidR="002E42A5" w:rsidRPr="00D22AA0" w:rsidRDefault="002E42A5"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Andrell</w:t>
            </w:r>
            <w:proofErr w:type="spellEnd"/>
            <w:r w:rsidRPr="00D22AA0">
              <w:rPr>
                <w:rFonts w:asciiTheme="minorHAnsi" w:hAnsiTheme="minorHAnsi" w:cstheme="minorHAnsi"/>
                <w:sz w:val="18"/>
                <w:szCs w:val="18"/>
              </w:rPr>
              <w:t xml:space="preserve"> 2003</w:t>
            </w:r>
            <w:r w:rsidRPr="00D22AA0">
              <w:rPr>
                <w:rFonts w:asciiTheme="minorHAnsi" w:hAnsiTheme="minorHAnsi" w:cstheme="minorHAnsi"/>
                <w:sz w:val="18"/>
                <w:szCs w:val="18"/>
              </w:rPr>
              <w:br/>
              <w:t>Sweden</w:t>
            </w:r>
          </w:p>
        </w:tc>
        <w:tc>
          <w:tcPr>
            <w:tcW w:w="2362" w:type="dxa"/>
            <w:shd w:val="clear" w:color="auto" w:fill="auto"/>
          </w:tcPr>
          <w:p w14:paraId="5A4177C6" w14:textId="05E6C2A3" w:rsidR="002E42A5" w:rsidRPr="00D22AA0" w:rsidRDefault="001D3A30"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Hea</w:t>
            </w:r>
            <w:r w:rsidR="003A5C75">
              <w:rPr>
                <w:rFonts w:asciiTheme="minorHAnsi" w:hAnsiTheme="minorHAnsi" w:cstheme="minorHAnsi"/>
                <w:sz w:val="18"/>
                <w:szCs w:val="18"/>
              </w:rPr>
              <w:t>lth</w:t>
            </w:r>
            <w:r>
              <w:rPr>
                <w:rFonts w:asciiTheme="minorHAnsi" w:hAnsiTheme="minorHAnsi" w:cstheme="minorHAnsi"/>
                <w:sz w:val="18"/>
                <w:szCs w:val="18"/>
              </w:rPr>
              <w:t xml:space="preserve"> care</w:t>
            </w:r>
            <w:r w:rsidR="002E42A5" w:rsidRPr="00D22AA0">
              <w:rPr>
                <w:rFonts w:asciiTheme="minorHAnsi" w:hAnsiTheme="minorHAnsi" w:cstheme="minorHAnsi"/>
                <w:sz w:val="18"/>
                <w:szCs w:val="18"/>
              </w:rPr>
              <w:br/>
              <w:t xml:space="preserve">2 </w:t>
            </w:r>
            <w:proofErr w:type="spellStart"/>
            <w:r w:rsidR="002E42A5" w:rsidRPr="00D22AA0">
              <w:rPr>
                <w:rFonts w:asciiTheme="minorHAnsi" w:hAnsiTheme="minorHAnsi" w:cstheme="minorHAnsi"/>
                <w:sz w:val="18"/>
                <w:szCs w:val="18"/>
              </w:rPr>
              <w:t>yrs</w:t>
            </w:r>
            <w:proofErr w:type="spellEnd"/>
            <w:r w:rsidR="002E42A5" w:rsidRPr="00D22AA0">
              <w:rPr>
                <w:rFonts w:asciiTheme="minorHAnsi" w:hAnsiTheme="minorHAnsi" w:cstheme="minorHAnsi"/>
                <w:sz w:val="18"/>
                <w:szCs w:val="18"/>
              </w:rPr>
              <w:br/>
            </w:r>
            <w:r w:rsidR="00BF47CA">
              <w:rPr>
                <w:rFonts w:asciiTheme="minorHAnsi" w:hAnsiTheme="minorHAnsi" w:cstheme="minorHAnsi"/>
                <w:sz w:val="18"/>
                <w:szCs w:val="18"/>
              </w:rPr>
              <w:t>CEA (informal)</w:t>
            </w:r>
            <w:r w:rsidR="00C86A0A" w:rsidRPr="00C86A0A">
              <w:rPr>
                <w:rFonts w:asciiTheme="minorHAnsi" w:hAnsiTheme="minorHAnsi" w:cstheme="minorHAnsi"/>
                <w:sz w:val="18"/>
                <w:szCs w:val="18"/>
                <w:vertAlign w:val="superscript"/>
              </w:rPr>
              <w:t>a</w:t>
            </w:r>
            <w:r w:rsidR="000E3DF0">
              <w:rPr>
                <w:rFonts w:asciiTheme="minorHAnsi" w:hAnsiTheme="minorHAnsi" w:cstheme="minorHAnsi"/>
                <w:sz w:val="18"/>
                <w:szCs w:val="18"/>
              </w:rPr>
              <w:t>; t</w:t>
            </w:r>
            <w:r w:rsidR="002E42A5" w:rsidRPr="00D22AA0">
              <w:rPr>
                <w:rFonts w:asciiTheme="minorHAnsi" w:hAnsiTheme="minorHAnsi" w:cstheme="minorHAnsi"/>
                <w:sz w:val="18"/>
                <w:szCs w:val="18"/>
              </w:rPr>
              <w:t>rial based</w:t>
            </w:r>
          </w:p>
        </w:tc>
        <w:tc>
          <w:tcPr>
            <w:tcW w:w="1620" w:type="dxa"/>
            <w:shd w:val="clear" w:color="auto" w:fill="auto"/>
          </w:tcPr>
          <w:p w14:paraId="1C9CD7D9" w14:textId="00F783BF" w:rsidR="002E42A5" w:rsidRPr="00D22AA0" w:rsidRDefault="00A471FD"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Severe a</w:t>
            </w:r>
            <w:r w:rsidR="002E42A5" w:rsidRPr="00D22AA0">
              <w:rPr>
                <w:rFonts w:asciiTheme="minorHAnsi" w:hAnsiTheme="minorHAnsi" w:cstheme="minorHAnsi"/>
                <w:sz w:val="18"/>
                <w:szCs w:val="18"/>
              </w:rPr>
              <w:t>ngina pectoris</w:t>
            </w:r>
          </w:p>
        </w:tc>
        <w:tc>
          <w:tcPr>
            <w:tcW w:w="2160" w:type="dxa"/>
            <w:shd w:val="clear" w:color="auto" w:fill="auto"/>
          </w:tcPr>
          <w:p w14:paraId="48116F68" w14:textId="69CFE9AB"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Pr="00D22AA0">
              <w:rPr>
                <w:rFonts w:asciiTheme="minorHAnsi" w:hAnsiTheme="minorHAnsi" w:cstheme="minorHAnsi"/>
                <w:sz w:val="18"/>
                <w:szCs w:val="18"/>
              </w:rPr>
              <w:br/>
              <w:t>CABG</w:t>
            </w:r>
          </w:p>
        </w:tc>
        <w:tc>
          <w:tcPr>
            <w:tcW w:w="2078" w:type="dxa"/>
            <w:shd w:val="clear" w:color="auto" w:fill="auto"/>
          </w:tcPr>
          <w:p w14:paraId="3624B395" w14:textId="69681281" w:rsidR="00356A6A" w:rsidRPr="00D22AA0" w:rsidRDefault="00356A6A"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 xml:space="preserve">University of Goteborg </w:t>
            </w:r>
            <w:r w:rsidR="001728D0" w:rsidRPr="00D22AA0">
              <w:rPr>
                <w:rFonts w:asciiTheme="minorHAnsi" w:hAnsiTheme="minorHAnsi" w:cstheme="minorHAnsi"/>
                <w:sz w:val="18"/>
                <w:szCs w:val="18"/>
              </w:rPr>
              <w:t>&amp;</w:t>
            </w:r>
            <w:r w:rsidRPr="00D22AA0">
              <w:rPr>
                <w:rFonts w:asciiTheme="minorHAnsi" w:hAnsiTheme="minorHAnsi" w:cstheme="minorHAnsi"/>
                <w:sz w:val="18"/>
                <w:szCs w:val="18"/>
              </w:rPr>
              <w:t xml:space="preserve"> Swedish Heart Lung Foundation </w:t>
            </w:r>
            <w:r w:rsidR="001728D0" w:rsidRPr="00D22AA0">
              <w:rPr>
                <w:rFonts w:asciiTheme="minorHAnsi" w:hAnsiTheme="minorHAnsi" w:cstheme="minorHAnsi"/>
                <w:sz w:val="18"/>
                <w:szCs w:val="18"/>
              </w:rPr>
              <w:t>&amp;</w:t>
            </w:r>
            <w:r w:rsidRPr="00D22AA0">
              <w:rPr>
                <w:rFonts w:asciiTheme="minorHAnsi" w:hAnsiTheme="minorHAnsi" w:cstheme="minorHAnsi"/>
                <w:sz w:val="18"/>
                <w:szCs w:val="18"/>
              </w:rPr>
              <w:t xml:space="preserve"> Swedish Society of Medicine </w:t>
            </w:r>
          </w:p>
          <w:p w14:paraId="5FEBBEDF" w14:textId="5E6DD22B" w:rsidR="002E42A5" w:rsidRPr="00D22AA0" w:rsidRDefault="002E42A5" w:rsidP="00D22AA0">
            <w:pPr>
              <w:pStyle w:val="051Tabletext228pt"/>
              <w:ind w:left="-57" w:right="-57"/>
              <w:rPr>
                <w:rFonts w:asciiTheme="minorHAnsi" w:hAnsiTheme="minorHAnsi" w:cstheme="minorHAnsi"/>
                <w:i/>
                <w:sz w:val="18"/>
                <w:szCs w:val="18"/>
              </w:rPr>
            </w:pPr>
            <w:r w:rsidRPr="00D22AA0">
              <w:rPr>
                <w:rFonts w:asciiTheme="minorHAnsi" w:hAnsiTheme="minorHAnsi" w:cstheme="minorHAnsi"/>
                <w:sz w:val="18"/>
                <w:szCs w:val="18"/>
              </w:rPr>
              <w:t>NR</w:t>
            </w:r>
          </w:p>
        </w:tc>
      </w:tr>
      <w:tr w:rsidR="006E3471" w14:paraId="57370559" w14:textId="77777777" w:rsidTr="00990E04">
        <w:trPr>
          <w:cantSplit/>
        </w:trPr>
        <w:tc>
          <w:tcPr>
            <w:tcW w:w="1418" w:type="dxa"/>
            <w:shd w:val="clear" w:color="auto" w:fill="auto"/>
          </w:tcPr>
          <w:p w14:paraId="7088C48A" w14:textId="5FD63593" w:rsidR="006E3471" w:rsidRPr="00D22AA0" w:rsidRDefault="006E3471"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Annemans</w:t>
            </w:r>
            <w:proofErr w:type="spellEnd"/>
            <w:r w:rsidRPr="00D22AA0">
              <w:rPr>
                <w:rFonts w:asciiTheme="minorHAnsi" w:hAnsiTheme="minorHAnsi" w:cstheme="minorHAnsi"/>
                <w:sz w:val="18"/>
                <w:szCs w:val="18"/>
              </w:rPr>
              <w:t xml:space="preserve"> 2014</w:t>
            </w:r>
            <w:r w:rsidRPr="00D22AA0">
              <w:rPr>
                <w:rFonts w:asciiTheme="minorHAnsi" w:hAnsiTheme="minorHAnsi" w:cstheme="minorHAnsi"/>
                <w:sz w:val="18"/>
                <w:szCs w:val="18"/>
              </w:rPr>
              <w:br/>
              <w:t>UK</w:t>
            </w:r>
          </w:p>
        </w:tc>
        <w:tc>
          <w:tcPr>
            <w:tcW w:w="2362" w:type="dxa"/>
            <w:shd w:val="clear" w:color="auto" w:fill="auto"/>
          </w:tcPr>
          <w:p w14:paraId="49E8E5A2" w14:textId="3285E345" w:rsidR="006E3471" w:rsidRPr="00D22AA0" w:rsidRDefault="006E3471"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 xml:space="preserve">Health care </w:t>
            </w:r>
            <w:r w:rsidRPr="00D22AA0">
              <w:rPr>
                <w:rFonts w:asciiTheme="minorHAnsi" w:hAnsiTheme="minorHAnsi" w:cstheme="minorHAnsi"/>
                <w:sz w:val="18"/>
                <w:szCs w:val="18"/>
              </w:rPr>
              <w:br/>
              <w:t xml:space="preserve">15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8B04A3">
              <w:rPr>
                <w:rFonts w:asciiTheme="minorHAnsi" w:hAnsiTheme="minorHAnsi" w:cstheme="minorHAnsi"/>
                <w:sz w:val="18"/>
                <w:szCs w:val="18"/>
              </w:rPr>
              <w:t>CUA; m</w:t>
            </w:r>
            <w:r w:rsidRPr="00D22AA0">
              <w:rPr>
                <w:rFonts w:asciiTheme="minorHAnsi" w:hAnsiTheme="minorHAnsi" w:cstheme="minorHAnsi"/>
                <w:sz w:val="18"/>
                <w:szCs w:val="18"/>
              </w:rPr>
              <w:t>odel based</w:t>
            </w:r>
          </w:p>
        </w:tc>
        <w:tc>
          <w:tcPr>
            <w:tcW w:w="1620" w:type="dxa"/>
            <w:shd w:val="clear" w:color="auto" w:fill="auto"/>
          </w:tcPr>
          <w:p w14:paraId="06BE494D" w14:textId="18551E33" w:rsidR="006E3471" w:rsidRPr="00D22AA0" w:rsidRDefault="006E3471"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FBSS</w:t>
            </w:r>
          </w:p>
        </w:tc>
        <w:tc>
          <w:tcPr>
            <w:tcW w:w="2160" w:type="dxa"/>
            <w:shd w:val="clear" w:color="auto" w:fill="auto"/>
          </w:tcPr>
          <w:p w14:paraId="4D0ED375" w14:textId="23C36DAF" w:rsidR="006E3471" w:rsidRPr="00D22AA0" w:rsidRDefault="006E3471"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HF10 SCS</w:t>
            </w:r>
            <w:r w:rsidRPr="00D22AA0">
              <w:rPr>
                <w:rFonts w:asciiTheme="minorHAnsi" w:hAnsiTheme="minorHAnsi" w:cstheme="minorHAnsi"/>
                <w:sz w:val="18"/>
                <w:szCs w:val="18"/>
              </w:rPr>
              <w:br/>
              <w:t>CMM; reoperation</w:t>
            </w:r>
          </w:p>
        </w:tc>
        <w:tc>
          <w:tcPr>
            <w:tcW w:w="2078" w:type="dxa"/>
            <w:shd w:val="clear" w:color="auto" w:fill="auto"/>
          </w:tcPr>
          <w:p w14:paraId="4CD30A17" w14:textId="4D35FE9C" w:rsidR="006E3471" w:rsidRPr="00D22AA0" w:rsidRDefault="006E3471"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NR</w:t>
            </w:r>
            <w:r w:rsidRPr="00D22AA0">
              <w:rPr>
                <w:rFonts w:asciiTheme="minorHAnsi" w:hAnsiTheme="minorHAnsi" w:cstheme="minorHAnsi"/>
                <w:sz w:val="18"/>
                <w:szCs w:val="18"/>
              </w:rPr>
              <w:br/>
            </w:r>
            <w:proofErr w:type="spellStart"/>
            <w:r w:rsidRPr="00D22AA0">
              <w:rPr>
                <w:rFonts w:asciiTheme="minorHAnsi" w:hAnsiTheme="minorHAnsi" w:cstheme="minorHAnsi"/>
                <w:sz w:val="18"/>
                <w:szCs w:val="18"/>
              </w:rPr>
              <w:t>NR</w:t>
            </w:r>
            <w:proofErr w:type="spellEnd"/>
          </w:p>
        </w:tc>
      </w:tr>
      <w:tr w:rsidR="001728D0" w14:paraId="2550042E" w14:textId="77777777" w:rsidTr="00990E04">
        <w:trPr>
          <w:cantSplit/>
        </w:trPr>
        <w:tc>
          <w:tcPr>
            <w:tcW w:w="1418" w:type="dxa"/>
            <w:shd w:val="clear" w:color="auto" w:fill="auto"/>
          </w:tcPr>
          <w:p w14:paraId="501A6C25" w14:textId="3C5A9273"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Dyer 2008</w:t>
            </w:r>
            <w:r w:rsidRPr="00D22AA0">
              <w:rPr>
                <w:rFonts w:asciiTheme="minorHAnsi" w:hAnsiTheme="minorHAnsi" w:cstheme="minorHAnsi"/>
                <w:sz w:val="18"/>
                <w:szCs w:val="18"/>
              </w:rPr>
              <w:br/>
              <w:t>UK</w:t>
            </w:r>
          </w:p>
        </w:tc>
        <w:tc>
          <w:tcPr>
            <w:tcW w:w="2362" w:type="dxa"/>
            <w:shd w:val="clear" w:color="auto" w:fill="auto"/>
          </w:tcPr>
          <w:p w14:paraId="20B396DE" w14:textId="1A880EFC"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Health care</w:t>
            </w:r>
            <w:r w:rsidRPr="00D22AA0">
              <w:rPr>
                <w:rFonts w:asciiTheme="minorHAnsi" w:hAnsiTheme="minorHAnsi" w:cstheme="minorHAnsi"/>
                <w:sz w:val="18"/>
                <w:szCs w:val="18"/>
              </w:rPr>
              <w:br/>
              <w:t xml:space="preserve">2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055BB7">
              <w:rPr>
                <w:rFonts w:asciiTheme="minorHAnsi" w:hAnsiTheme="minorHAnsi" w:cstheme="minorHAnsi"/>
                <w:sz w:val="18"/>
                <w:szCs w:val="18"/>
              </w:rPr>
              <w:t>CUA; m</w:t>
            </w:r>
            <w:r w:rsidRPr="00D22AA0">
              <w:rPr>
                <w:rFonts w:asciiTheme="minorHAnsi" w:hAnsiTheme="minorHAnsi" w:cstheme="minorHAnsi"/>
                <w:sz w:val="18"/>
                <w:szCs w:val="18"/>
              </w:rPr>
              <w:t>odel based</w:t>
            </w:r>
          </w:p>
        </w:tc>
        <w:tc>
          <w:tcPr>
            <w:tcW w:w="1620" w:type="dxa"/>
            <w:shd w:val="clear" w:color="auto" w:fill="auto"/>
          </w:tcPr>
          <w:p w14:paraId="24AF8ACE" w14:textId="70B38C6C" w:rsidR="002E42A5" w:rsidRPr="00D22AA0" w:rsidRDefault="000C72D5"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Refractory</w:t>
            </w:r>
            <w:r w:rsidRPr="00D22AA0">
              <w:rPr>
                <w:rFonts w:asciiTheme="minorHAnsi" w:hAnsiTheme="minorHAnsi" w:cstheme="minorHAnsi"/>
                <w:sz w:val="18"/>
                <w:szCs w:val="18"/>
              </w:rPr>
              <w:t xml:space="preserve"> </w:t>
            </w:r>
            <w:r w:rsidR="002E42A5" w:rsidRPr="00D22AA0">
              <w:rPr>
                <w:rFonts w:asciiTheme="minorHAnsi" w:hAnsiTheme="minorHAnsi" w:cstheme="minorHAnsi"/>
                <w:sz w:val="18"/>
                <w:szCs w:val="18"/>
              </w:rPr>
              <w:t>angina pectoris</w:t>
            </w:r>
          </w:p>
        </w:tc>
        <w:tc>
          <w:tcPr>
            <w:tcW w:w="2160" w:type="dxa"/>
            <w:shd w:val="clear" w:color="auto" w:fill="auto"/>
          </w:tcPr>
          <w:p w14:paraId="7D6CD799" w14:textId="1BAECF26"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Pr="00D22AA0">
              <w:rPr>
                <w:rFonts w:asciiTheme="minorHAnsi" w:hAnsiTheme="minorHAnsi" w:cstheme="minorHAnsi"/>
                <w:sz w:val="18"/>
                <w:szCs w:val="18"/>
              </w:rPr>
              <w:br/>
              <w:t>PMR</w:t>
            </w:r>
          </w:p>
        </w:tc>
        <w:tc>
          <w:tcPr>
            <w:tcW w:w="2078" w:type="dxa"/>
            <w:shd w:val="clear" w:color="auto" w:fill="auto"/>
          </w:tcPr>
          <w:p w14:paraId="539815D2" w14:textId="784FA19B"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Medtronic</w:t>
            </w:r>
            <w:r w:rsidRPr="00D22AA0">
              <w:rPr>
                <w:rFonts w:asciiTheme="minorHAnsi" w:hAnsiTheme="minorHAnsi" w:cstheme="minorHAnsi"/>
                <w:sz w:val="18"/>
                <w:szCs w:val="18"/>
              </w:rPr>
              <w:br/>
              <w:t>No</w:t>
            </w:r>
          </w:p>
        </w:tc>
      </w:tr>
      <w:tr w:rsidR="001728D0" w14:paraId="426716D2" w14:textId="77777777" w:rsidTr="00990E04">
        <w:trPr>
          <w:cantSplit/>
        </w:trPr>
        <w:tc>
          <w:tcPr>
            <w:tcW w:w="1418" w:type="dxa"/>
            <w:shd w:val="clear" w:color="auto" w:fill="auto"/>
          </w:tcPr>
          <w:p w14:paraId="09BD11A9" w14:textId="1B45CB87"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Hollingworth 2011</w:t>
            </w:r>
            <w:r w:rsidRPr="00D22AA0">
              <w:rPr>
                <w:rFonts w:asciiTheme="minorHAnsi" w:hAnsiTheme="minorHAnsi" w:cstheme="minorHAnsi"/>
                <w:sz w:val="18"/>
                <w:szCs w:val="18"/>
              </w:rPr>
              <w:br/>
              <w:t>USA</w:t>
            </w:r>
          </w:p>
        </w:tc>
        <w:tc>
          <w:tcPr>
            <w:tcW w:w="2362" w:type="dxa"/>
            <w:shd w:val="clear" w:color="auto" w:fill="auto"/>
          </w:tcPr>
          <w:p w14:paraId="355B35AB" w14:textId="223538E9" w:rsidR="002E42A5" w:rsidRPr="00D22AA0" w:rsidRDefault="007C605F"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Workers</w:t>
            </w:r>
            <w:r w:rsidR="00F54A96">
              <w:rPr>
                <w:rFonts w:asciiTheme="minorHAnsi" w:hAnsiTheme="minorHAnsi" w:cstheme="minorHAnsi"/>
                <w:sz w:val="18"/>
                <w:szCs w:val="18"/>
              </w:rPr>
              <w:t>’</w:t>
            </w:r>
            <w:r>
              <w:rPr>
                <w:rFonts w:asciiTheme="minorHAnsi" w:hAnsiTheme="minorHAnsi" w:cstheme="minorHAnsi"/>
                <w:sz w:val="18"/>
                <w:szCs w:val="18"/>
              </w:rPr>
              <w:t xml:space="preserve"> compensation (</w:t>
            </w:r>
            <w:r w:rsidR="00F54A96">
              <w:rPr>
                <w:rFonts w:asciiTheme="minorHAnsi" w:hAnsiTheme="minorHAnsi" w:cstheme="minorHAnsi"/>
                <w:sz w:val="18"/>
                <w:szCs w:val="18"/>
              </w:rPr>
              <w:t>medical &amp; productivity loss)</w:t>
            </w:r>
            <w:r w:rsidR="002E42A5" w:rsidRPr="00D22AA0">
              <w:rPr>
                <w:rFonts w:asciiTheme="minorHAnsi" w:hAnsiTheme="minorHAnsi" w:cstheme="minorHAnsi"/>
                <w:sz w:val="18"/>
                <w:szCs w:val="18"/>
              </w:rPr>
              <w:br/>
              <w:t xml:space="preserve">2 </w:t>
            </w:r>
            <w:proofErr w:type="spellStart"/>
            <w:r w:rsidR="002E42A5" w:rsidRPr="00D22AA0">
              <w:rPr>
                <w:rFonts w:asciiTheme="minorHAnsi" w:hAnsiTheme="minorHAnsi" w:cstheme="minorHAnsi"/>
                <w:sz w:val="18"/>
                <w:szCs w:val="18"/>
              </w:rPr>
              <w:t>yrs</w:t>
            </w:r>
            <w:proofErr w:type="spellEnd"/>
            <w:r w:rsidR="002E42A5" w:rsidRPr="00D22AA0">
              <w:rPr>
                <w:rFonts w:asciiTheme="minorHAnsi" w:hAnsiTheme="minorHAnsi" w:cstheme="minorHAnsi"/>
                <w:sz w:val="18"/>
                <w:szCs w:val="18"/>
              </w:rPr>
              <w:br/>
            </w:r>
            <w:r w:rsidR="00C363A7">
              <w:rPr>
                <w:rFonts w:asciiTheme="minorHAnsi" w:hAnsiTheme="minorHAnsi" w:cstheme="minorHAnsi"/>
                <w:sz w:val="18"/>
                <w:szCs w:val="18"/>
              </w:rPr>
              <w:t>CEA; e</w:t>
            </w:r>
            <w:r w:rsidR="002E42A5" w:rsidRPr="00D22AA0">
              <w:rPr>
                <w:rFonts w:asciiTheme="minorHAnsi" w:hAnsiTheme="minorHAnsi" w:cstheme="minorHAnsi"/>
                <w:sz w:val="18"/>
                <w:szCs w:val="18"/>
              </w:rPr>
              <w:t>ffectiveness data from case series only</w:t>
            </w:r>
          </w:p>
        </w:tc>
        <w:tc>
          <w:tcPr>
            <w:tcW w:w="1620" w:type="dxa"/>
            <w:shd w:val="clear" w:color="auto" w:fill="auto"/>
          </w:tcPr>
          <w:p w14:paraId="0726C095" w14:textId="082B7A9D"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FBSS</w:t>
            </w:r>
          </w:p>
        </w:tc>
        <w:tc>
          <w:tcPr>
            <w:tcW w:w="2160" w:type="dxa"/>
            <w:shd w:val="clear" w:color="auto" w:fill="auto"/>
          </w:tcPr>
          <w:p w14:paraId="74B6D756" w14:textId="360D12F1" w:rsidR="002E42A5" w:rsidRPr="00D22AA0" w:rsidRDefault="0070325F"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T</w:t>
            </w:r>
            <w:r w:rsidR="002E42A5" w:rsidRPr="00D22AA0">
              <w:rPr>
                <w:rFonts w:asciiTheme="minorHAnsi" w:hAnsiTheme="minorHAnsi" w:cstheme="minorHAnsi"/>
                <w:sz w:val="18"/>
                <w:szCs w:val="18"/>
              </w:rPr>
              <w:t>rial SCS</w:t>
            </w:r>
            <w:r w:rsidR="002E42A5" w:rsidRPr="00D22AA0">
              <w:rPr>
                <w:rFonts w:asciiTheme="minorHAnsi" w:hAnsiTheme="minorHAnsi" w:cstheme="minorHAnsi"/>
                <w:sz w:val="18"/>
                <w:szCs w:val="18"/>
              </w:rPr>
              <w:br/>
              <w:t>PC evaluation; usual care</w:t>
            </w:r>
          </w:p>
        </w:tc>
        <w:tc>
          <w:tcPr>
            <w:tcW w:w="2078" w:type="dxa"/>
            <w:shd w:val="clear" w:color="auto" w:fill="auto"/>
          </w:tcPr>
          <w:p w14:paraId="256FFBD3" w14:textId="38B21E0B"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NR</w:t>
            </w:r>
            <w:r w:rsidRPr="00D22AA0">
              <w:rPr>
                <w:rFonts w:asciiTheme="minorHAnsi" w:hAnsiTheme="minorHAnsi" w:cstheme="minorHAnsi"/>
                <w:sz w:val="18"/>
                <w:szCs w:val="18"/>
              </w:rPr>
              <w:br/>
              <w:t>No</w:t>
            </w:r>
          </w:p>
        </w:tc>
      </w:tr>
      <w:tr w:rsidR="001728D0" w14:paraId="34E530E8" w14:textId="77777777" w:rsidTr="00990E04">
        <w:trPr>
          <w:cantSplit/>
        </w:trPr>
        <w:tc>
          <w:tcPr>
            <w:tcW w:w="1418" w:type="dxa"/>
            <w:shd w:val="clear" w:color="auto" w:fill="auto"/>
          </w:tcPr>
          <w:p w14:paraId="07E33BFA" w14:textId="3398AF3A" w:rsidR="002E42A5" w:rsidRPr="00D22AA0" w:rsidRDefault="002E42A5"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Kemler</w:t>
            </w:r>
            <w:proofErr w:type="spellEnd"/>
            <w:r w:rsidRPr="00D22AA0">
              <w:rPr>
                <w:rFonts w:asciiTheme="minorHAnsi" w:hAnsiTheme="minorHAnsi" w:cstheme="minorHAnsi"/>
                <w:sz w:val="18"/>
                <w:szCs w:val="18"/>
              </w:rPr>
              <w:t xml:space="preserve"> 2002</w:t>
            </w:r>
            <w:r w:rsidRPr="00D22AA0">
              <w:rPr>
                <w:rFonts w:asciiTheme="minorHAnsi" w:hAnsiTheme="minorHAnsi" w:cstheme="minorHAnsi"/>
                <w:sz w:val="18"/>
                <w:szCs w:val="18"/>
              </w:rPr>
              <w:br/>
            </w:r>
            <w:r w:rsidR="001232CB" w:rsidRPr="00D22AA0">
              <w:rPr>
                <w:rFonts w:asciiTheme="minorHAnsi" w:hAnsiTheme="minorHAnsi" w:cstheme="minorHAnsi"/>
                <w:sz w:val="18"/>
                <w:szCs w:val="18"/>
              </w:rPr>
              <w:t>NL</w:t>
            </w:r>
          </w:p>
        </w:tc>
        <w:tc>
          <w:tcPr>
            <w:tcW w:w="2362" w:type="dxa"/>
            <w:shd w:val="clear" w:color="auto" w:fill="auto"/>
          </w:tcPr>
          <w:p w14:paraId="33809673" w14:textId="01294E13" w:rsidR="002E42A5" w:rsidRPr="00D22AA0" w:rsidRDefault="00BD7641"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w:t>
            </w:r>
            <w:r w:rsidR="002E42A5" w:rsidRPr="00D22AA0">
              <w:rPr>
                <w:rFonts w:asciiTheme="minorHAnsi" w:hAnsiTheme="minorHAnsi" w:cstheme="minorHAnsi"/>
                <w:sz w:val="18"/>
                <w:szCs w:val="18"/>
              </w:rPr>
              <w:t>ocietal</w:t>
            </w:r>
            <w:r w:rsidR="002E42A5" w:rsidRPr="00D22AA0">
              <w:rPr>
                <w:rFonts w:asciiTheme="minorHAnsi" w:hAnsiTheme="minorHAnsi" w:cstheme="minorHAnsi"/>
                <w:sz w:val="18"/>
                <w:szCs w:val="18"/>
              </w:rPr>
              <w:br/>
              <w:t xml:space="preserve">1 </w:t>
            </w:r>
            <w:proofErr w:type="spellStart"/>
            <w:r w:rsidR="002E42A5" w:rsidRPr="00D22AA0">
              <w:rPr>
                <w:rFonts w:asciiTheme="minorHAnsi" w:hAnsiTheme="minorHAnsi" w:cstheme="minorHAnsi"/>
                <w:sz w:val="18"/>
                <w:szCs w:val="18"/>
              </w:rPr>
              <w:t>yr</w:t>
            </w:r>
            <w:proofErr w:type="spellEnd"/>
            <w:r w:rsidR="002E42A5" w:rsidRPr="00D22AA0">
              <w:rPr>
                <w:rFonts w:asciiTheme="minorHAnsi" w:hAnsiTheme="minorHAnsi" w:cstheme="minorHAnsi"/>
                <w:sz w:val="18"/>
                <w:szCs w:val="18"/>
              </w:rPr>
              <w:t>, lifetime</w:t>
            </w:r>
            <w:r w:rsidR="002E42A5" w:rsidRPr="00D22AA0">
              <w:rPr>
                <w:rFonts w:asciiTheme="minorHAnsi" w:hAnsiTheme="minorHAnsi" w:cstheme="minorHAnsi"/>
                <w:sz w:val="18"/>
                <w:szCs w:val="18"/>
              </w:rPr>
              <w:br/>
            </w:r>
            <w:r w:rsidR="003319A7">
              <w:rPr>
                <w:rFonts w:asciiTheme="minorHAnsi" w:hAnsiTheme="minorHAnsi" w:cstheme="minorHAnsi"/>
                <w:sz w:val="18"/>
                <w:szCs w:val="18"/>
              </w:rPr>
              <w:t>CUA; t</w:t>
            </w:r>
            <w:r w:rsidR="002E42A5" w:rsidRPr="00D22AA0">
              <w:rPr>
                <w:rFonts w:asciiTheme="minorHAnsi" w:hAnsiTheme="minorHAnsi" w:cstheme="minorHAnsi"/>
                <w:sz w:val="18"/>
                <w:szCs w:val="18"/>
              </w:rPr>
              <w:t>rial based</w:t>
            </w:r>
          </w:p>
        </w:tc>
        <w:tc>
          <w:tcPr>
            <w:tcW w:w="1620" w:type="dxa"/>
            <w:shd w:val="clear" w:color="auto" w:fill="auto"/>
          </w:tcPr>
          <w:p w14:paraId="67188F32" w14:textId="070B9D4C"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Chronic RSD</w:t>
            </w:r>
          </w:p>
        </w:tc>
        <w:tc>
          <w:tcPr>
            <w:tcW w:w="2160" w:type="dxa"/>
            <w:shd w:val="clear" w:color="auto" w:fill="auto"/>
          </w:tcPr>
          <w:p w14:paraId="343A4DB4" w14:textId="325660BD"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 + PT</w:t>
            </w:r>
            <w:r w:rsidRPr="00D22AA0">
              <w:rPr>
                <w:rFonts w:asciiTheme="minorHAnsi" w:hAnsiTheme="minorHAnsi" w:cstheme="minorHAnsi"/>
                <w:sz w:val="18"/>
                <w:szCs w:val="18"/>
              </w:rPr>
              <w:br/>
            </w:r>
            <w:proofErr w:type="spellStart"/>
            <w:r w:rsidRPr="00D22AA0">
              <w:rPr>
                <w:rFonts w:asciiTheme="minorHAnsi" w:hAnsiTheme="minorHAnsi" w:cstheme="minorHAnsi"/>
                <w:sz w:val="18"/>
                <w:szCs w:val="18"/>
              </w:rPr>
              <w:t>PT</w:t>
            </w:r>
            <w:proofErr w:type="spellEnd"/>
          </w:p>
        </w:tc>
        <w:tc>
          <w:tcPr>
            <w:tcW w:w="2078" w:type="dxa"/>
            <w:shd w:val="clear" w:color="auto" w:fill="auto"/>
          </w:tcPr>
          <w:p w14:paraId="3BC3B261" w14:textId="7A310C98"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Dutch Health Insurance Council</w:t>
            </w:r>
            <w:r w:rsidRPr="00D22AA0">
              <w:rPr>
                <w:rFonts w:asciiTheme="minorHAnsi" w:hAnsiTheme="minorHAnsi" w:cstheme="minorHAnsi"/>
                <w:sz w:val="18"/>
                <w:szCs w:val="18"/>
              </w:rPr>
              <w:br/>
              <w:t>No</w:t>
            </w:r>
          </w:p>
        </w:tc>
      </w:tr>
      <w:tr w:rsidR="001728D0" w14:paraId="486BD872" w14:textId="77777777" w:rsidTr="00990E04">
        <w:trPr>
          <w:cantSplit/>
        </w:trPr>
        <w:tc>
          <w:tcPr>
            <w:tcW w:w="1418" w:type="dxa"/>
            <w:shd w:val="clear" w:color="auto" w:fill="auto"/>
          </w:tcPr>
          <w:p w14:paraId="2AB87EC9" w14:textId="592C5EE2" w:rsidR="002E42A5" w:rsidRPr="00D22AA0" w:rsidRDefault="002E42A5"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Kemler</w:t>
            </w:r>
            <w:proofErr w:type="spellEnd"/>
            <w:r w:rsidRPr="00D22AA0">
              <w:rPr>
                <w:rFonts w:asciiTheme="minorHAnsi" w:hAnsiTheme="minorHAnsi" w:cstheme="minorHAnsi"/>
                <w:sz w:val="18"/>
                <w:szCs w:val="18"/>
              </w:rPr>
              <w:t xml:space="preserve"> 2010</w:t>
            </w:r>
            <w:r w:rsidRPr="00D22AA0">
              <w:rPr>
                <w:rFonts w:asciiTheme="minorHAnsi" w:hAnsiTheme="minorHAnsi" w:cstheme="minorHAnsi"/>
                <w:sz w:val="18"/>
                <w:szCs w:val="18"/>
              </w:rPr>
              <w:br/>
              <w:t>UK</w:t>
            </w:r>
          </w:p>
        </w:tc>
        <w:tc>
          <w:tcPr>
            <w:tcW w:w="2362" w:type="dxa"/>
            <w:shd w:val="clear" w:color="auto" w:fill="auto"/>
          </w:tcPr>
          <w:p w14:paraId="02E4B785" w14:textId="49A9B2D9"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Health care</w:t>
            </w:r>
            <w:r w:rsidRPr="00D22AA0">
              <w:rPr>
                <w:rFonts w:asciiTheme="minorHAnsi" w:hAnsiTheme="minorHAnsi" w:cstheme="minorHAnsi"/>
                <w:sz w:val="18"/>
                <w:szCs w:val="18"/>
              </w:rPr>
              <w:br/>
              <w:t xml:space="preserve">15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E71A56">
              <w:rPr>
                <w:rFonts w:asciiTheme="minorHAnsi" w:hAnsiTheme="minorHAnsi" w:cstheme="minorHAnsi"/>
                <w:sz w:val="18"/>
                <w:szCs w:val="18"/>
              </w:rPr>
              <w:t>CUA; m</w:t>
            </w:r>
            <w:r w:rsidRPr="00D22AA0">
              <w:rPr>
                <w:rFonts w:asciiTheme="minorHAnsi" w:hAnsiTheme="minorHAnsi" w:cstheme="minorHAnsi"/>
                <w:sz w:val="18"/>
                <w:szCs w:val="18"/>
              </w:rPr>
              <w:t>odel based</w:t>
            </w:r>
          </w:p>
        </w:tc>
        <w:tc>
          <w:tcPr>
            <w:tcW w:w="1620" w:type="dxa"/>
            <w:shd w:val="clear" w:color="auto" w:fill="auto"/>
          </w:tcPr>
          <w:p w14:paraId="1B611C45" w14:textId="7AE38EF8"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CRPS</w:t>
            </w:r>
            <w:r w:rsidR="00A7508C">
              <w:rPr>
                <w:rFonts w:asciiTheme="minorHAnsi" w:hAnsiTheme="minorHAnsi" w:cstheme="minorHAnsi"/>
                <w:sz w:val="18"/>
                <w:szCs w:val="18"/>
              </w:rPr>
              <w:t xml:space="preserve"> type I</w:t>
            </w:r>
          </w:p>
        </w:tc>
        <w:tc>
          <w:tcPr>
            <w:tcW w:w="2160" w:type="dxa"/>
            <w:shd w:val="clear" w:color="auto" w:fill="auto"/>
          </w:tcPr>
          <w:p w14:paraId="77864A53" w14:textId="15B79D4C"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0017654F">
              <w:rPr>
                <w:rFonts w:asciiTheme="minorHAnsi" w:hAnsiTheme="minorHAnsi" w:cstheme="minorHAnsi"/>
                <w:sz w:val="18"/>
                <w:szCs w:val="18"/>
              </w:rPr>
              <w:t xml:space="preserve"> + CMM</w:t>
            </w:r>
            <w:r w:rsidRPr="00D22AA0">
              <w:rPr>
                <w:rFonts w:asciiTheme="minorHAnsi" w:hAnsiTheme="minorHAnsi" w:cstheme="minorHAnsi"/>
                <w:sz w:val="18"/>
                <w:szCs w:val="18"/>
              </w:rPr>
              <w:br/>
            </w:r>
            <w:proofErr w:type="spellStart"/>
            <w:r w:rsidRPr="00D22AA0">
              <w:rPr>
                <w:rFonts w:asciiTheme="minorHAnsi" w:hAnsiTheme="minorHAnsi" w:cstheme="minorHAnsi"/>
                <w:sz w:val="18"/>
                <w:szCs w:val="18"/>
              </w:rPr>
              <w:t>CMM</w:t>
            </w:r>
            <w:proofErr w:type="spellEnd"/>
          </w:p>
        </w:tc>
        <w:tc>
          <w:tcPr>
            <w:tcW w:w="2078" w:type="dxa"/>
            <w:shd w:val="clear" w:color="auto" w:fill="auto"/>
          </w:tcPr>
          <w:p w14:paraId="75DE3907" w14:textId="7275C323"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Medtronic</w:t>
            </w:r>
            <w:r w:rsidRPr="00D22AA0">
              <w:rPr>
                <w:rFonts w:asciiTheme="minorHAnsi" w:hAnsiTheme="minorHAnsi" w:cstheme="minorHAnsi"/>
                <w:sz w:val="18"/>
                <w:szCs w:val="18"/>
              </w:rPr>
              <w:br/>
              <w:t>NR</w:t>
            </w:r>
          </w:p>
        </w:tc>
      </w:tr>
      <w:tr w:rsidR="001728D0" w14:paraId="2E9A0019" w14:textId="77777777" w:rsidTr="00990E04">
        <w:trPr>
          <w:cantSplit/>
        </w:trPr>
        <w:tc>
          <w:tcPr>
            <w:tcW w:w="1418" w:type="dxa"/>
            <w:shd w:val="clear" w:color="auto" w:fill="auto"/>
          </w:tcPr>
          <w:p w14:paraId="0100C447" w14:textId="56CECDBE"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Klomp 2006</w:t>
            </w:r>
            <w:r w:rsidRPr="00D22AA0">
              <w:rPr>
                <w:rFonts w:asciiTheme="minorHAnsi" w:hAnsiTheme="minorHAnsi" w:cstheme="minorHAnsi"/>
                <w:sz w:val="18"/>
                <w:szCs w:val="18"/>
              </w:rPr>
              <w:br/>
            </w:r>
            <w:r w:rsidR="001232CB" w:rsidRPr="00D22AA0">
              <w:rPr>
                <w:rFonts w:asciiTheme="minorHAnsi" w:hAnsiTheme="minorHAnsi" w:cstheme="minorHAnsi"/>
                <w:sz w:val="18"/>
                <w:szCs w:val="18"/>
              </w:rPr>
              <w:t>NL</w:t>
            </w:r>
          </w:p>
        </w:tc>
        <w:tc>
          <w:tcPr>
            <w:tcW w:w="2362" w:type="dxa"/>
            <w:shd w:val="clear" w:color="auto" w:fill="auto"/>
          </w:tcPr>
          <w:p w14:paraId="157677F1" w14:textId="1D54B2C8"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Societal</w:t>
            </w:r>
            <w:r w:rsidRPr="00D22AA0">
              <w:rPr>
                <w:rFonts w:asciiTheme="minorHAnsi" w:hAnsiTheme="minorHAnsi" w:cstheme="minorHAnsi"/>
                <w:sz w:val="18"/>
                <w:szCs w:val="18"/>
              </w:rPr>
              <w:br/>
              <w:t xml:space="preserve">2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AE471A">
              <w:rPr>
                <w:rFonts w:asciiTheme="minorHAnsi" w:hAnsiTheme="minorHAnsi" w:cstheme="minorHAnsi"/>
                <w:sz w:val="18"/>
                <w:szCs w:val="18"/>
              </w:rPr>
              <w:t>CEA (informal)</w:t>
            </w:r>
            <w:r w:rsidR="00AE471A" w:rsidRPr="00C86A0A">
              <w:rPr>
                <w:rFonts w:asciiTheme="minorHAnsi" w:hAnsiTheme="minorHAnsi" w:cstheme="minorHAnsi"/>
                <w:sz w:val="18"/>
                <w:szCs w:val="18"/>
                <w:vertAlign w:val="superscript"/>
              </w:rPr>
              <w:t>a</w:t>
            </w:r>
            <w:r w:rsidR="00BD6BC2">
              <w:rPr>
                <w:rFonts w:asciiTheme="minorHAnsi" w:hAnsiTheme="minorHAnsi" w:cstheme="minorHAnsi"/>
                <w:sz w:val="18"/>
                <w:szCs w:val="18"/>
              </w:rPr>
              <w:t xml:space="preserve">; </w:t>
            </w:r>
            <w:r w:rsidR="00545A35">
              <w:rPr>
                <w:rFonts w:asciiTheme="minorHAnsi" w:hAnsiTheme="minorHAnsi" w:cstheme="minorHAnsi"/>
                <w:sz w:val="18"/>
                <w:szCs w:val="18"/>
              </w:rPr>
              <w:t>t</w:t>
            </w:r>
            <w:r w:rsidRPr="00D22AA0">
              <w:rPr>
                <w:rFonts w:asciiTheme="minorHAnsi" w:hAnsiTheme="minorHAnsi" w:cstheme="minorHAnsi"/>
                <w:sz w:val="18"/>
                <w:szCs w:val="18"/>
              </w:rPr>
              <w:t>rial based</w:t>
            </w:r>
          </w:p>
        </w:tc>
        <w:tc>
          <w:tcPr>
            <w:tcW w:w="1620" w:type="dxa"/>
            <w:shd w:val="clear" w:color="auto" w:fill="auto"/>
          </w:tcPr>
          <w:p w14:paraId="7CE4091A" w14:textId="55EC7F94"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CLI</w:t>
            </w:r>
          </w:p>
        </w:tc>
        <w:tc>
          <w:tcPr>
            <w:tcW w:w="2160" w:type="dxa"/>
            <w:shd w:val="clear" w:color="auto" w:fill="auto"/>
          </w:tcPr>
          <w:p w14:paraId="533E2AC2" w14:textId="7273E4F8"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Pr="00D22AA0">
              <w:rPr>
                <w:rFonts w:asciiTheme="minorHAnsi" w:hAnsiTheme="minorHAnsi" w:cstheme="minorHAnsi"/>
                <w:sz w:val="18"/>
                <w:szCs w:val="18"/>
              </w:rPr>
              <w:br/>
              <w:t>BMT</w:t>
            </w:r>
          </w:p>
        </w:tc>
        <w:tc>
          <w:tcPr>
            <w:tcW w:w="2078" w:type="dxa"/>
            <w:shd w:val="clear" w:color="auto" w:fill="auto"/>
          </w:tcPr>
          <w:p w14:paraId="12FB43E6" w14:textId="70C55D76"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Dutch Fund for Investigative Medicine</w:t>
            </w:r>
            <w:r w:rsidRPr="00D22AA0">
              <w:rPr>
                <w:rFonts w:asciiTheme="minorHAnsi" w:hAnsiTheme="minorHAnsi" w:cstheme="minorHAnsi"/>
                <w:sz w:val="18"/>
                <w:szCs w:val="18"/>
              </w:rPr>
              <w:br/>
              <w:t>No</w:t>
            </w:r>
          </w:p>
        </w:tc>
      </w:tr>
      <w:tr w:rsidR="001728D0" w14:paraId="421C9491" w14:textId="77777777" w:rsidTr="00990E04">
        <w:trPr>
          <w:cantSplit/>
        </w:trPr>
        <w:tc>
          <w:tcPr>
            <w:tcW w:w="1418" w:type="dxa"/>
            <w:shd w:val="clear" w:color="auto" w:fill="auto"/>
          </w:tcPr>
          <w:p w14:paraId="6C5B6933" w14:textId="2BBC588F"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Kumar 2002</w:t>
            </w:r>
            <w:r w:rsidRPr="00D22AA0">
              <w:rPr>
                <w:rFonts w:asciiTheme="minorHAnsi" w:hAnsiTheme="minorHAnsi" w:cstheme="minorHAnsi"/>
                <w:sz w:val="18"/>
                <w:szCs w:val="18"/>
              </w:rPr>
              <w:br/>
              <w:t>Canada</w:t>
            </w:r>
          </w:p>
        </w:tc>
        <w:tc>
          <w:tcPr>
            <w:tcW w:w="2362" w:type="dxa"/>
            <w:shd w:val="clear" w:color="auto" w:fill="auto"/>
          </w:tcPr>
          <w:p w14:paraId="09DFC490" w14:textId="00C598F9"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Health care</w:t>
            </w:r>
            <w:r w:rsidRPr="00D22AA0">
              <w:rPr>
                <w:rFonts w:asciiTheme="minorHAnsi" w:hAnsiTheme="minorHAnsi" w:cstheme="minorHAnsi"/>
                <w:sz w:val="18"/>
                <w:szCs w:val="18"/>
              </w:rPr>
              <w:br/>
              <w:t xml:space="preserve">5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E57F6F">
              <w:rPr>
                <w:rFonts w:asciiTheme="minorHAnsi" w:hAnsiTheme="minorHAnsi" w:cstheme="minorHAnsi"/>
                <w:sz w:val="18"/>
                <w:szCs w:val="18"/>
              </w:rPr>
              <w:t>CEA (informal)</w:t>
            </w:r>
            <w:r w:rsidR="00E57F6F" w:rsidRPr="00C86A0A">
              <w:rPr>
                <w:rFonts w:asciiTheme="minorHAnsi" w:hAnsiTheme="minorHAnsi" w:cstheme="minorHAnsi"/>
                <w:sz w:val="18"/>
                <w:szCs w:val="18"/>
                <w:vertAlign w:val="superscript"/>
              </w:rPr>
              <w:t>a</w:t>
            </w:r>
            <w:r w:rsidR="00E57F6F">
              <w:rPr>
                <w:rFonts w:asciiTheme="minorHAnsi" w:hAnsiTheme="minorHAnsi" w:cstheme="minorHAnsi"/>
                <w:sz w:val="18"/>
                <w:szCs w:val="18"/>
              </w:rPr>
              <w:t>; t</w:t>
            </w:r>
            <w:r w:rsidR="00B07F6F" w:rsidRPr="00D22AA0">
              <w:rPr>
                <w:rFonts w:asciiTheme="minorHAnsi" w:hAnsiTheme="minorHAnsi" w:cstheme="minorHAnsi"/>
                <w:sz w:val="18"/>
                <w:szCs w:val="18"/>
              </w:rPr>
              <w:t>rial</w:t>
            </w:r>
            <w:r w:rsidR="005D08F4">
              <w:rPr>
                <w:rFonts w:asciiTheme="minorHAnsi" w:hAnsiTheme="minorHAnsi" w:cstheme="minorHAnsi"/>
                <w:sz w:val="18"/>
                <w:szCs w:val="18"/>
              </w:rPr>
              <w:t xml:space="preserve"> </w:t>
            </w:r>
            <w:r w:rsidR="00B07F6F" w:rsidRPr="00D22AA0">
              <w:rPr>
                <w:rFonts w:asciiTheme="minorHAnsi" w:hAnsiTheme="minorHAnsi" w:cstheme="minorHAnsi"/>
                <w:sz w:val="18"/>
                <w:szCs w:val="18"/>
              </w:rPr>
              <w:t>based (</w:t>
            </w:r>
            <w:r w:rsidR="00676B8B">
              <w:rPr>
                <w:rFonts w:asciiTheme="minorHAnsi" w:hAnsiTheme="minorHAnsi" w:cstheme="minorHAnsi"/>
                <w:sz w:val="18"/>
                <w:szCs w:val="18"/>
              </w:rPr>
              <w:t>c</w:t>
            </w:r>
            <w:r w:rsidR="00BD7641" w:rsidRPr="00D22AA0">
              <w:rPr>
                <w:rFonts w:asciiTheme="minorHAnsi" w:hAnsiTheme="minorHAnsi" w:cstheme="minorHAnsi"/>
                <w:sz w:val="18"/>
                <w:szCs w:val="18"/>
              </w:rPr>
              <w:t>ase series</w:t>
            </w:r>
            <w:r w:rsidR="00B07F6F" w:rsidRPr="00D22AA0">
              <w:rPr>
                <w:rFonts w:asciiTheme="minorHAnsi" w:hAnsiTheme="minorHAnsi" w:cstheme="minorHAnsi"/>
                <w:sz w:val="18"/>
                <w:szCs w:val="18"/>
              </w:rPr>
              <w:t>)</w:t>
            </w:r>
          </w:p>
        </w:tc>
        <w:tc>
          <w:tcPr>
            <w:tcW w:w="1620" w:type="dxa"/>
            <w:shd w:val="clear" w:color="auto" w:fill="auto"/>
          </w:tcPr>
          <w:p w14:paraId="688485AD" w14:textId="6CE72D4D"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Chronic pain</w:t>
            </w:r>
          </w:p>
        </w:tc>
        <w:tc>
          <w:tcPr>
            <w:tcW w:w="2160" w:type="dxa"/>
            <w:shd w:val="clear" w:color="auto" w:fill="auto"/>
          </w:tcPr>
          <w:p w14:paraId="3F0934FC" w14:textId="5A27519D"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Pr="00D22AA0">
              <w:rPr>
                <w:rFonts w:asciiTheme="minorHAnsi" w:hAnsiTheme="minorHAnsi" w:cstheme="minorHAnsi"/>
                <w:sz w:val="18"/>
                <w:szCs w:val="18"/>
              </w:rPr>
              <w:br/>
              <w:t>BMT</w:t>
            </w:r>
          </w:p>
        </w:tc>
        <w:tc>
          <w:tcPr>
            <w:tcW w:w="2078" w:type="dxa"/>
            <w:shd w:val="clear" w:color="auto" w:fill="auto"/>
          </w:tcPr>
          <w:p w14:paraId="5F427A0B" w14:textId="231C66E9"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No</w:t>
            </w:r>
            <w:r w:rsidRPr="00D22AA0">
              <w:rPr>
                <w:rFonts w:asciiTheme="minorHAnsi" w:hAnsiTheme="minorHAnsi" w:cstheme="minorHAnsi"/>
                <w:sz w:val="18"/>
                <w:szCs w:val="18"/>
              </w:rPr>
              <w:br/>
            </w:r>
            <w:proofErr w:type="spellStart"/>
            <w:r w:rsidRPr="00D22AA0">
              <w:rPr>
                <w:rFonts w:asciiTheme="minorHAnsi" w:hAnsiTheme="minorHAnsi" w:cstheme="minorHAnsi"/>
                <w:sz w:val="18"/>
                <w:szCs w:val="18"/>
              </w:rPr>
              <w:t>No</w:t>
            </w:r>
            <w:proofErr w:type="spellEnd"/>
          </w:p>
        </w:tc>
      </w:tr>
      <w:tr w:rsidR="001728D0" w14:paraId="6F78A9B6" w14:textId="77777777" w:rsidTr="00990E04">
        <w:trPr>
          <w:cantSplit/>
        </w:trPr>
        <w:tc>
          <w:tcPr>
            <w:tcW w:w="1418" w:type="dxa"/>
            <w:shd w:val="clear" w:color="auto" w:fill="auto"/>
          </w:tcPr>
          <w:p w14:paraId="43D53206" w14:textId="696EF2E2"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Kumar 2013</w:t>
            </w:r>
            <w:r w:rsidRPr="00D22AA0">
              <w:rPr>
                <w:rFonts w:asciiTheme="minorHAnsi" w:hAnsiTheme="minorHAnsi" w:cstheme="minorHAnsi"/>
                <w:sz w:val="18"/>
                <w:szCs w:val="18"/>
              </w:rPr>
              <w:br/>
              <w:t>Canada</w:t>
            </w:r>
          </w:p>
        </w:tc>
        <w:tc>
          <w:tcPr>
            <w:tcW w:w="2362" w:type="dxa"/>
            <w:shd w:val="clear" w:color="auto" w:fill="auto"/>
          </w:tcPr>
          <w:p w14:paraId="64ECDB08" w14:textId="78AD80B4"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Health care</w:t>
            </w:r>
            <w:r w:rsidRPr="00D22AA0">
              <w:rPr>
                <w:rFonts w:asciiTheme="minorHAnsi" w:hAnsiTheme="minorHAnsi" w:cstheme="minorHAnsi"/>
                <w:sz w:val="18"/>
                <w:szCs w:val="18"/>
              </w:rPr>
              <w:br/>
              <w:t xml:space="preserve">20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14151F">
              <w:rPr>
                <w:rFonts w:asciiTheme="minorHAnsi" w:hAnsiTheme="minorHAnsi" w:cstheme="minorHAnsi"/>
                <w:sz w:val="18"/>
                <w:szCs w:val="18"/>
              </w:rPr>
              <w:t>CUA; m</w:t>
            </w:r>
            <w:r w:rsidRPr="00D22AA0">
              <w:rPr>
                <w:rFonts w:asciiTheme="minorHAnsi" w:hAnsiTheme="minorHAnsi" w:cstheme="minorHAnsi"/>
                <w:sz w:val="18"/>
                <w:szCs w:val="18"/>
              </w:rPr>
              <w:t>odel based</w:t>
            </w:r>
          </w:p>
        </w:tc>
        <w:tc>
          <w:tcPr>
            <w:tcW w:w="1620" w:type="dxa"/>
            <w:shd w:val="clear" w:color="auto" w:fill="auto"/>
          </w:tcPr>
          <w:p w14:paraId="6D9BAD5A" w14:textId="7BC1C952"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FBSS; CRPS; PAD; RAP</w:t>
            </w:r>
          </w:p>
        </w:tc>
        <w:tc>
          <w:tcPr>
            <w:tcW w:w="2160" w:type="dxa"/>
            <w:shd w:val="clear" w:color="auto" w:fill="auto"/>
          </w:tcPr>
          <w:p w14:paraId="085641AC" w14:textId="11C34065"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00510357">
              <w:rPr>
                <w:rFonts w:asciiTheme="minorHAnsi" w:hAnsiTheme="minorHAnsi" w:cstheme="minorHAnsi"/>
                <w:sz w:val="18"/>
                <w:szCs w:val="18"/>
              </w:rPr>
              <w:t xml:space="preserve"> + CMM</w:t>
            </w:r>
            <w:r w:rsidRPr="00D22AA0">
              <w:rPr>
                <w:rFonts w:asciiTheme="minorHAnsi" w:hAnsiTheme="minorHAnsi" w:cstheme="minorHAnsi"/>
                <w:sz w:val="18"/>
                <w:szCs w:val="18"/>
              </w:rPr>
              <w:br/>
            </w:r>
            <w:proofErr w:type="spellStart"/>
            <w:r w:rsidRPr="00D22AA0">
              <w:rPr>
                <w:rFonts w:asciiTheme="minorHAnsi" w:hAnsiTheme="minorHAnsi" w:cstheme="minorHAnsi"/>
                <w:sz w:val="18"/>
                <w:szCs w:val="18"/>
              </w:rPr>
              <w:t>CMM</w:t>
            </w:r>
            <w:proofErr w:type="spellEnd"/>
          </w:p>
        </w:tc>
        <w:tc>
          <w:tcPr>
            <w:tcW w:w="2078" w:type="dxa"/>
            <w:shd w:val="clear" w:color="auto" w:fill="auto"/>
          </w:tcPr>
          <w:p w14:paraId="70220D38" w14:textId="33686506" w:rsidR="002E42A5" w:rsidRPr="00D22AA0" w:rsidRDefault="002E42A5"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Mitacs</w:t>
            </w:r>
            <w:proofErr w:type="spellEnd"/>
            <w:r w:rsidRPr="00D22AA0">
              <w:rPr>
                <w:rFonts w:asciiTheme="minorHAnsi" w:hAnsiTheme="minorHAnsi" w:cstheme="minorHAnsi"/>
                <w:sz w:val="18"/>
                <w:szCs w:val="18"/>
              </w:rPr>
              <w:br/>
              <w:t>Medtronic; Boston Scientific</w:t>
            </w:r>
          </w:p>
        </w:tc>
      </w:tr>
      <w:tr w:rsidR="001728D0" w14:paraId="4CA95B87" w14:textId="77777777" w:rsidTr="00990E04">
        <w:trPr>
          <w:cantSplit/>
        </w:trPr>
        <w:tc>
          <w:tcPr>
            <w:tcW w:w="1418" w:type="dxa"/>
            <w:tcBorders>
              <w:bottom w:val="single" w:sz="4" w:space="0" w:color="auto"/>
            </w:tcBorders>
            <w:shd w:val="clear" w:color="auto" w:fill="auto"/>
          </w:tcPr>
          <w:p w14:paraId="6D787079" w14:textId="4FE71D09"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North 2007</w:t>
            </w:r>
            <w:r w:rsidRPr="00D22AA0">
              <w:rPr>
                <w:rFonts w:asciiTheme="minorHAnsi" w:hAnsiTheme="minorHAnsi" w:cstheme="minorHAnsi"/>
                <w:sz w:val="18"/>
                <w:szCs w:val="18"/>
              </w:rPr>
              <w:br/>
              <w:t>USA</w:t>
            </w:r>
          </w:p>
        </w:tc>
        <w:tc>
          <w:tcPr>
            <w:tcW w:w="2362" w:type="dxa"/>
            <w:tcBorders>
              <w:bottom w:val="single" w:sz="4" w:space="0" w:color="auto"/>
            </w:tcBorders>
            <w:shd w:val="clear" w:color="auto" w:fill="auto"/>
          </w:tcPr>
          <w:p w14:paraId="407FC8DE" w14:textId="2023C987"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Health care</w:t>
            </w:r>
            <w:r w:rsidRPr="00D22AA0">
              <w:rPr>
                <w:rFonts w:asciiTheme="minorHAnsi" w:hAnsiTheme="minorHAnsi" w:cstheme="minorHAnsi"/>
                <w:sz w:val="18"/>
                <w:szCs w:val="18"/>
              </w:rPr>
              <w:br/>
              <w:t xml:space="preserve">3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B0467D">
              <w:rPr>
                <w:rFonts w:asciiTheme="minorHAnsi" w:hAnsiTheme="minorHAnsi" w:cstheme="minorHAnsi"/>
                <w:sz w:val="18"/>
                <w:szCs w:val="18"/>
              </w:rPr>
              <w:t>CUA; t</w:t>
            </w:r>
            <w:r w:rsidRPr="00D22AA0">
              <w:rPr>
                <w:rFonts w:asciiTheme="minorHAnsi" w:hAnsiTheme="minorHAnsi" w:cstheme="minorHAnsi"/>
                <w:sz w:val="18"/>
                <w:szCs w:val="18"/>
              </w:rPr>
              <w:t>rial based</w:t>
            </w:r>
          </w:p>
        </w:tc>
        <w:tc>
          <w:tcPr>
            <w:tcW w:w="1620" w:type="dxa"/>
            <w:tcBorders>
              <w:bottom w:val="single" w:sz="4" w:space="0" w:color="auto"/>
            </w:tcBorders>
            <w:shd w:val="clear" w:color="auto" w:fill="auto"/>
          </w:tcPr>
          <w:p w14:paraId="0149D0AF" w14:textId="545553C9"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FBSS</w:t>
            </w:r>
          </w:p>
        </w:tc>
        <w:tc>
          <w:tcPr>
            <w:tcW w:w="2160" w:type="dxa"/>
            <w:tcBorders>
              <w:bottom w:val="single" w:sz="4" w:space="0" w:color="auto"/>
            </w:tcBorders>
            <w:shd w:val="clear" w:color="auto" w:fill="auto"/>
          </w:tcPr>
          <w:p w14:paraId="07D7697F" w14:textId="442A45E6"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Pr="00D22AA0">
              <w:rPr>
                <w:rFonts w:asciiTheme="minorHAnsi" w:hAnsiTheme="minorHAnsi" w:cstheme="minorHAnsi"/>
                <w:sz w:val="18"/>
                <w:szCs w:val="18"/>
              </w:rPr>
              <w:br/>
              <w:t>reoperation</w:t>
            </w:r>
          </w:p>
        </w:tc>
        <w:tc>
          <w:tcPr>
            <w:tcW w:w="2078" w:type="dxa"/>
            <w:tcBorders>
              <w:bottom w:val="single" w:sz="4" w:space="0" w:color="auto"/>
            </w:tcBorders>
            <w:shd w:val="clear" w:color="auto" w:fill="auto"/>
          </w:tcPr>
          <w:p w14:paraId="6DF6EF26" w14:textId="433D0830"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Medtronic</w:t>
            </w:r>
            <w:r w:rsidRPr="00D22AA0">
              <w:rPr>
                <w:rFonts w:asciiTheme="minorHAnsi" w:hAnsiTheme="minorHAnsi" w:cstheme="minorHAnsi"/>
                <w:sz w:val="18"/>
                <w:szCs w:val="18"/>
              </w:rPr>
              <w:br/>
              <w:t>NR</w:t>
            </w:r>
          </w:p>
        </w:tc>
      </w:tr>
      <w:tr w:rsidR="00A0237C" w14:paraId="282427F7" w14:textId="77777777" w:rsidTr="00990E04">
        <w:trPr>
          <w:cantSplit/>
        </w:trPr>
        <w:tc>
          <w:tcPr>
            <w:tcW w:w="1418" w:type="dxa"/>
            <w:tcBorders>
              <w:bottom w:val="single" w:sz="4" w:space="0" w:color="auto"/>
            </w:tcBorders>
            <w:shd w:val="clear" w:color="auto" w:fill="auto"/>
          </w:tcPr>
          <w:p w14:paraId="796DC4BA" w14:textId="3C66D27B" w:rsidR="00A0237C" w:rsidRPr="00D22AA0" w:rsidRDefault="00A0237C" w:rsidP="00A0237C">
            <w:pPr>
              <w:pStyle w:val="051Tabletext228pt"/>
              <w:ind w:left="-57" w:right="-57"/>
              <w:rPr>
                <w:rFonts w:asciiTheme="minorHAnsi" w:hAnsiTheme="minorHAnsi" w:cstheme="minorHAnsi"/>
                <w:sz w:val="18"/>
                <w:szCs w:val="18"/>
              </w:rPr>
            </w:pPr>
            <w:r>
              <w:rPr>
                <w:rFonts w:asciiTheme="minorHAnsi" w:hAnsiTheme="minorHAnsi" w:cstheme="minorHAnsi"/>
                <w:sz w:val="18"/>
                <w:szCs w:val="18"/>
              </w:rPr>
              <w:t>Rojo 2021</w:t>
            </w:r>
            <w:r>
              <w:rPr>
                <w:rFonts w:asciiTheme="minorHAnsi" w:hAnsiTheme="minorHAnsi" w:cstheme="minorHAnsi"/>
                <w:sz w:val="18"/>
                <w:szCs w:val="18"/>
              </w:rPr>
              <w:br/>
              <w:t>Spain</w:t>
            </w:r>
          </w:p>
        </w:tc>
        <w:tc>
          <w:tcPr>
            <w:tcW w:w="2362" w:type="dxa"/>
            <w:tcBorders>
              <w:bottom w:val="single" w:sz="4" w:space="0" w:color="auto"/>
            </w:tcBorders>
            <w:shd w:val="clear" w:color="auto" w:fill="auto"/>
          </w:tcPr>
          <w:p w14:paraId="03211473" w14:textId="7D117316" w:rsidR="00A0237C" w:rsidRPr="00D22AA0" w:rsidRDefault="00E2189B" w:rsidP="00A0237C">
            <w:pPr>
              <w:pStyle w:val="051Tabletext228pt"/>
              <w:ind w:left="-57" w:right="-57"/>
              <w:rPr>
                <w:rFonts w:asciiTheme="minorHAnsi" w:hAnsiTheme="minorHAnsi" w:cstheme="minorHAnsi"/>
                <w:sz w:val="18"/>
                <w:szCs w:val="18"/>
              </w:rPr>
            </w:pPr>
            <w:r>
              <w:rPr>
                <w:sz w:val="18"/>
                <w:szCs w:val="24"/>
              </w:rPr>
              <w:t>Health care</w:t>
            </w:r>
            <w:r w:rsidR="00A0237C" w:rsidRPr="00D22AA0">
              <w:rPr>
                <w:sz w:val="18"/>
                <w:szCs w:val="24"/>
              </w:rPr>
              <w:br/>
              <w:t xml:space="preserve">5 </w:t>
            </w:r>
            <w:proofErr w:type="spellStart"/>
            <w:r w:rsidR="00A0237C" w:rsidRPr="00D22AA0">
              <w:rPr>
                <w:sz w:val="18"/>
                <w:szCs w:val="24"/>
              </w:rPr>
              <w:t>yrs</w:t>
            </w:r>
            <w:proofErr w:type="spellEnd"/>
            <w:r w:rsidR="00A0237C" w:rsidRPr="00D22AA0">
              <w:rPr>
                <w:sz w:val="18"/>
                <w:szCs w:val="24"/>
              </w:rPr>
              <w:br/>
            </w:r>
            <w:r w:rsidR="00FD7BEE">
              <w:rPr>
                <w:sz w:val="18"/>
                <w:szCs w:val="24"/>
              </w:rPr>
              <w:t>CUA; t</w:t>
            </w:r>
            <w:r w:rsidR="00A0237C" w:rsidRPr="00D22AA0">
              <w:rPr>
                <w:sz w:val="18"/>
                <w:szCs w:val="24"/>
              </w:rPr>
              <w:t>rial based</w:t>
            </w:r>
          </w:p>
        </w:tc>
        <w:tc>
          <w:tcPr>
            <w:tcW w:w="1620" w:type="dxa"/>
            <w:tcBorders>
              <w:bottom w:val="single" w:sz="4" w:space="0" w:color="auto"/>
            </w:tcBorders>
            <w:shd w:val="clear" w:color="auto" w:fill="auto"/>
          </w:tcPr>
          <w:p w14:paraId="271A4370" w14:textId="5AEEB2FE" w:rsidR="00A0237C" w:rsidRPr="00D22AA0" w:rsidRDefault="00A0237C" w:rsidP="00A0237C">
            <w:pPr>
              <w:pStyle w:val="051Tabletext228pt"/>
              <w:ind w:left="-57" w:right="-57"/>
              <w:rPr>
                <w:rFonts w:asciiTheme="minorHAnsi" w:hAnsiTheme="minorHAnsi" w:cstheme="minorHAnsi"/>
                <w:sz w:val="18"/>
                <w:szCs w:val="18"/>
              </w:rPr>
            </w:pPr>
            <w:r w:rsidRPr="00D22AA0">
              <w:rPr>
                <w:sz w:val="18"/>
                <w:szCs w:val="24"/>
              </w:rPr>
              <w:t>FBSS</w:t>
            </w:r>
          </w:p>
        </w:tc>
        <w:tc>
          <w:tcPr>
            <w:tcW w:w="2160" w:type="dxa"/>
            <w:tcBorders>
              <w:bottom w:val="single" w:sz="4" w:space="0" w:color="auto"/>
            </w:tcBorders>
            <w:shd w:val="clear" w:color="auto" w:fill="auto"/>
          </w:tcPr>
          <w:p w14:paraId="3599FA5B" w14:textId="12559DC8" w:rsidR="00A0237C" w:rsidRPr="00D22AA0" w:rsidRDefault="00A0237C" w:rsidP="00A0237C">
            <w:pPr>
              <w:pStyle w:val="051Tabletext228pt"/>
              <w:ind w:left="-57" w:right="-57"/>
              <w:rPr>
                <w:rFonts w:asciiTheme="minorHAnsi" w:hAnsiTheme="minorHAnsi" w:cstheme="minorHAnsi"/>
                <w:sz w:val="18"/>
                <w:szCs w:val="18"/>
              </w:rPr>
            </w:pPr>
            <w:r w:rsidRPr="00D22AA0">
              <w:rPr>
                <w:sz w:val="18"/>
                <w:szCs w:val="24"/>
              </w:rPr>
              <w:t>SCS + CMM</w:t>
            </w:r>
            <w:r w:rsidRPr="00D22AA0">
              <w:rPr>
                <w:sz w:val="18"/>
                <w:szCs w:val="24"/>
              </w:rPr>
              <w:br/>
            </w:r>
            <w:proofErr w:type="spellStart"/>
            <w:r w:rsidRPr="00D22AA0">
              <w:rPr>
                <w:sz w:val="18"/>
                <w:szCs w:val="24"/>
              </w:rPr>
              <w:t>CMM</w:t>
            </w:r>
            <w:proofErr w:type="spellEnd"/>
          </w:p>
        </w:tc>
        <w:tc>
          <w:tcPr>
            <w:tcW w:w="2078" w:type="dxa"/>
            <w:tcBorders>
              <w:bottom w:val="single" w:sz="4" w:space="0" w:color="auto"/>
            </w:tcBorders>
            <w:shd w:val="clear" w:color="auto" w:fill="auto"/>
          </w:tcPr>
          <w:p w14:paraId="6F26374B" w14:textId="633CDE5C" w:rsidR="00A0237C" w:rsidRPr="00D22AA0" w:rsidRDefault="00941C83" w:rsidP="00A0237C">
            <w:pPr>
              <w:pStyle w:val="051Tabletext228pt"/>
              <w:ind w:left="-57" w:right="-57"/>
              <w:rPr>
                <w:rFonts w:asciiTheme="minorHAnsi" w:hAnsiTheme="minorHAnsi" w:cstheme="minorHAnsi"/>
                <w:sz w:val="18"/>
                <w:szCs w:val="18"/>
              </w:rPr>
            </w:pPr>
            <w:r w:rsidRPr="00D22AA0">
              <w:rPr>
                <w:sz w:val="18"/>
                <w:szCs w:val="24"/>
              </w:rPr>
              <w:t>NR</w:t>
            </w:r>
            <w:r w:rsidRPr="00D22AA0">
              <w:rPr>
                <w:sz w:val="18"/>
                <w:szCs w:val="24"/>
              </w:rPr>
              <w:br/>
              <w:t xml:space="preserve">Member of </w:t>
            </w:r>
            <w:proofErr w:type="spellStart"/>
            <w:r w:rsidRPr="00D22AA0">
              <w:rPr>
                <w:sz w:val="18"/>
                <w:szCs w:val="24"/>
              </w:rPr>
              <w:t>Axentiva</w:t>
            </w:r>
            <w:proofErr w:type="spellEnd"/>
            <w:r w:rsidRPr="00D22AA0">
              <w:rPr>
                <w:sz w:val="18"/>
                <w:szCs w:val="24"/>
              </w:rPr>
              <w:t xml:space="preserve"> Solutions (consulting/ advisory services group)</w:t>
            </w:r>
            <w:r w:rsidRPr="00D22AA0">
              <w:rPr>
                <w:sz w:val="18"/>
                <w:szCs w:val="24"/>
              </w:rPr>
              <w:br/>
              <w:t>Boston Scientific</w:t>
            </w:r>
          </w:p>
        </w:tc>
      </w:tr>
      <w:tr w:rsidR="00EA561D" w14:paraId="12677959" w14:textId="77777777" w:rsidTr="00990E04">
        <w:tc>
          <w:tcPr>
            <w:tcW w:w="1418" w:type="dxa"/>
            <w:vMerge w:val="restart"/>
            <w:shd w:val="clear" w:color="auto" w:fill="auto"/>
            <w:vAlign w:val="center"/>
          </w:tcPr>
          <w:p w14:paraId="0802D91E" w14:textId="50A31ACF" w:rsidR="00EA561D" w:rsidRPr="00D22AA0" w:rsidRDefault="00EA561D"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Simpson 2009</w:t>
            </w:r>
            <w:r w:rsidRPr="00D22AA0">
              <w:rPr>
                <w:rFonts w:asciiTheme="minorHAnsi" w:hAnsiTheme="minorHAnsi" w:cstheme="minorHAnsi"/>
                <w:sz w:val="18"/>
                <w:szCs w:val="18"/>
              </w:rPr>
              <w:br/>
              <w:t>UK</w:t>
            </w:r>
          </w:p>
        </w:tc>
        <w:tc>
          <w:tcPr>
            <w:tcW w:w="2362" w:type="dxa"/>
            <w:vMerge w:val="restart"/>
            <w:shd w:val="clear" w:color="auto" w:fill="auto"/>
            <w:vAlign w:val="center"/>
          </w:tcPr>
          <w:p w14:paraId="705013E2" w14:textId="2F8BF091" w:rsidR="00EA561D" w:rsidRPr="00D22AA0" w:rsidRDefault="00EA561D"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Health care</w:t>
            </w:r>
            <w:r w:rsidRPr="00D22AA0">
              <w:rPr>
                <w:rFonts w:asciiTheme="minorHAnsi" w:hAnsiTheme="minorHAnsi" w:cstheme="minorHAnsi"/>
                <w:sz w:val="18"/>
                <w:szCs w:val="18"/>
              </w:rPr>
              <w:br/>
              <w:t xml:space="preserve">15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017A9F">
              <w:rPr>
                <w:rFonts w:asciiTheme="minorHAnsi" w:hAnsiTheme="minorHAnsi" w:cstheme="minorHAnsi"/>
                <w:sz w:val="18"/>
                <w:szCs w:val="18"/>
              </w:rPr>
              <w:t>CUA; m</w:t>
            </w:r>
            <w:r w:rsidRPr="00D22AA0">
              <w:rPr>
                <w:rFonts w:asciiTheme="minorHAnsi" w:hAnsiTheme="minorHAnsi" w:cstheme="minorHAnsi"/>
                <w:sz w:val="18"/>
                <w:szCs w:val="18"/>
              </w:rPr>
              <w:t>odel based</w:t>
            </w:r>
          </w:p>
        </w:tc>
        <w:tc>
          <w:tcPr>
            <w:tcW w:w="1620" w:type="dxa"/>
            <w:tcBorders>
              <w:bottom w:val="dotted" w:sz="4" w:space="0" w:color="auto"/>
            </w:tcBorders>
            <w:shd w:val="clear" w:color="auto" w:fill="auto"/>
          </w:tcPr>
          <w:p w14:paraId="4B17C9F3" w14:textId="517D4CD6" w:rsidR="00EA561D" w:rsidRPr="00D22AA0" w:rsidRDefault="001A7412" w:rsidP="00D22AA0">
            <w:pPr>
              <w:pStyle w:val="051Tabletext228pt"/>
              <w:ind w:left="-57" w:right="-57"/>
              <w:rPr>
                <w:rFonts w:asciiTheme="minorHAnsi" w:hAnsiTheme="minorHAnsi" w:cstheme="minorHAnsi"/>
                <w:sz w:val="18"/>
                <w:szCs w:val="18"/>
              </w:rPr>
            </w:pPr>
            <w:r w:rsidRPr="002B39CE">
              <w:rPr>
                <w:rFonts w:asciiTheme="minorHAnsi" w:hAnsiTheme="minorHAnsi" w:cstheme="minorHAnsi"/>
                <w:sz w:val="18"/>
                <w:szCs w:val="18"/>
              </w:rPr>
              <w:t>FBSS; CRPS</w:t>
            </w:r>
          </w:p>
        </w:tc>
        <w:tc>
          <w:tcPr>
            <w:tcW w:w="2160" w:type="dxa"/>
            <w:tcBorders>
              <w:bottom w:val="dotted" w:sz="4" w:space="0" w:color="auto"/>
            </w:tcBorders>
            <w:shd w:val="clear" w:color="auto" w:fill="auto"/>
          </w:tcPr>
          <w:p w14:paraId="6AAB4B10" w14:textId="7FB4C36D" w:rsidR="00EA561D" w:rsidRPr="00D22AA0" w:rsidRDefault="00EA561D"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 xml:space="preserve">SCS + CMM </w:t>
            </w:r>
            <w:r w:rsidRPr="00D22AA0">
              <w:rPr>
                <w:rFonts w:asciiTheme="minorHAnsi" w:hAnsiTheme="minorHAnsi" w:cstheme="minorHAnsi"/>
                <w:sz w:val="18"/>
                <w:szCs w:val="18"/>
              </w:rPr>
              <w:br/>
            </w:r>
            <w:proofErr w:type="spellStart"/>
            <w:r w:rsidRPr="00D22AA0">
              <w:rPr>
                <w:rFonts w:asciiTheme="minorHAnsi" w:hAnsiTheme="minorHAnsi" w:cstheme="minorHAnsi"/>
                <w:sz w:val="18"/>
                <w:szCs w:val="18"/>
              </w:rPr>
              <w:t>CMM</w:t>
            </w:r>
            <w:proofErr w:type="spellEnd"/>
          </w:p>
        </w:tc>
        <w:tc>
          <w:tcPr>
            <w:tcW w:w="2078" w:type="dxa"/>
            <w:vMerge w:val="restart"/>
            <w:shd w:val="clear" w:color="auto" w:fill="auto"/>
            <w:vAlign w:val="center"/>
          </w:tcPr>
          <w:p w14:paraId="486B9235" w14:textId="7EBD9AE3" w:rsidR="00EA561D" w:rsidRPr="00D22AA0" w:rsidRDefault="00EA561D"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 xml:space="preserve">National Institute of Health (UK) HTA </w:t>
            </w:r>
            <w:r w:rsidRPr="00D22AA0">
              <w:rPr>
                <w:rFonts w:asciiTheme="minorHAnsi" w:hAnsiTheme="minorHAnsi" w:cstheme="minorHAnsi"/>
                <w:sz w:val="18"/>
                <w:szCs w:val="18"/>
              </w:rPr>
              <w:lastRenderedPageBreak/>
              <w:t>Programme</w:t>
            </w:r>
            <w:r w:rsidRPr="00D22AA0">
              <w:rPr>
                <w:rFonts w:asciiTheme="minorHAnsi" w:hAnsiTheme="minorHAnsi" w:cstheme="minorHAnsi"/>
                <w:sz w:val="18"/>
                <w:szCs w:val="18"/>
              </w:rPr>
              <w:br/>
              <w:t>No</w:t>
            </w:r>
          </w:p>
        </w:tc>
      </w:tr>
      <w:tr w:rsidR="00EA561D" w14:paraId="3E72CA31" w14:textId="77777777" w:rsidTr="00990E04">
        <w:tc>
          <w:tcPr>
            <w:tcW w:w="1418" w:type="dxa"/>
            <w:vMerge/>
            <w:shd w:val="clear" w:color="auto" w:fill="auto"/>
          </w:tcPr>
          <w:p w14:paraId="6F0A7803" w14:textId="1EBF35DC" w:rsidR="00EA561D" w:rsidRPr="00D22AA0" w:rsidRDefault="00EA561D" w:rsidP="00D22AA0">
            <w:pPr>
              <w:pStyle w:val="051Tabletext228pt"/>
              <w:ind w:left="-57" w:right="-57"/>
              <w:rPr>
                <w:rFonts w:asciiTheme="minorHAnsi" w:hAnsiTheme="minorHAnsi" w:cstheme="minorHAnsi"/>
                <w:sz w:val="18"/>
                <w:szCs w:val="18"/>
              </w:rPr>
            </w:pPr>
          </w:p>
        </w:tc>
        <w:tc>
          <w:tcPr>
            <w:tcW w:w="2362" w:type="dxa"/>
            <w:vMerge/>
            <w:shd w:val="clear" w:color="auto" w:fill="auto"/>
          </w:tcPr>
          <w:p w14:paraId="7FAB0705" w14:textId="3C180FDD" w:rsidR="00EA561D" w:rsidRPr="00D22AA0" w:rsidRDefault="00EA561D" w:rsidP="00D22AA0">
            <w:pPr>
              <w:pStyle w:val="051Tabletext228pt"/>
              <w:ind w:left="-57" w:right="-57"/>
              <w:rPr>
                <w:rFonts w:asciiTheme="minorHAnsi" w:hAnsiTheme="minorHAnsi" w:cstheme="minorHAnsi"/>
                <w:sz w:val="18"/>
                <w:szCs w:val="18"/>
              </w:rPr>
            </w:pPr>
          </w:p>
        </w:tc>
        <w:tc>
          <w:tcPr>
            <w:tcW w:w="1620" w:type="dxa"/>
            <w:tcBorders>
              <w:top w:val="dotted" w:sz="4" w:space="0" w:color="auto"/>
            </w:tcBorders>
            <w:shd w:val="clear" w:color="auto" w:fill="auto"/>
          </w:tcPr>
          <w:p w14:paraId="5F393570" w14:textId="11638491" w:rsidR="00EA561D" w:rsidRPr="00D22AA0" w:rsidRDefault="00EA561D"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FBSS</w:t>
            </w:r>
          </w:p>
        </w:tc>
        <w:tc>
          <w:tcPr>
            <w:tcW w:w="2160" w:type="dxa"/>
            <w:tcBorders>
              <w:top w:val="dotted" w:sz="4" w:space="0" w:color="auto"/>
            </w:tcBorders>
            <w:shd w:val="clear" w:color="auto" w:fill="auto"/>
          </w:tcPr>
          <w:p w14:paraId="30C3F5CF" w14:textId="31E16C7E" w:rsidR="00EA561D" w:rsidRPr="00D22AA0" w:rsidRDefault="00EA561D" w:rsidP="00D22AA0">
            <w:pPr>
              <w:pStyle w:val="051Tabletext228pt"/>
              <w:ind w:left="-57" w:right="-57"/>
              <w:rPr>
                <w:rFonts w:asciiTheme="minorHAnsi" w:hAnsiTheme="minorHAnsi" w:cstheme="minorHAnsi"/>
                <w:sz w:val="18"/>
                <w:szCs w:val="18"/>
                <w:u w:val="single"/>
              </w:rPr>
            </w:pPr>
            <w:r w:rsidRPr="00D22AA0">
              <w:rPr>
                <w:rFonts w:asciiTheme="minorHAnsi" w:hAnsiTheme="minorHAnsi" w:cstheme="minorHAnsi"/>
                <w:sz w:val="18"/>
                <w:szCs w:val="18"/>
              </w:rPr>
              <w:t>SCS + CMM</w:t>
            </w:r>
            <w:r w:rsidR="004C3974" w:rsidRPr="00D22AA0">
              <w:rPr>
                <w:rFonts w:asciiTheme="minorHAnsi" w:hAnsiTheme="minorHAnsi" w:cstheme="minorHAnsi"/>
                <w:sz w:val="18"/>
                <w:szCs w:val="18"/>
              </w:rPr>
              <w:br/>
            </w:r>
            <w:r w:rsidRPr="00D22AA0">
              <w:rPr>
                <w:rFonts w:asciiTheme="minorHAnsi" w:hAnsiTheme="minorHAnsi" w:cstheme="minorHAnsi"/>
                <w:sz w:val="18"/>
                <w:szCs w:val="18"/>
              </w:rPr>
              <w:t xml:space="preserve">reoperation </w:t>
            </w:r>
          </w:p>
        </w:tc>
        <w:tc>
          <w:tcPr>
            <w:tcW w:w="2078" w:type="dxa"/>
            <w:vMerge/>
            <w:shd w:val="clear" w:color="auto" w:fill="auto"/>
          </w:tcPr>
          <w:p w14:paraId="68B9E428" w14:textId="6DCC4460" w:rsidR="00EA561D" w:rsidRPr="00D22AA0" w:rsidRDefault="00EA561D" w:rsidP="00D22AA0">
            <w:pPr>
              <w:pStyle w:val="051Tabletext228pt"/>
              <w:ind w:left="-57" w:right="-57"/>
              <w:rPr>
                <w:rFonts w:asciiTheme="minorHAnsi" w:hAnsiTheme="minorHAnsi" w:cstheme="minorHAnsi"/>
                <w:sz w:val="18"/>
                <w:szCs w:val="18"/>
              </w:rPr>
            </w:pPr>
          </w:p>
        </w:tc>
      </w:tr>
      <w:tr w:rsidR="001728D0" w14:paraId="01A9B1E8" w14:textId="77777777" w:rsidTr="00990E04">
        <w:tc>
          <w:tcPr>
            <w:tcW w:w="1418" w:type="dxa"/>
            <w:shd w:val="clear" w:color="auto" w:fill="auto"/>
          </w:tcPr>
          <w:p w14:paraId="663BD278" w14:textId="213E93EC" w:rsidR="002E42A5" w:rsidRPr="00D22AA0" w:rsidRDefault="002E42A5"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Slangen</w:t>
            </w:r>
            <w:proofErr w:type="spellEnd"/>
            <w:r w:rsidRPr="00D22AA0">
              <w:rPr>
                <w:rFonts w:asciiTheme="minorHAnsi" w:hAnsiTheme="minorHAnsi" w:cstheme="minorHAnsi"/>
                <w:sz w:val="18"/>
                <w:szCs w:val="18"/>
              </w:rPr>
              <w:t xml:space="preserve"> 2017</w:t>
            </w:r>
            <w:r w:rsidRPr="00D22AA0">
              <w:rPr>
                <w:rFonts w:asciiTheme="minorHAnsi" w:hAnsiTheme="minorHAnsi" w:cstheme="minorHAnsi"/>
                <w:sz w:val="18"/>
                <w:szCs w:val="18"/>
              </w:rPr>
              <w:br/>
            </w:r>
            <w:r w:rsidR="001232CB" w:rsidRPr="00D22AA0">
              <w:rPr>
                <w:rFonts w:asciiTheme="minorHAnsi" w:hAnsiTheme="minorHAnsi" w:cstheme="minorHAnsi"/>
                <w:sz w:val="18"/>
                <w:szCs w:val="18"/>
              </w:rPr>
              <w:t>NL</w:t>
            </w:r>
          </w:p>
        </w:tc>
        <w:tc>
          <w:tcPr>
            <w:tcW w:w="2362" w:type="dxa"/>
            <w:shd w:val="clear" w:color="auto" w:fill="auto"/>
          </w:tcPr>
          <w:p w14:paraId="20063098" w14:textId="621CC65C" w:rsidR="002E42A5" w:rsidRPr="00D22AA0" w:rsidRDefault="00676B8B"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w:t>
            </w:r>
            <w:r w:rsidR="002E42A5" w:rsidRPr="00D22AA0">
              <w:rPr>
                <w:rFonts w:asciiTheme="minorHAnsi" w:hAnsiTheme="minorHAnsi" w:cstheme="minorHAnsi"/>
                <w:sz w:val="18"/>
                <w:szCs w:val="18"/>
              </w:rPr>
              <w:t>ocietal</w:t>
            </w:r>
            <w:r w:rsidR="00EE0C85">
              <w:rPr>
                <w:rFonts w:asciiTheme="minorHAnsi" w:hAnsiTheme="minorHAnsi" w:cstheme="minorHAnsi"/>
                <w:sz w:val="18"/>
                <w:szCs w:val="18"/>
              </w:rPr>
              <w:t>;</w:t>
            </w:r>
            <w:r w:rsidR="002E42A5" w:rsidRPr="00D22AA0">
              <w:rPr>
                <w:rFonts w:asciiTheme="minorHAnsi" w:hAnsiTheme="minorHAnsi" w:cstheme="minorHAnsi"/>
                <w:sz w:val="18"/>
                <w:szCs w:val="18"/>
              </w:rPr>
              <w:t xml:space="preserve"> health care</w:t>
            </w:r>
            <w:r w:rsidR="002E42A5" w:rsidRPr="00D22AA0">
              <w:rPr>
                <w:rFonts w:asciiTheme="minorHAnsi" w:hAnsiTheme="minorHAnsi" w:cstheme="minorHAnsi"/>
                <w:sz w:val="18"/>
                <w:szCs w:val="18"/>
              </w:rPr>
              <w:br/>
              <w:t xml:space="preserve">1 </w:t>
            </w:r>
            <w:proofErr w:type="spellStart"/>
            <w:r w:rsidR="002E42A5" w:rsidRPr="00D22AA0">
              <w:rPr>
                <w:rFonts w:asciiTheme="minorHAnsi" w:hAnsiTheme="minorHAnsi" w:cstheme="minorHAnsi"/>
                <w:sz w:val="18"/>
                <w:szCs w:val="18"/>
              </w:rPr>
              <w:t>yr</w:t>
            </w:r>
            <w:proofErr w:type="spellEnd"/>
            <w:r w:rsidR="002E42A5" w:rsidRPr="00D22AA0">
              <w:rPr>
                <w:rFonts w:asciiTheme="minorHAnsi" w:hAnsiTheme="minorHAnsi" w:cstheme="minorHAnsi"/>
                <w:sz w:val="18"/>
                <w:szCs w:val="18"/>
              </w:rPr>
              <w:br/>
            </w:r>
            <w:r w:rsidR="00AB26A4">
              <w:rPr>
                <w:rFonts w:asciiTheme="minorHAnsi" w:hAnsiTheme="minorHAnsi" w:cstheme="minorHAnsi"/>
                <w:sz w:val="18"/>
                <w:szCs w:val="18"/>
              </w:rPr>
              <w:t>CUA; t</w:t>
            </w:r>
            <w:r w:rsidR="002E42A5" w:rsidRPr="00D22AA0">
              <w:rPr>
                <w:rFonts w:asciiTheme="minorHAnsi" w:hAnsiTheme="minorHAnsi" w:cstheme="minorHAnsi"/>
                <w:sz w:val="18"/>
                <w:szCs w:val="18"/>
              </w:rPr>
              <w:t>rial based</w:t>
            </w:r>
          </w:p>
        </w:tc>
        <w:tc>
          <w:tcPr>
            <w:tcW w:w="1620" w:type="dxa"/>
            <w:shd w:val="clear" w:color="auto" w:fill="auto"/>
          </w:tcPr>
          <w:p w14:paraId="2882F962" w14:textId="1342A8EE"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PDPN</w:t>
            </w:r>
          </w:p>
        </w:tc>
        <w:tc>
          <w:tcPr>
            <w:tcW w:w="2160" w:type="dxa"/>
            <w:shd w:val="clear" w:color="auto" w:fill="auto"/>
          </w:tcPr>
          <w:p w14:paraId="43A5E6FD" w14:textId="0719BFA8"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 + BMT</w:t>
            </w:r>
            <w:r w:rsidRPr="00D22AA0">
              <w:rPr>
                <w:rFonts w:asciiTheme="minorHAnsi" w:hAnsiTheme="minorHAnsi" w:cstheme="minorHAnsi"/>
                <w:sz w:val="18"/>
                <w:szCs w:val="18"/>
              </w:rPr>
              <w:br/>
            </w:r>
            <w:proofErr w:type="spellStart"/>
            <w:r w:rsidRPr="00D22AA0">
              <w:rPr>
                <w:rFonts w:asciiTheme="minorHAnsi" w:hAnsiTheme="minorHAnsi" w:cstheme="minorHAnsi"/>
                <w:sz w:val="18"/>
                <w:szCs w:val="18"/>
              </w:rPr>
              <w:t>BMT</w:t>
            </w:r>
            <w:proofErr w:type="spellEnd"/>
          </w:p>
        </w:tc>
        <w:tc>
          <w:tcPr>
            <w:tcW w:w="2078" w:type="dxa"/>
            <w:shd w:val="clear" w:color="auto" w:fill="auto"/>
          </w:tcPr>
          <w:p w14:paraId="4E9B4F33" w14:textId="64CCA8A6"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Medtronic</w:t>
            </w:r>
            <w:r w:rsidRPr="00D22AA0">
              <w:rPr>
                <w:rFonts w:asciiTheme="minorHAnsi" w:hAnsiTheme="minorHAnsi" w:cstheme="minorHAnsi"/>
                <w:sz w:val="18"/>
                <w:szCs w:val="18"/>
              </w:rPr>
              <w:br/>
              <w:t>No</w:t>
            </w:r>
          </w:p>
        </w:tc>
      </w:tr>
      <w:tr w:rsidR="001728D0" w14:paraId="55C1F04C" w14:textId="77777777" w:rsidTr="00990E04">
        <w:tc>
          <w:tcPr>
            <w:tcW w:w="1418" w:type="dxa"/>
            <w:shd w:val="clear" w:color="auto" w:fill="auto"/>
          </w:tcPr>
          <w:p w14:paraId="64E22619" w14:textId="7888A18C"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Taylor 2005</w:t>
            </w:r>
            <w:r w:rsidRPr="00D22AA0">
              <w:rPr>
                <w:rFonts w:asciiTheme="minorHAnsi" w:hAnsiTheme="minorHAnsi" w:cstheme="minorHAnsi"/>
                <w:sz w:val="18"/>
                <w:szCs w:val="18"/>
              </w:rPr>
              <w:br/>
              <w:t>UK</w:t>
            </w:r>
          </w:p>
        </w:tc>
        <w:tc>
          <w:tcPr>
            <w:tcW w:w="2362" w:type="dxa"/>
            <w:shd w:val="clear" w:color="auto" w:fill="auto"/>
          </w:tcPr>
          <w:p w14:paraId="52DC85F1" w14:textId="250B433A"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Health care</w:t>
            </w:r>
            <w:r w:rsidRPr="00D22AA0">
              <w:rPr>
                <w:rFonts w:asciiTheme="minorHAnsi" w:hAnsiTheme="minorHAnsi" w:cstheme="minorHAnsi"/>
                <w:sz w:val="18"/>
                <w:szCs w:val="18"/>
              </w:rPr>
              <w:br/>
              <w:t xml:space="preserve">2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t>; lifetime</w:t>
            </w:r>
            <w:r w:rsidRPr="00D22AA0">
              <w:rPr>
                <w:rFonts w:asciiTheme="minorHAnsi" w:hAnsiTheme="minorHAnsi" w:cstheme="minorHAnsi"/>
                <w:sz w:val="18"/>
                <w:szCs w:val="18"/>
              </w:rPr>
              <w:br/>
            </w:r>
            <w:r w:rsidR="00DC7BFA">
              <w:rPr>
                <w:rFonts w:asciiTheme="minorHAnsi" w:hAnsiTheme="minorHAnsi" w:cstheme="minorHAnsi"/>
                <w:sz w:val="18"/>
                <w:szCs w:val="18"/>
              </w:rPr>
              <w:t xml:space="preserve">CUA; </w:t>
            </w:r>
            <w:r w:rsidR="00320E70">
              <w:rPr>
                <w:rFonts w:asciiTheme="minorHAnsi" w:hAnsiTheme="minorHAnsi" w:cstheme="minorHAnsi"/>
                <w:sz w:val="18"/>
                <w:szCs w:val="18"/>
              </w:rPr>
              <w:t>m</w:t>
            </w:r>
            <w:r w:rsidRPr="00D22AA0">
              <w:rPr>
                <w:rFonts w:asciiTheme="minorHAnsi" w:hAnsiTheme="minorHAnsi" w:cstheme="minorHAnsi"/>
                <w:sz w:val="18"/>
                <w:szCs w:val="18"/>
              </w:rPr>
              <w:t>odel based</w:t>
            </w:r>
          </w:p>
        </w:tc>
        <w:tc>
          <w:tcPr>
            <w:tcW w:w="1620" w:type="dxa"/>
            <w:shd w:val="clear" w:color="auto" w:fill="auto"/>
          </w:tcPr>
          <w:p w14:paraId="710B47DD" w14:textId="7F5769C1"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FBSS</w:t>
            </w:r>
          </w:p>
        </w:tc>
        <w:tc>
          <w:tcPr>
            <w:tcW w:w="2160" w:type="dxa"/>
            <w:shd w:val="clear" w:color="auto" w:fill="auto"/>
          </w:tcPr>
          <w:p w14:paraId="58D0D6E7" w14:textId="2F174FFC"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Pr="00D22AA0">
              <w:rPr>
                <w:rFonts w:asciiTheme="minorHAnsi" w:hAnsiTheme="minorHAnsi" w:cstheme="minorHAnsi"/>
                <w:sz w:val="18"/>
                <w:szCs w:val="18"/>
              </w:rPr>
              <w:br/>
              <w:t>CMM</w:t>
            </w:r>
          </w:p>
        </w:tc>
        <w:tc>
          <w:tcPr>
            <w:tcW w:w="2078" w:type="dxa"/>
            <w:shd w:val="clear" w:color="auto" w:fill="auto"/>
          </w:tcPr>
          <w:p w14:paraId="5ED1523A" w14:textId="291A5496"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Medtronic</w:t>
            </w:r>
            <w:r w:rsidRPr="00D22AA0">
              <w:rPr>
                <w:rFonts w:asciiTheme="minorHAnsi" w:hAnsiTheme="minorHAnsi" w:cstheme="minorHAnsi"/>
                <w:sz w:val="18"/>
                <w:szCs w:val="18"/>
              </w:rPr>
              <w:br/>
              <w:t>NR</w:t>
            </w:r>
          </w:p>
        </w:tc>
      </w:tr>
      <w:tr w:rsidR="001728D0" w14:paraId="11DD775C" w14:textId="77777777" w:rsidTr="00990E04">
        <w:tc>
          <w:tcPr>
            <w:tcW w:w="1418" w:type="dxa"/>
            <w:shd w:val="clear" w:color="auto" w:fill="auto"/>
          </w:tcPr>
          <w:p w14:paraId="47E974C2" w14:textId="2E263958"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Taylor 2010</w:t>
            </w:r>
            <w:r w:rsidRPr="00D22AA0">
              <w:rPr>
                <w:rFonts w:asciiTheme="minorHAnsi" w:hAnsiTheme="minorHAnsi" w:cstheme="minorHAnsi"/>
                <w:sz w:val="18"/>
                <w:szCs w:val="18"/>
              </w:rPr>
              <w:br/>
              <w:t>UK</w:t>
            </w:r>
          </w:p>
        </w:tc>
        <w:tc>
          <w:tcPr>
            <w:tcW w:w="2362" w:type="dxa"/>
            <w:shd w:val="clear" w:color="auto" w:fill="auto"/>
          </w:tcPr>
          <w:p w14:paraId="62310D18" w14:textId="7FF552BA"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Health care</w:t>
            </w:r>
            <w:r w:rsidRPr="00D22AA0">
              <w:rPr>
                <w:rFonts w:asciiTheme="minorHAnsi" w:hAnsiTheme="minorHAnsi" w:cstheme="minorHAnsi"/>
                <w:sz w:val="18"/>
                <w:szCs w:val="18"/>
              </w:rPr>
              <w:br/>
              <w:t xml:space="preserve">15 </w:t>
            </w:r>
            <w:proofErr w:type="spellStart"/>
            <w:r w:rsidRPr="00D22AA0">
              <w:rPr>
                <w:rFonts w:asciiTheme="minorHAnsi" w:hAnsiTheme="minorHAnsi" w:cstheme="minorHAnsi"/>
                <w:sz w:val="18"/>
                <w:szCs w:val="18"/>
              </w:rPr>
              <w:t>yrs</w:t>
            </w:r>
            <w:proofErr w:type="spellEnd"/>
            <w:r w:rsidRPr="00D22AA0">
              <w:rPr>
                <w:rFonts w:asciiTheme="minorHAnsi" w:hAnsiTheme="minorHAnsi" w:cstheme="minorHAnsi"/>
                <w:sz w:val="18"/>
                <w:szCs w:val="18"/>
              </w:rPr>
              <w:br/>
            </w:r>
            <w:r w:rsidR="006C315B">
              <w:rPr>
                <w:rFonts w:asciiTheme="minorHAnsi" w:hAnsiTheme="minorHAnsi" w:cstheme="minorHAnsi"/>
                <w:sz w:val="18"/>
                <w:szCs w:val="18"/>
              </w:rPr>
              <w:t>CUA; m</w:t>
            </w:r>
            <w:r w:rsidR="00BD7641" w:rsidRPr="00D22AA0">
              <w:rPr>
                <w:rFonts w:asciiTheme="minorHAnsi" w:hAnsiTheme="minorHAnsi" w:cstheme="minorHAnsi"/>
                <w:sz w:val="18"/>
                <w:szCs w:val="18"/>
              </w:rPr>
              <w:t>odel based</w:t>
            </w:r>
          </w:p>
        </w:tc>
        <w:tc>
          <w:tcPr>
            <w:tcW w:w="1620" w:type="dxa"/>
            <w:shd w:val="clear" w:color="auto" w:fill="auto"/>
          </w:tcPr>
          <w:p w14:paraId="0ED02AA9" w14:textId="5DE433C5"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NR</w:t>
            </w:r>
            <w:r w:rsidRPr="00D22AA0">
              <w:rPr>
                <w:rFonts w:asciiTheme="minorHAnsi" w:hAnsiTheme="minorHAnsi" w:cstheme="minorHAnsi"/>
                <w:sz w:val="18"/>
                <w:szCs w:val="18"/>
              </w:rPr>
              <w:br/>
              <w:t>FBSS</w:t>
            </w:r>
          </w:p>
        </w:tc>
        <w:tc>
          <w:tcPr>
            <w:tcW w:w="2160" w:type="dxa"/>
            <w:shd w:val="clear" w:color="auto" w:fill="auto"/>
          </w:tcPr>
          <w:p w14:paraId="6301602C" w14:textId="1C3C735F"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SCS</w:t>
            </w:r>
            <w:r w:rsidRPr="00D22AA0">
              <w:rPr>
                <w:rFonts w:asciiTheme="minorHAnsi" w:hAnsiTheme="minorHAnsi" w:cstheme="minorHAnsi"/>
                <w:sz w:val="18"/>
                <w:szCs w:val="18"/>
              </w:rPr>
              <w:br/>
              <w:t>CMM; reoperation</w:t>
            </w:r>
          </w:p>
        </w:tc>
        <w:tc>
          <w:tcPr>
            <w:tcW w:w="2078" w:type="dxa"/>
            <w:shd w:val="clear" w:color="auto" w:fill="auto"/>
          </w:tcPr>
          <w:p w14:paraId="46D35C77" w14:textId="131A9477" w:rsidR="002E42A5" w:rsidRPr="00D22AA0" w:rsidRDefault="002E42A5"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Medtronic</w:t>
            </w:r>
            <w:r w:rsidRPr="00D22AA0">
              <w:rPr>
                <w:rFonts w:asciiTheme="minorHAnsi" w:hAnsiTheme="minorHAnsi" w:cstheme="minorHAnsi"/>
                <w:sz w:val="18"/>
                <w:szCs w:val="18"/>
              </w:rPr>
              <w:br/>
            </w:r>
            <w:proofErr w:type="spellStart"/>
            <w:r w:rsidRPr="00D22AA0">
              <w:rPr>
                <w:rFonts w:asciiTheme="minorHAnsi" w:hAnsiTheme="minorHAnsi" w:cstheme="minorHAnsi"/>
                <w:sz w:val="18"/>
                <w:szCs w:val="18"/>
              </w:rPr>
              <w:t>Medtronic</w:t>
            </w:r>
            <w:proofErr w:type="spellEnd"/>
          </w:p>
        </w:tc>
      </w:tr>
    </w:tbl>
    <w:p w14:paraId="329D4475" w14:textId="0E91C2C6" w:rsidR="00673955" w:rsidRDefault="00673955" w:rsidP="00BB1D12">
      <w:pPr>
        <w:pStyle w:val="101Tablefootnotes8pt"/>
      </w:pPr>
      <w:r>
        <w:t xml:space="preserve">Source: </w:t>
      </w:r>
      <w:r w:rsidR="0066176E">
        <w:t xml:space="preserve">Studies identified in </w:t>
      </w:r>
      <w:proofErr w:type="spellStart"/>
      <w:r w:rsidR="00954749" w:rsidRPr="00954749">
        <w:t>Niyomsri</w:t>
      </w:r>
      <w:proofErr w:type="spellEnd"/>
      <w:r w:rsidR="00954749" w:rsidRPr="00954749">
        <w:t xml:space="preserve"> (2020) systematic review</w:t>
      </w:r>
      <w:r w:rsidR="0066176E">
        <w:t>,</w:t>
      </w:r>
      <w:r w:rsidR="00954749">
        <w:t xml:space="preserve"> and Rojo (2021)</w:t>
      </w:r>
    </w:p>
    <w:p w14:paraId="35DA85C5" w14:textId="378A2CF3" w:rsidR="00BA7E81" w:rsidRPr="00F70EDC" w:rsidRDefault="001728D0" w:rsidP="00BB1D12">
      <w:pPr>
        <w:pStyle w:val="101Tablefootnotes8pt"/>
      </w:pPr>
      <w:r w:rsidRPr="00091FE4">
        <w:t>Abbreviations:</w:t>
      </w:r>
      <w:r w:rsidR="00010B1B">
        <w:t xml:space="preserve"> BMT, best medical treatment; </w:t>
      </w:r>
      <w:r w:rsidR="00D41C90">
        <w:t xml:space="preserve">CABG, coronary artery bypass graft surgery; </w:t>
      </w:r>
      <w:r w:rsidR="007E0B08">
        <w:t xml:space="preserve">CEA, cost-effectiveness analysis; </w:t>
      </w:r>
      <w:r w:rsidR="000D34A2" w:rsidRPr="00FD31BE">
        <w:t>CLI</w:t>
      </w:r>
      <w:r w:rsidR="000D34A2">
        <w:t xml:space="preserve">, </w:t>
      </w:r>
      <w:r w:rsidR="000D34A2" w:rsidRPr="00FD31BE">
        <w:t xml:space="preserve">chronic limb </w:t>
      </w:r>
      <w:proofErr w:type="spellStart"/>
      <w:r w:rsidR="000D34A2" w:rsidRPr="00FD31BE">
        <w:t>ischaemia</w:t>
      </w:r>
      <w:proofErr w:type="spellEnd"/>
      <w:r w:rsidR="000D34A2">
        <w:t xml:space="preserve">; </w:t>
      </w:r>
      <w:r w:rsidR="00010B1B">
        <w:t>CMM, c</w:t>
      </w:r>
      <w:r w:rsidR="00187918">
        <w:t>onventional</w:t>
      </w:r>
      <w:r w:rsidR="00010B1B">
        <w:t xml:space="preserve"> medical management;</w:t>
      </w:r>
      <w:r w:rsidR="005F2290">
        <w:t xml:space="preserve"> </w:t>
      </w:r>
      <w:r w:rsidR="00C8474E">
        <w:t xml:space="preserve">CRPS, </w:t>
      </w:r>
      <w:r w:rsidR="00C8474E" w:rsidRPr="00C8474E">
        <w:t>complex regional pain syndrome</w:t>
      </w:r>
      <w:r w:rsidR="00C8474E">
        <w:t xml:space="preserve">; </w:t>
      </w:r>
      <w:r w:rsidR="007E0B08">
        <w:t xml:space="preserve">CUA, cost-utility analysis; </w:t>
      </w:r>
      <w:r w:rsidR="00010B1B">
        <w:t xml:space="preserve">FBSS, failed back surgery syndrome; </w:t>
      </w:r>
      <w:r w:rsidR="00015798">
        <w:t>HF 10, high</w:t>
      </w:r>
      <w:r w:rsidR="00572B21">
        <w:t>-</w:t>
      </w:r>
      <w:r w:rsidR="00015798">
        <w:t>frequency (</w:t>
      </w:r>
      <w:r w:rsidR="00015798" w:rsidRPr="00015798">
        <w:t>10kHz</w:t>
      </w:r>
      <w:r w:rsidR="00015798">
        <w:t xml:space="preserve">); </w:t>
      </w:r>
      <w:r w:rsidR="000D34A2">
        <w:t xml:space="preserve">HTA, health technology assessment; </w:t>
      </w:r>
      <w:r w:rsidR="005F2290">
        <w:t xml:space="preserve">NL, The Netherlands; </w:t>
      </w:r>
      <w:r w:rsidR="00010B1B">
        <w:t xml:space="preserve">NR, not reported; </w:t>
      </w:r>
      <w:r w:rsidR="00091FE4">
        <w:t xml:space="preserve">PAD, peripheral arterial disease; </w:t>
      </w:r>
      <w:r w:rsidR="009C7F83">
        <w:t xml:space="preserve">PC, pain clinic; </w:t>
      </w:r>
      <w:r w:rsidR="005F2290">
        <w:t xml:space="preserve">PCI, percutaneous coronary intervention; </w:t>
      </w:r>
      <w:r w:rsidR="000D34A2" w:rsidRPr="000D34A2">
        <w:t>PDPN</w:t>
      </w:r>
      <w:r w:rsidR="000D34A2">
        <w:t xml:space="preserve">; </w:t>
      </w:r>
      <w:r w:rsidR="000D34A2" w:rsidRPr="000D34A2">
        <w:t>painful diabetic polyneuropathy</w:t>
      </w:r>
      <w:r w:rsidR="000D34A2">
        <w:t xml:space="preserve">; </w:t>
      </w:r>
      <w:r w:rsidR="00E83048">
        <w:t xml:space="preserve">PMR, </w:t>
      </w:r>
      <w:r w:rsidR="000B3D7B">
        <w:t>percutaneous myocardial laser revascularisation</w:t>
      </w:r>
      <w:r w:rsidR="00E83048">
        <w:t xml:space="preserve">; </w:t>
      </w:r>
      <w:r w:rsidR="00FC139D">
        <w:t>PT, physi</w:t>
      </w:r>
      <w:r w:rsidR="00C8474E">
        <w:t xml:space="preserve">cal </w:t>
      </w:r>
      <w:r w:rsidR="00FC139D">
        <w:t xml:space="preserve">therapy; </w:t>
      </w:r>
      <w:r w:rsidR="00091FE4">
        <w:t xml:space="preserve">RAP, refractory angina pectoris; </w:t>
      </w:r>
      <w:r w:rsidR="002D7243">
        <w:t xml:space="preserve">RSD, </w:t>
      </w:r>
      <w:r w:rsidR="003C5E9A">
        <w:t>r</w:t>
      </w:r>
      <w:r w:rsidR="002D7243" w:rsidRPr="002D7243">
        <w:t xml:space="preserve">eflex </w:t>
      </w:r>
      <w:r w:rsidR="003C5E9A">
        <w:t>s</w:t>
      </w:r>
      <w:r w:rsidR="002D7243" w:rsidRPr="002D7243">
        <w:t xml:space="preserve">ympathetic </w:t>
      </w:r>
      <w:r w:rsidR="003C5E9A">
        <w:t>d</w:t>
      </w:r>
      <w:r w:rsidR="002D7243" w:rsidRPr="002D7243">
        <w:t>ystrophy</w:t>
      </w:r>
      <w:r w:rsidR="002D7243">
        <w:t xml:space="preserve">; </w:t>
      </w:r>
      <w:r w:rsidR="00010B1B">
        <w:t>SCS, spinal cord stimulat</w:t>
      </w:r>
      <w:r w:rsidR="00C162F2">
        <w:t>ion</w:t>
      </w:r>
      <w:r w:rsidR="000D34A2">
        <w:t>; UK, United Kingdom</w:t>
      </w:r>
      <w:r w:rsidR="00010B1B">
        <w:t>.</w:t>
      </w:r>
    </w:p>
    <w:p w14:paraId="3F077A8C" w14:textId="51A5817E" w:rsidR="00C86A0A" w:rsidRPr="001D3A30" w:rsidRDefault="00C86A0A" w:rsidP="001D3A30">
      <w:pPr>
        <w:pStyle w:val="111Tablefootnoteslast-nostick8pt"/>
      </w:pPr>
      <w:r>
        <w:t xml:space="preserve">a </w:t>
      </w:r>
      <w:r w:rsidR="00FF46B0">
        <w:t>Separate c</w:t>
      </w:r>
      <w:r w:rsidR="00AE471A">
        <w:t>ost and effectiveness analys</w:t>
      </w:r>
      <w:r w:rsidR="00FF46B0">
        <w:t>e</w:t>
      </w:r>
      <w:r w:rsidR="00AE471A">
        <w:t xml:space="preserve">s; </w:t>
      </w:r>
      <w:r w:rsidR="001D3A30">
        <w:t>an ICER was not calculated.</w:t>
      </w:r>
    </w:p>
    <w:p w14:paraId="4201CC45" w14:textId="77777777" w:rsidR="003B5306" w:rsidRDefault="008B328C" w:rsidP="00DD260A">
      <w:pPr>
        <w:pStyle w:val="Heading4"/>
      </w:pPr>
      <w:r>
        <w:t>Findings</w:t>
      </w:r>
    </w:p>
    <w:p w14:paraId="622F8926" w14:textId="6546E703" w:rsidR="001731D6" w:rsidRDefault="007C1258" w:rsidP="008B328C">
      <w:pPr>
        <w:pStyle w:val="BodyText"/>
      </w:pPr>
      <w:r>
        <w:t xml:space="preserve">The results of the cost-effectiveness studies as reported by </w:t>
      </w:r>
      <w:proofErr w:type="spellStart"/>
      <w:r>
        <w:t>Niyomsri</w:t>
      </w:r>
      <w:proofErr w:type="spellEnd"/>
      <w:r>
        <w:t xml:space="preserve"> (2020) are presented in </w:t>
      </w:r>
      <w:r>
        <w:fldChar w:fldCharType="begin"/>
      </w:r>
      <w:r>
        <w:instrText xml:space="preserve"> REF _Ref129265153 \h </w:instrText>
      </w:r>
      <w:r>
        <w:fldChar w:fldCharType="separate"/>
      </w:r>
      <w:r w:rsidR="00CE6ACA">
        <w:t xml:space="preserve">Table </w:t>
      </w:r>
      <w:r w:rsidR="00CE6ACA">
        <w:rPr>
          <w:noProof/>
        </w:rPr>
        <w:t>20</w:t>
      </w:r>
      <w:r>
        <w:fldChar w:fldCharType="end"/>
      </w:r>
      <w:r w:rsidR="00D348FE">
        <w:t xml:space="preserve">, together with the recent </w:t>
      </w:r>
      <w:r w:rsidR="006B0E2A">
        <w:t>cost-effectiveness study by Rojo (2021)</w:t>
      </w:r>
      <w:r>
        <w:t xml:space="preserve">. </w:t>
      </w:r>
    </w:p>
    <w:p w14:paraId="5E3B2E4E" w14:textId="72C942ED" w:rsidR="008B328C" w:rsidRDefault="009274E9" w:rsidP="008B328C">
      <w:pPr>
        <w:pStyle w:val="BodyText"/>
      </w:pPr>
      <w:r>
        <w:t>The findings demonstrate that</w:t>
      </w:r>
      <w:r w:rsidR="00EF5E45">
        <w:t xml:space="preserve"> although initial costs of SCS devices are high,</w:t>
      </w:r>
      <w:r>
        <w:t xml:space="preserve"> studies w</w:t>
      </w:r>
      <w:r w:rsidR="00E845B3">
        <w:t>ith</w:t>
      </w:r>
      <w:r>
        <w:t xml:space="preserve"> longer-term time horizons tend to report that SCS is cost</w:t>
      </w:r>
      <w:r w:rsidR="00F420B2">
        <w:t xml:space="preserve"> </w:t>
      </w:r>
      <w:r>
        <w:t>effective</w:t>
      </w:r>
      <w:r w:rsidR="00E845B3">
        <w:t xml:space="preserve"> as the modelled improvement in health outcomes </w:t>
      </w:r>
      <w:r w:rsidR="00A97E10">
        <w:t xml:space="preserve">is </w:t>
      </w:r>
      <w:r w:rsidR="00CE6793">
        <w:t>extrapolated over this timeframe</w:t>
      </w:r>
      <w:r>
        <w:t>.</w:t>
      </w:r>
      <w:r w:rsidR="00CE6793">
        <w:t xml:space="preserve"> The authors note that</w:t>
      </w:r>
      <w:r w:rsidR="00F444EA">
        <w:t xml:space="preserve"> </w:t>
      </w:r>
      <w:r w:rsidR="00E118F5">
        <w:t xml:space="preserve">the models were limited by a lack of long-term </w:t>
      </w:r>
      <w:r w:rsidR="00DA0C4A">
        <w:t xml:space="preserve">clinical </w:t>
      </w:r>
      <w:r w:rsidR="00E118F5">
        <w:t>data and missing follow-up costs</w:t>
      </w:r>
      <w:r w:rsidR="00DA0C4A">
        <w:t xml:space="preserve">. </w:t>
      </w:r>
      <w:r>
        <w:t xml:space="preserve"> </w:t>
      </w:r>
    </w:p>
    <w:p w14:paraId="3A2F5227" w14:textId="5A19B949" w:rsidR="00A24D88" w:rsidRDefault="00A24D88" w:rsidP="00A24D88">
      <w:pPr>
        <w:pStyle w:val="Caption"/>
      </w:pPr>
      <w:bookmarkStart w:id="102" w:name="_Ref129265153"/>
      <w:r>
        <w:t xml:space="preserve">Table </w:t>
      </w:r>
      <w:r>
        <w:fldChar w:fldCharType="begin"/>
      </w:r>
      <w:r>
        <w:instrText>SEQ Table \* ARABIC</w:instrText>
      </w:r>
      <w:r>
        <w:fldChar w:fldCharType="separate"/>
      </w:r>
      <w:r w:rsidR="00CE6ACA">
        <w:rPr>
          <w:noProof/>
        </w:rPr>
        <w:t>20</w:t>
      </w:r>
      <w:r>
        <w:fldChar w:fldCharType="end"/>
      </w:r>
      <w:bookmarkEnd w:id="102"/>
      <w:r>
        <w:tab/>
        <w:t xml:space="preserve">Outcomes of </w:t>
      </w:r>
      <w:r w:rsidR="00FB60ED">
        <w:t>cost</w:t>
      </w:r>
      <w:r w:rsidR="00632586">
        <w:t>-</w:t>
      </w:r>
      <w:r w:rsidR="00FB60ED">
        <w:t>effectiveness studies</w:t>
      </w:r>
      <w:r w:rsidR="005D66E1">
        <w:t xml:space="preserve"> from other countries</w:t>
      </w:r>
    </w:p>
    <w:tbl>
      <w:tblPr>
        <w:tblW w:w="0" w:type="auto"/>
        <w:tblBorders>
          <w:top w:val="single" w:sz="4" w:space="0" w:color="auto"/>
          <w:bottom w:val="single" w:sz="4" w:space="0" w:color="auto"/>
          <w:insideH w:val="single" w:sz="4" w:space="0" w:color="auto"/>
        </w:tblBorders>
        <w:tblLayout w:type="fixed"/>
        <w:tblLook w:val="0480" w:firstRow="0" w:lastRow="0" w:firstColumn="1" w:lastColumn="0" w:noHBand="0" w:noVBand="1"/>
        <w:tblCaption w:val="Outcomes of cost-effectiveness studies from other countries"/>
        <w:tblDescription w:val="Table showing the outcomes and conclusions at long term horizon. medium term horizon and short term horizon of the cost-effectiveness studies from other countries."/>
      </w:tblPr>
      <w:tblGrid>
        <w:gridCol w:w="1441"/>
        <w:gridCol w:w="40"/>
        <w:gridCol w:w="220"/>
        <w:gridCol w:w="142"/>
        <w:gridCol w:w="857"/>
        <w:gridCol w:w="39"/>
        <w:gridCol w:w="2931"/>
        <w:gridCol w:w="19"/>
        <w:gridCol w:w="2533"/>
        <w:gridCol w:w="1416"/>
      </w:tblGrid>
      <w:tr w:rsidR="0079037C" w14:paraId="3FA13CA7" w14:textId="77777777" w:rsidTr="00BB1D12">
        <w:trPr>
          <w:tblHeader/>
        </w:trPr>
        <w:tc>
          <w:tcPr>
            <w:tcW w:w="1441" w:type="dxa"/>
            <w:shd w:val="clear" w:color="auto" w:fill="BFBFBF"/>
          </w:tcPr>
          <w:p w14:paraId="5772BE1C" w14:textId="25A94AE8" w:rsidR="0079037C" w:rsidRPr="00D22AA0" w:rsidRDefault="0079037C" w:rsidP="00D22AA0">
            <w:pPr>
              <w:pStyle w:val="011TableHeading8pt"/>
              <w:ind w:left="-57" w:right="-57"/>
              <w:rPr>
                <w:rFonts w:asciiTheme="minorHAnsi" w:hAnsiTheme="minorHAnsi" w:cstheme="minorHAnsi"/>
                <w:sz w:val="18"/>
                <w:szCs w:val="18"/>
              </w:rPr>
            </w:pPr>
            <w:r w:rsidRPr="00D22AA0">
              <w:rPr>
                <w:rFonts w:asciiTheme="minorHAnsi" w:hAnsiTheme="minorHAnsi" w:cstheme="minorHAnsi"/>
                <w:sz w:val="18"/>
                <w:szCs w:val="18"/>
              </w:rPr>
              <w:t>Study ID</w:t>
            </w:r>
            <w:r w:rsidRPr="00D22AA0">
              <w:rPr>
                <w:rFonts w:asciiTheme="minorHAnsi" w:hAnsiTheme="minorHAnsi" w:cstheme="minorHAnsi"/>
                <w:sz w:val="18"/>
                <w:szCs w:val="18"/>
              </w:rPr>
              <w:br/>
            </w:r>
            <w:r w:rsidR="0014061F">
              <w:rPr>
                <w:rFonts w:asciiTheme="minorHAnsi" w:hAnsiTheme="minorHAnsi" w:cstheme="minorHAnsi"/>
                <w:sz w:val="18"/>
                <w:szCs w:val="18"/>
              </w:rPr>
              <w:t>Country</w:t>
            </w:r>
          </w:p>
        </w:tc>
        <w:tc>
          <w:tcPr>
            <w:tcW w:w="1298" w:type="dxa"/>
            <w:gridSpan w:val="5"/>
            <w:shd w:val="clear" w:color="auto" w:fill="BFBFBF"/>
          </w:tcPr>
          <w:p w14:paraId="608FCF56" w14:textId="6961B0BE" w:rsidR="003536E6" w:rsidRDefault="003536E6" w:rsidP="00D22AA0">
            <w:pPr>
              <w:pStyle w:val="011TableHeading8pt"/>
              <w:ind w:left="-57" w:right="-57"/>
              <w:rPr>
                <w:rFonts w:asciiTheme="minorHAnsi" w:hAnsiTheme="minorHAnsi" w:cstheme="minorHAnsi"/>
                <w:sz w:val="18"/>
                <w:szCs w:val="18"/>
              </w:rPr>
            </w:pPr>
            <w:r>
              <w:rPr>
                <w:rFonts w:asciiTheme="minorHAnsi" w:hAnsiTheme="minorHAnsi" w:cstheme="minorHAnsi"/>
                <w:sz w:val="18"/>
                <w:szCs w:val="18"/>
              </w:rPr>
              <w:t>Time horizon</w:t>
            </w:r>
            <w:r w:rsidR="004628B4">
              <w:rPr>
                <w:rFonts w:asciiTheme="minorHAnsi" w:hAnsiTheme="minorHAnsi" w:cstheme="minorHAnsi"/>
                <w:sz w:val="18"/>
                <w:szCs w:val="18"/>
              </w:rPr>
              <w:br/>
            </w:r>
            <w:r w:rsidR="00761783">
              <w:rPr>
                <w:rFonts w:asciiTheme="minorHAnsi" w:hAnsiTheme="minorHAnsi" w:cstheme="minorHAnsi"/>
                <w:sz w:val="18"/>
                <w:szCs w:val="18"/>
              </w:rPr>
              <w:t>P</w:t>
            </w:r>
            <w:r w:rsidR="004628B4">
              <w:rPr>
                <w:rFonts w:asciiTheme="minorHAnsi" w:hAnsiTheme="minorHAnsi" w:cstheme="minorHAnsi"/>
                <w:sz w:val="18"/>
                <w:szCs w:val="18"/>
              </w:rPr>
              <w:t>erspective</w:t>
            </w:r>
            <w:r w:rsidR="00CE6E23">
              <w:rPr>
                <w:rFonts w:asciiTheme="minorHAnsi" w:hAnsiTheme="minorHAnsi" w:cstheme="minorHAnsi"/>
                <w:sz w:val="18"/>
                <w:szCs w:val="18"/>
              </w:rPr>
              <w:t xml:space="preserve"> </w:t>
            </w:r>
            <w:r w:rsidR="00CE6E23">
              <w:rPr>
                <w:rFonts w:asciiTheme="minorHAnsi" w:hAnsiTheme="minorHAnsi" w:cstheme="minorHAnsi"/>
                <w:sz w:val="18"/>
                <w:szCs w:val="18"/>
              </w:rPr>
              <w:br/>
            </w:r>
            <w:r w:rsidR="00761783">
              <w:rPr>
                <w:rFonts w:asciiTheme="minorHAnsi" w:hAnsiTheme="minorHAnsi" w:cstheme="minorHAnsi"/>
                <w:sz w:val="18"/>
                <w:szCs w:val="18"/>
              </w:rPr>
              <w:t>P</w:t>
            </w:r>
            <w:r w:rsidR="00CE6E23">
              <w:rPr>
                <w:rFonts w:asciiTheme="minorHAnsi" w:hAnsiTheme="minorHAnsi" w:cstheme="minorHAnsi"/>
                <w:sz w:val="18"/>
                <w:szCs w:val="18"/>
              </w:rPr>
              <w:t>articipant</w:t>
            </w:r>
            <w:r w:rsidR="009461EC">
              <w:rPr>
                <w:rFonts w:asciiTheme="minorHAnsi" w:hAnsiTheme="minorHAnsi" w:cstheme="minorHAnsi"/>
                <w:sz w:val="18"/>
                <w:szCs w:val="18"/>
              </w:rPr>
              <w:t>s</w:t>
            </w:r>
          </w:p>
        </w:tc>
        <w:tc>
          <w:tcPr>
            <w:tcW w:w="2950" w:type="dxa"/>
            <w:gridSpan w:val="2"/>
            <w:shd w:val="clear" w:color="auto" w:fill="BFBFBF"/>
          </w:tcPr>
          <w:p w14:paraId="393568C2" w14:textId="71D05668" w:rsidR="0079037C" w:rsidRPr="00D22AA0" w:rsidRDefault="0079037C" w:rsidP="00D22AA0">
            <w:pPr>
              <w:pStyle w:val="011TableHeading8pt"/>
              <w:ind w:left="-57" w:right="-57"/>
              <w:rPr>
                <w:rFonts w:asciiTheme="minorHAnsi" w:hAnsiTheme="minorHAnsi" w:cstheme="minorHAnsi"/>
                <w:sz w:val="18"/>
                <w:szCs w:val="18"/>
              </w:rPr>
            </w:pPr>
            <w:r w:rsidRPr="00D22AA0">
              <w:rPr>
                <w:rFonts w:asciiTheme="minorHAnsi" w:hAnsiTheme="minorHAnsi" w:cstheme="minorHAnsi"/>
                <w:sz w:val="18"/>
                <w:szCs w:val="18"/>
              </w:rPr>
              <w:t>ICER as reported by study</w:t>
            </w:r>
          </w:p>
        </w:tc>
        <w:tc>
          <w:tcPr>
            <w:tcW w:w="2533" w:type="dxa"/>
            <w:shd w:val="clear" w:color="auto" w:fill="BFBFBF"/>
          </w:tcPr>
          <w:p w14:paraId="5100A46E" w14:textId="10B97C0E" w:rsidR="0079037C" w:rsidRPr="00D22AA0" w:rsidRDefault="0079037C" w:rsidP="00D22AA0">
            <w:pPr>
              <w:pStyle w:val="011TableHeading8pt"/>
              <w:ind w:left="-57" w:right="-57"/>
              <w:rPr>
                <w:rFonts w:asciiTheme="minorHAnsi" w:hAnsiTheme="minorHAnsi" w:cstheme="minorHAnsi"/>
                <w:sz w:val="18"/>
                <w:szCs w:val="18"/>
              </w:rPr>
            </w:pPr>
            <w:r w:rsidRPr="00D22AA0">
              <w:rPr>
                <w:rFonts w:asciiTheme="minorHAnsi" w:hAnsiTheme="minorHAnsi" w:cstheme="minorHAnsi"/>
                <w:sz w:val="18"/>
                <w:szCs w:val="18"/>
              </w:rPr>
              <w:t xml:space="preserve">ICER as reported by </w:t>
            </w:r>
            <w:proofErr w:type="spellStart"/>
            <w:r w:rsidRPr="00D22AA0">
              <w:rPr>
                <w:rFonts w:asciiTheme="minorHAnsi" w:hAnsiTheme="minorHAnsi" w:cstheme="minorHAnsi"/>
                <w:sz w:val="18"/>
                <w:szCs w:val="18"/>
              </w:rPr>
              <w:t>Niyomsri</w:t>
            </w:r>
            <w:proofErr w:type="spellEnd"/>
            <w:r w:rsidRPr="00D22AA0">
              <w:rPr>
                <w:rFonts w:asciiTheme="minorHAnsi" w:hAnsiTheme="minorHAnsi" w:cstheme="minorHAnsi"/>
                <w:sz w:val="18"/>
                <w:szCs w:val="18"/>
              </w:rPr>
              <w:t xml:space="preserve"> (2019 GBP)</w:t>
            </w:r>
          </w:p>
        </w:tc>
        <w:tc>
          <w:tcPr>
            <w:tcW w:w="1416" w:type="dxa"/>
            <w:shd w:val="clear" w:color="auto" w:fill="BFBFBF"/>
          </w:tcPr>
          <w:p w14:paraId="20B0F484" w14:textId="77777777" w:rsidR="0079037C" w:rsidRPr="00D22AA0" w:rsidRDefault="003536E6" w:rsidP="00D22AA0">
            <w:pPr>
              <w:pStyle w:val="011TableHeading8pt"/>
              <w:ind w:left="-57" w:right="-57"/>
              <w:rPr>
                <w:rFonts w:asciiTheme="minorHAnsi" w:hAnsiTheme="minorHAnsi" w:cstheme="minorHAnsi"/>
                <w:sz w:val="18"/>
                <w:szCs w:val="18"/>
              </w:rPr>
            </w:pPr>
            <w:r w:rsidRPr="00D22AA0">
              <w:rPr>
                <w:rFonts w:asciiTheme="minorHAnsi" w:hAnsiTheme="minorHAnsi" w:cstheme="minorHAnsi"/>
                <w:sz w:val="18"/>
                <w:szCs w:val="18"/>
              </w:rPr>
              <w:t>Conclusion</w:t>
            </w:r>
          </w:p>
        </w:tc>
      </w:tr>
      <w:tr w:rsidR="00556BC4" w14:paraId="4078A831" w14:textId="77777777" w:rsidTr="007714A7">
        <w:tc>
          <w:tcPr>
            <w:tcW w:w="1701" w:type="dxa"/>
            <w:gridSpan w:val="3"/>
            <w:shd w:val="clear" w:color="auto" w:fill="D9D9D9" w:themeFill="background1" w:themeFillShade="D9"/>
          </w:tcPr>
          <w:p w14:paraId="5C066DD6" w14:textId="20829F01" w:rsidR="0079037C" w:rsidRPr="00D22AA0" w:rsidRDefault="00AF0B00" w:rsidP="00D22AA0">
            <w:pPr>
              <w:pStyle w:val="031Tablesubheading8pt"/>
              <w:ind w:left="-57" w:right="-57"/>
              <w:rPr>
                <w:rFonts w:asciiTheme="minorHAnsi" w:hAnsiTheme="minorHAnsi" w:cstheme="minorHAnsi"/>
                <w:sz w:val="18"/>
                <w:szCs w:val="18"/>
              </w:rPr>
            </w:pPr>
            <w:r w:rsidRPr="00D22AA0">
              <w:rPr>
                <w:rFonts w:asciiTheme="minorHAnsi" w:hAnsiTheme="minorHAnsi" w:cstheme="minorHAnsi"/>
                <w:sz w:val="18"/>
                <w:szCs w:val="18"/>
              </w:rPr>
              <w:t>Long</w:t>
            </w:r>
            <w:r w:rsidR="00FD79E7">
              <w:rPr>
                <w:rFonts w:asciiTheme="minorHAnsi" w:hAnsiTheme="minorHAnsi" w:cstheme="minorHAnsi"/>
                <w:sz w:val="18"/>
                <w:szCs w:val="18"/>
              </w:rPr>
              <w:t>-</w:t>
            </w:r>
            <w:r w:rsidRPr="00D22AA0">
              <w:rPr>
                <w:rFonts w:asciiTheme="minorHAnsi" w:hAnsiTheme="minorHAnsi" w:cstheme="minorHAnsi"/>
                <w:sz w:val="18"/>
                <w:szCs w:val="18"/>
              </w:rPr>
              <w:t>term horizon</w:t>
            </w:r>
          </w:p>
        </w:tc>
        <w:tc>
          <w:tcPr>
            <w:tcW w:w="1038" w:type="dxa"/>
            <w:gridSpan w:val="3"/>
            <w:shd w:val="clear" w:color="auto" w:fill="D9D9D9" w:themeFill="background1" w:themeFillShade="D9"/>
          </w:tcPr>
          <w:p w14:paraId="59E2EAC2" w14:textId="77777777" w:rsidR="003536E6" w:rsidRPr="00D22AA0" w:rsidRDefault="003536E6" w:rsidP="00D22AA0">
            <w:pPr>
              <w:pStyle w:val="031Tablesubheading8pt"/>
              <w:ind w:left="-57" w:right="-57"/>
              <w:rPr>
                <w:rFonts w:asciiTheme="minorHAnsi" w:hAnsiTheme="minorHAnsi" w:cstheme="minorHAnsi"/>
                <w:sz w:val="18"/>
                <w:szCs w:val="18"/>
              </w:rPr>
            </w:pPr>
          </w:p>
        </w:tc>
        <w:tc>
          <w:tcPr>
            <w:tcW w:w="2950" w:type="dxa"/>
            <w:gridSpan w:val="2"/>
            <w:shd w:val="clear" w:color="auto" w:fill="D9D9D9" w:themeFill="background1" w:themeFillShade="D9"/>
          </w:tcPr>
          <w:p w14:paraId="406573B7" w14:textId="41183CD7" w:rsidR="0079037C" w:rsidRPr="00D22AA0" w:rsidRDefault="0079037C" w:rsidP="00D22AA0">
            <w:pPr>
              <w:pStyle w:val="031Tablesubheading8pt"/>
              <w:ind w:left="-57" w:right="-57"/>
              <w:rPr>
                <w:rFonts w:asciiTheme="minorHAnsi" w:hAnsiTheme="minorHAnsi" w:cstheme="minorHAnsi"/>
                <w:sz w:val="18"/>
                <w:szCs w:val="18"/>
              </w:rPr>
            </w:pPr>
          </w:p>
        </w:tc>
        <w:tc>
          <w:tcPr>
            <w:tcW w:w="2533" w:type="dxa"/>
            <w:shd w:val="clear" w:color="auto" w:fill="D9D9D9" w:themeFill="background1" w:themeFillShade="D9"/>
          </w:tcPr>
          <w:p w14:paraId="0F150AA0" w14:textId="77777777" w:rsidR="0079037C" w:rsidRPr="00D22AA0" w:rsidRDefault="0079037C" w:rsidP="00D22AA0">
            <w:pPr>
              <w:pStyle w:val="031Tablesubheading8pt"/>
              <w:ind w:left="-57" w:right="-57"/>
              <w:rPr>
                <w:rFonts w:asciiTheme="minorHAnsi" w:hAnsiTheme="minorHAnsi" w:cstheme="minorHAnsi"/>
                <w:sz w:val="18"/>
                <w:szCs w:val="18"/>
              </w:rPr>
            </w:pPr>
          </w:p>
        </w:tc>
        <w:tc>
          <w:tcPr>
            <w:tcW w:w="1416" w:type="dxa"/>
            <w:shd w:val="clear" w:color="auto" w:fill="D9D9D9" w:themeFill="background1" w:themeFillShade="D9"/>
          </w:tcPr>
          <w:p w14:paraId="3545591E" w14:textId="77777777" w:rsidR="0079037C" w:rsidRPr="00D22AA0" w:rsidRDefault="0079037C" w:rsidP="00D22AA0">
            <w:pPr>
              <w:pStyle w:val="031Tablesubheading8pt"/>
              <w:ind w:left="-57" w:right="-57"/>
              <w:rPr>
                <w:rFonts w:asciiTheme="minorHAnsi" w:hAnsiTheme="minorHAnsi" w:cstheme="minorHAnsi"/>
                <w:sz w:val="18"/>
                <w:szCs w:val="18"/>
              </w:rPr>
            </w:pPr>
          </w:p>
        </w:tc>
      </w:tr>
      <w:tr w:rsidR="0079037C" w14:paraId="59E9077D" w14:textId="77777777" w:rsidTr="00BB1D12">
        <w:tc>
          <w:tcPr>
            <w:tcW w:w="1441" w:type="dxa"/>
            <w:shd w:val="clear" w:color="auto" w:fill="auto"/>
          </w:tcPr>
          <w:p w14:paraId="17E8D3FF" w14:textId="2280C7DC" w:rsidR="0079037C" w:rsidRPr="00D22AA0" w:rsidRDefault="0079037C"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Annemans</w:t>
            </w:r>
            <w:proofErr w:type="spellEnd"/>
            <w:r w:rsidRPr="00D22AA0">
              <w:rPr>
                <w:rFonts w:asciiTheme="minorHAnsi" w:hAnsiTheme="minorHAnsi" w:cstheme="minorHAnsi"/>
                <w:sz w:val="18"/>
                <w:szCs w:val="18"/>
              </w:rPr>
              <w:t xml:space="preserve"> 2014</w:t>
            </w:r>
            <w:r w:rsidRPr="00D22AA0">
              <w:rPr>
                <w:rFonts w:asciiTheme="minorHAnsi" w:hAnsiTheme="minorHAnsi" w:cstheme="minorHAnsi"/>
                <w:sz w:val="18"/>
                <w:szCs w:val="18"/>
              </w:rPr>
              <w:br/>
              <w:t>UK</w:t>
            </w:r>
          </w:p>
        </w:tc>
        <w:tc>
          <w:tcPr>
            <w:tcW w:w="1298" w:type="dxa"/>
            <w:gridSpan w:val="5"/>
            <w:shd w:val="clear" w:color="auto" w:fill="auto"/>
          </w:tcPr>
          <w:p w14:paraId="1E87BB5E" w14:textId="148E5152" w:rsidR="003536E6" w:rsidRPr="004C6F2F" w:rsidRDefault="003536E6" w:rsidP="00D22AA0">
            <w:pPr>
              <w:pStyle w:val="051Tabletext228pt"/>
              <w:ind w:left="-57" w:right="-57"/>
              <w:rPr>
                <w:rFonts w:asciiTheme="minorHAnsi" w:hAnsiTheme="minorHAnsi" w:cstheme="minorHAnsi"/>
                <w:sz w:val="18"/>
                <w:szCs w:val="18"/>
              </w:rPr>
            </w:pPr>
            <w:r w:rsidRPr="004C6F2F">
              <w:rPr>
                <w:rFonts w:asciiTheme="minorHAnsi" w:hAnsiTheme="minorHAnsi" w:cstheme="minorHAnsi"/>
                <w:sz w:val="18"/>
                <w:szCs w:val="18"/>
              </w:rPr>
              <w:t xml:space="preserve">15 </w:t>
            </w:r>
            <w:proofErr w:type="spellStart"/>
            <w:r w:rsidRPr="004C6F2F">
              <w:rPr>
                <w:rFonts w:asciiTheme="minorHAnsi" w:hAnsiTheme="minorHAnsi" w:cstheme="minorHAnsi"/>
                <w:sz w:val="18"/>
                <w:szCs w:val="18"/>
              </w:rPr>
              <w:t>yrs</w:t>
            </w:r>
            <w:proofErr w:type="spellEnd"/>
            <w:r w:rsidR="004628B4" w:rsidRPr="004C6F2F">
              <w:rPr>
                <w:rFonts w:asciiTheme="minorHAnsi" w:hAnsiTheme="minorHAnsi" w:cstheme="minorHAnsi"/>
                <w:sz w:val="18"/>
                <w:szCs w:val="18"/>
              </w:rPr>
              <w:br/>
            </w:r>
            <w:r w:rsidR="00D63A53">
              <w:rPr>
                <w:rFonts w:asciiTheme="minorHAnsi" w:hAnsiTheme="minorHAnsi" w:cstheme="minorHAnsi"/>
                <w:sz w:val="18"/>
                <w:szCs w:val="18"/>
              </w:rPr>
              <w:t>H</w:t>
            </w:r>
            <w:r w:rsidR="004E448F" w:rsidRPr="004C6F2F">
              <w:rPr>
                <w:rFonts w:asciiTheme="minorHAnsi" w:hAnsiTheme="minorHAnsi" w:cstheme="minorHAnsi"/>
                <w:sz w:val="18"/>
                <w:szCs w:val="18"/>
              </w:rPr>
              <w:t>ealth care</w:t>
            </w:r>
            <w:r w:rsidR="009461EC">
              <w:rPr>
                <w:rFonts w:asciiTheme="minorHAnsi" w:hAnsiTheme="minorHAnsi" w:cstheme="minorHAnsi"/>
                <w:sz w:val="18"/>
                <w:szCs w:val="18"/>
              </w:rPr>
              <w:t xml:space="preserve"> </w:t>
            </w:r>
            <w:r w:rsidR="009461EC">
              <w:rPr>
                <w:rFonts w:asciiTheme="minorHAnsi" w:hAnsiTheme="minorHAnsi" w:cstheme="minorHAnsi"/>
                <w:sz w:val="18"/>
                <w:szCs w:val="18"/>
              </w:rPr>
              <w:br/>
              <w:t>FBSS</w:t>
            </w:r>
          </w:p>
        </w:tc>
        <w:tc>
          <w:tcPr>
            <w:tcW w:w="2950" w:type="dxa"/>
            <w:gridSpan w:val="2"/>
            <w:shd w:val="clear" w:color="auto" w:fill="auto"/>
          </w:tcPr>
          <w:p w14:paraId="62971E74" w14:textId="01ACA5A9" w:rsidR="004504F2" w:rsidRPr="00D22AA0" w:rsidRDefault="0079037C" w:rsidP="00D22AA0">
            <w:pPr>
              <w:pStyle w:val="051Tabletext228pt"/>
              <w:ind w:left="-57" w:right="-57"/>
              <w:rPr>
                <w:rFonts w:asciiTheme="minorHAnsi" w:hAnsiTheme="minorHAnsi" w:cstheme="minorHAnsi"/>
                <w:sz w:val="18"/>
                <w:szCs w:val="18"/>
              </w:rPr>
            </w:pPr>
            <w:r w:rsidRPr="00370FF4">
              <w:rPr>
                <w:rFonts w:asciiTheme="minorHAnsi" w:hAnsiTheme="minorHAnsi" w:cstheme="minorHAnsi"/>
                <w:sz w:val="18"/>
                <w:szCs w:val="18"/>
                <w:u w:val="single"/>
              </w:rPr>
              <w:t>HF-SCS</w:t>
            </w:r>
            <w:r w:rsidR="005C65AF">
              <w:rPr>
                <w:rFonts w:asciiTheme="minorHAnsi" w:hAnsiTheme="minorHAnsi" w:cstheme="minorHAnsi"/>
                <w:sz w:val="18"/>
                <w:szCs w:val="18"/>
                <w:u w:val="single"/>
              </w:rPr>
              <w:t xml:space="preserve"> vs. CMM</w:t>
            </w:r>
            <w:r w:rsidR="008B2FA9" w:rsidRPr="005C65AF">
              <w:rPr>
                <w:rFonts w:asciiTheme="minorHAnsi" w:hAnsiTheme="minorHAnsi" w:cstheme="minorHAnsi"/>
                <w:sz w:val="18"/>
                <w:szCs w:val="18"/>
              </w:rPr>
              <w:t>:</w:t>
            </w:r>
            <w:r w:rsidRPr="00D22AA0">
              <w:rPr>
                <w:rFonts w:asciiTheme="minorHAnsi" w:hAnsiTheme="minorHAnsi" w:cstheme="minorHAnsi"/>
                <w:sz w:val="18"/>
                <w:szCs w:val="18"/>
              </w:rPr>
              <w:t xml:space="preserve"> </w:t>
            </w:r>
            <w:r w:rsidR="004504F2" w:rsidRPr="00D22AA0">
              <w:rPr>
                <w:rFonts w:asciiTheme="minorHAnsi" w:hAnsiTheme="minorHAnsi" w:cstheme="minorHAnsi"/>
                <w:sz w:val="18"/>
                <w:szCs w:val="18"/>
              </w:rPr>
              <w:t>£3,153</w:t>
            </w:r>
            <w:r w:rsidR="00EF52EB">
              <w:rPr>
                <w:rFonts w:asciiTheme="minorHAnsi" w:hAnsiTheme="minorHAnsi" w:cstheme="minorHAnsi"/>
                <w:sz w:val="18"/>
                <w:szCs w:val="18"/>
              </w:rPr>
              <w:t>/QALY</w:t>
            </w:r>
          </w:p>
          <w:p w14:paraId="34066A4D" w14:textId="13FBAEAD" w:rsidR="0079037C" w:rsidRPr="00D22AA0" w:rsidRDefault="0079037C" w:rsidP="00D22AA0">
            <w:pPr>
              <w:pStyle w:val="051Tabletext228pt"/>
              <w:ind w:left="-57" w:right="-57"/>
              <w:rPr>
                <w:rFonts w:asciiTheme="minorHAnsi" w:hAnsiTheme="minorHAnsi" w:cstheme="minorHAnsi"/>
                <w:sz w:val="18"/>
                <w:szCs w:val="18"/>
              </w:rPr>
            </w:pPr>
            <w:r w:rsidRPr="00370FF4">
              <w:rPr>
                <w:rFonts w:asciiTheme="minorHAnsi" w:hAnsiTheme="minorHAnsi" w:cstheme="minorHAnsi"/>
                <w:sz w:val="18"/>
                <w:szCs w:val="18"/>
                <w:u w:val="single"/>
              </w:rPr>
              <w:t>HF-SCS</w:t>
            </w:r>
            <w:r w:rsidR="00434F6E">
              <w:rPr>
                <w:rFonts w:asciiTheme="minorHAnsi" w:hAnsiTheme="minorHAnsi" w:cstheme="minorHAnsi"/>
                <w:sz w:val="18"/>
                <w:szCs w:val="18"/>
                <w:u w:val="single"/>
              </w:rPr>
              <w:t xml:space="preserve"> vs. reoperation</w:t>
            </w:r>
            <w:r w:rsidR="00543593">
              <w:rPr>
                <w:rFonts w:asciiTheme="minorHAnsi" w:hAnsiTheme="minorHAnsi" w:cstheme="minorHAnsi"/>
                <w:sz w:val="18"/>
                <w:szCs w:val="18"/>
              </w:rPr>
              <w:t>:</w:t>
            </w:r>
            <w:r w:rsidR="000E7332" w:rsidRPr="00D22AA0" w:rsidDel="000E7332">
              <w:rPr>
                <w:rFonts w:asciiTheme="minorHAnsi" w:hAnsiTheme="minorHAnsi" w:cstheme="minorHAnsi"/>
                <w:sz w:val="18"/>
                <w:szCs w:val="18"/>
              </w:rPr>
              <w:t xml:space="preserve"> </w:t>
            </w:r>
            <w:r w:rsidRPr="00D22AA0">
              <w:rPr>
                <w:rFonts w:asciiTheme="minorHAnsi" w:hAnsiTheme="minorHAnsi" w:cstheme="minorHAnsi"/>
                <w:sz w:val="18"/>
                <w:szCs w:val="18"/>
              </w:rPr>
              <w:t>£2,666</w:t>
            </w:r>
            <w:r w:rsidR="00EF52EB">
              <w:rPr>
                <w:rFonts w:asciiTheme="minorHAnsi" w:hAnsiTheme="minorHAnsi" w:cstheme="minorHAnsi"/>
                <w:sz w:val="18"/>
                <w:szCs w:val="18"/>
              </w:rPr>
              <w:t>/QALY</w:t>
            </w:r>
          </w:p>
        </w:tc>
        <w:tc>
          <w:tcPr>
            <w:tcW w:w="2533" w:type="dxa"/>
            <w:shd w:val="clear" w:color="auto" w:fill="auto"/>
          </w:tcPr>
          <w:p w14:paraId="7528D7F2" w14:textId="47E3E451" w:rsidR="0079037C" w:rsidRPr="00D22AA0" w:rsidRDefault="0079037C" w:rsidP="00D22AA0">
            <w:pPr>
              <w:pStyle w:val="051Tabletext228pt"/>
              <w:ind w:left="-57" w:right="-57"/>
              <w:rPr>
                <w:rFonts w:asciiTheme="minorHAnsi" w:hAnsiTheme="minorHAnsi" w:cstheme="minorHAnsi"/>
                <w:sz w:val="18"/>
                <w:szCs w:val="18"/>
              </w:rPr>
            </w:pPr>
            <w:r w:rsidRPr="00370FF4">
              <w:rPr>
                <w:rFonts w:asciiTheme="minorHAnsi" w:hAnsiTheme="minorHAnsi" w:cstheme="minorHAnsi"/>
                <w:sz w:val="18"/>
                <w:szCs w:val="18"/>
                <w:u w:val="single"/>
              </w:rPr>
              <w:t>HF-SCS</w:t>
            </w:r>
            <w:r w:rsidR="00EC65EF">
              <w:rPr>
                <w:rFonts w:asciiTheme="minorHAnsi" w:hAnsiTheme="minorHAnsi" w:cstheme="minorHAnsi"/>
                <w:sz w:val="18"/>
                <w:szCs w:val="18"/>
                <w:u w:val="single"/>
              </w:rPr>
              <w:t xml:space="preserve"> vs. CMM</w:t>
            </w:r>
            <w:r w:rsidR="00302DB5">
              <w:rPr>
                <w:rFonts w:asciiTheme="minorHAnsi" w:hAnsiTheme="minorHAnsi" w:cstheme="minorHAnsi"/>
                <w:sz w:val="18"/>
                <w:szCs w:val="18"/>
              </w:rPr>
              <w:t>:</w:t>
            </w:r>
            <w:r w:rsidR="00B6180E">
              <w:rPr>
                <w:rFonts w:asciiTheme="minorHAnsi" w:hAnsiTheme="minorHAnsi" w:cstheme="minorHAnsi"/>
                <w:sz w:val="18"/>
                <w:szCs w:val="18"/>
              </w:rPr>
              <w:t xml:space="preserve"> </w:t>
            </w:r>
            <w:r w:rsidR="00515552" w:rsidRPr="00D22AA0">
              <w:rPr>
                <w:rFonts w:asciiTheme="minorHAnsi" w:hAnsiTheme="minorHAnsi" w:cstheme="minorHAnsi"/>
                <w:sz w:val="18"/>
                <w:szCs w:val="18"/>
              </w:rPr>
              <w:t>£3</w:t>
            </w:r>
            <w:r w:rsidR="004504F2" w:rsidRPr="00D22AA0">
              <w:rPr>
                <w:rFonts w:asciiTheme="minorHAnsi" w:hAnsiTheme="minorHAnsi" w:cstheme="minorHAnsi"/>
                <w:sz w:val="18"/>
                <w:szCs w:val="18"/>
              </w:rPr>
              <w:t>,</w:t>
            </w:r>
            <w:r w:rsidR="00515552" w:rsidRPr="00D22AA0">
              <w:rPr>
                <w:rFonts w:asciiTheme="minorHAnsi" w:hAnsiTheme="minorHAnsi" w:cstheme="minorHAnsi"/>
                <w:sz w:val="18"/>
                <w:szCs w:val="18"/>
              </w:rPr>
              <w:t>428</w:t>
            </w:r>
            <w:r w:rsidR="00EF52EB">
              <w:rPr>
                <w:rFonts w:asciiTheme="minorHAnsi" w:hAnsiTheme="minorHAnsi" w:cstheme="minorHAnsi"/>
                <w:sz w:val="18"/>
                <w:szCs w:val="18"/>
              </w:rPr>
              <w:t>/QALY</w:t>
            </w:r>
            <w:r w:rsidRPr="00D22AA0">
              <w:rPr>
                <w:rFonts w:asciiTheme="minorHAnsi" w:hAnsiTheme="minorHAnsi" w:cstheme="minorHAnsi"/>
                <w:sz w:val="18"/>
                <w:szCs w:val="18"/>
              </w:rPr>
              <w:br/>
            </w:r>
            <w:r w:rsidRPr="00370FF4">
              <w:rPr>
                <w:rFonts w:asciiTheme="minorHAnsi" w:hAnsiTheme="minorHAnsi" w:cstheme="minorHAnsi"/>
                <w:sz w:val="18"/>
                <w:szCs w:val="18"/>
                <w:u w:val="single"/>
              </w:rPr>
              <w:t>HF-SCS</w:t>
            </w:r>
            <w:r w:rsidR="00EC65EF">
              <w:rPr>
                <w:rFonts w:asciiTheme="minorHAnsi" w:hAnsiTheme="minorHAnsi" w:cstheme="minorHAnsi"/>
                <w:sz w:val="18"/>
                <w:szCs w:val="18"/>
                <w:u w:val="single"/>
              </w:rPr>
              <w:t xml:space="preserve"> vs. reoperation</w:t>
            </w:r>
            <w:r w:rsidR="00302DB5">
              <w:rPr>
                <w:rFonts w:asciiTheme="minorHAnsi" w:hAnsiTheme="minorHAnsi" w:cstheme="minorHAnsi"/>
                <w:sz w:val="18"/>
                <w:szCs w:val="18"/>
              </w:rPr>
              <w:t>:</w:t>
            </w:r>
            <w:r w:rsidR="00F5622D" w:rsidRPr="00D22AA0" w:rsidDel="00F5622D">
              <w:rPr>
                <w:rFonts w:asciiTheme="minorHAnsi" w:hAnsiTheme="minorHAnsi" w:cstheme="minorHAnsi"/>
                <w:sz w:val="18"/>
                <w:szCs w:val="18"/>
              </w:rPr>
              <w:t xml:space="preserve"> </w:t>
            </w:r>
            <w:r w:rsidRPr="00D22AA0">
              <w:rPr>
                <w:rFonts w:asciiTheme="minorHAnsi" w:hAnsiTheme="minorHAnsi" w:cstheme="minorHAnsi"/>
                <w:sz w:val="18"/>
                <w:szCs w:val="18"/>
              </w:rPr>
              <w:t>£2,898</w:t>
            </w:r>
            <w:r w:rsidR="00EF52EB">
              <w:rPr>
                <w:rFonts w:asciiTheme="minorHAnsi" w:hAnsiTheme="minorHAnsi" w:cstheme="minorHAnsi"/>
                <w:sz w:val="18"/>
                <w:szCs w:val="18"/>
              </w:rPr>
              <w:t>/QALY</w:t>
            </w:r>
          </w:p>
        </w:tc>
        <w:tc>
          <w:tcPr>
            <w:tcW w:w="1416" w:type="dxa"/>
            <w:shd w:val="clear" w:color="auto" w:fill="E2EFD9" w:themeFill="accent6" w:themeFillTint="33"/>
          </w:tcPr>
          <w:p w14:paraId="3AF16629" w14:textId="06CA6344" w:rsidR="0079037C" w:rsidRPr="00D22AA0" w:rsidRDefault="00A1678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w:t>
            </w:r>
            <w:r w:rsidR="0079037C" w:rsidRPr="00D22AA0">
              <w:rPr>
                <w:rFonts w:asciiTheme="minorHAnsi" w:hAnsiTheme="minorHAnsi" w:cstheme="minorHAnsi"/>
                <w:sz w:val="18"/>
                <w:szCs w:val="18"/>
              </w:rPr>
              <w:t xml:space="preserve">ost effective </w:t>
            </w:r>
          </w:p>
        </w:tc>
      </w:tr>
      <w:tr w:rsidR="00D57E49" w14:paraId="1928208E" w14:textId="77777777" w:rsidTr="00BB1D12">
        <w:tc>
          <w:tcPr>
            <w:tcW w:w="1441" w:type="dxa"/>
            <w:shd w:val="clear" w:color="auto" w:fill="auto"/>
          </w:tcPr>
          <w:p w14:paraId="70F3A232" w14:textId="3ADD3938" w:rsidR="00D57E49" w:rsidRPr="00D22AA0" w:rsidRDefault="00D57E49"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Kemler</w:t>
            </w:r>
            <w:proofErr w:type="spellEnd"/>
            <w:r w:rsidRPr="00D22AA0">
              <w:rPr>
                <w:rFonts w:asciiTheme="minorHAnsi" w:hAnsiTheme="minorHAnsi" w:cstheme="minorHAnsi"/>
                <w:sz w:val="18"/>
                <w:szCs w:val="18"/>
              </w:rPr>
              <w:t xml:space="preserve"> 2002</w:t>
            </w:r>
            <w:r w:rsidRPr="00D22AA0">
              <w:rPr>
                <w:rFonts w:asciiTheme="minorHAnsi" w:hAnsiTheme="minorHAnsi" w:cstheme="minorHAnsi"/>
                <w:sz w:val="18"/>
                <w:szCs w:val="18"/>
              </w:rPr>
              <w:br/>
            </w:r>
            <w:r w:rsidR="00E23FAF" w:rsidRPr="00D22AA0">
              <w:rPr>
                <w:rFonts w:asciiTheme="minorHAnsi" w:hAnsiTheme="minorHAnsi" w:cstheme="minorHAnsi"/>
                <w:sz w:val="18"/>
                <w:szCs w:val="18"/>
              </w:rPr>
              <w:t>NL</w:t>
            </w:r>
          </w:p>
        </w:tc>
        <w:tc>
          <w:tcPr>
            <w:tcW w:w="1298" w:type="dxa"/>
            <w:gridSpan w:val="5"/>
            <w:shd w:val="clear" w:color="auto" w:fill="auto"/>
          </w:tcPr>
          <w:p w14:paraId="1E2C090D" w14:textId="4AC7E89E" w:rsidR="00D80666" w:rsidRDefault="00D80666"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Lifetime</w:t>
            </w:r>
            <w:r>
              <w:rPr>
                <w:rFonts w:asciiTheme="minorHAnsi" w:hAnsiTheme="minorHAnsi" w:cstheme="minorHAnsi"/>
                <w:sz w:val="18"/>
                <w:szCs w:val="18"/>
              </w:rPr>
              <w:br/>
            </w:r>
            <w:r w:rsidR="00D63A53">
              <w:rPr>
                <w:rFonts w:asciiTheme="minorHAnsi" w:hAnsiTheme="minorHAnsi" w:cstheme="minorHAnsi"/>
                <w:sz w:val="18"/>
                <w:szCs w:val="18"/>
              </w:rPr>
              <w:t>S</w:t>
            </w:r>
            <w:r>
              <w:rPr>
                <w:rFonts w:asciiTheme="minorHAnsi" w:hAnsiTheme="minorHAnsi" w:cstheme="minorHAnsi"/>
                <w:sz w:val="18"/>
                <w:szCs w:val="18"/>
              </w:rPr>
              <w:t>ocietal</w:t>
            </w:r>
            <w:r w:rsidR="005D15D7">
              <w:rPr>
                <w:rFonts w:asciiTheme="minorHAnsi" w:hAnsiTheme="minorHAnsi" w:cstheme="minorHAnsi"/>
                <w:sz w:val="18"/>
                <w:szCs w:val="18"/>
              </w:rPr>
              <w:br/>
            </w:r>
            <w:r w:rsidR="00D63A53">
              <w:rPr>
                <w:rFonts w:asciiTheme="minorHAnsi" w:hAnsiTheme="minorHAnsi" w:cstheme="minorHAnsi"/>
                <w:sz w:val="18"/>
                <w:szCs w:val="18"/>
              </w:rPr>
              <w:t>C</w:t>
            </w:r>
            <w:r w:rsidR="00F110BC">
              <w:rPr>
                <w:rFonts w:asciiTheme="minorHAnsi" w:hAnsiTheme="minorHAnsi" w:cstheme="minorHAnsi"/>
                <w:sz w:val="18"/>
                <w:szCs w:val="18"/>
              </w:rPr>
              <w:t>hronic RSD</w:t>
            </w:r>
          </w:p>
        </w:tc>
        <w:tc>
          <w:tcPr>
            <w:tcW w:w="2950" w:type="dxa"/>
            <w:gridSpan w:val="2"/>
            <w:shd w:val="clear" w:color="auto" w:fill="auto"/>
          </w:tcPr>
          <w:p w14:paraId="4DA250A6" w14:textId="100B2417" w:rsidR="00D57E49" w:rsidRPr="00D22AA0" w:rsidRDefault="009C0935" w:rsidP="00D22AA0">
            <w:pPr>
              <w:pStyle w:val="051Tabletext228pt"/>
              <w:ind w:left="-57" w:right="-57"/>
              <w:rPr>
                <w:rFonts w:asciiTheme="minorHAnsi" w:hAnsiTheme="minorHAnsi" w:cstheme="minorHAnsi"/>
                <w:sz w:val="18"/>
                <w:szCs w:val="18"/>
              </w:rPr>
            </w:pPr>
            <w:r w:rsidRPr="00434743">
              <w:rPr>
                <w:rFonts w:asciiTheme="minorHAnsi" w:hAnsiTheme="minorHAnsi" w:cstheme="minorHAnsi"/>
                <w:sz w:val="18"/>
                <w:szCs w:val="18"/>
                <w:u w:val="single"/>
              </w:rPr>
              <w:t>SCS + PT vs. PT</w:t>
            </w:r>
            <w:r>
              <w:rPr>
                <w:rFonts w:asciiTheme="minorHAnsi" w:hAnsiTheme="minorHAnsi" w:cstheme="minorHAnsi"/>
                <w:sz w:val="18"/>
                <w:szCs w:val="18"/>
              </w:rPr>
              <w:t xml:space="preserve">: </w:t>
            </w:r>
            <w:r w:rsidR="00D57E49" w:rsidRPr="00D22AA0">
              <w:rPr>
                <w:rFonts w:asciiTheme="minorHAnsi" w:hAnsiTheme="minorHAnsi" w:cstheme="minorHAnsi"/>
                <w:sz w:val="18"/>
                <w:szCs w:val="18"/>
              </w:rPr>
              <w:t>Dominant</w:t>
            </w:r>
          </w:p>
        </w:tc>
        <w:tc>
          <w:tcPr>
            <w:tcW w:w="2533" w:type="dxa"/>
            <w:shd w:val="clear" w:color="auto" w:fill="auto"/>
          </w:tcPr>
          <w:p w14:paraId="66FCCD24" w14:textId="563DBA95" w:rsidR="00D57E49" w:rsidRPr="00D22AA0" w:rsidRDefault="004F75EB" w:rsidP="00D22AA0">
            <w:pPr>
              <w:pStyle w:val="051Tabletext228pt"/>
              <w:ind w:left="-57" w:right="-57"/>
              <w:rPr>
                <w:rFonts w:asciiTheme="minorHAnsi" w:hAnsiTheme="minorHAnsi" w:cstheme="minorHAnsi"/>
                <w:sz w:val="18"/>
                <w:szCs w:val="18"/>
              </w:rPr>
            </w:pPr>
            <w:r w:rsidRPr="00BA644F">
              <w:rPr>
                <w:rFonts w:asciiTheme="minorHAnsi" w:hAnsiTheme="minorHAnsi" w:cstheme="minorHAnsi"/>
                <w:sz w:val="18"/>
                <w:szCs w:val="18"/>
                <w:u w:val="single"/>
              </w:rPr>
              <w:t>SCS + PT vs. PT</w:t>
            </w:r>
            <w:r>
              <w:rPr>
                <w:rFonts w:asciiTheme="minorHAnsi" w:hAnsiTheme="minorHAnsi" w:cstheme="minorHAnsi"/>
                <w:sz w:val="18"/>
                <w:szCs w:val="18"/>
              </w:rPr>
              <w:t xml:space="preserve">: </w:t>
            </w:r>
            <w:r w:rsidR="00D57E49" w:rsidRPr="00D22AA0">
              <w:rPr>
                <w:rFonts w:asciiTheme="minorHAnsi" w:hAnsiTheme="minorHAnsi" w:cstheme="minorHAnsi"/>
                <w:sz w:val="18"/>
                <w:szCs w:val="18"/>
              </w:rPr>
              <w:t>Dominant</w:t>
            </w:r>
          </w:p>
        </w:tc>
        <w:tc>
          <w:tcPr>
            <w:tcW w:w="1416" w:type="dxa"/>
            <w:shd w:val="clear" w:color="auto" w:fill="A8D08D" w:themeFill="accent6" w:themeFillTint="99"/>
          </w:tcPr>
          <w:p w14:paraId="0B56B9F2" w14:textId="726EE290" w:rsidR="00D57E49" w:rsidRPr="00D22AA0" w:rsidRDefault="00A1678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w:t>
            </w:r>
            <w:r w:rsidR="00D57E49" w:rsidRPr="00D22AA0">
              <w:rPr>
                <w:rFonts w:asciiTheme="minorHAnsi" w:hAnsiTheme="minorHAnsi" w:cstheme="minorHAnsi"/>
                <w:sz w:val="18"/>
                <w:szCs w:val="18"/>
              </w:rPr>
              <w:t xml:space="preserve">ost saving </w:t>
            </w:r>
          </w:p>
        </w:tc>
      </w:tr>
      <w:tr w:rsidR="00714512" w14:paraId="08EED142" w14:textId="77777777" w:rsidTr="00BB1D12">
        <w:tc>
          <w:tcPr>
            <w:tcW w:w="1441" w:type="dxa"/>
            <w:shd w:val="clear" w:color="auto" w:fill="auto"/>
          </w:tcPr>
          <w:p w14:paraId="0A77A8D7" w14:textId="3ABCDBE2" w:rsidR="00714512" w:rsidRPr="00D22AA0" w:rsidRDefault="00714512"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Kemler</w:t>
            </w:r>
            <w:proofErr w:type="spellEnd"/>
            <w:r w:rsidRPr="00D22AA0">
              <w:rPr>
                <w:rFonts w:asciiTheme="minorHAnsi" w:hAnsiTheme="minorHAnsi" w:cstheme="minorHAnsi"/>
                <w:sz w:val="18"/>
                <w:szCs w:val="18"/>
              </w:rPr>
              <w:t xml:space="preserve"> 2010</w:t>
            </w:r>
            <w:r w:rsidRPr="00D22AA0">
              <w:rPr>
                <w:rFonts w:asciiTheme="minorHAnsi" w:hAnsiTheme="minorHAnsi" w:cstheme="minorHAnsi"/>
                <w:sz w:val="18"/>
                <w:szCs w:val="18"/>
              </w:rPr>
              <w:br/>
              <w:t>UK</w:t>
            </w:r>
          </w:p>
        </w:tc>
        <w:tc>
          <w:tcPr>
            <w:tcW w:w="1298" w:type="dxa"/>
            <w:gridSpan w:val="5"/>
            <w:shd w:val="clear" w:color="auto" w:fill="auto"/>
          </w:tcPr>
          <w:p w14:paraId="0E5BF150" w14:textId="79B79836" w:rsidR="0073485D" w:rsidRDefault="0073485D"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15 </w:t>
            </w:r>
            <w:proofErr w:type="spellStart"/>
            <w:r>
              <w:rPr>
                <w:rFonts w:asciiTheme="minorHAnsi" w:hAnsiTheme="minorHAnsi" w:cstheme="minorHAnsi"/>
                <w:sz w:val="18"/>
                <w:szCs w:val="18"/>
              </w:rPr>
              <w:t>yrs</w:t>
            </w:r>
            <w:proofErr w:type="spellEnd"/>
            <w:r w:rsidR="004E448F">
              <w:rPr>
                <w:rFonts w:asciiTheme="minorHAnsi" w:hAnsiTheme="minorHAnsi" w:cstheme="minorHAnsi"/>
                <w:sz w:val="18"/>
                <w:szCs w:val="18"/>
              </w:rPr>
              <w:br/>
            </w:r>
            <w:r w:rsidR="00D63A53">
              <w:rPr>
                <w:rFonts w:asciiTheme="minorHAnsi" w:hAnsiTheme="minorHAnsi" w:cstheme="minorHAnsi"/>
                <w:sz w:val="18"/>
                <w:szCs w:val="18"/>
              </w:rPr>
              <w:t>H</w:t>
            </w:r>
            <w:r w:rsidR="004E448F">
              <w:rPr>
                <w:rFonts w:asciiTheme="minorHAnsi" w:hAnsiTheme="minorHAnsi" w:cstheme="minorHAnsi"/>
                <w:sz w:val="18"/>
                <w:szCs w:val="18"/>
              </w:rPr>
              <w:t>ealth care</w:t>
            </w:r>
            <w:r w:rsidR="00E71A56">
              <w:rPr>
                <w:rFonts w:asciiTheme="minorHAnsi" w:hAnsiTheme="minorHAnsi" w:cstheme="minorHAnsi"/>
                <w:sz w:val="18"/>
                <w:szCs w:val="18"/>
              </w:rPr>
              <w:br/>
              <w:t>CR</w:t>
            </w:r>
            <w:r w:rsidR="007648FA">
              <w:rPr>
                <w:rFonts w:asciiTheme="minorHAnsi" w:hAnsiTheme="minorHAnsi" w:cstheme="minorHAnsi"/>
                <w:sz w:val="18"/>
                <w:szCs w:val="18"/>
              </w:rPr>
              <w:t>PS type I</w:t>
            </w:r>
          </w:p>
        </w:tc>
        <w:tc>
          <w:tcPr>
            <w:tcW w:w="2950" w:type="dxa"/>
            <w:gridSpan w:val="2"/>
            <w:shd w:val="clear" w:color="auto" w:fill="auto"/>
          </w:tcPr>
          <w:p w14:paraId="2B94F202" w14:textId="46A4FBEC" w:rsidR="00714512" w:rsidRPr="00D22AA0" w:rsidRDefault="0077445F" w:rsidP="00D22AA0">
            <w:pPr>
              <w:pStyle w:val="051Tabletext228pt"/>
              <w:ind w:left="-57" w:right="-57"/>
              <w:rPr>
                <w:rFonts w:asciiTheme="minorHAnsi" w:hAnsiTheme="minorHAnsi" w:cstheme="minorHAnsi"/>
                <w:sz w:val="18"/>
                <w:szCs w:val="18"/>
              </w:rPr>
            </w:pPr>
            <w:r w:rsidRPr="00BA644F">
              <w:rPr>
                <w:rFonts w:asciiTheme="minorHAnsi" w:hAnsiTheme="minorHAnsi" w:cstheme="minorHAnsi"/>
                <w:sz w:val="18"/>
                <w:szCs w:val="18"/>
                <w:u w:val="single"/>
              </w:rPr>
              <w:t>SCS</w:t>
            </w:r>
            <w:r w:rsidR="00C742D1">
              <w:rPr>
                <w:rFonts w:asciiTheme="minorHAnsi" w:hAnsiTheme="minorHAnsi" w:cstheme="minorHAnsi"/>
                <w:sz w:val="18"/>
                <w:szCs w:val="18"/>
                <w:u w:val="single"/>
              </w:rPr>
              <w:t xml:space="preserve"> + CMM</w:t>
            </w:r>
            <w:r w:rsidRPr="00BA644F">
              <w:rPr>
                <w:rFonts w:asciiTheme="minorHAnsi" w:hAnsiTheme="minorHAnsi" w:cstheme="minorHAnsi"/>
                <w:sz w:val="18"/>
                <w:szCs w:val="18"/>
                <w:u w:val="single"/>
              </w:rPr>
              <w:t xml:space="preserve"> vs. </w:t>
            </w:r>
            <w:r>
              <w:rPr>
                <w:rFonts w:asciiTheme="minorHAnsi" w:hAnsiTheme="minorHAnsi" w:cstheme="minorHAnsi"/>
                <w:sz w:val="18"/>
                <w:szCs w:val="18"/>
                <w:u w:val="single"/>
              </w:rPr>
              <w:t>CMM</w:t>
            </w:r>
            <w:r>
              <w:rPr>
                <w:rFonts w:asciiTheme="minorHAnsi" w:hAnsiTheme="minorHAnsi" w:cstheme="minorHAnsi"/>
                <w:sz w:val="18"/>
                <w:szCs w:val="18"/>
              </w:rPr>
              <w:t xml:space="preserve">: </w:t>
            </w:r>
            <w:r w:rsidR="00714512" w:rsidRPr="00D22AA0">
              <w:rPr>
                <w:rFonts w:asciiTheme="minorHAnsi" w:hAnsiTheme="minorHAnsi" w:cstheme="minorHAnsi"/>
                <w:sz w:val="18"/>
                <w:szCs w:val="18"/>
              </w:rPr>
              <w:t>£3,562</w:t>
            </w:r>
            <w:r w:rsidR="00FA713E">
              <w:rPr>
                <w:rFonts w:asciiTheme="minorHAnsi" w:hAnsiTheme="minorHAnsi" w:cstheme="minorHAnsi"/>
                <w:sz w:val="18"/>
                <w:szCs w:val="18"/>
              </w:rPr>
              <w:t>/QALY</w:t>
            </w:r>
          </w:p>
        </w:tc>
        <w:tc>
          <w:tcPr>
            <w:tcW w:w="2533" w:type="dxa"/>
            <w:shd w:val="clear" w:color="auto" w:fill="auto"/>
          </w:tcPr>
          <w:p w14:paraId="0C150F85" w14:textId="4EF92FEB" w:rsidR="00714512" w:rsidRPr="00D22AA0" w:rsidRDefault="00C742D1" w:rsidP="00D22AA0">
            <w:pPr>
              <w:pStyle w:val="051Tabletext228pt"/>
              <w:ind w:left="-57" w:right="-57"/>
              <w:rPr>
                <w:rFonts w:asciiTheme="minorHAnsi" w:hAnsiTheme="minorHAnsi" w:cstheme="minorHAnsi"/>
                <w:sz w:val="18"/>
                <w:szCs w:val="18"/>
              </w:rPr>
            </w:pPr>
            <w:r w:rsidRPr="00BA644F">
              <w:rPr>
                <w:rFonts w:asciiTheme="minorHAnsi" w:hAnsiTheme="minorHAnsi" w:cstheme="minorHAnsi"/>
                <w:sz w:val="18"/>
                <w:szCs w:val="18"/>
                <w:u w:val="single"/>
              </w:rPr>
              <w:t>SCS</w:t>
            </w:r>
            <w:r>
              <w:rPr>
                <w:rFonts w:asciiTheme="minorHAnsi" w:hAnsiTheme="minorHAnsi" w:cstheme="minorHAnsi"/>
                <w:sz w:val="18"/>
                <w:szCs w:val="18"/>
                <w:u w:val="single"/>
              </w:rPr>
              <w:t xml:space="preserve"> + CMM</w:t>
            </w:r>
            <w:r w:rsidRPr="00BA644F">
              <w:rPr>
                <w:rFonts w:asciiTheme="minorHAnsi" w:hAnsiTheme="minorHAnsi" w:cstheme="minorHAnsi"/>
                <w:sz w:val="18"/>
                <w:szCs w:val="18"/>
                <w:u w:val="single"/>
              </w:rPr>
              <w:t xml:space="preserve"> vs. </w:t>
            </w:r>
            <w:r>
              <w:rPr>
                <w:rFonts w:asciiTheme="minorHAnsi" w:hAnsiTheme="minorHAnsi" w:cstheme="minorHAnsi"/>
                <w:sz w:val="18"/>
                <w:szCs w:val="18"/>
                <w:u w:val="single"/>
              </w:rPr>
              <w:t>CMM</w:t>
            </w:r>
            <w:r>
              <w:rPr>
                <w:rFonts w:asciiTheme="minorHAnsi" w:hAnsiTheme="minorHAnsi" w:cstheme="minorHAnsi"/>
                <w:sz w:val="18"/>
                <w:szCs w:val="18"/>
              </w:rPr>
              <w:t xml:space="preserve">: </w:t>
            </w:r>
            <w:r w:rsidR="00714512" w:rsidRPr="00D22AA0">
              <w:rPr>
                <w:rFonts w:asciiTheme="minorHAnsi" w:hAnsiTheme="minorHAnsi" w:cstheme="minorHAnsi"/>
                <w:sz w:val="18"/>
                <w:szCs w:val="18"/>
              </w:rPr>
              <w:t>£4,285</w:t>
            </w:r>
            <w:r w:rsidR="00FA713E">
              <w:rPr>
                <w:rFonts w:asciiTheme="minorHAnsi" w:hAnsiTheme="minorHAnsi" w:cstheme="minorHAnsi"/>
                <w:sz w:val="18"/>
                <w:szCs w:val="18"/>
              </w:rPr>
              <w:t>/QALY</w:t>
            </w:r>
          </w:p>
        </w:tc>
        <w:tc>
          <w:tcPr>
            <w:tcW w:w="1416" w:type="dxa"/>
            <w:shd w:val="clear" w:color="auto" w:fill="E2EFD9" w:themeFill="accent6" w:themeFillTint="33"/>
          </w:tcPr>
          <w:p w14:paraId="1F011E29" w14:textId="0295B3CC" w:rsidR="00714512" w:rsidRPr="00D22AA0" w:rsidRDefault="00A1678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w:t>
            </w:r>
            <w:r w:rsidR="00714512" w:rsidRPr="00D22AA0">
              <w:rPr>
                <w:rFonts w:asciiTheme="minorHAnsi" w:hAnsiTheme="minorHAnsi" w:cstheme="minorHAnsi"/>
                <w:sz w:val="18"/>
                <w:szCs w:val="18"/>
              </w:rPr>
              <w:t>ost effective</w:t>
            </w:r>
          </w:p>
        </w:tc>
      </w:tr>
      <w:tr w:rsidR="00E60516" w14:paraId="44ADE474" w14:textId="77777777" w:rsidTr="00BB1D12">
        <w:tc>
          <w:tcPr>
            <w:tcW w:w="1441" w:type="dxa"/>
            <w:shd w:val="clear" w:color="auto" w:fill="auto"/>
          </w:tcPr>
          <w:p w14:paraId="6940181C" w14:textId="7CD2F89F"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Kumar 2013</w:t>
            </w:r>
            <w:r w:rsidRPr="00D22AA0">
              <w:rPr>
                <w:rFonts w:asciiTheme="minorHAnsi" w:hAnsiTheme="minorHAnsi" w:cstheme="minorHAnsi"/>
                <w:sz w:val="18"/>
                <w:szCs w:val="18"/>
              </w:rPr>
              <w:br/>
              <w:t>Canada</w:t>
            </w:r>
          </w:p>
        </w:tc>
        <w:tc>
          <w:tcPr>
            <w:tcW w:w="1298" w:type="dxa"/>
            <w:gridSpan w:val="5"/>
            <w:shd w:val="clear" w:color="auto" w:fill="auto"/>
          </w:tcPr>
          <w:p w14:paraId="770ADF64" w14:textId="16C90E0C" w:rsidR="005C45DA" w:rsidRPr="004C6F2F" w:rsidRDefault="005C45DA" w:rsidP="00D22AA0">
            <w:pPr>
              <w:pStyle w:val="051Tabletext228pt"/>
              <w:ind w:left="-57" w:right="-57"/>
              <w:rPr>
                <w:rFonts w:asciiTheme="minorHAnsi" w:hAnsiTheme="minorHAnsi" w:cstheme="minorHAnsi"/>
                <w:sz w:val="18"/>
                <w:szCs w:val="18"/>
              </w:rPr>
            </w:pPr>
            <w:r w:rsidRPr="004C6F2F">
              <w:rPr>
                <w:rFonts w:asciiTheme="minorHAnsi" w:hAnsiTheme="minorHAnsi" w:cstheme="minorHAnsi"/>
                <w:sz w:val="18"/>
                <w:szCs w:val="18"/>
              </w:rPr>
              <w:t xml:space="preserve">20 </w:t>
            </w:r>
            <w:proofErr w:type="spellStart"/>
            <w:r w:rsidRPr="004C6F2F">
              <w:rPr>
                <w:rFonts w:asciiTheme="minorHAnsi" w:hAnsiTheme="minorHAnsi" w:cstheme="minorHAnsi"/>
                <w:sz w:val="18"/>
                <w:szCs w:val="18"/>
              </w:rPr>
              <w:t>yrs</w:t>
            </w:r>
            <w:proofErr w:type="spellEnd"/>
            <w:r w:rsidR="004E448F" w:rsidRPr="004C6F2F">
              <w:rPr>
                <w:rFonts w:asciiTheme="minorHAnsi" w:hAnsiTheme="minorHAnsi" w:cstheme="minorHAnsi"/>
                <w:sz w:val="18"/>
                <w:szCs w:val="18"/>
              </w:rPr>
              <w:br/>
            </w:r>
            <w:r w:rsidR="00D63A53">
              <w:rPr>
                <w:rFonts w:asciiTheme="minorHAnsi" w:hAnsiTheme="minorHAnsi" w:cstheme="minorHAnsi"/>
                <w:sz w:val="18"/>
                <w:szCs w:val="18"/>
              </w:rPr>
              <w:t>H</w:t>
            </w:r>
            <w:r w:rsidR="004E448F" w:rsidRPr="004C6F2F">
              <w:rPr>
                <w:rFonts w:asciiTheme="minorHAnsi" w:hAnsiTheme="minorHAnsi" w:cstheme="minorHAnsi"/>
                <w:sz w:val="18"/>
                <w:szCs w:val="18"/>
              </w:rPr>
              <w:t>ealth care</w:t>
            </w:r>
            <w:r w:rsidR="00172606">
              <w:rPr>
                <w:rFonts w:asciiTheme="minorHAnsi" w:hAnsiTheme="minorHAnsi" w:cstheme="minorHAnsi"/>
                <w:sz w:val="18"/>
                <w:szCs w:val="18"/>
              </w:rPr>
              <w:br/>
              <w:t>FBSS; CRPS</w:t>
            </w:r>
            <w:r w:rsidR="00171D31">
              <w:rPr>
                <w:rFonts w:asciiTheme="minorHAnsi" w:hAnsiTheme="minorHAnsi" w:cstheme="minorHAnsi"/>
                <w:sz w:val="18"/>
                <w:szCs w:val="18"/>
              </w:rPr>
              <w:t>; PAD; RAP</w:t>
            </w:r>
          </w:p>
        </w:tc>
        <w:tc>
          <w:tcPr>
            <w:tcW w:w="2950" w:type="dxa"/>
            <w:gridSpan w:val="2"/>
            <w:shd w:val="clear" w:color="auto" w:fill="auto"/>
          </w:tcPr>
          <w:p w14:paraId="6AEBE58F" w14:textId="77777777" w:rsidR="00171D31" w:rsidRDefault="00171D31" w:rsidP="00D22AA0">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 CMM vs. CMM:</w:t>
            </w:r>
          </w:p>
          <w:p w14:paraId="4498EE5D" w14:textId="3898D2A2"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FBSS:</w:t>
            </w:r>
            <w:r w:rsidRPr="00D22AA0">
              <w:rPr>
                <w:rFonts w:asciiTheme="minorHAnsi" w:hAnsiTheme="minorHAnsi" w:cstheme="minorHAnsi"/>
                <w:sz w:val="18"/>
                <w:szCs w:val="18"/>
              </w:rPr>
              <w:t xml:space="preserve"> $9,293</w:t>
            </w:r>
            <w:r w:rsidR="00262B41">
              <w:rPr>
                <w:rFonts w:asciiTheme="minorHAnsi" w:hAnsiTheme="minorHAnsi" w:cstheme="minorHAnsi"/>
                <w:sz w:val="18"/>
                <w:szCs w:val="18"/>
              </w:rPr>
              <w:t>/QALY</w:t>
            </w:r>
          </w:p>
          <w:p w14:paraId="39FD3057" w14:textId="7D8BB30D"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CRPS:</w:t>
            </w:r>
            <w:r w:rsidRPr="00D22AA0">
              <w:rPr>
                <w:rFonts w:asciiTheme="minorHAnsi" w:hAnsiTheme="minorHAnsi" w:cstheme="minorHAnsi"/>
                <w:sz w:val="18"/>
                <w:szCs w:val="18"/>
              </w:rPr>
              <w:t xml:space="preserve"> $11,216</w:t>
            </w:r>
            <w:r w:rsidR="00262B41">
              <w:rPr>
                <w:rFonts w:asciiTheme="minorHAnsi" w:hAnsiTheme="minorHAnsi" w:cstheme="minorHAnsi"/>
                <w:sz w:val="18"/>
                <w:szCs w:val="18"/>
              </w:rPr>
              <w:t>/QALY</w:t>
            </w:r>
          </w:p>
          <w:p w14:paraId="4134492E" w14:textId="4D383A48"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PAD:</w:t>
            </w:r>
            <w:r w:rsidRPr="00D22AA0">
              <w:rPr>
                <w:rFonts w:asciiTheme="minorHAnsi" w:hAnsiTheme="minorHAnsi" w:cstheme="minorHAnsi"/>
                <w:sz w:val="18"/>
                <w:szCs w:val="18"/>
              </w:rPr>
              <w:t xml:space="preserve"> $9,319</w:t>
            </w:r>
            <w:r w:rsidR="00262B41">
              <w:rPr>
                <w:rFonts w:asciiTheme="minorHAnsi" w:hAnsiTheme="minorHAnsi" w:cstheme="minorHAnsi"/>
                <w:sz w:val="18"/>
                <w:szCs w:val="18"/>
              </w:rPr>
              <w:t>/QALY</w:t>
            </w:r>
          </w:p>
          <w:p w14:paraId="5AE9CEA6" w14:textId="3A4FD817"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RAP:</w:t>
            </w:r>
            <w:r w:rsidRPr="00D22AA0">
              <w:rPr>
                <w:rFonts w:asciiTheme="minorHAnsi" w:hAnsiTheme="minorHAnsi" w:cstheme="minorHAnsi"/>
                <w:sz w:val="18"/>
                <w:szCs w:val="18"/>
              </w:rPr>
              <w:t xml:space="preserve"> $9,984</w:t>
            </w:r>
            <w:r w:rsidR="00262B41">
              <w:rPr>
                <w:rFonts w:asciiTheme="minorHAnsi" w:hAnsiTheme="minorHAnsi" w:cstheme="minorHAnsi"/>
                <w:sz w:val="18"/>
                <w:szCs w:val="18"/>
              </w:rPr>
              <w:t>/QALY</w:t>
            </w:r>
          </w:p>
        </w:tc>
        <w:tc>
          <w:tcPr>
            <w:tcW w:w="2533" w:type="dxa"/>
            <w:shd w:val="clear" w:color="auto" w:fill="auto"/>
          </w:tcPr>
          <w:p w14:paraId="44F523AD" w14:textId="77777777" w:rsidR="00594B5E" w:rsidRDefault="00594B5E" w:rsidP="00594B5E">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 CMM vs. CMM:</w:t>
            </w:r>
          </w:p>
          <w:p w14:paraId="21E4905D" w14:textId="0B72069E"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FBSS:</w:t>
            </w:r>
            <w:r w:rsidRPr="00D22AA0">
              <w:rPr>
                <w:rFonts w:asciiTheme="minorHAnsi" w:hAnsiTheme="minorHAnsi" w:cstheme="minorHAnsi"/>
                <w:sz w:val="18"/>
                <w:szCs w:val="18"/>
              </w:rPr>
              <w:t xml:space="preserve"> £5,906</w:t>
            </w:r>
            <w:r w:rsidR="00594B5E">
              <w:rPr>
                <w:rFonts w:asciiTheme="minorHAnsi" w:hAnsiTheme="minorHAnsi" w:cstheme="minorHAnsi"/>
                <w:sz w:val="18"/>
                <w:szCs w:val="18"/>
              </w:rPr>
              <w:t>/QALY</w:t>
            </w:r>
          </w:p>
          <w:p w14:paraId="5883010C" w14:textId="159157EA"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CRPS:</w:t>
            </w:r>
            <w:r w:rsidRPr="00D22AA0">
              <w:rPr>
                <w:rFonts w:asciiTheme="minorHAnsi" w:hAnsiTheme="minorHAnsi" w:cstheme="minorHAnsi"/>
                <w:sz w:val="18"/>
                <w:szCs w:val="18"/>
              </w:rPr>
              <w:t xml:space="preserve"> £7,128</w:t>
            </w:r>
            <w:r w:rsidR="00594B5E">
              <w:rPr>
                <w:rFonts w:asciiTheme="minorHAnsi" w:hAnsiTheme="minorHAnsi" w:cstheme="minorHAnsi"/>
                <w:sz w:val="18"/>
                <w:szCs w:val="18"/>
              </w:rPr>
              <w:t>/QALY</w:t>
            </w:r>
          </w:p>
          <w:p w14:paraId="34CC0B37" w14:textId="2B2A46FD"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PAD:</w:t>
            </w:r>
            <w:r w:rsidRPr="00D22AA0">
              <w:rPr>
                <w:rFonts w:asciiTheme="minorHAnsi" w:hAnsiTheme="minorHAnsi" w:cstheme="minorHAnsi"/>
                <w:sz w:val="18"/>
                <w:szCs w:val="18"/>
              </w:rPr>
              <w:t xml:space="preserve"> £5,922</w:t>
            </w:r>
            <w:r w:rsidR="00594B5E">
              <w:rPr>
                <w:rFonts w:asciiTheme="minorHAnsi" w:hAnsiTheme="minorHAnsi" w:cstheme="minorHAnsi"/>
                <w:sz w:val="18"/>
                <w:szCs w:val="18"/>
              </w:rPr>
              <w:t>/QALY</w:t>
            </w:r>
          </w:p>
          <w:p w14:paraId="56A9A665" w14:textId="785F635F" w:rsidR="00E60516" w:rsidRPr="00D22AA0" w:rsidRDefault="00E60516"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RAP:</w:t>
            </w:r>
            <w:r w:rsidRPr="00D22AA0">
              <w:rPr>
                <w:rFonts w:asciiTheme="minorHAnsi" w:hAnsiTheme="minorHAnsi" w:cstheme="minorHAnsi"/>
                <w:sz w:val="18"/>
                <w:szCs w:val="18"/>
              </w:rPr>
              <w:t xml:space="preserve"> £6,345</w:t>
            </w:r>
            <w:r w:rsidR="00594B5E">
              <w:rPr>
                <w:rFonts w:asciiTheme="minorHAnsi" w:hAnsiTheme="minorHAnsi" w:cstheme="minorHAnsi"/>
                <w:sz w:val="18"/>
                <w:szCs w:val="18"/>
              </w:rPr>
              <w:t>/QALY</w:t>
            </w:r>
          </w:p>
        </w:tc>
        <w:tc>
          <w:tcPr>
            <w:tcW w:w="1416" w:type="dxa"/>
            <w:shd w:val="clear" w:color="auto" w:fill="E2EFD9" w:themeFill="accent6" w:themeFillTint="33"/>
          </w:tcPr>
          <w:p w14:paraId="456166B4" w14:textId="2A328313" w:rsidR="00E60516" w:rsidRPr="00D22AA0" w:rsidRDefault="00A1678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w:t>
            </w:r>
            <w:r w:rsidR="00E60516" w:rsidRPr="00D22AA0">
              <w:rPr>
                <w:rFonts w:asciiTheme="minorHAnsi" w:hAnsiTheme="minorHAnsi" w:cstheme="minorHAnsi"/>
                <w:sz w:val="18"/>
                <w:szCs w:val="18"/>
              </w:rPr>
              <w:t>ost effective</w:t>
            </w:r>
          </w:p>
        </w:tc>
      </w:tr>
      <w:tr w:rsidR="00CB2D37" w14:paraId="23587F46" w14:textId="77777777" w:rsidTr="00BB1D12">
        <w:tc>
          <w:tcPr>
            <w:tcW w:w="1441" w:type="dxa"/>
            <w:shd w:val="clear" w:color="auto" w:fill="auto"/>
          </w:tcPr>
          <w:p w14:paraId="553CA87D" w14:textId="147D6D59" w:rsidR="00CB2D37" w:rsidRPr="00D22AA0" w:rsidRDefault="00CB2D37"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 xml:space="preserve">Simpson </w:t>
            </w:r>
            <w:r w:rsidR="003536E6" w:rsidRPr="00D22AA0">
              <w:rPr>
                <w:rFonts w:asciiTheme="minorHAnsi" w:hAnsiTheme="minorHAnsi" w:cstheme="minorHAnsi"/>
                <w:sz w:val="18"/>
                <w:szCs w:val="18"/>
              </w:rPr>
              <w:t>2009</w:t>
            </w:r>
            <w:r w:rsidR="000C3669" w:rsidRPr="000C3669">
              <w:rPr>
                <w:rFonts w:asciiTheme="minorHAnsi" w:hAnsiTheme="minorHAnsi" w:cstheme="minorHAnsi"/>
                <w:sz w:val="18"/>
                <w:szCs w:val="18"/>
                <w:vertAlign w:val="superscript"/>
              </w:rPr>
              <w:t>a</w:t>
            </w:r>
            <w:r w:rsidRPr="00D22AA0">
              <w:rPr>
                <w:rFonts w:asciiTheme="minorHAnsi" w:hAnsiTheme="minorHAnsi" w:cstheme="minorHAnsi"/>
                <w:sz w:val="18"/>
                <w:szCs w:val="18"/>
              </w:rPr>
              <w:br/>
              <w:t>UK</w:t>
            </w:r>
          </w:p>
        </w:tc>
        <w:tc>
          <w:tcPr>
            <w:tcW w:w="1298" w:type="dxa"/>
            <w:gridSpan w:val="5"/>
            <w:shd w:val="clear" w:color="auto" w:fill="auto"/>
          </w:tcPr>
          <w:p w14:paraId="266DB475" w14:textId="061C7D56" w:rsidR="005C45DA" w:rsidRPr="004C6F2F" w:rsidRDefault="005C45DA" w:rsidP="00D22AA0">
            <w:pPr>
              <w:pStyle w:val="051Tabletext228pt"/>
              <w:ind w:left="-57" w:right="-57"/>
              <w:rPr>
                <w:rFonts w:asciiTheme="minorHAnsi" w:hAnsiTheme="minorHAnsi" w:cstheme="minorHAnsi"/>
                <w:sz w:val="18"/>
                <w:szCs w:val="18"/>
              </w:rPr>
            </w:pPr>
            <w:r w:rsidRPr="004C6F2F">
              <w:rPr>
                <w:rFonts w:asciiTheme="minorHAnsi" w:hAnsiTheme="minorHAnsi" w:cstheme="minorHAnsi"/>
                <w:sz w:val="18"/>
                <w:szCs w:val="18"/>
              </w:rPr>
              <w:t xml:space="preserve">15 </w:t>
            </w:r>
            <w:proofErr w:type="spellStart"/>
            <w:r w:rsidRPr="004C6F2F">
              <w:rPr>
                <w:rFonts w:asciiTheme="minorHAnsi" w:hAnsiTheme="minorHAnsi" w:cstheme="minorHAnsi"/>
                <w:sz w:val="18"/>
                <w:szCs w:val="18"/>
              </w:rPr>
              <w:t>yrs</w:t>
            </w:r>
            <w:proofErr w:type="spellEnd"/>
            <w:r w:rsidR="004E448F" w:rsidRPr="004C6F2F">
              <w:rPr>
                <w:rFonts w:asciiTheme="minorHAnsi" w:hAnsiTheme="minorHAnsi" w:cstheme="minorHAnsi"/>
                <w:sz w:val="18"/>
                <w:szCs w:val="18"/>
              </w:rPr>
              <w:br/>
            </w:r>
            <w:r w:rsidR="00D63A53">
              <w:rPr>
                <w:rFonts w:asciiTheme="minorHAnsi" w:hAnsiTheme="minorHAnsi" w:cstheme="minorHAnsi"/>
                <w:sz w:val="18"/>
                <w:szCs w:val="18"/>
              </w:rPr>
              <w:t>H</w:t>
            </w:r>
            <w:r w:rsidR="004F08BA" w:rsidRPr="004C6F2F">
              <w:rPr>
                <w:rFonts w:asciiTheme="minorHAnsi" w:hAnsiTheme="minorHAnsi" w:cstheme="minorHAnsi"/>
                <w:sz w:val="18"/>
                <w:szCs w:val="18"/>
              </w:rPr>
              <w:t>ealth care</w:t>
            </w:r>
            <w:r w:rsidR="00EB0995">
              <w:rPr>
                <w:rFonts w:asciiTheme="minorHAnsi" w:hAnsiTheme="minorHAnsi" w:cstheme="minorHAnsi"/>
                <w:sz w:val="18"/>
                <w:szCs w:val="18"/>
              </w:rPr>
              <w:br/>
              <w:t>FBSS; CRPS</w:t>
            </w:r>
          </w:p>
        </w:tc>
        <w:tc>
          <w:tcPr>
            <w:tcW w:w="2950" w:type="dxa"/>
            <w:gridSpan w:val="2"/>
            <w:shd w:val="clear" w:color="auto" w:fill="auto"/>
          </w:tcPr>
          <w:p w14:paraId="2E992200" w14:textId="22B4E1A1" w:rsidR="00CB2D37" w:rsidRPr="00D22AA0" w:rsidRDefault="00CB2D37"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FBSS</w:t>
            </w:r>
            <w:r w:rsidRPr="00D22AA0">
              <w:rPr>
                <w:rFonts w:asciiTheme="minorHAnsi" w:hAnsiTheme="minorHAnsi" w:cstheme="minorHAnsi"/>
                <w:sz w:val="18"/>
                <w:szCs w:val="18"/>
              </w:rPr>
              <w:br/>
              <w:t>SCS + CMM vs</w:t>
            </w:r>
            <w:r w:rsidR="00AD5540">
              <w:rPr>
                <w:rFonts w:asciiTheme="minorHAnsi" w:hAnsiTheme="minorHAnsi" w:cstheme="minorHAnsi"/>
                <w:sz w:val="18"/>
                <w:szCs w:val="18"/>
              </w:rPr>
              <w:t>.</w:t>
            </w:r>
            <w:r w:rsidRPr="00D22AA0">
              <w:rPr>
                <w:rFonts w:asciiTheme="minorHAnsi" w:hAnsiTheme="minorHAnsi" w:cstheme="minorHAnsi"/>
                <w:sz w:val="18"/>
                <w:szCs w:val="18"/>
              </w:rPr>
              <w:t xml:space="preserve"> CMM: £7,996</w:t>
            </w:r>
            <w:r w:rsidR="006D6427">
              <w:rPr>
                <w:rFonts w:asciiTheme="minorHAnsi" w:hAnsiTheme="minorHAnsi" w:cstheme="minorHAnsi"/>
                <w:sz w:val="18"/>
                <w:szCs w:val="18"/>
              </w:rPr>
              <w:t>/QALY</w:t>
            </w:r>
            <w:r w:rsidRPr="00D22AA0">
              <w:rPr>
                <w:rFonts w:asciiTheme="minorHAnsi" w:hAnsiTheme="minorHAnsi" w:cstheme="minorHAnsi"/>
                <w:sz w:val="18"/>
                <w:szCs w:val="18"/>
              </w:rPr>
              <w:br/>
              <w:t>SCS + CMM vs</w:t>
            </w:r>
            <w:r w:rsidR="00331F9C">
              <w:rPr>
                <w:rFonts w:asciiTheme="minorHAnsi" w:hAnsiTheme="minorHAnsi" w:cstheme="minorHAnsi"/>
                <w:sz w:val="18"/>
                <w:szCs w:val="18"/>
              </w:rPr>
              <w:t>.</w:t>
            </w:r>
            <w:r w:rsidRPr="00D22AA0">
              <w:rPr>
                <w:rFonts w:asciiTheme="minorHAnsi" w:hAnsiTheme="minorHAnsi" w:cstheme="minorHAnsi"/>
                <w:sz w:val="18"/>
                <w:szCs w:val="18"/>
              </w:rPr>
              <w:t xml:space="preserve"> reoperation: £7,043</w:t>
            </w:r>
            <w:r w:rsidR="006D6427">
              <w:rPr>
                <w:rFonts w:asciiTheme="minorHAnsi" w:hAnsiTheme="minorHAnsi" w:cstheme="minorHAnsi"/>
                <w:sz w:val="18"/>
                <w:szCs w:val="18"/>
              </w:rPr>
              <w:t>/QALY</w:t>
            </w:r>
          </w:p>
          <w:p w14:paraId="13189DC7" w14:textId="23DA9502" w:rsidR="00CB2D37" w:rsidRPr="00D22AA0" w:rsidRDefault="00CB2D37" w:rsidP="00D22AA0">
            <w:pPr>
              <w:pStyle w:val="051Tabletext228pt"/>
              <w:ind w:left="-57" w:right="-57"/>
              <w:rPr>
                <w:rFonts w:asciiTheme="minorHAnsi" w:hAnsiTheme="minorHAnsi" w:cstheme="minorHAnsi"/>
                <w:sz w:val="18"/>
                <w:szCs w:val="18"/>
                <w:u w:val="single"/>
              </w:rPr>
            </w:pPr>
            <w:r w:rsidRPr="00D22AA0">
              <w:rPr>
                <w:rFonts w:asciiTheme="minorHAnsi" w:hAnsiTheme="minorHAnsi" w:cstheme="minorHAnsi"/>
                <w:sz w:val="18"/>
                <w:szCs w:val="18"/>
                <w:u w:val="single"/>
              </w:rPr>
              <w:lastRenderedPageBreak/>
              <w:t>CRPS</w:t>
            </w:r>
            <w:r w:rsidRPr="00D22AA0">
              <w:rPr>
                <w:rFonts w:asciiTheme="minorHAnsi" w:hAnsiTheme="minorHAnsi" w:cstheme="minorHAnsi"/>
                <w:sz w:val="18"/>
                <w:szCs w:val="18"/>
              </w:rPr>
              <w:br/>
              <w:t>SCS + CMM vs</w:t>
            </w:r>
            <w:r w:rsidR="00AD5540">
              <w:rPr>
                <w:rFonts w:asciiTheme="minorHAnsi" w:hAnsiTheme="minorHAnsi" w:cstheme="minorHAnsi"/>
                <w:sz w:val="18"/>
                <w:szCs w:val="18"/>
              </w:rPr>
              <w:t>.</w:t>
            </w:r>
            <w:r w:rsidRPr="00D22AA0">
              <w:rPr>
                <w:rFonts w:asciiTheme="minorHAnsi" w:hAnsiTheme="minorHAnsi" w:cstheme="minorHAnsi"/>
                <w:sz w:val="18"/>
                <w:szCs w:val="18"/>
              </w:rPr>
              <w:t xml:space="preserve"> CMM: £25,095</w:t>
            </w:r>
            <w:r w:rsidR="006D6427">
              <w:rPr>
                <w:rFonts w:asciiTheme="minorHAnsi" w:hAnsiTheme="minorHAnsi" w:cstheme="minorHAnsi"/>
                <w:sz w:val="18"/>
                <w:szCs w:val="18"/>
              </w:rPr>
              <w:t>/QALY</w:t>
            </w:r>
          </w:p>
        </w:tc>
        <w:tc>
          <w:tcPr>
            <w:tcW w:w="2533" w:type="dxa"/>
            <w:shd w:val="clear" w:color="auto" w:fill="auto"/>
          </w:tcPr>
          <w:p w14:paraId="589A59D4" w14:textId="3F0E0AE0" w:rsidR="00CB2D37" w:rsidRPr="00D22AA0" w:rsidRDefault="00CB2D37"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lastRenderedPageBreak/>
              <w:t>FBSS</w:t>
            </w:r>
            <w:r w:rsidRPr="00D22AA0">
              <w:rPr>
                <w:rFonts w:asciiTheme="minorHAnsi" w:hAnsiTheme="minorHAnsi" w:cstheme="minorHAnsi"/>
                <w:sz w:val="18"/>
                <w:szCs w:val="18"/>
              </w:rPr>
              <w:br/>
              <w:t>SCS + CMM vs</w:t>
            </w:r>
            <w:r w:rsidR="00AD5540">
              <w:rPr>
                <w:rFonts w:asciiTheme="minorHAnsi" w:hAnsiTheme="minorHAnsi" w:cstheme="minorHAnsi"/>
                <w:sz w:val="18"/>
                <w:szCs w:val="18"/>
              </w:rPr>
              <w:t>.</w:t>
            </w:r>
            <w:r w:rsidRPr="00D22AA0">
              <w:rPr>
                <w:rFonts w:asciiTheme="minorHAnsi" w:hAnsiTheme="minorHAnsi" w:cstheme="minorHAnsi"/>
                <w:sz w:val="18"/>
                <w:szCs w:val="18"/>
              </w:rPr>
              <w:t xml:space="preserve"> CMM: £9,892</w:t>
            </w:r>
            <w:r w:rsidR="006D6427">
              <w:rPr>
                <w:rFonts w:asciiTheme="minorHAnsi" w:hAnsiTheme="minorHAnsi" w:cstheme="minorHAnsi"/>
                <w:sz w:val="18"/>
                <w:szCs w:val="18"/>
              </w:rPr>
              <w:t>/QALY</w:t>
            </w:r>
            <w:r w:rsidRPr="00D22AA0">
              <w:rPr>
                <w:rFonts w:asciiTheme="minorHAnsi" w:hAnsiTheme="minorHAnsi" w:cstheme="minorHAnsi"/>
                <w:sz w:val="18"/>
                <w:szCs w:val="18"/>
              </w:rPr>
              <w:br/>
              <w:t>SCS + CMM vs</w:t>
            </w:r>
            <w:r w:rsidR="00AD5540">
              <w:rPr>
                <w:rFonts w:asciiTheme="minorHAnsi" w:hAnsiTheme="minorHAnsi" w:cstheme="minorHAnsi"/>
                <w:sz w:val="18"/>
                <w:szCs w:val="18"/>
              </w:rPr>
              <w:t>.</w:t>
            </w:r>
            <w:r w:rsidRPr="00D22AA0">
              <w:rPr>
                <w:rFonts w:asciiTheme="minorHAnsi" w:hAnsiTheme="minorHAnsi" w:cstheme="minorHAnsi"/>
                <w:sz w:val="18"/>
                <w:szCs w:val="18"/>
              </w:rPr>
              <w:t xml:space="preserve"> reoperation: £8,713</w:t>
            </w:r>
            <w:r w:rsidR="006D6427">
              <w:rPr>
                <w:rFonts w:asciiTheme="minorHAnsi" w:hAnsiTheme="minorHAnsi" w:cstheme="minorHAnsi"/>
                <w:sz w:val="18"/>
                <w:szCs w:val="18"/>
              </w:rPr>
              <w:t>/QALY</w:t>
            </w:r>
          </w:p>
          <w:p w14:paraId="32699105" w14:textId="57C7C487" w:rsidR="00CB2D37" w:rsidRPr="00D22AA0" w:rsidRDefault="00CB2D37" w:rsidP="00D22AA0">
            <w:pPr>
              <w:pStyle w:val="051Tabletext228pt"/>
              <w:ind w:left="-57" w:right="-57"/>
              <w:rPr>
                <w:rFonts w:asciiTheme="minorHAnsi" w:hAnsiTheme="minorHAnsi" w:cstheme="minorHAnsi"/>
                <w:sz w:val="18"/>
                <w:szCs w:val="18"/>
                <w:u w:val="single"/>
              </w:rPr>
            </w:pPr>
            <w:r w:rsidRPr="00D22AA0">
              <w:rPr>
                <w:rFonts w:asciiTheme="minorHAnsi" w:hAnsiTheme="minorHAnsi" w:cstheme="minorHAnsi"/>
                <w:sz w:val="18"/>
                <w:szCs w:val="18"/>
                <w:u w:val="single"/>
              </w:rPr>
              <w:lastRenderedPageBreak/>
              <w:t>CRPS</w:t>
            </w:r>
            <w:r w:rsidRPr="00D22AA0">
              <w:rPr>
                <w:rFonts w:asciiTheme="minorHAnsi" w:hAnsiTheme="minorHAnsi" w:cstheme="minorHAnsi"/>
                <w:sz w:val="18"/>
                <w:szCs w:val="18"/>
              </w:rPr>
              <w:br/>
              <w:t>SCS + CMM vs</w:t>
            </w:r>
            <w:r w:rsidR="00331F9C">
              <w:rPr>
                <w:rFonts w:asciiTheme="minorHAnsi" w:hAnsiTheme="minorHAnsi" w:cstheme="minorHAnsi"/>
                <w:sz w:val="18"/>
                <w:szCs w:val="18"/>
              </w:rPr>
              <w:t>.</w:t>
            </w:r>
            <w:r w:rsidRPr="00D22AA0">
              <w:rPr>
                <w:rFonts w:asciiTheme="minorHAnsi" w:hAnsiTheme="minorHAnsi" w:cstheme="minorHAnsi"/>
                <w:sz w:val="18"/>
                <w:szCs w:val="18"/>
              </w:rPr>
              <w:t xml:space="preserve"> CMM: £31,046</w:t>
            </w:r>
            <w:r w:rsidR="006D6427">
              <w:rPr>
                <w:rFonts w:asciiTheme="minorHAnsi" w:hAnsiTheme="minorHAnsi" w:cstheme="minorHAnsi"/>
                <w:sz w:val="18"/>
                <w:szCs w:val="18"/>
              </w:rPr>
              <w:t>/QALY</w:t>
            </w:r>
          </w:p>
        </w:tc>
        <w:tc>
          <w:tcPr>
            <w:tcW w:w="1416" w:type="dxa"/>
            <w:shd w:val="clear" w:color="auto" w:fill="E2EFD9" w:themeFill="accent6" w:themeFillTint="33"/>
          </w:tcPr>
          <w:p w14:paraId="16ED295C" w14:textId="6ABDCBFD" w:rsidR="00CB2D37" w:rsidRPr="00D22AA0" w:rsidRDefault="00A1678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lastRenderedPageBreak/>
              <w:t>SCS c</w:t>
            </w:r>
            <w:r w:rsidR="00CB2D37" w:rsidRPr="00D22AA0">
              <w:rPr>
                <w:rFonts w:asciiTheme="minorHAnsi" w:hAnsiTheme="minorHAnsi" w:cstheme="minorHAnsi"/>
                <w:sz w:val="18"/>
                <w:szCs w:val="18"/>
              </w:rPr>
              <w:t xml:space="preserve">ost effective </w:t>
            </w:r>
          </w:p>
        </w:tc>
      </w:tr>
      <w:tr w:rsidR="007035CD" w14:paraId="5782D3D7" w14:textId="77777777" w:rsidTr="00BB1D12">
        <w:tc>
          <w:tcPr>
            <w:tcW w:w="1441" w:type="dxa"/>
            <w:shd w:val="clear" w:color="auto" w:fill="auto"/>
          </w:tcPr>
          <w:p w14:paraId="1B2D3EEE" w14:textId="57BFE2CB" w:rsidR="007035CD" w:rsidRPr="00D22AA0" w:rsidRDefault="007035CD"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Taylor 2005</w:t>
            </w:r>
            <w:r w:rsidRPr="00D22AA0">
              <w:rPr>
                <w:rFonts w:asciiTheme="minorHAnsi" w:hAnsiTheme="minorHAnsi" w:cstheme="minorHAnsi"/>
                <w:sz w:val="18"/>
                <w:szCs w:val="18"/>
              </w:rPr>
              <w:br/>
              <w:t>UK</w:t>
            </w:r>
          </w:p>
        </w:tc>
        <w:tc>
          <w:tcPr>
            <w:tcW w:w="1298" w:type="dxa"/>
            <w:gridSpan w:val="5"/>
            <w:shd w:val="clear" w:color="auto" w:fill="auto"/>
          </w:tcPr>
          <w:p w14:paraId="2D2E99D4" w14:textId="6DBC014B" w:rsidR="004F08BA" w:rsidRDefault="004F08B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L</w:t>
            </w:r>
            <w:r w:rsidR="00906803">
              <w:rPr>
                <w:rFonts w:asciiTheme="minorHAnsi" w:hAnsiTheme="minorHAnsi" w:cstheme="minorHAnsi"/>
                <w:sz w:val="18"/>
                <w:szCs w:val="18"/>
              </w:rPr>
              <w:t>ifetime</w:t>
            </w:r>
            <w:r>
              <w:rPr>
                <w:rFonts w:asciiTheme="minorHAnsi" w:hAnsiTheme="minorHAnsi" w:cstheme="minorHAnsi"/>
                <w:sz w:val="18"/>
                <w:szCs w:val="18"/>
              </w:rPr>
              <w:br/>
            </w:r>
            <w:r w:rsidR="00D63A53">
              <w:rPr>
                <w:rFonts w:asciiTheme="minorHAnsi" w:hAnsiTheme="minorHAnsi" w:cstheme="minorHAnsi"/>
                <w:sz w:val="18"/>
                <w:szCs w:val="18"/>
              </w:rPr>
              <w:t>H</w:t>
            </w:r>
            <w:r>
              <w:rPr>
                <w:rFonts w:asciiTheme="minorHAnsi" w:hAnsiTheme="minorHAnsi" w:cstheme="minorHAnsi"/>
                <w:sz w:val="18"/>
                <w:szCs w:val="18"/>
              </w:rPr>
              <w:t>ealth care</w:t>
            </w:r>
            <w:r w:rsidR="00700B78">
              <w:rPr>
                <w:rFonts w:asciiTheme="minorHAnsi" w:hAnsiTheme="minorHAnsi" w:cstheme="minorHAnsi"/>
                <w:sz w:val="18"/>
                <w:szCs w:val="18"/>
              </w:rPr>
              <w:br/>
              <w:t>FBSS</w:t>
            </w:r>
          </w:p>
        </w:tc>
        <w:tc>
          <w:tcPr>
            <w:tcW w:w="2950" w:type="dxa"/>
            <w:gridSpan w:val="2"/>
            <w:shd w:val="clear" w:color="auto" w:fill="auto"/>
          </w:tcPr>
          <w:p w14:paraId="31D4032F" w14:textId="11DBA30A" w:rsidR="007035CD" w:rsidRPr="00D22AA0" w:rsidRDefault="00E71FAA" w:rsidP="00D22AA0">
            <w:pPr>
              <w:pStyle w:val="051Tabletext228pt"/>
              <w:ind w:left="-57" w:right="-57"/>
              <w:rPr>
                <w:rFonts w:asciiTheme="minorHAnsi" w:hAnsiTheme="minorHAnsi" w:cstheme="minorHAnsi"/>
                <w:sz w:val="18"/>
                <w:szCs w:val="18"/>
              </w:rPr>
            </w:pPr>
            <w:r w:rsidRPr="00BA644F">
              <w:rPr>
                <w:rFonts w:asciiTheme="minorHAnsi" w:hAnsiTheme="minorHAnsi" w:cstheme="minorHAnsi"/>
                <w:sz w:val="18"/>
                <w:szCs w:val="18"/>
                <w:u w:val="single"/>
              </w:rPr>
              <w:t>SCS</w:t>
            </w:r>
            <w:r>
              <w:rPr>
                <w:rFonts w:asciiTheme="minorHAnsi" w:hAnsiTheme="minorHAnsi" w:cstheme="minorHAnsi"/>
                <w:sz w:val="18"/>
                <w:szCs w:val="18"/>
                <w:u w:val="single"/>
              </w:rPr>
              <w:t xml:space="preserve"> </w:t>
            </w:r>
            <w:r w:rsidRPr="00BA644F">
              <w:rPr>
                <w:rFonts w:asciiTheme="minorHAnsi" w:hAnsiTheme="minorHAnsi" w:cstheme="minorHAnsi"/>
                <w:sz w:val="18"/>
                <w:szCs w:val="18"/>
                <w:u w:val="single"/>
              </w:rPr>
              <w:t xml:space="preserve">vs. </w:t>
            </w:r>
            <w:r>
              <w:rPr>
                <w:rFonts w:asciiTheme="minorHAnsi" w:hAnsiTheme="minorHAnsi" w:cstheme="minorHAnsi"/>
                <w:sz w:val="18"/>
                <w:szCs w:val="18"/>
                <w:u w:val="single"/>
              </w:rPr>
              <w:t>CMM</w:t>
            </w:r>
            <w:r>
              <w:rPr>
                <w:rFonts w:asciiTheme="minorHAnsi" w:hAnsiTheme="minorHAnsi" w:cstheme="minorHAnsi"/>
                <w:sz w:val="18"/>
                <w:szCs w:val="18"/>
              </w:rPr>
              <w:t xml:space="preserve">: </w:t>
            </w:r>
            <w:r w:rsidR="007035CD" w:rsidRPr="00D22AA0">
              <w:rPr>
                <w:rFonts w:asciiTheme="minorHAnsi" w:hAnsiTheme="minorHAnsi" w:cstheme="minorHAnsi"/>
                <w:sz w:val="18"/>
                <w:szCs w:val="18"/>
              </w:rPr>
              <w:t>Dominant</w:t>
            </w:r>
          </w:p>
        </w:tc>
        <w:tc>
          <w:tcPr>
            <w:tcW w:w="2533" w:type="dxa"/>
            <w:shd w:val="clear" w:color="auto" w:fill="auto"/>
          </w:tcPr>
          <w:p w14:paraId="2D8AE9EF" w14:textId="15C63498" w:rsidR="007035CD" w:rsidRPr="00D22AA0" w:rsidRDefault="00E71FAA" w:rsidP="00D22AA0">
            <w:pPr>
              <w:pStyle w:val="051Tabletext228pt"/>
              <w:ind w:left="-57" w:right="-57"/>
              <w:rPr>
                <w:rFonts w:asciiTheme="minorHAnsi" w:hAnsiTheme="minorHAnsi" w:cstheme="minorHAnsi"/>
                <w:sz w:val="18"/>
                <w:szCs w:val="18"/>
              </w:rPr>
            </w:pPr>
            <w:r w:rsidRPr="00BA644F">
              <w:rPr>
                <w:rFonts w:asciiTheme="minorHAnsi" w:hAnsiTheme="minorHAnsi" w:cstheme="minorHAnsi"/>
                <w:sz w:val="18"/>
                <w:szCs w:val="18"/>
                <w:u w:val="single"/>
              </w:rPr>
              <w:t>SCS</w:t>
            </w:r>
            <w:r>
              <w:rPr>
                <w:rFonts w:asciiTheme="minorHAnsi" w:hAnsiTheme="minorHAnsi" w:cstheme="minorHAnsi"/>
                <w:sz w:val="18"/>
                <w:szCs w:val="18"/>
                <w:u w:val="single"/>
              </w:rPr>
              <w:t xml:space="preserve"> </w:t>
            </w:r>
            <w:r w:rsidRPr="00BA644F">
              <w:rPr>
                <w:rFonts w:asciiTheme="minorHAnsi" w:hAnsiTheme="minorHAnsi" w:cstheme="minorHAnsi"/>
                <w:sz w:val="18"/>
                <w:szCs w:val="18"/>
                <w:u w:val="single"/>
              </w:rPr>
              <w:t xml:space="preserve">vs. </w:t>
            </w:r>
            <w:r>
              <w:rPr>
                <w:rFonts w:asciiTheme="minorHAnsi" w:hAnsiTheme="minorHAnsi" w:cstheme="minorHAnsi"/>
                <w:sz w:val="18"/>
                <w:szCs w:val="18"/>
                <w:u w:val="single"/>
              </w:rPr>
              <w:t>CMM</w:t>
            </w:r>
            <w:r>
              <w:rPr>
                <w:rFonts w:asciiTheme="minorHAnsi" w:hAnsiTheme="minorHAnsi" w:cstheme="minorHAnsi"/>
                <w:sz w:val="18"/>
                <w:szCs w:val="18"/>
              </w:rPr>
              <w:t xml:space="preserve">: </w:t>
            </w:r>
            <w:r w:rsidR="007035CD" w:rsidRPr="00D22AA0">
              <w:rPr>
                <w:rFonts w:asciiTheme="minorHAnsi" w:hAnsiTheme="minorHAnsi" w:cstheme="minorHAnsi"/>
                <w:sz w:val="18"/>
                <w:szCs w:val="18"/>
              </w:rPr>
              <w:t>Dominant</w:t>
            </w:r>
          </w:p>
        </w:tc>
        <w:tc>
          <w:tcPr>
            <w:tcW w:w="1416" w:type="dxa"/>
            <w:shd w:val="clear" w:color="auto" w:fill="A8D08D" w:themeFill="accent6" w:themeFillTint="99"/>
          </w:tcPr>
          <w:p w14:paraId="453D30B8" w14:textId="500F8CED" w:rsidR="007035CD" w:rsidRPr="00D22AA0" w:rsidRDefault="00A1678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w:t>
            </w:r>
            <w:r w:rsidR="003536E6" w:rsidRPr="00D22AA0">
              <w:rPr>
                <w:rFonts w:asciiTheme="minorHAnsi" w:hAnsiTheme="minorHAnsi" w:cstheme="minorHAnsi"/>
                <w:sz w:val="18"/>
                <w:szCs w:val="18"/>
              </w:rPr>
              <w:t>ost</w:t>
            </w:r>
            <w:r w:rsidR="007035CD" w:rsidRPr="00D22AA0">
              <w:rPr>
                <w:rFonts w:asciiTheme="minorHAnsi" w:hAnsiTheme="minorHAnsi" w:cstheme="minorHAnsi"/>
                <w:sz w:val="18"/>
                <w:szCs w:val="18"/>
              </w:rPr>
              <w:t xml:space="preserve"> saving</w:t>
            </w:r>
          </w:p>
        </w:tc>
      </w:tr>
      <w:tr w:rsidR="00C86ED9" w14:paraId="3DE6C02C" w14:textId="77777777" w:rsidTr="00BB1D12">
        <w:tc>
          <w:tcPr>
            <w:tcW w:w="1441" w:type="dxa"/>
            <w:shd w:val="clear" w:color="auto" w:fill="auto"/>
          </w:tcPr>
          <w:p w14:paraId="4E798B9C" w14:textId="0411FE37" w:rsidR="00C86ED9" w:rsidRPr="00D22AA0" w:rsidRDefault="00C86ED9"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Taylor 2010</w:t>
            </w:r>
            <w:r w:rsidRPr="00D22AA0">
              <w:rPr>
                <w:rFonts w:asciiTheme="minorHAnsi" w:hAnsiTheme="minorHAnsi" w:cstheme="minorHAnsi"/>
                <w:sz w:val="18"/>
                <w:szCs w:val="18"/>
              </w:rPr>
              <w:br/>
              <w:t>UK</w:t>
            </w:r>
          </w:p>
        </w:tc>
        <w:tc>
          <w:tcPr>
            <w:tcW w:w="1298" w:type="dxa"/>
            <w:gridSpan w:val="5"/>
            <w:shd w:val="clear" w:color="auto" w:fill="auto"/>
          </w:tcPr>
          <w:p w14:paraId="14E59500" w14:textId="607620B6" w:rsidR="005C45DA" w:rsidRPr="004C6F2F" w:rsidRDefault="005C45DA" w:rsidP="00D22AA0">
            <w:pPr>
              <w:pStyle w:val="051Tabletext228pt"/>
              <w:ind w:left="-57" w:right="-57"/>
              <w:rPr>
                <w:rFonts w:asciiTheme="minorHAnsi" w:hAnsiTheme="minorHAnsi" w:cstheme="minorHAnsi"/>
                <w:sz w:val="18"/>
                <w:szCs w:val="18"/>
              </w:rPr>
            </w:pPr>
            <w:r w:rsidRPr="004C6F2F">
              <w:rPr>
                <w:rFonts w:asciiTheme="minorHAnsi" w:hAnsiTheme="minorHAnsi" w:cstheme="minorHAnsi"/>
                <w:sz w:val="18"/>
                <w:szCs w:val="18"/>
              </w:rPr>
              <w:t xml:space="preserve">15 </w:t>
            </w:r>
            <w:proofErr w:type="spellStart"/>
            <w:r w:rsidRPr="004C6F2F">
              <w:rPr>
                <w:rFonts w:asciiTheme="minorHAnsi" w:hAnsiTheme="minorHAnsi" w:cstheme="minorHAnsi"/>
                <w:sz w:val="18"/>
                <w:szCs w:val="18"/>
              </w:rPr>
              <w:t>yrs</w:t>
            </w:r>
            <w:proofErr w:type="spellEnd"/>
            <w:r w:rsidR="004F08BA" w:rsidRPr="004C6F2F">
              <w:rPr>
                <w:rFonts w:asciiTheme="minorHAnsi" w:hAnsiTheme="minorHAnsi" w:cstheme="minorHAnsi"/>
                <w:sz w:val="18"/>
                <w:szCs w:val="18"/>
              </w:rPr>
              <w:br/>
            </w:r>
            <w:r w:rsidR="00D63A53">
              <w:rPr>
                <w:rFonts w:asciiTheme="minorHAnsi" w:hAnsiTheme="minorHAnsi" w:cstheme="minorHAnsi"/>
                <w:sz w:val="18"/>
                <w:szCs w:val="18"/>
              </w:rPr>
              <w:t>H</w:t>
            </w:r>
            <w:r w:rsidR="004F08BA" w:rsidRPr="004C6F2F">
              <w:rPr>
                <w:rFonts w:asciiTheme="minorHAnsi" w:hAnsiTheme="minorHAnsi" w:cstheme="minorHAnsi"/>
                <w:sz w:val="18"/>
                <w:szCs w:val="18"/>
              </w:rPr>
              <w:t>ealth care</w:t>
            </w:r>
            <w:r w:rsidR="00FF4FC4">
              <w:rPr>
                <w:rFonts w:asciiTheme="minorHAnsi" w:hAnsiTheme="minorHAnsi" w:cstheme="minorHAnsi"/>
                <w:sz w:val="18"/>
                <w:szCs w:val="18"/>
              </w:rPr>
              <w:br/>
              <w:t>FBSS</w:t>
            </w:r>
          </w:p>
        </w:tc>
        <w:tc>
          <w:tcPr>
            <w:tcW w:w="2950" w:type="dxa"/>
            <w:gridSpan w:val="2"/>
            <w:shd w:val="clear" w:color="auto" w:fill="auto"/>
          </w:tcPr>
          <w:p w14:paraId="4152417F" w14:textId="67178623" w:rsidR="00C86ED9" w:rsidRPr="00D22AA0" w:rsidRDefault="00C86ED9" w:rsidP="00D22AA0">
            <w:pPr>
              <w:pStyle w:val="051Tabletext228pt"/>
              <w:ind w:left="-57" w:right="-57"/>
              <w:rPr>
                <w:rFonts w:asciiTheme="minorHAnsi" w:hAnsiTheme="minorHAnsi" w:cstheme="minorHAnsi"/>
                <w:sz w:val="18"/>
                <w:szCs w:val="18"/>
                <w:u w:val="single"/>
              </w:rPr>
            </w:pPr>
            <w:r w:rsidRPr="00D22AA0">
              <w:rPr>
                <w:rFonts w:asciiTheme="minorHAnsi" w:hAnsiTheme="minorHAnsi" w:cstheme="minorHAnsi"/>
                <w:sz w:val="18"/>
                <w:szCs w:val="18"/>
                <w:u w:val="single"/>
              </w:rPr>
              <w:t>SCS vs</w:t>
            </w:r>
            <w:r w:rsidR="00331F9C">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CMM: </w:t>
            </w:r>
            <w:r w:rsidRPr="00D22AA0">
              <w:rPr>
                <w:rFonts w:asciiTheme="minorHAnsi" w:hAnsiTheme="minorHAnsi" w:cstheme="minorHAnsi"/>
                <w:sz w:val="18"/>
                <w:szCs w:val="18"/>
              </w:rPr>
              <w:t>£5,624</w:t>
            </w:r>
            <w:r w:rsidR="00A96880">
              <w:rPr>
                <w:rFonts w:asciiTheme="minorHAnsi" w:hAnsiTheme="minorHAnsi" w:cstheme="minorHAnsi"/>
                <w:sz w:val="18"/>
                <w:szCs w:val="18"/>
              </w:rPr>
              <w:t>/QALY</w:t>
            </w:r>
          </w:p>
          <w:p w14:paraId="27EDCA26" w14:textId="464EEBC5" w:rsidR="00C86ED9" w:rsidRPr="00D22AA0" w:rsidRDefault="00C86ED9" w:rsidP="00D22AA0">
            <w:pPr>
              <w:pStyle w:val="051Tabletext228pt"/>
              <w:ind w:left="-57" w:right="-57"/>
              <w:rPr>
                <w:rFonts w:asciiTheme="minorHAnsi" w:hAnsiTheme="minorHAnsi" w:cstheme="minorHAnsi"/>
                <w:sz w:val="18"/>
                <w:szCs w:val="18"/>
                <w:u w:val="single"/>
              </w:rPr>
            </w:pPr>
            <w:r w:rsidRPr="00D22AA0">
              <w:rPr>
                <w:rFonts w:asciiTheme="minorHAnsi" w:hAnsiTheme="minorHAnsi" w:cstheme="minorHAnsi"/>
                <w:sz w:val="18"/>
                <w:szCs w:val="18"/>
                <w:u w:val="single"/>
              </w:rPr>
              <w:t>SCS vs</w:t>
            </w:r>
            <w:r w:rsidR="00331F9C">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reoperation:</w:t>
            </w:r>
            <w:r w:rsidRPr="00D22AA0">
              <w:rPr>
                <w:rFonts w:asciiTheme="minorHAnsi" w:hAnsiTheme="minorHAnsi" w:cstheme="minorHAnsi"/>
                <w:sz w:val="18"/>
                <w:szCs w:val="18"/>
              </w:rPr>
              <w:t xml:space="preserve"> £6,392</w:t>
            </w:r>
            <w:r w:rsidR="00A96880">
              <w:rPr>
                <w:rFonts w:asciiTheme="minorHAnsi" w:hAnsiTheme="minorHAnsi" w:cstheme="minorHAnsi"/>
                <w:sz w:val="18"/>
                <w:szCs w:val="18"/>
              </w:rPr>
              <w:t>/QALY</w:t>
            </w:r>
          </w:p>
        </w:tc>
        <w:tc>
          <w:tcPr>
            <w:tcW w:w="2533" w:type="dxa"/>
            <w:shd w:val="clear" w:color="auto" w:fill="auto"/>
          </w:tcPr>
          <w:p w14:paraId="3479E616" w14:textId="5CC2B6B7" w:rsidR="00C86ED9" w:rsidRPr="00D22AA0" w:rsidRDefault="00C86ED9" w:rsidP="00D22AA0">
            <w:pPr>
              <w:pStyle w:val="051Tabletext228pt"/>
              <w:ind w:left="-57" w:right="-57"/>
              <w:rPr>
                <w:rFonts w:asciiTheme="minorHAnsi" w:hAnsiTheme="minorHAnsi" w:cstheme="minorHAnsi"/>
                <w:sz w:val="18"/>
                <w:szCs w:val="18"/>
                <w:u w:val="single"/>
              </w:rPr>
            </w:pPr>
            <w:r w:rsidRPr="00D22AA0">
              <w:rPr>
                <w:rFonts w:asciiTheme="minorHAnsi" w:hAnsiTheme="minorHAnsi" w:cstheme="minorHAnsi"/>
                <w:sz w:val="18"/>
                <w:szCs w:val="18"/>
                <w:u w:val="single"/>
              </w:rPr>
              <w:t>SCS vs</w:t>
            </w:r>
            <w:r w:rsidR="00331F9C">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CMM: </w:t>
            </w:r>
            <w:r w:rsidRPr="00D22AA0">
              <w:rPr>
                <w:rFonts w:asciiTheme="minorHAnsi" w:hAnsiTheme="minorHAnsi" w:cstheme="minorHAnsi"/>
                <w:sz w:val="18"/>
                <w:szCs w:val="18"/>
              </w:rPr>
              <w:t>£6,958</w:t>
            </w:r>
            <w:r w:rsidR="00A96880">
              <w:rPr>
                <w:rFonts w:asciiTheme="minorHAnsi" w:hAnsiTheme="minorHAnsi" w:cstheme="minorHAnsi"/>
                <w:sz w:val="18"/>
                <w:szCs w:val="18"/>
              </w:rPr>
              <w:t>/QALY</w:t>
            </w:r>
          </w:p>
          <w:p w14:paraId="6870CB8D" w14:textId="4E2657EA" w:rsidR="00C86ED9" w:rsidRPr="00D22AA0" w:rsidRDefault="00C86ED9" w:rsidP="00D22AA0">
            <w:pPr>
              <w:pStyle w:val="051Tabletext228pt"/>
              <w:ind w:left="-57" w:right="-57"/>
              <w:rPr>
                <w:rFonts w:asciiTheme="minorHAnsi" w:hAnsiTheme="minorHAnsi" w:cstheme="minorHAnsi"/>
                <w:sz w:val="18"/>
                <w:szCs w:val="18"/>
                <w:u w:val="single"/>
              </w:rPr>
            </w:pPr>
            <w:r w:rsidRPr="00D22AA0">
              <w:rPr>
                <w:rFonts w:asciiTheme="minorHAnsi" w:hAnsiTheme="minorHAnsi" w:cstheme="minorHAnsi"/>
                <w:sz w:val="18"/>
                <w:szCs w:val="18"/>
                <w:u w:val="single"/>
              </w:rPr>
              <w:t>SCS vs</w:t>
            </w:r>
            <w:r w:rsidR="00331F9C">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reoperation:</w:t>
            </w:r>
            <w:r w:rsidRPr="00D22AA0">
              <w:rPr>
                <w:rFonts w:asciiTheme="minorHAnsi" w:hAnsiTheme="minorHAnsi" w:cstheme="minorHAnsi"/>
                <w:sz w:val="18"/>
                <w:szCs w:val="18"/>
              </w:rPr>
              <w:t xml:space="preserve"> £7,908</w:t>
            </w:r>
            <w:r w:rsidR="00A96880">
              <w:rPr>
                <w:rFonts w:asciiTheme="minorHAnsi" w:hAnsiTheme="minorHAnsi" w:cstheme="minorHAnsi"/>
                <w:sz w:val="18"/>
                <w:szCs w:val="18"/>
              </w:rPr>
              <w:t>/QALY</w:t>
            </w:r>
          </w:p>
        </w:tc>
        <w:tc>
          <w:tcPr>
            <w:tcW w:w="1416" w:type="dxa"/>
            <w:shd w:val="clear" w:color="auto" w:fill="E2EFD9" w:themeFill="accent6" w:themeFillTint="33"/>
          </w:tcPr>
          <w:p w14:paraId="4A3DBF75" w14:textId="2D3054F7" w:rsidR="00C86ED9" w:rsidRPr="00D22AA0" w:rsidRDefault="00A1678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w:t>
            </w:r>
            <w:r w:rsidRPr="00D22AA0">
              <w:rPr>
                <w:rFonts w:asciiTheme="minorHAnsi" w:hAnsiTheme="minorHAnsi" w:cstheme="minorHAnsi"/>
                <w:sz w:val="18"/>
                <w:szCs w:val="18"/>
              </w:rPr>
              <w:t xml:space="preserve">ost </w:t>
            </w:r>
            <w:r w:rsidR="00C86ED9" w:rsidRPr="00D22AA0">
              <w:rPr>
                <w:rFonts w:asciiTheme="minorHAnsi" w:hAnsiTheme="minorHAnsi" w:cstheme="minorHAnsi"/>
                <w:sz w:val="18"/>
                <w:szCs w:val="18"/>
              </w:rPr>
              <w:t xml:space="preserve">effective </w:t>
            </w:r>
          </w:p>
        </w:tc>
      </w:tr>
      <w:tr w:rsidR="00556BC4" w14:paraId="51682EA8" w14:textId="77777777" w:rsidTr="007714A7">
        <w:tc>
          <w:tcPr>
            <w:tcW w:w="1843" w:type="dxa"/>
            <w:gridSpan w:val="4"/>
            <w:shd w:val="clear" w:color="auto" w:fill="D9D9D9" w:themeFill="background1" w:themeFillShade="D9"/>
          </w:tcPr>
          <w:p w14:paraId="1497405B" w14:textId="4E1AAB26" w:rsidR="00EB2507" w:rsidRPr="00D22AA0" w:rsidRDefault="00EB2507" w:rsidP="00D22AA0">
            <w:pPr>
              <w:pStyle w:val="031Tablesubheading8pt"/>
              <w:ind w:left="-57" w:right="-57"/>
              <w:rPr>
                <w:rFonts w:asciiTheme="minorHAnsi" w:hAnsiTheme="minorHAnsi" w:cstheme="minorHAnsi"/>
                <w:sz w:val="18"/>
                <w:szCs w:val="18"/>
              </w:rPr>
            </w:pPr>
            <w:r>
              <w:rPr>
                <w:rFonts w:asciiTheme="minorHAnsi" w:hAnsiTheme="minorHAnsi" w:cstheme="minorHAnsi"/>
                <w:sz w:val="18"/>
                <w:szCs w:val="18"/>
              </w:rPr>
              <w:t>Medium</w:t>
            </w:r>
            <w:r w:rsidR="0096433C">
              <w:rPr>
                <w:rFonts w:asciiTheme="minorHAnsi" w:hAnsiTheme="minorHAnsi" w:cstheme="minorHAnsi"/>
                <w:sz w:val="18"/>
                <w:szCs w:val="18"/>
              </w:rPr>
              <w:t>-term</w:t>
            </w:r>
            <w:r>
              <w:rPr>
                <w:rFonts w:asciiTheme="minorHAnsi" w:hAnsiTheme="minorHAnsi" w:cstheme="minorHAnsi"/>
                <w:sz w:val="18"/>
                <w:szCs w:val="18"/>
              </w:rPr>
              <w:t xml:space="preserve"> horizon</w:t>
            </w:r>
          </w:p>
        </w:tc>
        <w:tc>
          <w:tcPr>
            <w:tcW w:w="857" w:type="dxa"/>
            <w:shd w:val="clear" w:color="auto" w:fill="D9D9D9" w:themeFill="background1" w:themeFillShade="D9"/>
          </w:tcPr>
          <w:p w14:paraId="098C9078" w14:textId="77777777" w:rsidR="00EB2507" w:rsidRPr="00D22AA0" w:rsidRDefault="00EB2507" w:rsidP="00D22AA0">
            <w:pPr>
              <w:pStyle w:val="031Tablesubheading8pt"/>
              <w:ind w:left="-57" w:right="-57"/>
              <w:rPr>
                <w:rFonts w:asciiTheme="minorHAnsi" w:hAnsiTheme="minorHAnsi" w:cstheme="minorHAnsi"/>
                <w:sz w:val="18"/>
                <w:szCs w:val="18"/>
              </w:rPr>
            </w:pPr>
          </w:p>
        </w:tc>
        <w:tc>
          <w:tcPr>
            <w:tcW w:w="2970" w:type="dxa"/>
            <w:gridSpan w:val="2"/>
            <w:shd w:val="clear" w:color="auto" w:fill="D9D9D9" w:themeFill="background1" w:themeFillShade="D9"/>
          </w:tcPr>
          <w:p w14:paraId="708F01EA" w14:textId="77777777" w:rsidR="00EB2507" w:rsidRPr="00D22AA0" w:rsidRDefault="00EB2507" w:rsidP="00D22AA0">
            <w:pPr>
              <w:pStyle w:val="031Tablesubheading8pt"/>
              <w:ind w:left="-57" w:right="-57"/>
              <w:rPr>
                <w:rFonts w:asciiTheme="minorHAnsi" w:hAnsiTheme="minorHAnsi" w:cstheme="minorHAnsi"/>
                <w:sz w:val="18"/>
                <w:szCs w:val="18"/>
              </w:rPr>
            </w:pPr>
          </w:p>
        </w:tc>
        <w:tc>
          <w:tcPr>
            <w:tcW w:w="2552" w:type="dxa"/>
            <w:gridSpan w:val="2"/>
            <w:shd w:val="clear" w:color="auto" w:fill="D9D9D9" w:themeFill="background1" w:themeFillShade="D9"/>
          </w:tcPr>
          <w:p w14:paraId="3949624C" w14:textId="77777777" w:rsidR="00EB2507" w:rsidRPr="00D22AA0" w:rsidRDefault="00EB2507" w:rsidP="00D22AA0">
            <w:pPr>
              <w:pStyle w:val="031Tablesubheading8pt"/>
              <w:ind w:left="-57" w:right="-57"/>
              <w:rPr>
                <w:rFonts w:asciiTheme="minorHAnsi" w:hAnsiTheme="minorHAnsi" w:cstheme="minorHAnsi"/>
                <w:sz w:val="18"/>
                <w:szCs w:val="18"/>
              </w:rPr>
            </w:pPr>
          </w:p>
        </w:tc>
        <w:tc>
          <w:tcPr>
            <w:tcW w:w="1416" w:type="dxa"/>
            <w:shd w:val="clear" w:color="auto" w:fill="D9D9D9" w:themeFill="background1" w:themeFillShade="D9"/>
          </w:tcPr>
          <w:p w14:paraId="4F4CD3DA" w14:textId="77777777" w:rsidR="00EB2507" w:rsidRPr="00D22AA0" w:rsidRDefault="00EB2507" w:rsidP="00D22AA0">
            <w:pPr>
              <w:pStyle w:val="031Tablesubheading8pt"/>
              <w:ind w:left="-57" w:right="-57"/>
              <w:rPr>
                <w:rFonts w:asciiTheme="minorHAnsi" w:hAnsiTheme="minorHAnsi" w:cstheme="minorHAnsi"/>
                <w:sz w:val="18"/>
                <w:szCs w:val="18"/>
              </w:rPr>
            </w:pPr>
          </w:p>
        </w:tc>
      </w:tr>
      <w:tr w:rsidR="00275B77" w14:paraId="19AB9E81" w14:textId="77777777" w:rsidTr="00BB1D12">
        <w:tc>
          <w:tcPr>
            <w:tcW w:w="1481" w:type="dxa"/>
            <w:gridSpan w:val="2"/>
            <w:shd w:val="clear" w:color="auto" w:fill="auto"/>
          </w:tcPr>
          <w:p w14:paraId="34877CF6" w14:textId="77777777" w:rsidR="00EB2507" w:rsidRPr="00D22AA0" w:rsidRDefault="00EB2507"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Kumar 2002</w:t>
            </w:r>
            <w:r w:rsidRPr="00D22AA0">
              <w:rPr>
                <w:rFonts w:asciiTheme="minorHAnsi" w:hAnsiTheme="minorHAnsi" w:cstheme="minorHAnsi"/>
                <w:sz w:val="18"/>
                <w:szCs w:val="18"/>
              </w:rPr>
              <w:br/>
              <w:t>Canada</w:t>
            </w:r>
          </w:p>
        </w:tc>
        <w:tc>
          <w:tcPr>
            <w:tcW w:w="1219" w:type="dxa"/>
            <w:gridSpan w:val="3"/>
            <w:shd w:val="clear" w:color="auto" w:fill="auto"/>
          </w:tcPr>
          <w:p w14:paraId="4CD1C454" w14:textId="3B718FD1" w:rsidR="00EB2507" w:rsidRPr="00D22AA0" w:rsidRDefault="00EB2507"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5 </w:t>
            </w:r>
            <w:proofErr w:type="spellStart"/>
            <w:r>
              <w:rPr>
                <w:rFonts w:asciiTheme="minorHAnsi" w:hAnsiTheme="minorHAnsi" w:cstheme="minorHAnsi"/>
                <w:sz w:val="18"/>
                <w:szCs w:val="18"/>
              </w:rPr>
              <w:t>yrs</w:t>
            </w:r>
            <w:proofErr w:type="spellEnd"/>
            <w:r w:rsidR="006C34F1">
              <w:rPr>
                <w:rFonts w:asciiTheme="minorHAnsi" w:hAnsiTheme="minorHAnsi" w:cstheme="minorHAnsi"/>
                <w:sz w:val="18"/>
                <w:szCs w:val="18"/>
              </w:rPr>
              <w:br/>
            </w:r>
            <w:r w:rsidR="00D63A53">
              <w:rPr>
                <w:rFonts w:asciiTheme="minorHAnsi" w:hAnsiTheme="minorHAnsi" w:cstheme="minorHAnsi"/>
                <w:sz w:val="18"/>
                <w:szCs w:val="18"/>
              </w:rPr>
              <w:t>H</w:t>
            </w:r>
            <w:r w:rsidR="006C34F1">
              <w:rPr>
                <w:rFonts w:asciiTheme="minorHAnsi" w:hAnsiTheme="minorHAnsi" w:cstheme="minorHAnsi"/>
                <w:sz w:val="18"/>
                <w:szCs w:val="18"/>
              </w:rPr>
              <w:t>ealth care</w:t>
            </w:r>
            <w:r w:rsidR="00990BB2">
              <w:rPr>
                <w:rFonts w:asciiTheme="minorHAnsi" w:hAnsiTheme="minorHAnsi" w:cstheme="minorHAnsi"/>
                <w:sz w:val="18"/>
                <w:szCs w:val="18"/>
              </w:rPr>
              <w:br/>
              <w:t>Chronic pain</w:t>
            </w:r>
          </w:p>
        </w:tc>
        <w:tc>
          <w:tcPr>
            <w:tcW w:w="2970" w:type="dxa"/>
            <w:gridSpan w:val="2"/>
            <w:shd w:val="clear" w:color="auto" w:fill="auto"/>
          </w:tcPr>
          <w:p w14:paraId="2665B7FD" w14:textId="3CBD83D4" w:rsidR="00EB2507" w:rsidRPr="00D22AA0" w:rsidRDefault="003A00D2"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SCS vs</w:t>
            </w:r>
            <w:r>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w:t>
            </w:r>
            <w:r>
              <w:rPr>
                <w:rFonts w:asciiTheme="minorHAnsi" w:hAnsiTheme="minorHAnsi" w:cstheme="minorHAnsi"/>
                <w:sz w:val="18"/>
                <w:szCs w:val="18"/>
                <w:u w:val="single"/>
              </w:rPr>
              <w:t>BMT</w:t>
            </w:r>
            <w:r w:rsidRPr="00D22AA0">
              <w:rPr>
                <w:rFonts w:asciiTheme="minorHAnsi" w:hAnsiTheme="minorHAnsi" w:cstheme="minorHAnsi"/>
                <w:sz w:val="18"/>
                <w:szCs w:val="18"/>
                <w:u w:val="single"/>
              </w:rPr>
              <w:t xml:space="preserve">: </w:t>
            </w:r>
            <w:r w:rsidR="00EB2507" w:rsidRPr="00D22AA0">
              <w:rPr>
                <w:rFonts w:asciiTheme="minorHAnsi" w:hAnsiTheme="minorHAnsi" w:cstheme="minorHAnsi"/>
                <w:sz w:val="18"/>
                <w:szCs w:val="18"/>
              </w:rPr>
              <w:t>Dominant</w:t>
            </w:r>
          </w:p>
        </w:tc>
        <w:tc>
          <w:tcPr>
            <w:tcW w:w="2552" w:type="dxa"/>
            <w:gridSpan w:val="2"/>
            <w:shd w:val="clear" w:color="auto" w:fill="auto"/>
          </w:tcPr>
          <w:p w14:paraId="275026D9" w14:textId="2FCACA54" w:rsidR="00EB2507" w:rsidRPr="00D22AA0" w:rsidRDefault="003A00D2"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SCS vs</w:t>
            </w:r>
            <w:r>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w:t>
            </w:r>
            <w:r>
              <w:rPr>
                <w:rFonts w:asciiTheme="minorHAnsi" w:hAnsiTheme="minorHAnsi" w:cstheme="minorHAnsi"/>
                <w:sz w:val="18"/>
                <w:szCs w:val="18"/>
                <w:u w:val="single"/>
              </w:rPr>
              <w:t>BMT</w:t>
            </w:r>
            <w:r w:rsidRPr="00D22AA0">
              <w:rPr>
                <w:rFonts w:asciiTheme="minorHAnsi" w:hAnsiTheme="minorHAnsi" w:cstheme="minorHAnsi"/>
                <w:sz w:val="18"/>
                <w:szCs w:val="18"/>
                <w:u w:val="single"/>
              </w:rPr>
              <w:t xml:space="preserve">: </w:t>
            </w:r>
            <w:r w:rsidR="00EB2507" w:rsidRPr="00D22AA0">
              <w:rPr>
                <w:rFonts w:asciiTheme="minorHAnsi" w:hAnsiTheme="minorHAnsi" w:cstheme="minorHAnsi"/>
                <w:sz w:val="18"/>
                <w:szCs w:val="18"/>
              </w:rPr>
              <w:t>Dominant</w:t>
            </w:r>
          </w:p>
        </w:tc>
        <w:tc>
          <w:tcPr>
            <w:tcW w:w="1416" w:type="dxa"/>
            <w:shd w:val="clear" w:color="auto" w:fill="A8D08D" w:themeFill="accent6" w:themeFillTint="99"/>
          </w:tcPr>
          <w:p w14:paraId="48EF26AD" w14:textId="1AB31321" w:rsidR="00EB2507" w:rsidRPr="00D22AA0" w:rsidRDefault="00A1678A"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w:t>
            </w:r>
            <w:r w:rsidR="00EB2507" w:rsidRPr="00D22AA0">
              <w:rPr>
                <w:rFonts w:asciiTheme="minorHAnsi" w:hAnsiTheme="minorHAnsi" w:cstheme="minorHAnsi"/>
                <w:sz w:val="18"/>
                <w:szCs w:val="18"/>
              </w:rPr>
              <w:t>ost saving</w:t>
            </w:r>
          </w:p>
        </w:tc>
      </w:tr>
      <w:tr w:rsidR="0063574F" w14:paraId="2D8CF171" w14:textId="77777777" w:rsidTr="00BB1D12">
        <w:tc>
          <w:tcPr>
            <w:tcW w:w="1481" w:type="dxa"/>
            <w:gridSpan w:val="2"/>
            <w:shd w:val="clear" w:color="auto" w:fill="auto"/>
          </w:tcPr>
          <w:p w14:paraId="14EE6C70" w14:textId="5432997C" w:rsidR="0063574F" w:rsidRPr="00D22AA0" w:rsidRDefault="0063574F"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Rojo 2021</w:t>
            </w:r>
            <w:r w:rsidR="00603382">
              <w:rPr>
                <w:rFonts w:asciiTheme="minorHAnsi" w:hAnsiTheme="minorHAnsi" w:cstheme="minorHAnsi"/>
                <w:sz w:val="18"/>
                <w:szCs w:val="18"/>
              </w:rPr>
              <w:br/>
              <w:t>Spain</w:t>
            </w:r>
          </w:p>
        </w:tc>
        <w:tc>
          <w:tcPr>
            <w:tcW w:w="1219" w:type="dxa"/>
            <w:gridSpan w:val="3"/>
            <w:shd w:val="clear" w:color="auto" w:fill="auto"/>
          </w:tcPr>
          <w:p w14:paraId="19C2C9ED" w14:textId="60825800" w:rsidR="0063574F" w:rsidRDefault="006C34F1"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5 </w:t>
            </w:r>
            <w:proofErr w:type="spellStart"/>
            <w:r>
              <w:rPr>
                <w:rFonts w:asciiTheme="minorHAnsi" w:hAnsiTheme="minorHAnsi" w:cstheme="minorHAnsi"/>
                <w:sz w:val="18"/>
                <w:szCs w:val="18"/>
              </w:rPr>
              <w:t>yrs</w:t>
            </w:r>
            <w:proofErr w:type="spellEnd"/>
            <w:r>
              <w:rPr>
                <w:rFonts w:asciiTheme="minorHAnsi" w:hAnsiTheme="minorHAnsi" w:cstheme="minorHAnsi"/>
                <w:sz w:val="18"/>
                <w:szCs w:val="18"/>
              </w:rPr>
              <w:br/>
            </w:r>
            <w:r w:rsidR="00D63A53">
              <w:rPr>
                <w:rFonts w:asciiTheme="minorHAnsi" w:hAnsiTheme="minorHAnsi" w:cstheme="minorHAnsi"/>
                <w:sz w:val="18"/>
                <w:szCs w:val="18"/>
              </w:rPr>
              <w:t>H</w:t>
            </w:r>
            <w:r>
              <w:rPr>
                <w:rFonts w:asciiTheme="minorHAnsi" w:hAnsiTheme="minorHAnsi" w:cstheme="minorHAnsi"/>
                <w:sz w:val="18"/>
                <w:szCs w:val="18"/>
              </w:rPr>
              <w:t>ealth care</w:t>
            </w:r>
            <w:r w:rsidR="00C720BD">
              <w:rPr>
                <w:rFonts w:asciiTheme="minorHAnsi" w:hAnsiTheme="minorHAnsi" w:cstheme="minorHAnsi"/>
                <w:sz w:val="18"/>
                <w:szCs w:val="18"/>
              </w:rPr>
              <w:br/>
              <w:t>FBSS</w:t>
            </w:r>
          </w:p>
        </w:tc>
        <w:tc>
          <w:tcPr>
            <w:tcW w:w="2970" w:type="dxa"/>
            <w:gridSpan w:val="2"/>
            <w:shd w:val="clear" w:color="auto" w:fill="auto"/>
          </w:tcPr>
          <w:p w14:paraId="60C93647" w14:textId="25388D39" w:rsidR="0063574F" w:rsidRPr="00D22AA0" w:rsidRDefault="006D6D18" w:rsidP="00D22AA0">
            <w:pPr>
              <w:pStyle w:val="051Tabletext228pt"/>
              <w:ind w:left="-57" w:right="-57"/>
              <w:rPr>
                <w:rFonts w:asciiTheme="minorHAnsi" w:hAnsiTheme="minorHAnsi" w:cstheme="minorHAnsi"/>
                <w:sz w:val="18"/>
                <w:szCs w:val="18"/>
              </w:rPr>
            </w:pPr>
            <w:r w:rsidRPr="00BA644F">
              <w:rPr>
                <w:rFonts w:asciiTheme="minorHAnsi" w:hAnsiTheme="minorHAnsi" w:cstheme="minorHAnsi"/>
                <w:sz w:val="18"/>
                <w:szCs w:val="18"/>
                <w:u w:val="single"/>
              </w:rPr>
              <w:t xml:space="preserve">SCS + </w:t>
            </w:r>
            <w:r>
              <w:rPr>
                <w:rFonts w:asciiTheme="minorHAnsi" w:hAnsiTheme="minorHAnsi" w:cstheme="minorHAnsi"/>
                <w:sz w:val="18"/>
                <w:szCs w:val="18"/>
                <w:u w:val="single"/>
              </w:rPr>
              <w:t>CMM</w:t>
            </w:r>
            <w:r w:rsidRPr="00BA644F">
              <w:rPr>
                <w:rFonts w:asciiTheme="minorHAnsi" w:hAnsiTheme="minorHAnsi" w:cstheme="minorHAnsi"/>
                <w:sz w:val="18"/>
                <w:szCs w:val="18"/>
                <w:u w:val="single"/>
              </w:rPr>
              <w:t xml:space="preserve"> vs. </w:t>
            </w:r>
            <w:r>
              <w:rPr>
                <w:rFonts w:asciiTheme="minorHAnsi" w:hAnsiTheme="minorHAnsi" w:cstheme="minorHAnsi"/>
                <w:sz w:val="18"/>
                <w:szCs w:val="18"/>
                <w:u w:val="single"/>
              </w:rPr>
              <w:t>CMM</w:t>
            </w:r>
            <w:r>
              <w:rPr>
                <w:rFonts w:asciiTheme="minorHAnsi" w:hAnsiTheme="minorHAnsi" w:cstheme="minorHAnsi"/>
                <w:sz w:val="18"/>
                <w:szCs w:val="18"/>
              </w:rPr>
              <w:t xml:space="preserve">: </w:t>
            </w:r>
            <w:r w:rsidRPr="00D22AA0">
              <w:rPr>
                <w:rFonts w:asciiTheme="minorHAnsi" w:hAnsiTheme="minorHAnsi" w:cstheme="minorHAnsi"/>
                <w:sz w:val="18"/>
                <w:szCs w:val="18"/>
              </w:rPr>
              <w:t>€</w:t>
            </w:r>
            <w:r w:rsidR="00376018">
              <w:rPr>
                <w:rFonts w:asciiTheme="minorHAnsi" w:hAnsiTheme="minorHAnsi" w:cstheme="minorHAnsi"/>
                <w:sz w:val="18"/>
                <w:szCs w:val="18"/>
              </w:rPr>
              <w:t>27,330</w:t>
            </w:r>
            <w:r w:rsidR="0095518F">
              <w:rPr>
                <w:rFonts w:asciiTheme="minorHAnsi" w:hAnsiTheme="minorHAnsi" w:cstheme="minorHAnsi"/>
                <w:sz w:val="18"/>
                <w:szCs w:val="18"/>
              </w:rPr>
              <w:t>/QALY</w:t>
            </w:r>
          </w:p>
        </w:tc>
        <w:tc>
          <w:tcPr>
            <w:tcW w:w="2552" w:type="dxa"/>
            <w:gridSpan w:val="2"/>
            <w:shd w:val="clear" w:color="auto" w:fill="auto"/>
          </w:tcPr>
          <w:p w14:paraId="22342FF1" w14:textId="3382E0B8" w:rsidR="0063574F" w:rsidRPr="00D22AA0" w:rsidRDefault="00EC3611"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NA</w:t>
            </w:r>
          </w:p>
        </w:tc>
        <w:tc>
          <w:tcPr>
            <w:tcW w:w="1416" w:type="dxa"/>
            <w:shd w:val="clear" w:color="auto" w:fill="E2EFD9" w:themeFill="accent6" w:themeFillTint="33"/>
          </w:tcPr>
          <w:p w14:paraId="471FE47A" w14:textId="37521E85" w:rsidR="0063574F" w:rsidRPr="00D22AA0" w:rsidRDefault="00033F83"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cost effective</w:t>
            </w:r>
          </w:p>
        </w:tc>
      </w:tr>
      <w:tr w:rsidR="00556BC4" w14:paraId="33F7C953" w14:textId="77777777" w:rsidTr="007714A7">
        <w:tc>
          <w:tcPr>
            <w:tcW w:w="1843" w:type="dxa"/>
            <w:gridSpan w:val="4"/>
            <w:shd w:val="clear" w:color="auto" w:fill="D9D9D9" w:themeFill="background1" w:themeFillShade="D9"/>
          </w:tcPr>
          <w:p w14:paraId="2147FE61" w14:textId="7024BD13" w:rsidR="00BA141B" w:rsidRPr="00D22AA0" w:rsidRDefault="00AF0B00" w:rsidP="00D22AA0">
            <w:pPr>
              <w:pStyle w:val="031Tablesubheading8pt"/>
              <w:ind w:left="-57" w:right="-57"/>
              <w:rPr>
                <w:rFonts w:asciiTheme="minorHAnsi" w:hAnsiTheme="minorHAnsi" w:cstheme="minorHAnsi"/>
                <w:sz w:val="18"/>
                <w:szCs w:val="18"/>
              </w:rPr>
            </w:pPr>
            <w:r w:rsidRPr="00D22AA0">
              <w:rPr>
                <w:rFonts w:asciiTheme="minorHAnsi" w:hAnsiTheme="minorHAnsi" w:cstheme="minorHAnsi"/>
                <w:sz w:val="18"/>
                <w:szCs w:val="18"/>
              </w:rPr>
              <w:t>Short</w:t>
            </w:r>
            <w:r w:rsidR="00251768">
              <w:rPr>
                <w:rFonts w:asciiTheme="minorHAnsi" w:hAnsiTheme="minorHAnsi" w:cstheme="minorHAnsi"/>
                <w:sz w:val="18"/>
                <w:szCs w:val="18"/>
              </w:rPr>
              <w:t>-term</w:t>
            </w:r>
            <w:r w:rsidRPr="00D22AA0">
              <w:rPr>
                <w:rFonts w:asciiTheme="minorHAnsi" w:hAnsiTheme="minorHAnsi" w:cstheme="minorHAnsi"/>
                <w:sz w:val="18"/>
                <w:szCs w:val="18"/>
              </w:rPr>
              <w:t xml:space="preserve"> horizon</w:t>
            </w:r>
          </w:p>
        </w:tc>
        <w:tc>
          <w:tcPr>
            <w:tcW w:w="896" w:type="dxa"/>
            <w:gridSpan w:val="2"/>
            <w:shd w:val="clear" w:color="auto" w:fill="D9D9D9" w:themeFill="background1" w:themeFillShade="D9"/>
          </w:tcPr>
          <w:p w14:paraId="7ED421CC" w14:textId="77777777" w:rsidR="003536E6" w:rsidRPr="00D22AA0" w:rsidRDefault="003536E6" w:rsidP="00D22AA0">
            <w:pPr>
              <w:pStyle w:val="031Tablesubheading8pt"/>
              <w:ind w:left="-57" w:right="-57"/>
              <w:rPr>
                <w:rFonts w:asciiTheme="minorHAnsi" w:hAnsiTheme="minorHAnsi" w:cstheme="minorHAnsi"/>
                <w:sz w:val="18"/>
                <w:szCs w:val="18"/>
              </w:rPr>
            </w:pPr>
          </w:p>
        </w:tc>
        <w:tc>
          <w:tcPr>
            <w:tcW w:w="2950" w:type="dxa"/>
            <w:gridSpan w:val="2"/>
            <w:shd w:val="clear" w:color="auto" w:fill="D9D9D9" w:themeFill="background1" w:themeFillShade="D9"/>
          </w:tcPr>
          <w:p w14:paraId="61F6918C" w14:textId="6AACB622" w:rsidR="00BA141B" w:rsidRPr="00D22AA0" w:rsidRDefault="00BA141B" w:rsidP="00D22AA0">
            <w:pPr>
              <w:pStyle w:val="031Tablesubheading8pt"/>
              <w:ind w:left="-57" w:right="-57"/>
              <w:rPr>
                <w:rFonts w:asciiTheme="minorHAnsi" w:hAnsiTheme="minorHAnsi" w:cstheme="minorHAnsi"/>
                <w:sz w:val="18"/>
                <w:szCs w:val="18"/>
              </w:rPr>
            </w:pPr>
          </w:p>
        </w:tc>
        <w:tc>
          <w:tcPr>
            <w:tcW w:w="2533" w:type="dxa"/>
            <w:shd w:val="clear" w:color="auto" w:fill="D9D9D9" w:themeFill="background1" w:themeFillShade="D9"/>
          </w:tcPr>
          <w:p w14:paraId="4B3A9E8C" w14:textId="77777777" w:rsidR="00BA141B" w:rsidRPr="00D22AA0" w:rsidRDefault="00BA141B" w:rsidP="00D22AA0">
            <w:pPr>
              <w:pStyle w:val="051Tabletext228pt"/>
              <w:ind w:left="-57" w:right="-57"/>
              <w:rPr>
                <w:rFonts w:asciiTheme="minorHAnsi" w:hAnsiTheme="minorHAnsi" w:cstheme="minorHAnsi"/>
                <w:sz w:val="18"/>
                <w:szCs w:val="18"/>
              </w:rPr>
            </w:pPr>
          </w:p>
        </w:tc>
        <w:tc>
          <w:tcPr>
            <w:tcW w:w="1416" w:type="dxa"/>
            <w:shd w:val="clear" w:color="auto" w:fill="D9D9D9" w:themeFill="background1" w:themeFillShade="D9"/>
          </w:tcPr>
          <w:p w14:paraId="22E12FE9" w14:textId="77777777" w:rsidR="00BA141B" w:rsidRPr="00D22AA0" w:rsidRDefault="00BA141B" w:rsidP="00D22AA0">
            <w:pPr>
              <w:pStyle w:val="051Tabletext228pt"/>
              <w:ind w:left="-57" w:right="-57"/>
              <w:rPr>
                <w:rFonts w:asciiTheme="minorHAnsi" w:hAnsiTheme="minorHAnsi" w:cstheme="minorHAnsi"/>
                <w:sz w:val="18"/>
                <w:szCs w:val="18"/>
              </w:rPr>
            </w:pPr>
          </w:p>
        </w:tc>
      </w:tr>
      <w:tr w:rsidR="00603382" w14:paraId="4ABD9FB0" w14:textId="77777777" w:rsidTr="00BB1D12">
        <w:tc>
          <w:tcPr>
            <w:tcW w:w="1481" w:type="dxa"/>
            <w:gridSpan w:val="2"/>
            <w:shd w:val="clear" w:color="auto" w:fill="auto"/>
          </w:tcPr>
          <w:p w14:paraId="2DE71E37" w14:textId="1560BF58" w:rsidR="00603382" w:rsidRPr="00D22AA0" w:rsidRDefault="00603382" w:rsidP="00D22AA0">
            <w:pPr>
              <w:pStyle w:val="051Tabletext228pt"/>
              <w:ind w:left="-57" w:right="-57"/>
              <w:rPr>
                <w:rFonts w:asciiTheme="minorHAnsi" w:hAnsiTheme="minorHAnsi" w:cstheme="minorHAnsi"/>
                <w:sz w:val="18"/>
                <w:szCs w:val="18"/>
              </w:rPr>
            </w:pPr>
            <w:proofErr w:type="spellStart"/>
            <w:r>
              <w:rPr>
                <w:rFonts w:asciiTheme="minorHAnsi" w:hAnsiTheme="minorHAnsi" w:cstheme="minorHAnsi"/>
                <w:sz w:val="18"/>
                <w:szCs w:val="18"/>
              </w:rPr>
              <w:t>Andrell</w:t>
            </w:r>
            <w:proofErr w:type="spellEnd"/>
            <w:r>
              <w:rPr>
                <w:rFonts w:asciiTheme="minorHAnsi" w:hAnsiTheme="minorHAnsi" w:cstheme="minorHAnsi"/>
                <w:sz w:val="18"/>
                <w:szCs w:val="18"/>
              </w:rPr>
              <w:t xml:space="preserve"> </w:t>
            </w:r>
            <w:r w:rsidR="00775C51">
              <w:rPr>
                <w:rFonts w:asciiTheme="minorHAnsi" w:hAnsiTheme="minorHAnsi" w:cstheme="minorHAnsi"/>
                <w:sz w:val="18"/>
                <w:szCs w:val="18"/>
              </w:rPr>
              <w:t>2003</w:t>
            </w:r>
            <w:r w:rsidR="00775C51">
              <w:rPr>
                <w:rFonts w:asciiTheme="minorHAnsi" w:hAnsiTheme="minorHAnsi" w:cstheme="minorHAnsi"/>
                <w:sz w:val="18"/>
                <w:szCs w:val="18"/>
              </w:rPr>
              <w:br/>
              <w:t>Sweden</w:t>
            </w:r>
          </w:p>
        </w:tc>
        <w:tc>
          <w:tcPr>
            <w:tcW w:w="1219" w:type="dxa"/>
            <w:gridSpan w:val="3"/>
          </w:tcPr>
          <w:p w14:paraId="167F005F" w14:textId="43B25B8C" w:rsidR="00603382" w:rsidRPr="004C6F2F" w:rsidRDefault="00775C51" w:rsidP="00D22AA0">
            <w:pPr>
              <w:pStyle w:val="051Tabletext228pt"/>
              <w:ind w:left="-57" w:right="-57"/>
              <w:rPr>
                <w:rFonts w:asciiTheme="minorHAnsi" w:hAnsiTheme="minorHAnsi" w:cstheme="minorHAnsi"/>
                <w:sz w:val="18"/>
                <w:szCs w:val="18"/>
              </w:rPr>
            </w:pPr>
            <w:r w:rsidRPr="004C6F2F">
              <w:rPr>
                <w:rFonts w:asciiTheme="minorHAnsi" w:hAnsiTheme="minorHAnsi" w:cstheme="minorHAnsi"/>
                <w:sz w:val="18"/>
                <w:szCs w:val="18"/>
              </w:rPr>
              <w:t xml:space="preserve">2 </w:t>
            </w:r>
            <w:proofErr w:type="spellStart"/>
            <w:r w:rsidRPr="004C6F2F">
              <w:rPr>
                <w:rFonts w:asciiTheme="minorHAnsi" w:hAnsiTheme="minorHAnsi" w:cstheme="minorHAnsi"/>
                <w:sz w:val="18"/>
                <w:szCs w:val="18"/>
              </w:rPr>
              <w:t>yrs</w:t>
            </w:r>
            <w:proofErr w:type="spellEnd"/>
            <w:r w:rsidR="00D314DC" w:rsidRPr="004C6F2F">
              <w:rPr>
                <w:rFonts w:asciiTheme="minorHAnsi" w:hAnsiTheme="minorHAnsi" w:cstheme="minorHAnsi"/>
                <w:sz w:val="18"/>
                <w:szCs w:val="18"/>
              </w:rPr>
              <w:t xml:space="preserve"> </w:t>
            </w:r>
            <w:r w:rsidR="00D314DC" w:rsidRPr="004C6F2F">
              <w:rPr>
                <w:rFonts w:asciiTheme="minorHAnsi" w:hAnsiTheme="minorHAnsi" w:cstheme="minorHAnsi"/>
                <w:sz w:val="18"/>
                <w:szCs w:val="18"/>
              </w:rPr>
              <w:br/>
            </w:r>
            <w:r w:rsidR="00D63A53">
              <w:rPr>
                <w:rFonts w:asciiTheme="minorHAnsi" w:hAnsiTheme="minorHAnsi" w:cstheme="minorHAnsi"/>
                <w:sz w:val="18"/>
                <w:szCs w:val="18"/>
              </w:rPr>
              <w:t>H</w:t>
            </w:r>
            <w:r w:rsidR="00D314DC">
              <w:rPr>
                <w:rFonts w:asciiTheme="minorHAnsi" w:hAnsiTheme="minorHAnsi" w:cstheme="minorHAnsi"/>
                <w:sz w:val="18"/>
                <w:szCs w:val="18"/>
              </w:rPr>
              <w:t>ealth care</w:t>
            </w:r>
            <w:r w:rsidR="00D314DC">
              <w:rPr>
                <w:rFonts w:asciiTheme="minorHAnsi" w:hAnsiTheme="minorHAnsi" w:cstheme="minorHAnsi"/>
                <w:sz w:val="18"/>
                <w:szCs w:val="18"/>
              </w:rPr>
              <w:br/>
            </w:r>
            <w:r w:rsidR="00D63A53">
              <w:rPr>
                <w:rFonts w:asciiTheme="minorHAnsi" w:hAnsiTheme="minorHAnsi" w:cstheme="minorHAnsi"/>
                <w:sz w:val="18"/>
                <w:szCs w:val="18"/>
              </w:rPr>
              <w:t>S</w:t>
            </w:r>
            <w:r w:rsidR="006405C0">
              <w:rPr>
                <w:rFonts w:asciiTheme="minorHAnsi" w:hAnsiTheme="minorHAnsi" w:cstheme="minorHAnsi"/>
                <w:sz w:val="18"/>
                <w:szCs w:val="18"/>
              </w:rPr>
              <w:t xml:space="preserve">evere </w:t>
            </w:r>
            <w:r w:rsidR="005A686C">
              <w:rPr>
                <w:rFonts w:asciiTheme="minorHAnsi" w:hAnsiTheme="minorHAnsi" w:cstheme="minorHAnsi"/>
                <w:sz w:val="18"/>
                <w:szCs w:val="18"/>
              </w:rPr>
              <w:t>AP</w:t>
            </w:r>
          </w:p>
        </w:tc>
        <w:tc>
          <w:tcPr>
            <w:tcW w:w="2970" w:type="dxa"/>
            <w:gridSpan w:val="2"/>
            <w:shd w:val="clear" w:color="auto" w:fill="auto"/>
          </w:tcPr>
          <w:p w14:paraId="213DEE91" w14:textId="0294659D" w:rsidR="00603382" w:rsidRPr="00D22AA0" w:rsidRDefault="00AA36B1" w:rsidP="00D22AA0">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 xml:space="preserve">SCS vs. </w:t>
            </w:r>
            <w:r w:rsidR="004F1F68">
              <w:rPr>
                <w:rFonts w:asciiTheme="minorHAnsi" w:hAnsiTheme="minorHAnsi" w:cstheme="minorHAnsi"/>
                <w:sz w:val="18"/>
                <w:szCs w:val="18"/>
                <w:u w:val="single"/>
              </w:rPr>
              <w:t>CABG</w:t>
            </w:r>
            <w:r w:rsidR="004F1F68" w:rsidRPr="00BC5F86">
              <w:rPr>
                <w:rFonts w:asciiTheme="minorHAnsi" w:hAnsiTheme="minorHAnsi" w:cstheme="minorHAnsi"/>
                <w:sz w:val="18"/>
                <w:szCs w:val="18"/>
              </w:rPr>
              <w:t xml:space="preserve">: </w:t>
            </w:r>
            <w:r w:rsidR="003D250B" w:rsidRPr="00BC5F86">
              <w:rPr>
                <w:rFonts w:asciiTheme="minorHAnsi" w:hAnsiTheme="minorHAnsi" w:cstheme="minorHAnsi"/>
                <w:sz w:val="18"/>
                <w:szCs w:val="18"/>
              </w:rPr>
              <w:t>NR</w:t>
            </w:r>
          </w:p>
        </w:tc>
        <w:tc>
          <w:tcPr>
            <w:tcW w:w="2552" w:type="dxa"/>
            <w:gridSpan w:val="2"/>
            <w:shd w:val="clear" w:color="auto" w:fill="auto"/>
          </w:tcPr>
          <w:p w14:paraId="5FF5F10A" w14:textId="2A17109B" w:rsidR="00603382" w:rsidRPr="00D22AA0" w:rsidRDefault="004F1F68" w:rsidP="00D22AA0">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vs. CABG</w:t>
            </w:r>
            <w:r w:rsidRPr="00BC5F86">
              <w:rPr>
                <w:rFonts w:asciiTheme="minorHAnsi" w:hAnsiTheme="minorHAnsi" w:cstheme="minorHAnsi"/>
                <w:sz w:val="18"/>
                <w:szCs w:val="18"/>
              </w:rPr>
              <w:t xml:space="preserve">: </w:t>
            </w:r>
            <w:r w:rsidR="00850A61">
              <w:rPr>
                <w:rFonts w:asciiTheme="minorHAnsi" w:hAnsiTheme="minorHAnsi" w:cstheme="minorHAnsi"/>
                <w:sz w:val="18"/>
                <w:szCs w:val="18"/>
              </w:rPr>
              <w:t>dominant</w:t>
            </w:r>
          </w:p>
        </w:tc>
        <w:tc>
          <w:tcPr>
            <w:tcW w:w="1416" w:type="dxa"/>
            <w:shd w:val="clear" w:color="auto" w:fill="A8D08D" w:themeFill="accent6" w:themeFillTint="99"/>
          </w:tcPr>
          <w:p w14:paraId="792CE798" w14:textId="138AF0BE" w:rsidR="00603382" w:rsidRPr="00D22AA0" w:rsidRDefault="004F1F68"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cost saving</w:t>
            </w:r>
          </w:p>
        </w:tc>
      </w:tr>
      <w:tr w:rsidR="00C213B3" w14:paraId="157800D4" w14:textId="77777777" w:rsidTr="00BB1D12">
        <w:tc>
          <w:tcPr>
            <w:tcW w:w="1481" w:type="dxa"/>
            <w:gridSpan w:val="2"/>
            <w:shd w:val="clear" w:color="auto" w:fill="auto"/>
          </w:tcPr>
          <w:p w14:paraId="2274261A" w14:textId="488697CA" w:rsidR="00C213B3" w:rsidRDefault="00C213B3"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Dyer 2008</w:t>
            </w:r>
            <w:r>
              <w:rPr>
                <w:rFonts w:asciiTheme="minorHAnsi" w:hAnsiTheme="minorHAnsi" w:cstheme="minorHAnsi"/>
                <w:sz w:val="18"/>
                <w:szCs w:val="18"/>
              </w:rPr>
              <w:br/>
              <w:t>UK</w:t>
            </w:r>
          </w:p>
        </w:tc>
        <w:tc>
          <w:tcPr>
            <w:tcW w:w="1219" w:type="dxa"/>
            <w:gridSpan w:val="3"/>
          </w:tcPr>
          <w:p w14:paraId="5CE67262" w14:textId="61E62EFC" w:rsidR="00C213B3" w:rsidRPr="004C6F2F" w:rsidRDefault="00C213B3"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 xml:space="preserve">2 </w:t>
            </w:r>
            <w:proofErr w:type="spellStart"/>
            <w:r w:rsidRPr="00D22AA0">
              <w:rPr>
                <w:rFonts w:asciiTheme="minorHAnsi" w:hAnsiTheme="minorHAnsi" w:cstheme="minorHAnsi"/>
                <w:sz w:val="18"/>
                <w:szCs w:val="18"/>
              </w:rPr>
              <w:t>yrs</w:t>
            </w:r>
            <w:proofErr w:type="spellEnd"/>
            <w:r w:rsidR="00D63A53">
              <w:rPr>
                <w:rFonts w:asciiTheme="minorHAnsi" w:hAnsiTheme="minorHAnsi" w:cstheme="minorHAnsi"/>
                <w:sz w:val="18"/>
                <w:szCs w:val="18"/>
              </w:rPr>
              <w:br/>
              <w:t>Health care</w:t>
            </w:r>
            <w:r w:rsidRPr="00D22AA0">
              <w:rPr>
                <w:rFonts w:asciiTheme="minorHAnsi" w:hAnsiTheme="minorHAnsi" w:cstheme="minorHAnsi"/>
                <w:sz w:val="18"/>
                <w:szCs w:val="18"/>
              </w:rPr>
              <w:br/>
            </w:r>
            <w:r w:rsidR="00D63A53">
              <w:rPr>
                <w:rFonts w:asciiTheme="minorHAnsi" w:hAnsiTheme="minorHAnsi" w:cstheme="minorHAnsi"/>
                <w:sz w:val="18"/>
                <w:szCs w:val="18"/>
              </w:rPr>
              <w:t>R</w:t>
            </w:r>
            <w:r>
              <w:rPr>
                <w:rFonts w:asciiTheme="minorHAnsi" w:hAnsiTheme="minorHAnsi" w:cstheme="minorHAnsi"/>
                <w:sz w:val="18"/>
                <w:szCs w:val="18"/>
              </w:rPr>
              <w:t xml:space="preserve">efractory </w:t>
            </w:r>
            <w:r w:rsidR="0080494F">
              <w:rPr>
                <w:rFonts w:asciiTheme="minorHAnsi" w:hAnsiTheme="minorHAnsi" w:cstheme="minorHAnsi"/>
                <w:sz w:val="18"/>
                <w:szCs w:val="18"/>
              </w:rPr>
              <w:t>AP</w:t>
            </w:r>
          </w:p>
        </w:tc>
        <w:tc>
          <w:tcPr>
            <w:tcW w:w="2970" w:type="dxa"/>
            <w:gridSpan w:val="2"/>
            <w:shd w:val="clear" w:color="auto" w:fill="auto"/>
          </w:tcPr>
          <w:p w14:paraId="0FBF099F" w14:textId="7B6B18A3" w:rsidR="00C213B3" w:rsidRDefault="00031E94" w:rsidP="00D22AA0">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vs. PMR</w:t>
            </w:r>
            <w:r w:rsidRPr="007D00CA">
              <w:rPr>
                <w:rFonts w:asciiTheme="minorHAnsi" w:hAnsiTheme="minorHAnsi" w:cstheme="minorHAnsi"/>
                <w:sz w:val="18"/>
                <w:szCs w:val="18"/>
              </w:rPr>
              <w:t xml:space="preserve">: </w:t>
            </w:r>
            <w:r w:rsidR="00642A3E" w:rsidRPr="00D22AA0">
              <w:rPr>
                <w:rFonts w:asciiTheme="minorHAnsi" w:hAnsiTheme="minorHAnsi" w:cstheme="minorHAnsi"/>
                <w:sz w:val="18"/>
                <w:szCs w:val="18"/>
              </w:rPr>
              <w:t>£</w:t>
            </w:r>
            <w:r w:rsidR="00642A3E">
              <w:rPr>
                <w:rFonts w:asciiTheme="minorHAnsi" w:hAnsiTheme="minorHAnsi" w:cstheme="minorHAnsi"/>
                <w:sz w:val="18"/>
                <w:szCs w:val="18"/>
              </w:rPr>
              <w:t>46,000</w:t>
            </w:r>
            <w:r w:rsidR="00FF3CD6">
              <w:rPr>
                <w:rFonts w:asciiTheme="minorHAnsi" w:hAnsiTheme="minorHAnsi" w:cstheme="minorHAnsi"/>
                <w:sz w:val="18"/>
                <w:szCs w:val="18"/>
              </w:rPr>
              <w:t>/QALY</w:t>
            </w:r>
          </w:p>
        </w:tc>
        <w:tc>
          <w:tcPr>
            <w:tcW w:w="2552" w:type="dxa"/>
            <w:gridSpan w:val="2"/>
            <w:shd w:val="clear" w:color="auto" w:fill="auto"/>
          </w:tcPr>
          <w:p w14:paraId="2EE0E172" w14:textId="579A2344" w:rsidR="00C213B3" w:rsidRDefault="00630E80" w:rsidP="00D22AA0">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vs. PMR</w:t>
            </w:r>
            <w:r w:rsidRPr="007D00CA">
              <w:rPr>
                <w:rFonts w:asciiTheme="minorHAnsi" w:hAnsiTheme="minorHAnsi" w:cstheme="minorHAnsi"/>
                <w:sz w:val="18"/>
                <w:szCs w:val="18"/>
              </w:rPr>
              <w:t xml:space="preserve">: </w:t>
            </w:r>
            <w:r w:rsidR="00642A3E" w:rsidRPr="00D22AA0">
              <w:rPr>
                <w:rFonts w:asciiTheme="minorHAnsi" w:hAnsiTheme="minorHAnsi" w:cstheme="minorHAnsi"/>
                <w:sz w:val="18"/>
                <w:szCs w:val="18"/>
              </w:rPr>
              <w:t>£</w:t>
            </w:r>
            <w:r w:rsidR="00642A3E">
              <w:rPr>
                <w:rFonts w:asciiTheme="minorHAnsi" w:hAnsiTheme="minorHAnsi" w:cstheme="minorHAnsi"/>
                <w:sz w:val="18"/>
                <w:szCs w:val="18"/>
              </w:rPr>
              <w:t>58,356</w:t>
            </w:r>
            <w:r w:rsidR="007C5D5A">
              <w:rPr>
                <w:rFonts w:asciiTheme="minorHAnsi" w:hAnsiTheme="minorHAnsi" w:cstheme="minorHAnsi"/>
                <w:sz w:val="18"/>
                <w:szCs w:val="18"/>
              </w:rPr>
              <w:t>/QALY</w:t>
            </w:r>
          </w:p>
        </w:tc>
        <w:tc>
          <w:tcPr>
            <w:tcW w:w="1416" w:type="dxa"/>
            <w:shd w:val="clear" w:color="auto" w:fill="FBE4D5" w:themeFill="accent2" w:themeFillTint="33"/>
          </w:tcPr>
          <w:p w14:paraId="04358D3D" w14:textId="01094A64" w:rsidR="00C213B3" w:rsidRDefault="00EE516D"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SCS </w:t>
            </w:r>
            <w:r w:rsidR="006F1E7B">
              <w:rPr>
                <w:rFonts w:asciiTheme="minorHAnsi" w:hAnsiTheme="minorHAnsi" w:cstheme="minorHAnsi"/>
                <w:sz w:val="18"/>
                <w:szCs w:val="18"/>
              </w:rPr>
              <w:t>n</w:t>
            </w:r>
            <w:r w:rsidR="006F4627">
              <w:rPr>
                <w:rFonts w:asciiTheme="minorHAnsi" w:hAnsiTheme="minorHAnsi" w:cstheme="minorHAnsi"/>
                <w:sz w:val="18"/>
                <w:szCs w:val="18"/>
              </w:rPr>
              <w:t>ot cost effective</w:t>
            </w:r>
          </w:p>
        </w:tc>
      </w:tr>
      <w:tr w:rsidR="0079037C" w14:paraId="21980817" w14:textId="77777777" w:rsidTr="00BB1D12">
        <w:tc>
          <w:tcPr>
            <w:tcW w:w="1441" w:type="dxa"/>
            <w:shd w:val="clear" w:color="auto" w:fill="auto"/>
          </w:tcPr>
          <w:p w14:paraId="588439C5" w14:textId="77777777" w:rsidR="0079037C" w:rsidRPr="00D22AA0" w:rsidRDefault="0079037C"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Hollingworth 2011</w:t>
            </w:r>
            <w:r w:rsidRPr="00D22AA0">
              <w:rPr>
                <w:rFonts w:asciiTheme="minorHAnsi" w:hAnsiTheme="minorHAnsi" w:cstheme="minorHAnsi"/>
                <w:sz w:val="18"/>
                <w:szCs w:val="18"/>
              </w:rPr>
              <w:br/>
              <w:t>USA</w:t>
            </w:r>
          </w:p>
        </w:tc>
        <w:tc>
          <w:tcPr>
            <w:tcW w:w="1298" w:type="dxa"/>
            <w:gridSpan w:val="5"/>
          </w:tcPr>
          <w:p w14:paraId="38855B4F" w14:textId="506B1F0B" w:rsidR="00503CCF" w:rsidRPr="004C6F2F" w:rsidRDefault="00503CCF" w:rsidP="00D22AA0">
            <w:pPr>
              <w:pStyle w:val="051Tabletext228pt"/>
              <w:ind w:left="-57" w:right="-57"/>
              <w:rPr>
                <w:rFonts w:asciiTheme="minorHAnsi" w:hAnsiTheme="minorHAnsi" w:cstheme="minorHAnsi"/>
                <w:sz w:val="18"/>
                <w:szCs w:val="18"/>
              </w:rPr>
            </w:pPr>
            <w:r w:rsidRPr="004C6F2F">
              <w:rPr>
                <w:rFonts w:asciiTheme="minorHAnsi" w:hAnsiTheme="minorHAnsi" w:cstheme="minorHAnsi"/>
                <w:sz w:val="18"/>
                <w:szCs w:val="18"/>
              </w:rPr>
              <w:t xml:space="preserve">2 </w:t>
            </w:r>
            <w:proofErr w:type="spellStart"/>
            <w:r w:rsidRPr="004C6F2F">
              <w:rPr>
                <w:rFonts w:asciiTheme="minorHAnsi" w:hAnsiTheme="minorHAnsi" w:cstheme="minorHAnsi"/>
                <w:sz w:val="18"/>
                <w:szCs w:val="18"/>
              </w:rPr>
              <w:t>yrs</w:t>
            </w:r>
            <w:proofErr w:type="spellEnd"/>
            <w:r w:rsidR="00F7052E" w:rsidRPr="004C6F2F">
              <w:rPr>
                <w:rFonts w:asciiTheme="minorHAnsi" w:hAnsiTheme="minorHAnsi" w:cstheme="minorHAnsi"/>
                <w:sz w:val="18"/>
                <w:szCs w:val="18"/>
              </w:rPr>
              <w:br/>
            </w:r>
            <w:r w:rsidR="00D63A53">
              <w:rPr>
                <w:rFonts w:asciiTheme="minorHAnsi" w:hAnsiTheme="minorHAnsi" w:cstheme="minorHAnsi"/>
                <w:sz w:val="18"/>
                <w:szCs w:val="18"/>
              </w:rPr>
              <w:t>W</w:t>
            </w:r>
            <w:r w:rsidR="002C45C8" w:rsidRPr="004C6F2F">
              <w:rPr>
                <w:rFonts w:asciiTheme="minorHAnsi" w:hAnsiTheme="minorHAnsi" w:cstheme="minorHAnsi"/>
                <w:sz w:val="18"/>
                <w:szCs w:val="18"/>
              </w:rPr>
              <w:t>orkers’ compensation</w:t>
            </w:r>
            <w:r w:rsidR="001E106A">
              <w:rPr>
                <w:rFonts w:asciiTheme="minorHAnsi" w:hAnsiTheme="minorHAnsi" w:cstheme="minorHAnsi"/>
                <w:sz w:val="18"/>
                <w:szCs w:val="18"/>
              </w:rPr>
              <w:br/>
              <w:t>FBSS</w:t>
            </w:r>
          </w:p>
        </w:tc>
        <w:tc>
          <w:tcPr>
            <w:tcW w:w="2950" w:type="dxa"/>
            <w:gridSpan w:val="2"/>
            <w:shd w:val="clear" w:color="auto" w:fill="auto"/>
          </w:tcPr>
          <w:p w14:paraId="08AC3F4A" w14:textId="35768333" w:rsidR="0079037C" w:rsidRPr="00D22AA0" w:rsidRDefault="0079037C"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SCS vs</w:t>
            </w:r>
            <w:r w:rsidR="00331F9C">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usual care:</w:t>
            </w:r>
            <w:r w:rsidRPr="00D22AA0">
              <w:rPr>
                <w:rFonts w:asciiTheme="minorHAnsi" w:hAnsiTheme="minorHAnsi" w:cstheme="minorHAnsi"/>
                <w:sz w:val="18"/>
                <w:szCs w:val="18"/>
              </w:rPr>
              <w:t xml:space="preserve"> $334,704</w:t>
            </w:r>
            <w:r w:rsidR="00921152">
              <w:rPr>
                <w:rFonts w:asciiTheme="minorHAnsi" w:hAnsiTheme="minorHAnsi" w:cstheme="minorHAnsi"/>
                <w:sz w:val="18"/>
                <w:szCs w:val="18"/>
              </w:rPr>
              <w:t>/</w:t>
            </w:r>
            <w:r w:rsidR="0038067B">
              <w:rPr>
                <w:rFonts w:asciiTheme="minorHAnsi" w:hAnsiTheme="minorHAnsi" w:cstheme="minorHAnsi"/>
                <w:sz w:val="18"/>
                <w:szCs w:val="18"/>
              </w:rPr>
              <w:t xml:space="preserve">successful </w:t>
            </w:r>
            <w:proofErr w:type="spellStart"/>
            <w:r w:rsidR="0038067B">
              <w:rPr>
                <w:rFonts w:asciiTheme="minorHAnsi" w:hAnsiTheme="minorHAnsi" w:cstheme="minorHAnsi"/>
                <w:sz w:val="18"/>
                <w:szCs w:val="18"/>
              </w:rPr>
              <w:t>outcome</w:t>
            </w:r>
            <w:r w:rsidR="000C3669">
              <w:rPr>
                <w:rFonts w:asciiTheme="minorHAnsi" w:hAnsiTheme="minorHAnsi" w:cstheme="minorHAnsi"/>
                <w:sz w:val="18"/>
                <w:szCs w:val="18"/>
                <w:vertAlign w:val="superscript"/>
              </w:rPr>
              <w:t>b</w:t>
            </w:r>
            <w:proofErr w:type="spellEnd"/>
            <w:r w:rsidRPr="00D22AA0">
              <w:rPr>
                <w:rFonts w:asciiTheme="minorHAnsi" w:hAnsiTheme="minorHAnsi" w:cstheme="minorHAnsi"/>
                <w:sz w:val="18"/>
                <w:szCs w:val="18"/>
              </w:rPr>
              <w:br/>
            </w:r>
            <w:r w:rsidRPr="00D22AA0">
              <w:rPr>
                <w:rFonts w:asciiTheme="minorHAnsi" w:hAnsiTheme="minorHAnsi" w:cstheme="minorHAnsi"/>
                <w:sz w:val="18"/>
                <w:szCs w:val="18"/>
                <w:u w:val="single"/>
              </w:rPr>
              <w:t>SCS vs</w:t>
            </w:r>
            <w:r w:rsidR="00331F9C">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PC:</w:t>
            </w:r>
            <w:r w:rsidRPr="00D22AA0">
              <w:rPr>
                <w:rFonts w:asciiTheme="minorHAnsi" w:hAnsiTheme="minorHAnsi" w:cstheme="minorHAnsi"/>
                <w:sz w:val="18"/>
                <w:szCs w:val="18"/>
              </w:rPr>
              <w:t xml:space="preserve"> $131,146</w:t>
            </w:r>
            <w:r w:rsidR="0038067B">
              <w:rPr>
                <w:rFonts w:asciiTheme="minorHAnsi" w:hAnsiTheme="minorHAnsi" w:cstheme="minorHAnsi"/>
                <w:sz w:val="18"/>
                <w:szCs w:val="18"/>
              </w:rPr>
              <w:t xml:space="preserve">/successful </w:t>
            </w:r>
            <w:proofErr w:type="spellStart"/>
            <w:r w:rsidR="0038067B">
              <w:rPr>
                <w:rFonts w:asciiTheme="minorHAnsi" w:hAnsiTheme="minorHAnsi" w:cstheme="minorHAnsi"/>
                <w:sz w:val="18"/>
                <w:szCs w:val="18"/>
              </w:rPr>
              <w:t>outcome</w:t>
            </w:r>
            <w:r w:rsidR="000C3669">
              <w:rPr>
                <w:rFonts w:asciiTheme="minorHAnsi" w:hAnsiTheme="minorHAnsi" w:cstheme="minorHAnsi"/>
                <w:sz w:val="18"/>
                <w:szCs w:val="18"/>
                <w:vertAlign w:val="superscript"/>
              </w:rPr>
              <w:t>b</w:t>
            </w:r>
            <w:proofErr w:type="spellEnd"/>
          </w:p>
        </w:tc>
        <w:tc>
          <w:tcPr>
            <w:tcW w:w="2533" w:type="dxa"/>
            <w:shd w:val="clear" w:color="auto" w:fill="auto"/>
          </w:tcPr>
          <w:p w14:paraId="5304BF31" w14:textId="76F2CD50" w:rsidR="0079037C" w:rsidRPr="00D22AA0" w:rsidRDefault="0079037C"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SCS vs</w:t>
            </w:r>
            <w:r w:rsidR="00331F9C">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usual care:</w:t>
            </w:r>
            <w:r w:rsidRPr="00D22AA0">
              <w:rPr>
                <w:rFonts w:asciiTheme="minorHAnsi" w:hAnsiTheme="minorHAnsi" w:cstheme="minorHAnsi"/>
                <w:sz w:val="18"/>
                <w:szCs w:val="18"/>
              </w:rPr>
              <w:t xml:space="preserve"> £283,788</w:t>
            </w:r>
            <w:r w:rsidR="0038067B">
              <w:rPr>
                <w:rFonts w:asciiTheme="minorHAnsi" w:hAnsiTheme="minorHAnsi" w:cstheme="minorHAnsi"/>
                <w:sz w:val="18"/>
                <w:szCs w:val="18"/>
              </w:rPr>
              <w:t xml:space="preserve">/successful </w:t>
            </w:r>
            <w:proofErr w:type="spellStart"/>
            <w:r w:rsidR="0038067B">
              <w:rPr>
                <w:rFonts w:asciiTheme="minorHAnsi" w:hAnsiTheme="minorHAnsi" w:cstheme="minorHAnsi"/>
                <w:sz w:val="18"/>
                <w:szCs w:val="18"/>
              </w:rPr>
              <w:t>outcome</w:t>
            </w:r>
            <w:r w:rsidR="000C3669">
              <w:rPr>
                <w:rFonts w:asciiTheme="minorHAnsi" w:hAnsiTheme="minorHAnsi" w:cstheme="minorHAnsi"/>
                <w:sz w:val="18"/>
                <w:szCs w:val="18"/>
                <w:vertAlign w:val="superscript"/>
              </w:rPr>
              <w:t>b</w:t>
            </w:r>
            <w:proofErr w:type="spellEnd"/>
            <w:r w:rsidRPr="00D22AA0">
              <w:rPr>
                <w:rFonts w:asciiTheme="minorHAnsi" w:hAnsiTheme="minorHAnsi" w:cstheme="minorHAnsi"/>
                <w:sz w:val="18"/>
                <w:szCs w:val="18"/>
              </w:rPr>
              <w:br/>
            </w:r>
            <w:r w:rsidRPr="00D22AA0">
              <w:rPr>
                <w:rFonts w:asciiTheme="minorHAnsi" w:hAnsiTheme="minorHAnsi" w:cstheme="minorHAnsi"/>
                <w:sz w:val="18"/>
                <w:szCs w:val="18"/>
                <w:u w:val="single"/>
              </w:rPr>
              <w:t>SCS vs</w:t>
            </w:r>
            <w:r w:rsidR="00331F9C">
              <w:rPr>
                <w:rFonts w:asciiTheme="minorHAnsi" w:hAnsiTheme="minorHAnsi" w:cstheme="minorHAnsi"/>
                <w:sz w:val="18"/>
                <w:szCs w:val="18"/>
                <w:u w:val="single"/>
              </w:rPr>
              <w:t>.</w:t>
            </w:r>
            <w:r w:rsidRPr="00D22AA0">
              <w:rPr>
                <w:rFonts w:asciiTheme="minorHAnsi" w:hAnsiTheme="minorHAnsi" w:cstheme="minorHAnsi"/>
                <w:sz w:val="18"/>
                <w:szCs w:val="18"/>
                <w:u w:val="single"/>
              </w:rPr>
              <w:t xml:space="preserve"> PC: </w:t>
            </w:r>
            <w:r w:rsidRPr="00D22AA0">
              <w:rPr>
                <w:rFonts w:asciiTheme="minorHAnsi" w:hAnsiTheme="minorHAnsi" w:cstheme="minorHAnsi"/>
                <w:sz w:val="18"/>
                <w:szCs w:val="18"/>
              </w:rPr>
              <w:t>£111,196</w:t>
            </w:r>
            <w:r w:rsidR="0038067B">
              <w:rPr>
                <w:rFonts w:asciiTheme="minorHAnsi" w:hAnsiTheme="minorHAnsi" w:cstheme="minorHAnsi"/>
                <w:sz w:val="18"/>
                <w:szCs w:val="18"/>
              </w:rPr>
              <w:t xml:space="preserve">/successful </w:t>
            </w:r>
            <w:proofErr w:type="spellStart"/>
            <w:r w:rsidR="0038067B">
              <w:rPr>
                <w:rFonts w:asciiTheme="minorHAnsi" w:hAnsiTheme="minorHAnsi" w:cstheme="minorHAnsi"/>
                <w:sz w:val="18"/>
                <w:szCs w:val="18"/>
              </w:rPr>
              <w:t>outcome</w:t>
            </w:r>
            <w:r w:rsidR="000C3669">
              <w:rPr>
                <w:rFonts w:asciiTheme="minorHAnsi" w:hAnsiTheme="minorHAnsi" w:cstheme="minorHAnsi"/>
                <w:sz w:val="18"/>
                <w:szCs w:val="18"/>
                <w:vertAlign w:val="superscript"/>
              </w:rPr>
              <w:t>b</w:t>
            </w:r>
            <w:proofErr w:type="spellEnd"/>
          </w:p>
        </w:tc>
        <w:tc>
          <w:tcPr>
            <w:tcW w:w="1416" w:type="dxa"/>
            <w:shd w:val="clear" w:color="auto" w:fill="FBE4D5" w:themeFill="accent2" w:themeFillTint="33"/>
          </w:tcPr>
          <w:p w14:paraId="78279550" w14:textId="5BBB92AA" w:rsidR="0079037C" w:rsidRPr="00D22AA0" w:rsidRDefault="006F1E7B"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n</w:t>
            </w:r>
            <w:r w:rsidR="003536E6" w:rsidRPr="00D22AA0">
              <w:rPr>
                <w:rFonts w:asciiTheme="minorHAnsi" w:hAnsiTheme="minorHAnsi" w:cstheme="minorHAnsi"/>
                <w:sz w:val="18"/>
                <w:szCs w:val="18"/>
              </w:rPr>
              <w:t>ot</w:t>
            </w:r>
            <w:r w:rsidR="0079037C" w:rsidRPr="00D22AA0">
              <w:rPr>
                <w:rFonts w:asciiTheme="minorHAnsi" w:hAnsiTheme="minorHAnsi" w:cstheme="minorHAnsi"/>
                <w:sz w:val="18"/>
                <w:szCs w:val="18"/>
              </w:rPr>
              <w:t xml:space="preserve"> cost effective </w:t>
            </w:r>
          </w:p>
        </w:tc>
      </w:tr>
      <w:tr w:rsidR="0079037C" w14:paraId="5149E79C" w14:textId="77777777" w:rsidTr="00BB1D12">
        <w:tc>
          <w:tcPr>
            <w:tcW w:w="1441" w:type="dxa"/>
            <w:shd w:val="clear" w:color="auto" w:fill="auto"/>
          </w:tcPr>
          <w:p w14:paraId="607B0EBB" w14:textId="6A45C92F" w:rsidR="0079037C" w:rsidRPr="00D22AA0" w:rsidRDefault="0079037C"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Kemler</w:t>
            </w:r>
            <w:proofErr w:type="spellEnd"/>
            <w:r w:rsidRPr="00D22AA0">
              <w:rPr>
                <w:rFonts w:asciiTheme="minorHAnsi" w:hAnsiTheme="minorHAnsi" w:cstheme="minorHAnsi"/>
                <w:sz w:val="18"/>
                <w:szCs w:val="18"/>
              </w:rPr>
              <w:t xml:space="preserve"> 2002</w:t>
            </w:r>
            <w:r w:rsidRPr="00D22AA0">
              <w:rPr>
                <w:rFonts w:asciiTheme="minorHAnsi" w:hAnsiTheme="minorHAnsi" w:cstheme="minorHAnsi"/>
                <w:sz w:val="18"/>
                <w:szCs w:val="18"/>
              </w:rPr>
              <w:br/>
            </w:r>
            <w:r w:rsidR="00C24E3C" w:rsidRPr="00D22AA0">
              <w:rPr>
                <w:rFonts w:asciiTheme="minorHAnsi" w:hAnsiTheme="minorHAnsi" w:cstheme="minorHAnsi"/>
                <w:sz w:val="18"/>
                <w:szCs w:val="18"/>
              </w:rPr>
              <w:t>NL</w:t>
            </w:r>
          </w:p>
        </w:tc>
        <w:tc>
          <w:tcPr>
            <w:tcW w:w="1298" w:type="dxa"/>
            <w:gridSpan w:val="5"/>
          </w:tcPr>
          <w:p w14:paraId="0779DDC2" w14:textId="7FF46760" w:rsidR="00503CCF" w:rsidRDefault="00503CCF"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1 </w:t>
            </w:r>
            <w:proofErr w:type="spellStart"/>
            <w:r>
              <w:rPr>
                <w:rFonts w:asciiTheme="minorHAnsi" w:hAnsiTheme="minorHAnsi" w:cstheme="minorHAnsi"/>
                <w:sz w:val="18"/>
                <w:szCs w:val="18"/>
              </w:rPr>
              <w:t>yr</w:t>
            </w:r>
            <w:proofErr w:type="spellEnd"/>
            <w:r w:rsidR="005710FB">
              <w:rPr>
                <w:rFonts w:asciiTheme="minorHAnsi" w:hAnsiTheme="minorHAnsi" w:cstheme="minorHAnsi"/>
                <w:sz w:val="18"/>
                <w:szCs w:val="18"/>
              </w:rPr>
              <w:br/>
            </w:r>
            <w:r w:rsidR="00D63A53">
              <w:rPr>
                <w:rFonts w:asciiTheme="minorHAnsi" w:hAnsiTheme="minorHAnsi" w:cstheme="minorHAnsi"/>
                <w:sz w:val="18"/>
                <w:szCs w:val="18"/>
              </w:rPr>
              <w:t>S</w:t>
            </w:r>
            <w:r w:rsidR="005710FB">
              <w:rPr>
                <w:rFonts w:asciiTheme="minorHAnsi" w:hAnsiTheme="minorHAnsi" w:cstheme="minorHAnsi"/>
                <w:sz w:val="18"/>
                <w:szCs w:val="18"/>
              </w:rPr>
              <w:t>ocietal</w:t>
            </w:r>
            <w:r w:rsidR="004B3A7B">
              <w:rPr>
                <w:rFonts w:asciiTheme="minorHAnsi" w:hAnsiTheme="minorHAnsi" w:cstheme="minorHAnsi"/>
                <w:sz w:val="18"/>
                <w:szCs w:val="18"/>
              </w:rPr>
              <w:br/>
              <w:t>Chronic RSD</w:t>
            </w:r>
          </w:p>
        </w:tc>
        <w:tc>
          <w:tcPr>
            <w:tcW w:w="2950" w:type="dxa"/>
            <w:gridSpan w:val="2"/>
            <w:shd w:val="clear" w:color="auto" w:fill="auto"/>
          </w:tcPr>
          <w:p w14:paraId="4702C41A" w14:textId="6D73759A" w:rsidR="0079037C" w:rsidRPr="00D22AA0" w:rsidRDefault="004F75EB" w:rsidP="00D22AA0">
            <w:pPr>
              <w:pStyle w:val="051Tabletext228pt"/>
              <w:ind w:left="-57" w:right="-57"/>
              <w:rPr>
                <w:rFonts w:asciiTheme="minorHAnsi" w:hAnsiTheme="minorHAnsi" w:cstheme="minorHAnsi"/>
                <w:sz w:val="18"/>
                <w:szCs w:val="18"/>
                <w:u w:val="single"/>
              </w:rPr>
            </w:pPr>
            <w:r w:rsidRPr="00BA644F">
              <w:rPr>
                <w:rFonts w:asciiTheme="minorHAnsi" w:hAnsiTheme="minorHAnsi" w:cstheme="minorHAnsi"/>
                <w:sz w:val="18"/>
                <w:szCs w:val="18"/>
                <w:u w:val="single"/>
              </w:rPr>
              <w:t>SCS + PT vs. PT</w:t>
            </w:r>
            <w:r>
              <w:rPr>
                <w:rFonts w:asciiTheme="minorHAnsi" w:hAnsiTheme="minorHAnsi" w:cstheme="minorHAnsi"/>
                <w:sz w:val="18"/>
                <w:szCs w:val="18"/>
              </w:rPr>
              <w:t xml:space="preserve">: </w:t>
            </w:r>
            <w:r w:rsidR="003536E6" w:rsidRPr="00D22AA0">
              <w:rPr>
                <w:rFonts w:asciiTheme="minorHAnsi" w:hAnsiTheme="minorHAnsi" w:cstheme="minorHAnsi"/>
                <w:sz w:val="18"/>
                <w:szCs w:val="18"/>
              </w:rPr>
              <w:t>€22,58</w:t>
            </w:r>
            <w:r w:rsidR="006D4C42">
              <w:rPr>
                <w:rFonts w:asciiTheme="minorHAnsi" w:hAnsiTheme="minorHAnsi" w:cstheme="minorHAnsi"/>
                <w:sz w:val="18"/>
                <w:szCs w:val="18"/>
              </w:rPr>
              <w:t>2</w:t>
            </w:r>
            <w:r w:rsidR="00B03DEF">
              <w:rPr>
                <w:rFonts w:asciiTheme="minorHAnsi" w:hAnsiTheme="minorHAnsi" w:cstheme="minorHAnsi"/>
                <w:sz w:val="18"/>
                <w:szCs w:val="18"/>
              </w:rPr>
              <w:t>/QALY</w:t>
            </w:r>
          </w:p>
        </w:tc>
        <w:tc>
          <w:tcPr>
            <w:tcW w:w="2533" w:type="dxa"/>
            <w:shd w:val="clear" w:color="auto" w:fill="auto"/>
          </w:tcPr>
          <w:p w14:paraId="75E837DC" w14:textId="6E8F1742" w:rsidR="0079037C" w:rsidRPr="00D22AA0" w:rsidRDefault="00FA39E5" w:rsidP="00D22AA0">
            <w:pPr>
              <w:pStyle w:val="051Tabletext228pt"/>
              <w:ind w:left="-57" w:right="-57"/>
              <w:rPr>
                <w:rFonts w:asciiTheme="minorHAnsi" w:hAnsiTheme="minorHAnsi" w:cstheme="minorHAnsi"/>
                <w:sz w:val="18"/>
                <w:szCs w:val="18"/>
                <w:u w:val="single"/>
              </w:rPr>
            </w:pPr>
            <w:r w:rsidRPr="00BA644F">
              <w:rPr>
                <w:rFonts w:asciiTheme="minorHAnsi" w:hAnsiTheme="minorHAnsi" w:cstheme="minorHAnsi"/>
                <w:sz w:val="18"/>
                <w:szCs w:val="18"/>
                <w:u w:val="single"/>
              </w:rPr>
              <w:t>SCS + PT vs. PT</w:t>
            </w:r>
            <w:r>
              <w:rPr>
                <w:rFonts w:asciiTheme="minorHAnsi" w:hAnsiTheme="minorHAnsi" w:cstheme="minorHAnsi"/>
                <w:sz w:val="18"/>
                <w:szCs w:val="18"/>
              </w:rPr>
              <w:t xml:space="preserve">: </w:t>
            </w:r>
            <w:r w:rsidR="0079037C" w:rsidRPr="00D22AA0">
              <w:rPr>
                <w:rFonts w:asciiTheme="minorHAnsi" w:hAnsiTheme="minorHAnsi" w:cstheme="minorHAnsi"/>
                <w:sz w:val="18"/>
                <w:szCs w:val="18"/>
              </w:rPr>
              <w:t>£28,128</w:t>
            </w:r>
            <w:r w:rsidR="00B03DEF">
              <w:rPr>
                <w:rFonts w:asciiTheme="minorHAnsi" w:hAnsiTheme="minorHAnsi" w:cstheme="minorHAnsi"/>
                <w:sz w:val="18"/>
                <w:szCs w:val="18"/>
              </w:rPr>
              <w:t>/QALY</w:t>
            </w:r>
          </w:p>
        </w:tc>
        <w:tc>
          <w:tcPr>
            <w:tcW w:w="1416" w:type="dxa"/>
            <w:shd w:val="clear" w:color="auto" w:fill="E2EFD9" w:themeFill="accent6" w:themeFillTint="33"/>
          </w:tcPr>
          <w:p w14:paraId="582CFF45" w14:textId="1CBA65E8" w:rsidR="0079037C" w:rsidRPr="00D22AA0" w:rsidRDefault="006F1E7B"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SCS </w:t>
            </w:r>
            <w:r w:rsidR="00D04FB1">
              <w:rPr>
                <w:rFonts w:asciiTheme="minorHAnsi" w:hAnsiTheme="minorHAnsi" w:cstheme="minorHAnsi"/>
                <w:sz w:val="18"/>
                <w:szCs w:val="18"/>
              </w:rPr>
              <w:t>c</w:t>
            </w:r>
            <w:r w:rsidR="003536E6" w:rsidRPr="00D22AA0">
              <w:rPr>
                <w:rFonts w:asciiTheme="minorHAnsi" w:hAnsiTheme="minorHAnsi" w:cstheme="minorHAnsi"/>
                <w:sz w:val="18"/>
                <w:szCs w:val="18"/>
              </w:rPr>
              <w:t>ost</w:t>
            </w:r>
            <w:r w:rsidR="0079037C" w:rsidRPr="00D22AA0">
              <w:rPr>
                <w:rFonts w:asciiTheme="minorHAnsi" w:hAnsiTheme="minorHAnsi" w:cstheme="minorHAnsi"/>
                <w:sz w:val="18"/>
                <w:szCs w:val="18"/>
              </w:rPr>
              <w:t xml:space="preserve"> effective</w:t>
            </w:r>
          </w:p>
        </w:tc>
      </w:tr>
      <w:tr w:rsidR="00BD6BC2" w14:paraId="24F9C50A" w14:textId="77777777" w:rsidTr="00BB1D12">
        <w:tc>
          <w:tcPr>
            <w:tcW w:w="1481" w:type="dxa"/>
            <w:gridSpan w:val="2"/>
            <w:shd w:val="clear" w:color="auto" w:fill="auto"/>
          </w:tcPr>
          <w:p w14:paraId="708C802C" w14:textId="645FA7CC" w:rsidR="00BD6BC2" w:rsidRPr="00D22AA0" w:rsidRDefault="00BD6BC2"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Klom</w:t>
            </w:r>
            <w:r w:rsidR="00545A35">
              <w:rPr>
                <w:rFonts w:asciiTheme="minorHAnsi" w:hAnsiTheme="minorHAnsi" w:cstheme="minorHAnsi"/>
                <w:sz w:val="18"/>
                <w:szCs w:val="18"/>
              </w:rPr>
              <w:t>p 2006</w:t>
            </w:r>
            <w:r w:rsidR="00545A35">
              <w:rPr>
                <w:rFonts w:asciiTheme="minorHAnsi" w:hAnsiTheme="minorHAnsi" w:cstheme="minorHAnsi"/>
                <w:sz w:val="18"/>
                <w:szCs w:val="18"/>
              </w:rPr>
              <w:br/>
              <w:t>NL</w:t>
            </w:r>
          </w:p>
        </w:tc>
        <w:tc>
          <w:tcPr>
            <w:tcW w:w="1219" w:type="dxa"/>
            <w:gridSpan w:val="3"/>
          </w:tcPr>
          <w:p w14:paraId="591DFCC3" w14:textId="7879495B" w:rsidR="00BD6BC2" w:rsidRDefault="00545A35"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2 </w:t>
            </w:r>
            <w:proofErr w:type="spellStart"/>
            <w:r>
              <w:rPr>
                <w:rFonts w:asciiTheme="minorHAnsi" w:hAnsiTheme="minorHAnsi" w:cstheme="minorHAnsi"/>
                <w:sz w:val="18"/>
                <w:szCs w:val="18"/>
              </w:rPr>
              <w:t>yrs</w:t>
            </w:r>
            <w:proofErr w:type="spellEnd"/>
            <w:r>
              <w:rPr>
                <w:rFonts w:asciiTheme="minorHAnsi" w:hAnsiTheme="minorHAnsi" w:cstheme="minorHAnsi"/>
                <w:sz w:val="18"/>
                <w:szCs w:val="18"/>
              </w:rPr>
              <w:br/>
              <w:t>Societal</w:t>
            </w:r>
            <w:r>
              <w:rPr>
                <w:rFonts w:asciiTheme="minorHAnsi" w:hAnsiTheme="minorHAnsi" w:cstheme="minorHAnsi"/>
                <w:sz w:val="18"/>
                <w:szCs w:val="18"/>
              </w:rPr>
              <w:br/>
              <w:t>CLI</w:t>
            </w:r>
          </w:p>
        </w:tc>
        <w:tc>
          <w:tcPr>
            <w:tcW w:w="2970" w:type="dxa"/>
            <w:gridSpan w:val="2"/>
            <w:shd w:val="clear" w:color="auto" w:fill="auto"/>
          </w:tcPr>
          <w:p w14:paraId="6E76AA84" w14:textId="052FB271" w:rsidR="00BD6BC2" w:rsidRPr="00BA644F" w:rsidRDefault="00FC7ED6" w:rsidP="00D22AA0">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vs. BMT</w:t>
            </w:r>
            <w:r w:rsidRPr="00434743">
              <w:rPr>
                <w:rFonts w:asciiTheme="minorHAnsi" w:hAnsiTheme="minorHAnsi" w:cstheme="minorHAnsi"/>
                <w:sz w:val="18"/>
                <w:szCs w:val="18"/>
              </w:rPr>
              <w:t xml:space="preserve">: </w:t>
            </w:r>
            <w:r w:rsidR="00AE010D" w:rsidRPr="00434743">
              <w:rPr>
                <w:rFonts w:asciiTheme="minorHAnsi" w:hAnsiTheme="minorHAnsi" w:cstheme="minorHAnsi"/>
                <w:sz w:val="18"/>
                <w:szCs w:val="18"/>
              </w:rPr>
              <w:t>NR</w:t>
            </w:r>
          </w:p>
        </w:tc>
        <w:tc>
          <w:tcPr>
            <w:tcW w:w="2552" w:type="dxa"/>
            <w:gridSpan w:val="2"/>
            <w:shd w:val="clear" w:color="auto" w:fill="auto"/>
          </w:tcPr>
          <w:p w14:paraId="59787673" w14:textId="39A50018" w:rsidR="00BD6BC2" w:rsidRPr="00BA644F" w:rsidRDefault="00FC7ED6" w:rsidP="007D189D">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vs. BMT</w:t>
            </w:r>
            <w:r w:rsidRPr="00434743">
              <w:rPr>
                <w:rFonts w:asciiTheme="minorHAnsi" w:hAnsiTheme="minorHAnsi" w:cstheme="minorHAnsi"/>
                <w:sz w:val="18"/>
                <w:szCs w:val="18"/>
              </w:rPr>
              <w:t xml:space="preserve">: </w:t>
            </w:r>
            <w:r w:rsidR="00AE010D" w:rsidRPr="00434743">
              <w:rPr>
                <w:rFonts w:asciiTheme="minorHAnsi" w:hAnsiTheme="minorHAnsi" w:cstheme="minorHAnsi"/>
                <w:sz w:val="18"/>
                <w:szCs w:val="18"/>
              </w:rPr>
              <w:t>NR</w:t>
            </w:r>
          </w:p>
        </w:tc>
        <w:tc>
          <w:tcPr>
            <w:tcW w:w="1416" w:type="dxa"/>
            <w:shd w:val="clear" w:color="auto" w:fill="FBE4D5" w:themeFill="accent2" w:themeFillTint="33"/>
          </w:tcPr>
          <w:p w14:paraId="7D64F436" w14:textId="4DB61D4A" w:rsidR="00BD6BC2" w:rsidRDefault="00AE010D" w:rsidP="007D189D">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not cost effective</w:t>
            </w:r>
          </w:p>
        </w:tc>
      </w:tr>
      <w:tr w:rsidR="00483CD3" w14:paraId="0B8D5AD4" w14:textId="77777777" w:rsidTr="00BB1D12">
        <w:tc>
          <w:tcPr>
            <w:tcW w:w="1481" w:type="dxa"/>
            <w:gridSpan w:val="2"/>
            <w:shd w:val="clear" w:color="auto" w:fill="auto"/>
          </w:tcPr>
          <w:p w14:paraId="6B375A3E" w14:textId="2AF46583" w:rsidR="00483CD3" w:rsidRDefault="00483CD3"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North 2007</w:t>
            </w:r>
            <w:r>
              <w:rPr>
                <w:rFonts w:asciiTheme="minorHAnsi" w:hAnsiTheme="minorHAnsi" w:cstheme="minorHAnsi"/>
                <w:sz w:val="18"/>
                <w:szCs w:val="18"/>
              </w:rPr>
              <w:br/>
              <w:t>USA</w:t>
            </w:r>
          </w:p>
        </w:tc>
        <w:tc>
          <w:tcPr>
            <w:tcW w:w="1219" w:type="dxa"/>
            <w:gridSpan w:val="3"/>
          </w:tcPr>
          <w:p w14:paraId="458DF8AE" w14:textId="3EBF79D2" w:rsidR="00483CD3" w:rsidRDefault="00483CD3"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3 </w:t>
            </w:r>
            <w:proofErr w:type="spellStart"/>
            <w:r>
              <w:rPr>
                <w:rFonts w:asciiTheme="minorHAnsi" w:hAnsiTheme="minorHAnsi" w:cstheme="minorHAnsi"/>
                <w:sz w:val="18"/>
                <w:szCs w:val="18"/>
              </w:rPr>
              <w:t>yrs</w:t>
            </w:r>
            <w:proofErr w:type="spellEnd"/>
            <w:r>
              <w:rPr>
                <w:rFonts w:asciiTheme="minorHAnsi" w:hAnsiTheme="minorHAnsi" w:cstheme="minorHAnsi"/>
                <w:sz w:val="18"/>
                <w:szCs w:val="18"/>
              </w:rPr>
              <w:br/>
              <w:t>Health care</w:t>
            </w:r>
            <w:r w:rsidR="00E74A37">
              <w:rPr>
                <w:rFonts w:asciiTheme="minorHAnsi" w:hAnsiTheme="minorHAnsi" w:cstheme="minorHAnsi"/>
                <w:sz w:val="18"/>
                <w:szCs w:val="18"/>
              </w:rPr>
              <w:br/>
              <w:t>FBSS</w:t>
            </w:r>
          </w:p>
        </w:tc>
        <w:tc>
          <w:tcPr>
            <w:tcW w:w="2970" w:type="dxa"/>
            <w:gridSpan w:val="2"/>
            <w:shd w:val="clear" w:color="auto" w:fill="auto"/>
          </w:tcPr>
          <w:p w14:paraId="728A044C" w14:textId="688A8B46" w:rsidR="00483CD3" w:rsidRDefault="00E74A37" w:rsidP="00D22AA0">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vs. reoperation</w:t>
            </w:r>
            <w:r w:rsidRPr="00BA644F">
              <w:rPr>
                <w:rFonts w:asciiTheme="minorHAnsi" w:hAnsiTheme="minorHAnsi" w:cstheme="minorHAnsi"/>
                <w:sz w:val="18"/>
                <w:szCs w:val="18"/>
              </w:rPr>
              <w:t xml:space="preserve">: </w:t>
            </w:r>
            <w:r w:rsidR="00EE5681">
              <w:rPr>
                <w:rFonts w:asciiTheme="minorHAnsi" w:hAnsiTheme="minorHAnsi" w:cstheme="minorHAnsi"/>
                <w:sz w:val="18"/>
                <w:szCs w:val="18"/>
              </w:rPr>
              <w:t>NR</w:t>
            </w:r>
          </w:p>
        </w:tc>
        <w:tc>
          <w:tcPr>
            <w:tcW w:w="2552" w:type="dxa"/>
            <w:gridSpan w:val="2"/>
            <w:shd w:val="clear" w:color="auto" w:fill="auto"/>
          </w:tcPr>
          <w:p w14:paraId="33D3D6B0" w14:textId="1D9D1E5C" w:rsidR="00483CD3" w:rsidRDefault="00E74A37" w:rsidP="007D189D">
            <w:pPr>
              <w:pStyle w:val="051Tabletext228pt"/>
              <w:ind w:left="-57" w:right="-57"/>
              <w:rPr>
                <w:rFonts w:asciiTheme="minorHAnsi" w:hAnsiTheme="minorHAnsi" w:cstheme="minorHAnsi"/>
                <w:sz w:val="18"/>
                <w:szCs w:val="18"/>
                <w:u w:val="single"/>
              </w:rPr>
            </w:pPr>
            <w:r>
              <w:rPr>
                <w:rFonts w:asciiTheme="minorHAnsi" w:hAnsiTheme="minorHAnsi" w:cstheme="minorHAnsi"/>
                <w:sz w:val="18"/>
                <w:szCs w:val="18"/>
                <w:u w:val="single"/>
              </w:rPr>
              <w:t>SCS vs. reoperation</w:t>
            </w:r>
            <w:r w:rsidRPr="00BA644F">
              <w:rPr>
                <w:rFonts w:asciiTheme="minorHAnsi" w:hAnsiTheme="minorHAnsi" w:cstheme="minorHAnsi"/>
                <w:sz w:val="18"/>
                <w:szCs w:val="18"/>
              </w:rPr>
              <w:t xml:space="preserve">: </w:t>
            </w:r>
            <w:r w:rsidR="00900C03">
              <w:rPr>
                <w:rFonts w:asciiTheme="minorHAnsi" w:hAnsiTheme="minorHAnsi" w:cstheme="minorHAnsi"/>
                <w:sz w:val="18"/>
                <w:szCs w:val="18"/>
              </w:rPr>
              <w:t>D</w:t>
            </w:r>
            <w:r w:rsidR="00D10B07">
              <w:rPr>
                <w:rFonts w:asciiTheme="minorHAnsi" w:hAnsiTheme="minorHAnsi" w:cstheme="minorHAnsi"/>
                <w:sz w:val="18"/>
                <w:szCs w:val="18"/>
              </w:rPr>
              <w:t>ominant</w:t>
            </w:r>
          </w:p>
        </w:tc>
        <w:tc>
          <w:tcPr>
            <w:tcW w:w="1416" w:type="dxa"/>
            <w:shd w:val="clear" w:color="auto" w:fill="A8D08D" w:themeFill="accent6" w:themeFillTint="99"/>
          </w:tcPr>
          <w:p w14:paraId="60DFFA2C" w14:textId="18A81357" w:rsidR="00483CD3" w:rsidRDefault="00D10B07" w:rsidP="007D189D">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cost saving</w:t>
            </w:r>
          </w:p>
        </w:tc>
      </w:tr>
      <w:tr w:rsidR="0079037C" w14:paraId="5DC2423A" w14:textId="77777777" w:rsidTr="00BB1D12">
        <w:tc>
          <w:tcPr>
            <w:tcW w:w="1441" w:type="dxa"/>
            <w:shd w:val="clear" w:color="auto" w:fill="auto"/>
          </w:tcPr>
          <w:p w14:paraId="74BBB2A5" w14:textId="32C0A863" w:rsidR="0079037C" w:rsidRPr="00D22AA0" w:rsidRDefault="0079037C" w:rsidP="00D22AA0">
            <w:pPr>
              <w:pStyle w:val="051Tabletext228pt"/>
              <w:ind w:left="-57" w:right="-57"/>
              <w:rPr>
                <w:rFonts w:asciiTheme="minorHAnsi" w:hAnsiTheme="minorHAnsi" w:cstheme="minorHAnsi"/>
                <w:sz w:val="18"/>
                <w:szCs w:val="18"/>
              </w:rPr>
            </w:pPr>
            <w:proofErr w:type="spellStart"/>
            <w:r w:rsidRPr="00D22AA0">
              <w:rPr>
                <w:rFonts w:asciiTheme="minorHAnsi" w:hAnsiTheme="minorHAnsi" w:cstheme="minorHAnsi"/>
                <w:sz w:val="18"/>
                <w:szCs w:val="18"/>
              </w:rPr>
              <w:t>Slangen</w:t>
            </w:r>
            <w:proofErr w:type="spellEnd"/>
            <w:r w:rsidRPr="00D22AA0">
              <w:rPr>
                <w:rFonts w:asciiTheme="minorHAnsi" w:hAnsiTheme="minorHAnsi" w:cstheme="minorHAnsi"/>
                <w:sz w:val="18"/>
                <w:szCs w:val="18"/>
              </w:rPr>
              <w:t xml:space="preserve"> 2017</w:t>
            </w:r>
            <w:r w:rsidRPr="00D22AA0">
              <w:rPr>
                <w:rFonts w:asciiTheme="minorHAnsi" w:hAnsiTheme="minorHAnsi" w:cstheme="minorHAnsi"/>
                <w:sz w:val="18"/>
                <w:szCs w:val="18"/>
              </w:rPr>
              <w:br/>
            </w:r>
            <w:r w:rsidR="00C24E3C" w:rsidRPr="00D22AA0">
              <w:rPr>
                <w:rFonts w:asciiTheme="minorHAnsi" w:hAnsiTheme="minorHAnsi" w:cstheme="minorHAnsi"/>
                <w:sz w:val="18"/>
                <w:szCs w:val="18"/>
              </w:rPr>
              <w:t>NL</w:t>
            </w:r>
          </w:p>
        </w:tc>
        <w:tc>
          <w:tcPr>
            <w:tcW w:w="1298" w:type="dxa"/>
            <w:gridSpan w:val="5"/>
          </w:tcPr>
          <w:p w14:paraId="238CD22A" w14:textId="1B9EA8A9" w:rsidR="00503CCF" w:rsidRPr="004C6F2F" w:rsidRDefault="00503CCF" w:rsidP="00D22AA0">
            <w:pPr>
              <w:pStyle w:val="051Tabletext228pt"/>
              <w:ind w:left="-57" w:right="-57"/>
              <w:rPr>
                <w:rFonts w:asciiTheme="minorHAnsi" w:hAnsiTheme="minorHAnsi" w:cstheme="minorHAnsi"/>
                <w:sz w:val="18"/>
                <w:szCs w:val="18"/>
              </w:rPr>
            </w:pPr>
            <w:r w:rsidRPr="004C6F2F">
              <w:rPr>
                <w:rFonts w:asciiTheme="minorHAnsi" w:hAnsiTheme="minorHAnsi" w:cstheme="minorHAnsi"/>
                <w:sz w:val="18"/>
                <w:szCs w:val="18"/>
              </w:rPr>
              <w:t xml:space="preserve">1 </w:t>
            </w:r>
            <w:proofErr w:type="spellStart"/>
            <w:r w:rsidRPr="004C6F2F">
              <w:rPr>
                <w:rFonts w:asciiTheme="minorHAnsi" w:hAnsiTheme="minorHAnsi" w:cstheme="minorHAnsi"/>
                <w:sz w:val="18"/>
                <w:szCs w:val="18"/>
              </w:rPr>
              <w:t>yr</w:t>
            </w:r>
            <w:proofErr w:type="spellEnd"/>
            <w:r w:rsidR="00F10E62" w:rsidRPr="004C6F2F">
              <w:rPr>
                <w:rFonts w:asciiTheme="minorHAnsi" w:hAnsiTheme="minorHAnsi" w:cstheme="minorHAnsi"/>
                <w:sz w:val="18"/>
                <w:szCs w:val="18"/>
              </w:rPr>
              <w:br/>
            </w:r>
            <w:r w:rsidR="00D63A53">
              <w:rPr>
                <w:rFonts w:asciiTheme="minorHAnsi" w:hAnsiTheme="minorHAnsi" w:cstheme="minorHAnsi"/>
                <w:sz w:val="18"/>
                <w:szCs w:val="18"/>
              </w:rPr>
              <w:t>S</w:t>
            </w:r>
            <w:r w:rsidR="004B237F" w:rsidRPr="004C6F2F">
              <w:rPr>
                <w:rFonts w:asciiTheme="minorHAnsi" w:hAnsiTheme="minorHAnsi" w:cstheme="minorHAnsi"/>
                <w:sz w:val="18"/>
                <w:szCs w:val="18"/>
              </w:rPr>
              <w:t>ocietal; health care</w:t>
            </w:r>
            <w:r w:rsidR="008F3AB0">
              <w:rPr>
                <w:rFonts w:asciiTheme="minorHAnsi" w:hAnsiTheme="minorHAnsi" w:cstheme="minorHAnsi"/>
                <w:sz w:val="18"/>
                <w:szCs w:val="18"/>
              </w:rPr>
              <w:br/>
            </w:r>
            <w:r w:rsidR="00AE7D8A">
              <w:rPr>
                <w:rFonts w:asciiTheme="minorHAnsi" w:hAnsiTheme="minorHAnsi" w:cstheme="minorHAnsi"/>
                <w:sz w:val="18"/>
                <w:szCs w:val="18"/>
              </w:rPr>
              <w:t>PDPN</w:t>
            </w:r>
          </w:p>
        </w:tc>
        <w:tc>
          <w:tcPr>
            <w:tcW w:w="2950" w:type="dxa"/>
            <w:gridSpan w:val="2"/>
            <w:shd w:val="clear" w:color="auto" w:fill="auto"/>
          </w:tcPr>
          <w:p w14:paraId="2493D2AF" w14:textId="06B797AE" w:rsidR="000B16B1" w:rsidRDefault="0079037C"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Societal perspective</w:t>
            </w:r>
            <w:r w:rsidR="00334AA7">
              <w:rPr>
                <w:rFonts w:asciiTheme="minorHAnsi" w:hAnsiTheme="minorHAnsi" w:cstheme="minorHAnsi"/>
                <w:sz w:val="18"/>
                <w:szCs w:val="18"/>
              </w:rPr>
              <w:br/>
            </w:r>
            <w:r w:rsidR="00334AA7" w:rsidRPr="00BA644F">
              <w:rPr>
                <w:rFonts w:asciiTheme="minorHAnsi" w:hAnsiTheme="minorHAnsi" w:cstheme="minorHAnsi"/>
                <w:sz w:val="18"/>
                <w:szCs w:val="18"/>
                <w:u w:val="single"/>
              </w:rPr>
              <w:t xml:space="preserve">SCS + </w:t>
            </w:r>
            <w:r w:rsidR="00334AA7">
              <w:rPr>
                <w:rFonts w:asciiTheme="minorHAnsi" w:hAnsiTheme="minorHAnsi" w:cstheme="minorHAnsi"/>
                <w:sz w:val="18"/>
                <w:szCs w:val="18"/>
                <w:u w:val="single"/>
              </w:rPr>
              <w:t>BMT</w:t>
            </w:r>
            <w:r w:rsidR="00334AA7" w:rsidRPr="00BA644F">
              <w:rPr>
                <w:rFonts w:asciiTheme="minorHAnsi" w:hAnsiTheme="minorHAnsi" w:cstheme="minorHAnsi"/>
                <w:sz w:val="18"/>
                <w:szCs w:val="18"/>
                <w:u w:val="single"/>
              </w:rPr>
              <w:t xml:space="preserve"> vs. </w:t>
            </w:r>
            <w:r w:rsidR="00334AA7">
              <w:rPr>
                <w:rFonts w:asciiTheme="minorHAnsi" w:hAnsiTheme="minorHAnsi" w:cstheme="minorHAnsi"/>
                <w:sz w:val="18"/>
                <w:szCs w:val="18"/>
                <w:u w:val="single"/>
              </w:rPr>
              <w:t>BMT</w:t>
            </w:r>
            <w:r w:rsidR="00334AA7">
              <w:rPr>
                <w:rFonts w:asciiTheme="minorHAnsi" w:hAnsiTheme="minorHAnsi" w:cstheme="minorHAnsi"/>
                <w:sz w:val="18"/>
                <w:szCs w:val="18"/>
              </w:rPr>
              <w:t xml:space="preserve">: </w:t>
            </w:r>
            <w:r w:rsidRPr="00D22AA0">
              <w:rPr>
                <w:rFonts w:asciiTheme="minorHAnsi" w:hAnsiTheme="minorHAnsi" w:cstheme="minorHAnsi"/>
                <w:sz w:val="18"/>
                <w:szCs w:val="18"/>
              </w:rPr>
              <w:t>€94,</w:t>
            </w:r>
            <w:r w:rsidR="00D5442E" w:rsidRPr="00D22AA0">
              <w:rPr>
                <w:rFonts w:asciiTheme="minorHAnsi" w:hAnsiTheme="minorHAnsi" w:cstheme="minorHAnsi"/>
                <w:sz w:val="18"/>
                <w:szCs w:val="18"/>
              </w:rPr>
              <w:t>1</w:t>
            </w:r>
            <w:r w:rsidR="00D5442E">
              <w:rPr>
                <w:rFonts w:asciiTheme="minorHAnsi" w:hAnsiTheme="minorHAnsi" w:cstheme="minorHAnsi"/>
                <w:sz w:val="18"/>
                <w:szCs w:val="18"/>
              </w:rPr>
              <w:t>60</w:t>
            </w:r>
            <w:r w:rsidR="00FD496A">
              <w:rPr>
                <w:rFonts w:asciiTheme="minorHAnsi" w:hAnsiTheme="minorHAnsi" w:cstheme="minorHAnsi"/>
                <w:sz w:val="18"/>
                <w:szCs w:val="18"/>
              </w:rPr>
              <w:t>/QALY</w:t>
            </w:r>
          </w:p>
          <w:p w14:paraId="146AE6A3" w14:textId="766FD482" w:rsidR="0079037C" w:rsidRPr="00D22AA0" w:rsidRDefault="0079037C"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Health care perspective</w:t>
            </w:r>
            <w:r w:rsidR="00334AA7">
              <w:rPr>
                <w:rFonts w:asciiTheme="minorHAnsi" w:hAnsiTheme="minorHAnsi" w:cstheme="minorHAnsi"/>
                <w:sz w:val="18"/>
                <w:szCs w:val="18"/>
              </w:rPr>
              <w:br/>
            </w:r>
            <w:r w:rsidR="00334AA7" w:rsidRPr="00BA644F">
              <w:rPr>
                <w:rFonts w:asciiTheme="minorHAnsi" w:hAnsiTheme="minorHAnsi" w:cstheme="minorHAnsi"/>
                <w:sz w:val="18"/>
                <w:szCs w:val="18"/>
                <w:u w:val="single"/>
              </w:rPr>
              <w:t xml:space="preserve">SCS + </w:t>
            </w:r>
            <w:r w:rsidR="00334AA7">
              <w:rPr>
                <w:rFonts w:asciiTheme="minorHAnsi" w:hAnsiTheme="minorHAnsi" w:cstheme="minorHAnsi"/>
                <w:sz w:val="18"/>
                <w:szCs w:val="18"/>
                <w:u w:val="single"/>
              </w:rPr>
              <w:t>BMT</w:t>
            </w:r>
            <w:r w:rsidR="00334AA7" w:rsidRPr="00BA644F">
              <w:rPr>
                <w:rFonts w:asciiTheme="minorHAnsi" w:hAnsiTheme="minorHAnsi" w:cstheme="minorHAnsi"/>
                <w:sz w:val="18"/>
                <w:szCs w:val="18"/>
                <w:u w:val="single"/>
              </w:rPr>
              <w:t xml:space="preserve"> vs. </w:t>
            </w:r>
            <w:r w:rsidR="00334AA7">
              <w:rPr>
                <w:rFonts w:asciiTheme="minorHAnsi" w:hAnsiTheme="minorHAnsi" w:cstheme="minorHAnsi"/>
                <w:sz w:val="18"/>
                <w:szCs w:val="18"/>
                <w:u w:val="single"/>
              </w:rPr>
              <w:t>BMT</w:t>
            </w:r>
            <w:r w:rsidR="00334AA7">
              <w:rPr>
                <w:rFonts w:asciiTheme="minorHAnsi" w:hAnsiTheme="minorHAnsi" w:cstheme="minorHAnsi"/>
                <w:sz w:val="18"/>
                <w:szCs w:val="18"/>
              </w:rPr>
              <w:t>:</w:t>
            </w:r>
            <w:r w:rsidR="000B16B1">
              <w:rPr>
                <w:rFonts w:asciiTheme="minorHAnsi" w:hAnsiTheme="minorHAnsi" w:cstheme="minorHAnsi"/>
                <w:sz w:val="18"/>
                <w:szCs w:val="18"/>
              </w:rPr>
              <w:t xml:space="preserve"> </w:t>
            </w:r>
            <w:r w:rsidRPr="00D22AA0">
              <w:rPr>
                <w:rFonts w:asciiTheme="minorHAnsi" w:hAnsiTheme="minorHAnsi" w:cstheme="minorHAnsi"/>
                <w:sz w:val="18"/>
                <w:szCs w:val="18"/>
              </w:rPr>
              <w:t>€34,</w:t>
            </w:r>
            <w:r w:rsidR="003536E6" w:rsidRPr="00D22AA0">
              <w:rPr>
                <w:rFonts w:asciiTheme="minorHAnsi" w:hAnsiTheme="minorHAnsi" w:cstheme="minorHAnsi"/>
                <w:sz w:val="18"/>
                <w:szCs w:val="18"/>
              </w:rPr>
              <w:t>51</w:t>
            </w:r>
            <w:r w:rsidR="00D5442E">
              <w:rPr>
                <w:rFonts w:asciiTheme="minorHAnsi" w:hAnsiTheme="minorHAnsi" w:cstheme="minorHAnsi"/>
                <w:sz w:val="18"/>
                <w:szCs w:val="18"/>
              </w:rPr>
              <w:t>9</w:t>
            </w:r>
            <w:r w:rsidR="0025575A">
              <w:rPr>
                <w:rFonts w:asciiTheme="minorHAnsi" w:hAnsiTheme="minorHAnsi" w:cstheme="minorHAnsi"/>
                <w:sz w:val="18"/>
                <w:szCs w:val="18"/>
              </w:rPr>
              <w:t xml:space="preserve">/ successfully treated </w:t>
            </w:r>
            <w:proofErr w:type="spellStart"/>
            <w:r w:rsidR="0025575A">
              <w:rPr>
                <w:rFonts w:asciiTheme="minorHAnsi" w:hAnsiTheme="minorHAnsi" w:cstheme="minorHAnsi"/>
                <w:sz w:val="18"/>
                <w:szCs w:val="18"/>
              </w:rPr>
              <w:t>patient</w:t>
            </w:r>
            <w:r w:rsidR="00A74518" w:rsidRPr="00434743">
              <w:rPr>
                <w:rFonts w:asciiTheme="minorHAnsi" w:hAnsiTheme="minorHAnsi" w:cstheme="minorHAnsi"/>
                <w:sz w:val="18"/>
                <w:szCs w:val="18"/>
                <w:vertAlign w:val="superscript"/>
              </w:rPr>
              <w:t>c</w:t>
            </w:r>
            <w:proofErr w:type="spellEnd"/>
          </w:p>
        </w:tc>
        <w:tc>
          <w:tcPr>
            <w:tcW w:w="2533" w:type="dxa"/>
            <w:shd w:val="clear" w:color="auto" w:fill="auto"/>
          </w:tcPr>
          <w:p w14:paraId="6816C367" w14:textId="7232FA6B" w:rsidR="000B16B1" w:rsidRDefault="0079037C"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u w:val="single"/>
              </w:rPr>
              <w:t>Societal perspective</w:t>
            </w:r>
            <w:r w:rsidR="000B16B1">
              <w:rPr>
                <w:rFonts w:asciiTheme="minorHAnsi" w:hAnsiTheme="minorHAnsi" w:cstheme="minorHAnsi"/>
                <w:sz w:val="18"/>
                <w:szCs w:val="18"/>
                <w:u w:val="single"/>
              </w:rPr>
              <w:br/>
            </w:r>
            <w:r w:rsidR="000B16B1" w:rsidRPr="00BA644F">
              <w:rPr>
                <w:rFonts w:asciiTheme="minorHAnsi" w:hAnsiTheme="minorHAnsi" w:cstheme="minorHAnsi"/>
                <w:sz w:val="18"/>
                <w:szCs w:val="18"/>
                <w:u w:val="single"/>
              </w:rPr>
              <w:t xml:space="preserve">SCS + </w:t>
            </w:r>
            <w:r w:rsidR="000B16B1">
              <w:rPr>
                <w:rFonts w:asciiTheme="minorHAnsi" w:hAnsiTheme="minorHAnsi" w:cstheme="minorHAnsi"/>
                <w:sz w:val="18"/>
                <w:szCs w:val="18"/>
                <w:u w:val="single"/>
              </w:rPr>
              <w:t>BMT</w:t>
            </w:r>
            <w:r w:rsidR="000B16B1" w:rsidRPr="00BA644F">
              <w:rPr>
                <w:rFonts w:asciiTheme="minorHAnsi" w:hAnsiTheme="minorHAnsi" w:cstheme="minorHAnsi"/>
                <w:sz w:val="18"/>
                <w:szCs w:val="18"/>
                <w:u w:val="single"/>
              </w:rPr>
              <w:t xml:space="preserve"> vs. </w:t>
            </w:r>
            <w:r w:rsidR="000B16B1">
              <w:rPr>
                <w:rFonts w:asciiTheme="minorHAnsi" w:hAnsiTheme="minorHAnsi" w:cstheme="minorHAnsi"/>
                <w:sz w:val="18"/>
                <w:szCs w:val="18"/>
                <w:u w:val="single"/>
              </w:rPr>
              <w:t>BMT</w:t>
            </w:r>
            <w:r w:rsidR="000B16B1">
              <w:rPr>
                <w:rFonts w:asciiTheme="minorHAnsi" w:hAnsiTheme="minorHAnsi" w:cstheme="minorHAnsi"/>
                <w:sz w:val="18"/>
                <w:szCs w:val="18"/>
              </w:rPr>
              <w:t xml:space="preserve">: </w:t>
            </w:r>
            <w:r w:rsidRPr="00D22AA0">
              <w:rPr>
                <w:rFonts w:asciiTheme="minorHAnsi" w:hAnsiTheme="minorHAnsi" w:cstheme="minorHAnsi"/>
                <w:sz w:val="18"/>
                <w:szCs w:val="18"/>
              </w:rPr>
              <w:t>£89,173</w:t>
            </w:r>
            <w:r w:rsidR="00DB5D0F">
              <w:rPr>
                <w:rFonts w:asciiTheme="minorHAnsi" w:hAnsiTheme="minorHAnsi" w:cstheme="minorHAnsi"/>
                <w:sz w:val="18"/>
                <w:szCs w:val="18"/>
              </w:rPr>
              <w:t>/QALY</w:t>
            </w:r>
          </w:p>
          <w:p w14:paraId="641EBA14" w14:textId="6A111CCB" w:rsidR="0079037C" w:rsidRPr="00D22AA0" w:rsidRDefault="0079037C" w:rsidP="00D22AA0">
            <w:pPr>
              <w:pStyle w:val="051Tabletext228pt"/>
              <w:ind w:left="-57" w:right="-57"/>
              <w:rPr>
                <w:rFonts w:asciiTheme="minorHAnsi" w:hAnsiTheme="minorHAnsi" w:cstheme="minorHAnsi"/>
                <w:sz w:val="18"/>
                <w:szCs w:val="18"/>
                <w:u w:val="single"/>
              </w:rPr>
            </w:pPr>
            <w:r w:rsidRPr="00D22AA0">
              <w:rPr>
                <w:rFonts w:asciiTheme="minorHAnsi" w:hAnsiTheme="minorHAnsi" w:cstheme="minorHAnsi"/>
                <w:sz w:val="18"/>
                <w:szCs w:val="18"/>
                <w:u w:val="single"/>
              </w:rPr>
              <w:t>Health care perspective</w:t>
            </w:r>
            <w:r w:rsidR="000B16B1">
              <w:rPr>
                <w:rFonts w:asciiTheme="minorHAnsi" w:hAnsiTheme="minorHAnsi" w:cstheme="minorHAnsi"/>
                <w:sz w:val="18"/>
                <w:szCs w:val="18"/>
                <w:u w:val="single"/>
              </w:rPr>
              <w:br/>
            </w:r>
            <w:r w:rsidR="000B16B1" w:rsidRPr="00BA644F">
              <w:rPr>
                <w:rFonts w:asciiTheme="minorHAnsi" w:hAnsiTheme="minorHAnsi" w:cstheme="minorHAnsi"/>
                <w:sz w:val="18"/>
                <w:szCs w:val="18"/>
                <w:u w:val="single"/>
              </w:rPr>
              <w:t xml:space="preserve">SCS + </w:t>
            </w:r>
            <w:r w:rsidR="000B16B1">
              <w:rPr>
                <w:rFonts w:asciiTheme="minorHAnsi" w:hAnsiTheme="minorHAnsi" w:cstheme="minorHAnsi"/>
                <w:sz w:val="18"/>
                <w:szCs w:val="18"/>
                <w:u w:val="single"/>
              </w:rPr>
              <w:t>BMT</w:t>
            </w:r>
            <w:r w:rsidR="000B16B1" w:rsidRPr="00BA644F">
              <w:rPr>
                <w:rFonts w:asciiTheme="minorHAnsi" w:hAnsiTheme="minorHAnsi" w:cstheme="minorHAnsi"/>
                <w:sz w:val="18"/>
                <w:szCs w:val="18"/>
                <w:u w:val="single"/>
              </w:rPr>
              <w:t xml:space="preserve"> vs. </w:t>
            </w:r>
            <w:r w:rsidR="000B16B1">
              <w:rPr>
                <w:rFonts w:asciiTheme="minorHAnsi" w:hAnsiTheme="minorHAnsi" w:cstheme="minorHAnsi"/>
                <w:sz w:val="18"/>
                <w:szCs w:val="18"/>
                <w:u w:val="single"/>
              </w:rPr>
              <w:t>BMT</w:t>
            </w:r>
            <w:r w:rsidR="000B16B1">
              <w:rPr>
                <w:rFonts w:asciiTheme="minorHAnsi" w:hAnsiTheme="minorHAnsi" w:cstheme="minorHAnsi"/>
                <w:sz w:val="18"/>
                <w:szCs w:val="18"/>
              </w:rPr>
              <w:t xml:space="preserve">: </w:t>
            </w:r>
            <w:r w:rsidRPr="00D22AA0">
              <w:rPr>
                <w:rFonts w:asciiTheme="minorHAnsi" w:hAnsiTheme="minorHAnsi" w:cstheme="minorHAnsi"/>
                <w:sz w:val="18"/>
                <w:szCs w:val="18"/>
              </w:rPr>
              <w:t>£32,691</w:t>
            </w:r>
            <w:r w:rsidR="00274020">
              <w:rPr>
                <w:rFonts w:asciiTheme="minorHAnsi" w:hAnsiTheme="minorHAnsi" w:cstheme="minorHAnsi"/>
                <w:sz w:val="18"/>
                <w:szCs w:val="18"/>
              </w:rPr>
              <w:t xml:space="preserve">/ successfully treated </w:t>
            </w:r>
            <w:proofErr w:type="spellStart"/>
            <w:r w:rsidR="00274020">
              <w:rPr>
                <w:rFonts w:asciiTheme="minorHAnsi" w:hAnsiTheme="minorHAnsi" w:cstheme="minorHAnsi"/>
                <w:sz w:val="18"/>
                <w:szCs w:val="18"/>
              </w:rPr>
              <w:t>patient</w:t>
            </w:r>
            <w:r w:rsidR="00A74518" w:rsidRPr="00434743">
              <w:rPr>
                <w:rFonts w:asciiTheme="minorHAnsi" w:hAnsiTheme="minorHAnsi" w:cstheme="minorHAnsi"/>
                <w:sz w:val="18"/>
                <w:szCs w:val="18"/>
                <w:vertAlign w:val="superscript"/>
              </w:rPr>
              <w:t>c</w:t>
            </w:r>
            <w:proofErr w:type="spellEnd"/>
          </w:p>
        </w:tc>
        <w:tc>
          <w:tcPr>
            <w:tcW w:w="1416" w:type="dxa"/>
            <w:shd w:val="clear" w:color="auto" w:fill="FBE4D5" w:themeFill="accent2" w:themeFillTint="33"/>
          </w:tcPr>
          <w:p w14:paraId="09D57A52" w14:textId="47E936EA" w:rsidR="0079037C" w:rsidRPr="00D22AA0" w:rsidRDefault="00D04FB1"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n</w:t>
            </w:r>
            <w:r w:rsidR="0079037C" w:rsidRPr="00D22AA0">
              <w:rPr>
                <w:rFonts w:asciiTheme="minorHAnsi" w:hAnsiTheme="minorHAnsi" w:cstheme="minorHAnsi"/>
                <w:sz w:val="18"/>
                <w:szCs w:val="18"/>
              </w:rPr>
              <w:t>ot cost effective</w:t>
            </w:r>
          </w:p>
        </w:tc>
      </w:tr>
      <w:tr w:rsidR="007035CD" w14:paraId="7370A0BC" w14:textId="77777777" w:rsidTr="00BB1D12">
        <w:tc>
          <w:tcPr>
            <w:tcW w:w="1441" w:type="dxa"/>
            <w:shd w:val="clear" w:color="auto" w:fill="auto"/>
          </w:tcPr>
          <w:p w14:paraId="57D3D0EF" w14:textId="2E613A3C" w:rsidR="007035CD" w:rsidRPr="00D22AA0" w:rsidRDefault="007035CD" w:rsidP="00D22AA0">
            <w:pPr>
              <w:pStyle w:val="051Tabletext228pt"/>
              <w:ind w:left="-57" w:right="-57"/>
              <w:rPr>
                <w:rFonts w:asciiTheme="minorHAnsi" w:hAnsiTheme="minorHAnsi" w:cstheme="minorHAnsi"/>
                <w:sz w:val="18"/>
                <w:szCs w:val="18"/>
              </w:rPr>
            </w:pPr>
            <w:r w:rsidRPr="00D22AA0">
              <w:rPr>
                <w:rFonts w:asciiTheme="minorHAnsi" w:hAnsiTheme="minorHAnsi" w:cstheme="minorHAnsi"/>
                <w:sz w:val="18"/>
                <w:szCs w:val="18"/>
              </w:rPr>
              <w:t>Taylor 2005</w:t>
            </w:r>
            <w:r w:rsidRPr="00D22AA0">
              <w:rPr>
                <w:rFonts w:asciiTheme="minorHAnsi" w:hAnsiTheme="minorHAnsi" w:cstheme="minorHAnsi"/>
                <w:sz w:val="18"/>
                <w:szCs w:val="18"/>
              </w:rPr>
              <w:br/>
              <w:t>UK</w:t>
            </w:r>
          </w:p>
        </w:tc>
        <w:tc>
          <w:tcPr>
            <w:tcW w:w="1298" w:type="dxa"/>
            <w:gridSpan w:val="5"/>
          </w:tcPr>
          <w:p w14:paraId="753D771D" w14:textId="6520EA2C" w:rsidR="00503CCF" w:rsidRDefault="00503CCF"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 xml:space="preserve">2 </w:t>
            </w:r>
            <w:proofErr w:type="spellStart"/>
            <w:r>
              <w:rPr>
                <w:rFonts w:asciiTheme="minorHAnsi" w:hAnsiTheme="minorHAnsi" w:cstheme="minorHAnsi"/>
                <w:sz w:val="18"/>
                <w:szCs w:val="18"/>
              </w:rPr>
              <w:t>yrs</w:t>
            </w:r>
            <w:proofErr w:type="spellEnd"/>
            <w:r w:rsidR="005D3A47">
              <w:rPr>
                <w:rFonts w:asciiTheme="minorHAnsi" w:hAnsiTheme="minorHAnsi" w:cstheme="minorHAnsi"/>
                <w:sz w:val="18"/>
                <w:szCs w:val="18"/>
              </w:rPr>
              <w:br/>
            </w:r>
            <w:r w:rsidR="00D63A53">
              <w:rPr>
                <w:rFonts w:asciiTheme="minorHAnsi" w:hAnsiTheme="minorHAnsi" w:cstheme="minorHAnsi"/>
                <w:sz w:val="18"/>
                <w:szCs w:val="18"/>
              </w:rPr>
              <w:t>H</w:t>
            </w:r>
            <w:r w:rsidR="005D3A47">
              <w:rPr>
                <w:rFonts w:asciiTheme="minorHAnsi" w:hAnsiTheme="minorHAnsi" w:cstheme="minorHAnsi"/>
                <w:sz w:val="18"/>
                <w:szCs w:val="18"/>
              </w:rPr>
              <w:t>ealth care</w:t>
            </w:r>
            <w:r w:rsidR="00046B22">
              <w:rPr>
                <w:rFonts w:asciiTheme="minorHAnsi" w:hAnsiTheme="minorHAnsi" w:cstheme="minorHAnsi"/>
                <w:sz w:val="18"/>
                <w:szCs w:val="18"/>
              </w:rPr>
              <w:br/>
              <w:t>FBSS</w:t>
            </w:r>
          </w:p>
        </w:tc>
        <w:tc>
          <w:tcPr>
            <w:tcW w:w="2950" w:type="dxa"/>
            <w:gridSpan w:val="2"/>
            <w:shd w:val="clear" w:color="auto" w:fill="auto"/>
          </w:tcPr>
          <w:p w14:paraId="74034081" w14:textId="12B46E27" w:rsidR="007035CD" w:rsidRPr="00D22AA0" w:rsidRDefault="00D610DE" w:rsidP="00D22AA0">
            <w:pPr>
              <w:pStyle w:val="051Tabletext228pt"/>
              <w:ind w:left="-57" w:right="-57"/>
              <w:rPr>
                <w:rFonts w:asciiTheme="minorHAnsi" w:hAnsiTheme="minorHAnsi" w:cstheme="minorHAnsi"/>
                <w:sz w:val="18"/>
                <w:szCs w:val="18"/>
                <w:u w:val="single"/>
              </w:rPr>
            </w:pPr>
            <w:r w:rsidRPr="00BA644F">
              <w:rPr>
                <w:rFonts w:asciiTheme="minorHAnsi" w:hAnsiTheme="minorHAnsi" w:cstheme="minorHAnsi"/>
                <w:sz w:val="18"/>
                <w:szCs w:val="18"/>
                <w:u w:val="single"/>
              </w:rPr>
              <w:t>SCS</w:t>
            </w:r>
            <w:r>
              <w:rPr>
                <w:rFonts w:asciiTheme="minorHAnsi" w:hAnsiTheme="minorHAnsi" w:cstheme="minorHAnsi"/>
                <w:sz w:val="18"/>
                <w:szCs w:val="18"/>
                <w:u w:val="single"/>
              </w:rPr>
              <w:t xml:space="preserve"> </w:t>
            </w:r>
            <w:r w:rsidRPr="00BA644F">
              <w:rPr>
                <w:rFonts w:asciiTheme="minorHAnsi" w:hAnsiTheme="minorHAnsi" w:cstheme="minorHAnsi"/>
                <w:sz w:val="18"/>
                <w:szCs w:val="18"/>
                <w:u w:val="single"/>
              </w:rPr>
              <w:t xml:space="preserve">vs. </w:t>
            </w:r>
            <w:r>
              <w:rPr>
                <w:rFonts w:asciiTheme="minorHAnsi" w:hAnsiTheme="minorHAnsi" w:cstheme="minorHAnsi"/>
                <w:sz w:val="18"/>
                <w:szCs w:val="18"/>
                <w:u w:val="single"/>
              </w:rPr>
              <w:t>CMM</w:t>
            </w:r>
            <w:r>
              <w:rPr>
                <w:rFonts w:asciiTheme="minorHAnsi" w:hAnsiTheme="minorHAnsi" w:cstheme="minorHAnsi"/>
                <w:sz w:val="18"/>
                <w:szCs w:val="18"/>
              </w:rPr>
              <w:t xml:space="preserve">: </w:t>
            </w:r>
            <w:r w:rsidR="007035CD" w:rsidRPr="00D22AA0">
              <w:rPr>
                <w:rFonts w:asciiTheme="minorHAnsi" w:hAnsiTheme="minorHAnsi" w:cstheme="minorHAnsi"/>
                <w:sz w:val="18"/>
                <w:szCs w:val="18"/>
              </w:rPr>
              <w:t>€45,819</w:t>
            </w:r>
            <w:r w:rsidR="00061530">
              <w:rPr>
                <w:rFonts w:asciiTheme="minorHAnsi" w:hAnsiTheme="minorHAnsi" w:cstheme="minorHAnsi"/>
                <w:sz w:val="18"/>
                <w:szCs w:val="18"/>
              </w:rPr>
              <w:t>/QALY</w:t>
            </w:r>
          </w:p>
        </w:tc>
        <w:tc>
          <w:tcPr>
            <w:tcW w:w="2533" w:type="dxa"/>
            <w:shd w:val="clear" w:color="auto" w:fill="auto"/>
          </w:tcPr>
          <w:p w14:paraId="3BCE9358" w14:textId="31FFFEEB" w:rsidR="007035CD" w:rsidRPr="00D22AA0" w:rsidRDefault="00D610DE" w:rsidP="00D22AA0">
            <w:pPr>
              <w:pStyle w:val="051Tabletext228pt"/>
              <w:ind w:left="-57" w:right="-57"/>
              <w:rPr>
                <w:rFonts w:asciiTheme="minorHAnsi" w:hAnsiTheme="minorHAnsi" w:cstheme="minorHAnsi"/>
                <w:sz w:val="18"/>
                <w:szCs w:val="18"/>
                <w:u w:val="single"/>
              </w:rPr>
            </w:pPr>
            <w:r w:rsidRPr="00BA644F">
              <w:rPr>
                <w:rFonts w:asciiTheme="minorHAnsi" w:hAnsiTheme="minorHAnsi" w:cstheme="minorHAnsi"/>
                <w:sz w:val="18"/>
                <w:szCs w:val="18"/>
                <w:u w:val="single"/>
              </w:rPr>
              <w:t>SCS</w:t>
            </w:r>
            <w:r>
              <w:rPr>
                <w:rFonts w:asciiTheme="minorHAnsi" w:hAnsiTheme="minorHAnsi" w:cstheme="minorHAnsi"/>
                <w:sz w:val="18"/>
                <w:szCs w:val="18"/>
                <w:u w:val="single"/>
              </w:rPr>
              <w:t xml:space="preserve"> </w:t>
            </w:r>
            <w:r w:rsidRPr="00BA644F">
              <w:rPr>
                <w:rFonts w:asciiTheme="minorHAnsi" w:hAnsiTheme="minorHAnsi" w:cstheme="minorHAnsi"/>
                <w:sz w:val="18"/>
                <w:szCs w:val="18"/>
                <w:u w:val="single"/>
              </w:rPr>
              <w:t xml:space="preserve">vs. </w:t>
            </w:r>
            <w:r>
              <w:rPr>
                <w:rFonts w:asciiTheme="minorHAnsi" w:hAnsiTheme="minorHAnsi" w:cstheme="minorHAnsi"/>
                <w:sz w:val="18"/>
                <w:szCs w:val="18"/>
                <w:u w:val="single"/>
              </w:rPr>
              <w:t>CMM</w:t>
            </w:r>
            <w:r>
              <w:rPr>
                <w:rFonts w:asciiTheme="minorHAnsi" w:hAnsiTheme="minorHAnsi" w:cstheme="minorHAnsi"/>
                <w:sz w:val="18"/>
                <w:szCs w:val="18"/>
              </w:rPr>
              <w:t xml:space="preserve">: </w:t>
            </w:r>
            <w:r w:rsidR="007035CD" w:rsidRPr="00D22AA0">
              <w:rPr>
                <w:rFonts w:asciiTheme="minorHAnsi" w:hAnsiTheme="minorHAnsi" w:cstheme="minorHAnsi"/>
                <w:sz w:val="18"/>
                <w:szCs w:val="18"/>
              </w:rPr>
              <w:t>£49,151</w:t>
            </w:r>
            <w:r w:rsidR="00061530">
              <w:rPr>
                <w:rFonts w:asciiTheme="minorHAnsi" w:hAnsiTheme="minorHAnsi" w:cstheme="minorHAnsi"/>
                <w:sz w:val="18"/>
                <w:szCs w:val="18"/>
              </w:rPr>
              <w:t>/QALY</w:t>
            </w:r>
          </w:p>
        </w:tc>
        <w:tc>
          <w:tcPr>
            <w:tcW w:w="1416" w:type="dxa"/>
            <w:shd w:val="clear" w:color="auto" w:fill="FBE4D5" w:themeFill="accent2" w:themeFillTint="33"/>
          </w:tcPr>
          <w:p w14:paraId="7EF761D2" w14:textId="59769436" w:rsidR="007035CD" w:rsidRPr="00D22AA0" w:rsidRDefault="00D04FB1" w:rsidP="00D22AA0">
            <w:pPr>
              <w:pStyle w:val="051Tabletext228pt"/>
              <w:ind w:left="-57" w:right="-57"/>
              <w:rPr>
                <w:rFonts w:asciiTheme="minorHAnsi" w:hAnsiTheme="minorHAnsi" w:cstheme="minorHAnsi"/>
                <w:sz w:val="18"/>
                <w:szCs w:val="18"/>
              </w:rPr>
            </w:pPr>
            <w:r>
              <w:rPr>
                <w:rFonts w:asciiTheme="minorHAnsi" w:hAnsiTheme="minorHAnsi" w:cstheme="minorHAnsi"/>
                <w:sz w:val="18"/>
                <w:szCs w:val="18"/>
              </w:rPr>
              <w:t>SCS n</w:t>
            </w:r>
            <w:r w:rsidR="003536E6" w:rsidRPr="00D22AA0">
              <w:rPr>
                <w:rFonts w:asciiTheme="minorHAnsi" w:hAnsiTheme="minorHAnsi" w:cstheme="minorHAnsi"/>
                <w:sz w:val="18"/>
                <w:szCs w:val="18"/>
              </w:rPr>
              <w:t>ot</w:t>
            </w:r>
            <w:r w:rsidR="007035CD" w:rsidRPr="00D22AA0">
              <w:rPr>
                <w:rFonts w:asciiTheme="minorHAnsi" w:hAnsiTheme="minorHAnsi" w:cstheme="minorHAnsi"/>
                <w:sz w:val="18"/>
                <w:szCs w:val="18"/>
              </w:rPr>
              <w:t xml:space="preserve"> cost effective</w:t>
            </w:r>
          </w:p>
        </w:tc>
      </w:tr>
    </w:tbl>
    <w:p w14:paraId="3DA7F266" w14:textId="4C766DCC" w:rsidR="0088603A" w:rsidRDefault="001728D0" w:rsidP="00434743">
      <w:pPr>
        <w:pStyle w:val="101Tablefootnotes8pt"/>
      </w:pPr>
      <w:r w:rsidRPr="00E36273">
        <w:t xml:space="preserve">Abbreviations: </w:t>
      </w:r>
      <w:r w:rsidR="0080494F">
        <w:t xml:space="preserve">AP, angina pectoris; </w:t>
      </w:r>
      <w:r w:rsidR="00FC7ED6">
        <w:t xml:space="preserve">BMT, best medical treatment; </w:t>
      </w:r>
      <w:r w:rsidR="00AC150E">
        <w:t xml:space="preserve">CI, confidence interval; </w:t>
      </w:r>
      <w:r w:rsidR="00BF0B35" w:rsidRPr="00FD31BE">
        <w:t>CLI</w:t>
      </w:r>
      <w:r w:rsidR="00BF0B35">
        <w:t xml:space="preserve">, </w:t>
      </w:r>
      <w:r w:rsidR="00BF0B35" w:rsidRPr="00FD31BE">
        <w:t xml:space="preserve">chronic limb </w:t>
      </w:r>
      <w:proofErr w:type="spellStart"/>
      <w:r w:rsidR="00BF0B35" w:rsidRPr="00FD31BE">
        <w:t>ischaemia</w:t>
      </w:r>
      <w:proofErr w:type="spellEnd"/>
      <w:r w:rsidR="00BF0B35">
        <w:t xml:space="preserve">; </w:t>
      </w:r>
      <w:r w:rsidR="00C24E3C" w:rsidRPr="00E36273">
        <w:t>CMM, c</w:t>
      </w:r>
      <w:r w:rsidR="006008C7">
        <w:t>onventional</w:t>
      </w:r>
      <w:r w:rsidR="00C24E3C" w:rsidRPr="00E36273">
        <w:t xml:space="preserve"> medical management; CRPS, complex regional pain syndrome; FBSS, failed back surgery syndrome; </w:t>
      </w:r>
      <w:r w:rsidR="006F62ED">
        <w:t>HF, high</w:t>
      </w:r>
      <w:r w:rsidR="00572B21">
        <w:t>-</w:t>
      </w:r>
      <w:r w:rsidR="006F62ED">
        <w:t xml:space="preserve">frequency; </w:t>
      </w:r>
      <w:r w:rsidR="00EC3611">
        <w:t xml:space="preserve">NA, not applicable; </w:t>
      </w:r>
      <w:r w:rsidR="00E23FAF" w:rsidRPr="00E36273">
        <w:t>NL, The</w:t>
      </w:r>
      <w:r w:rsidR="00E23FAF">
        <w:t xml:space="preserve"> Netherlands; NR, not reported; PAD, peripheral arterial disease; </w:t>
      </w:r>
      <w:r w:rsidR="00602AA2">
        <w:t xml:space="preserve">PC, </w:t>
      </w:r>
      <w:r w:rsidR="00AC150E">
        <w:t>pain clinic</w:t>
      </w:r>
      <w:r w:rsidR="00602AA2">
        <w:t xml:space="preserve">; </w:t>
      </w:r>
      <w:r w:rsidR="00AE7D8A" w:rsidRPr="000D34A2">
        <w:t>PDPN</w:t>
      </w:r>
      <w:r w:rsidR="00AE7D8A">
        <w:t xml:space="preserve">; </w:t>
      </w:r>
      <w:r w:rsidR="00AE7D8A" w:rsidRPr="000D34A2">
        <w:t>painful diabetic polyneuropathy</w:t>
      </w:r>
      <w:r w:rsidR="00AE7D8A">
        <w:t xml:space="preserve">; </w:t>
      </w:r>
      <w:r w:rsidR="00C65261">
        <w:t xml:space="preserve">PMR, percutaneous </w:t>
      </w:r>
      <w:r w:rsidR="00C65261">
        <w:lastRenderedPageBreak/>
        <w:t xml:space="preserve">myocardial laser revascularisation; </w:t>
      </w:r>
      <w:r w:rsidR="00FA39E5">
        <w:t xml:space="preserve">PT, physical therapy; </w:t>
      </w:r>
      <w:r w:rsidR="00E36273">
        <w:t xml:space="preserve">RAP, refractory angina pectoris; </w:t>
      </w:r>
      <w:r w:rsidR="00F110BC">
        <w:t>RSD, r</w:t>
      </w:r>
      <w:r w:rsidR="00F110BC" w:rsidRPr="002D7243">
        <w:t xml:space="preserve">eflex </w:t>
      </w:r>
      <w:r w:rsidR="00F110BC">
        <w:t>s</w:t>
      </w:r>
      <w:r w:rsidR="00F110BC" w:rsidRPr="002D7243">
        <w:t xml:space="preserve">ympathetic </w:t>
      </w:r>
      <w:r w:rsidR="00F110BC">
        <w:t>d</w:t>
      </w:r>
      <w:r w:rsidR="00F110BC" w:rsidRPr="002D7243">
        <w:t>ystrophy</w:t>
      </w:r>
      <w:r w:rsidR="00F110BC">
        <w:t xml:space="preserve">; </w:t>
      </w:r>
      <w:r w:rsidR="00C24E3C">
        <w:t>SCS, spinal cord stimulat</w:t>
      </w:r>
      <w:r w:rsidR="00C162F2">
        <w:t>ion</w:t>
      </w:r>
      <w:r w:rsidR="00C24E3C">
        <w:t>; UK, United Kingdom</w:t>
      </w:r>
      <w:r w:rsidR="00ED1FC6">
        <w:t>; USA, United States of America</w:t>
      </w:r>
      <w:r w:rsidR="00C24E3C">
        <w:t>.</w:t>
      </w:r>
    </w:p>
    <w:p w14:paraId="27128BBA" w14:textId="7F562895" w:rsidR="00F62729" w:rsidRDefault="00F62729" w:rsidP="00434743">
      <w:pPr>
        <w:pStyle w:val="101Tablefootnotes8pt"/>
      </w:pPr>
      <w:r>
        <w:t xml:space="preserve">Note: ‘Dominant’ indicates that the intervention saves </w:t>
      </w:r>
      <w:r w:rsidR="00ED7C16">
        <w:t xml:space="preserve">money and </w:t>
      </w:r>
      <w:r w:rsidR="000E5B96">
        <w:t>is more effective</w:t>
      </w:r>
      <w:r w:rsidR="00BE49E0">
        <w:t>/</w:t>
      </w:r>
      <w:r w:rsidR="00A017A7">
        <w:t>im</w:t>
      </w:r>
      <w:r w:rsidR="00B54D3D">
        <w:t>proves wellbeing</w:t>
      </w:r>
      <w:r w:rsidR="000E5B96">
        <w:t>.</w:t>
      </w:r>
    </w:p>
    <w:p w14:paraId="1ADA7D2E" w14:textId="1C16FDC3" w:rsidR="000C3669" w:rsidRDefault="00573B8C" w:rsidP="00434743">
      <w:pPr>
        <w:pStyle w:val="101Tablefootnotes8pt"/>
      </w:pPr>
      <w:r>
        <w:t>a</w:t>
      </w:r>
      <w:r w:rsidR="00876CE2">
        <w:t>.</w:t>
      </w:r>
      <w:r>
        <w:t xml:space="preserve"> </w:t>
      </w:r>
      <w:r w:rsidR="000C3669">
        <w:t xml:space="preserve">Results refer to independent economic assessment </w:t>
      </w:r>
      <w:r w:rsidR="00672D73">
        <w:t xml:space="preserve">performed </w:t>
      </w:r>
      <w:r w:rsidR="000C3669">
        <w:t xml:space="preserve">by </w:t>
      </w:r>
      <w:r w:rsidR="009D2C92">
        <w:t>the School of Health and Related Research (</w:t>
      </w:r>
      <w:proofErr w:type="spellStart"/>
      <w:r w:rsidR="009D2C92">
        <w:t>ScHARR</w:t>
      </w:r>
      <w:proofErr w:type="spellEnd"/>
      <w:r w:rsidR="009D2C92">
        <w:t>).</w:t>
      </w:r>
    </w:p>
    <w:p w14:paraId="20B67204" w14:textId="3B515458" w:rsidR="00573B8C" w:rsidRDefault="000C3669" w:rsidP="00434743">
      <w:pPr>
        <w:pStyle w:val="101Tablefootnotes8pt"/>
      </w:pPr>
      <w:r>
        <w:t xml:space="preserve">b. </w:t>
      </w:r>
      <w:r w:rsidR="00573B8C" w:rsidRPr="00573B8C">
        <w:t xml:space="preserve">Cost per additional patient who meets the primary success criterion (≥ 50% reduction in leg pain, a two-point or greater improvement on the </w:t>
      </w:r>
      <w:r w:rsidR="00DD6B0A">
        <w:t>Roland Disability Questionnaire (</w:t>
      </w:r>
      <w:r w:rsidR="00573B8C" w:rsidRPr="00573B8C">
        <w:t>RDQ</w:t>
      </w:r>
      <w:r w:rsidR="00DD6B0A">
        <w:t>)</w:t>
      </w:r>
      <w:r w:rsidR="00573B8C" w:rsidRPr="00573B8C">
        <w:t>, and less than daily opioid medication use)</w:t>
      </w:r>
      <w:r w:rsidR="00876CE2">
        <w:t>.</w:t>
      </w:r>
    </w:p>
    <w:p w14:paraId="0F9C557F" w14:textId="6DCFD6AD" w:rsidR="00A74518" w:rsidRPr="00DD5DE9" w:rsidRDefault="00A74518" w:rsidP="00DD5DE9">
      <w:pPr>
        <w:pStyle w:val="111Tablefootnoteslast-nostick8pt"/>
      </w:pPr>
      <w:r>
        <w:t>c. Cost per su</w:t>
      </w:r>
      <w:r w:rsidRPr="00A74518">
        <w:t>c</w:t>
      </w:r>
      <w:r>
        <w:t>c</w:t>
      </w:r>
      <w:r w:rsidRPr="00A74518">
        <w:t>essfully</w:t>
      </w:r>
      <w:r>
        <w:t xml:space="preserve"> </w:t>
      </w:r>
      <w:r w:rsidRPr="00A74518">
        <w:t>treated</w:t>
      </w:r>
      <w:r>
        <w:t xml:space="preserve"> </w:t>
      </w:r>
      <w:r w:rsidRPr="00A74518">
        <w:t>patient</w:t>
      </w:r>
      <w:r>
        <w:t xml:space="preserve"> </w:t>
      </w:r>
      <w:r w:rsidRPr="00A74518">
        <w:t>defined</w:t>
      </w:r>
      <w:r>
        <w:t xml:space="preserve"> </w:t>
      </w:r>
      <w:r w:rsidRPr="00A74518">
        <w:t>as</w:t>
      </w:r>
      <w:r>
        <w:t xml:space="preserve"> </w:t>
      </w:r>
      <w:r w:rsidRPr="00573B8C">
        <w:t>≥</w:t>
      </w:r>
      <w:r w:rsidRPr="00A74518">
        <w:t>50%</w:t>
      </w:r>
      <w:r w:rsidR="00251363">
        <w:t xml:space="preserve"> </w:t>
      </w:r>
      <w:r w:rsidRPr="00A74518">
        <w:t>relief</w:t>
      </w:r>
      <w:r w:rsidR="00251363">
        <w:t xml:space="preserve"> </w:t>
      </w:r>
      <w:r w:rsidRPr="00A74518">
        <w:t>of</w:t>
      </w:r>
      <w:r w:rsidR="00251363">
        <w:t xml:space="preserve"> </w:t>
      </w:r>
      <w:r w:rsidRPr="00A74518">
        <w:t>pain</w:t>
      </w:r>
      <w:r w:rsidR="00251363">
        <w:t xml:space="preserve"> </w:t>
      </w:r>
      <w:r w:rsidRPr="00A74518">
        <w:t>intensity</w:t>
      </w:r>
      <w:r w:rsidR="00251363">
        <w:t xml:space="preserve"> </w:t>
      </w:r>
      <w:r w:rsidRPr="00A74518">
        <w:t>on</w:t>
      </w:r>
      <w:r w:rsidR="00251363">
        <w:t xml:space="preserve"> </w:t>
      </w:r>
      <w:r w:rsidRPr="00A74518">
        <w:t>a</w:t>
      </w:r>
      <w:r w:rsidR="00251363">
        <w:t xml:space="preserve"> </w:t>
      </w:r>
      <w:r w:rsidRPr="00A74518">
        <w:t>weighted</w:t>
      </w:r>
      <w:r w:rsidR="00251363">
        <w:t xml:space="preserve"> </w:t>
      </w:r>
      <w:r w:rsidRPr="00A74518">
        <w:t>numeric</w:t>
      </w:r>
      <w:r w:rsidR="00251363">
        <w:t xml:space="preserve"> </w:t>
      </w:r>
      <w:r w:rsidRPr="00A74518">
        <w:t>rating</w:t>
      </w:r>
      <w:r w:rsidR="00251363">
        <w:t xml:space="preserve"> </w:t>
      </w:r>
      <w:r w:rsidRPr="00A74518">
        <w:t>scale,</w:t>
      </w:r>
      <w:r w:rsidR="00251363">
        <w:t xml:space="preserve"> </w:t>
      </w:r>
      <w:r w:rsidRPr="00A74518">
        <w:t>for4</w:t>
      </w:r>
      <w:r w:rsidR="00251363">
        <w:t xml:space="preserve"> </w:t>
      </w:r>
      <w:r w:rsidRPr="00A74518">
        <w:t>days</w:t>
      </w:r>
      <w:r w:rsidR="00251363">
        <w:t xml:space="preserve"> </w:t>
      </w:r>
      <w:r w:rsidRPr="00A74518">
        <w:t>during</w:t>
      </w:r>
      <w:r w:rsidR="00251363">
        <w:t xml:space="preserve"> </w:t>
      </w:r>
      <w:r w:rsidRPr="00A74518">
        <w:t>daytime</w:t>
      </w:r>
      <w:r w:rsidR="00251363">
        <w:t xml:space="preserve"> </w:t>
      </w:r>
      <w:r w:rsidRPr="00A74518">
        <w:t>or</w:t>
      </w:r>
      <w:r w:rsidR="00251363">
        <w:t xml:space="preserve"> </w:t>
      </w:r>
      <w:r w:rsidRPr="00A74518">
        <w:t>night-time,</w:t>
      </w:r>
      <w:r w:rsidR="00251363">
        <w:t xml:space="preserve"> </w:t>
      </w:r>
      <w:r w:rsidRPr="00A74518">
        <w:t>or</w:t>
      </w:r>
      <w:r w:rsidR="00251363">
        <w:t xml:space="preserve"> </w:t>
      </w:r>
      <w:r w:rsidRPr="00A74518">
        <w:t>a</w:t>
      </w:r>
      <w:r w:rsidR="00251363">
        <w:t xml:space="preserve"> </w:t>
      </w:r>
      <w:r w:rsidRPr="00A74518">
        <w:t>score</w:t>
      </w:r>
      <w:r w:rsidR="00251363">
        <w:t xml:space="preserve"> </w:t>
      </w:r>
      <w:r w:rsidRPr="00A74518">
        <w:t>of</w:t>
      </w:r>
      <w:r w:rsidR="00251363">
        <w:t xml:space="preserve"> </w:t>
      </w:r>
      <w:r w:rsidR="00DD5DE9" w:rsidRPr="00573B8C">
        <w:t>≥</w:t>
      </w:r>
      <w:r w:rsidRPr="00A74518">
        <w:t>6</w:t>
      </w:r>
      <w:r w:rsidR="00DD5DE9">
        <w:t xml:space="preserve"> </w:t>
      </w:r>
      <w:r w:rsidRPr="00A74518">
        <w:t>on</w:t>
      </w:r>
      <w:r w:rsidR="00DD5DE9">
        <w:t xml:space="preserve"> </w:t>
      </w:r>
      <w:r w:rsidRPr="00A74518">
        <w:t>a 7-point</w:t>
      </w:r>
      <w:r w:rsidR="00DD5DE9">
        <w:t xml:space="preserve"> </w:t>
      </w:r>
      <w:r w:rsidRPr="00A74518">
        <w:t>Likert</w:t>
      </w:r>
      <w:r w:rsidR="00DD5DE9">
        <w:t xml:space="preserve"> </w:t>
      </w:r>
      <w:r w:rsidRPr="00A74518">
        <w:t>scale</w:t>
      </w:r>
      <w:r w:rsidR="00DD5DE9">
        <w:t xml:space="preserve"> </w:t>
      </w:r>
      <w:r w:rsidRPr="00A74518">
        <w:t>(6=much</w:t>
      </w:r>
      <w:r w:rsidR="00DD5DE9">
        <w:t xml:space="preserve"> </w:t>
      </w:r>
      <w:r w:rsidRPr="00A74518">
        <w:t>improved;</w:t>
      </w:r>
      <w:r w:rsidR="00DD5DE9">
        <w:t xml:space="preserve"> </w:t>
      </w:r>
      <w:r w:rsidRPr="00A74518">
        <w:t>7=very</w:t>
      </w:r>
      <w:r w:rsidR="00DD5DE9">
        <w:t xml:space="preserve"> </w:t>
      </w:r>
      <w:r w:rsidRPr="00A74518">
        <w:t>much improved)</w:t>
      </w:r>
      <w:r w:rsidR="00DD5DE9">
        <w:t xml:space="preserve"> </w:t>
      </w:r>
      <w:r w:rsidRPr="00A74518">
        <w:t>of</w:t>
      </w:r>
      <w:r w:rsidR="00DD5DE9">
        <w:t xml:space="preserve"> </w:t>
      </w:r>
      <w:r w:rsidRPr="00A74518">
        <w:t>the</w:t>
      </w:r>
      <w:r w:rsidR="00DD5DE9">
        <w:t xml:space="preserve"> </w:t>
      </w:r>
      <w:r w:rsidRPr="00A74518">
        <w:t>Patient</w:t>
      </w:r>
      <w:r w:rsidR="00DD5DE9">
        <w:t xml:space="preserve"> </w:t>
      </w:r>
      <w:r w:rsidRPr="00A74518">
        <w:t>Global</w:t>
      </w:r>
      <w:r w:rsidR="00DD5DE9">
        <w:t xml:space="preserve"> </w:t>
      </w:r>
      <w:r w:rsidRPr="00A74518">
        <w:t>Impression</w:t>
      </w:r>
      <w:r w:rsidR="00DD5DE9">
        <w:t xml:space="preserve"> </w:t>
      </w:r>
      <w:r w:rsidRPr="00A74518">
        <w:t>of</w:t>
      </w:r>
      <w:r w:rsidR="00DD5DE9">
        <w:t xml:space="preserve"> </w:t>
      </w:r>
      <w:r w:rsidRPr="00A74518">
        <w:t>Change scale</w:t>
      </w:r>
      <w:r w:rsidR="00DD5DE9">
        <w:t xml:space="preserve"> </w:t>
      </w:r>
      <w:r w:rsidRPr="00A74518">
        <w:t>for</w:t>
      </w:r>
      <w:r w:rsidR="00DD5DE9">
        <w:t xml:space="preserve"> </w:t>
      </w:r>
      <w:r w:rsidRPr="00A74518">
        <w:t>pain</w:t>
      </w:r>
      <w:r w:rsidR="00DD5DE9">
        <w:t xml:space="preserve"> </w:t>
      </w:r>
      <w:r w:rsidRPr="00A74518">
        <w:t>and</w:t>
      </w:r>
      <w:r w:rsidR="00DD5DE9">
        <w:t xml:space="preserve"> </w:t>
      </w:r>
      <w:r w:rsidRPr="00A74518">
        <w:t>sleep</w:t>
      </w:r>
      <w:r w:rsidR="00DD5DE9">
        <w:t xml:space="preserve"> </w:t>
      </w:r>
      <w:r w:rsidRPr="00A74518">
        <w:t>at</w:t>
      </w:r>
      <w:r w:rsidR="00DD5DE9">
        <w:t xml:space="preserve"> </w:t>
      </w:r>
      <w:r w:rsidRPr="00A74518">
        <w:t>12months.</w:t>
      </w:r>
    </w:p>
    <w:p w14:paraId="67E88E53" w14:textId="765F1A86" w:rsidR="00310195" w:rsidRDefault="00FB60ED" w:rsidP="0053159D">
      <w:pPr>
        <w:pStyle w:val="Heading3"/>
      </w:pPr>
      <w:bookmarkStart w:id="103" w:name="_Toc165634678"/>
      <w:r>
        <w:t>Cost</w:t>
      </w:r>
      <w:r w:rsidR="00632586">
        <w:t>-</w:t>
      </w:r>
      <w:r>
        <w:t>effectiveness studies from Australia</w:t>
      </w:r>
      <w:bookmarkEnd w:id="103"/>
    </w:p>
    <w:p w14:paraId="5A080799" w14:textId="1096AB65" w:rsidR="00B51AD2" w:rsidRDefault="00FA0547" w:rsidP="00B233F3">
      <w:pPr>
        <w:pStyle w:val="BodyText"/>
      </w:pPr>
      <w:r>
        <w:t xml:space="preserve">Deloitte Access Economics was </w:t>
      </w:r>
      <w:r w:rsidR="00605BFB">
        <w:t xml:space="preserve">contracted by </w:t>
      </w:r>
      <w:r w:rsidR="00444704">
        <w:t>t</w:t>
      </w:r>
      <w:r w:rsidR="00444704" w:rsidRPr="00444704">
        <w:t xml:space="preserve">he </w:t>
      </w:r>
      <w:bookmarkStart w:id="104" w:name="_Hlk134538976"/>
      <w:r w:rsidR="00444704" w:rsidRPr="00444704">
        <w:t>Neuromodulation Society of Australia and New Zealand (NSANZ)</w:t>
      </w:r>
      <w:bookmarkEnd w:id="104"/>
      <w:r w:rsidR="00444704" w:rsidRPr="00444704">
        <w:t xml:space="preserve">, </w:t>
      </w:r>
      <w:proofErr w:type="spellStart"/>
      <w:r w:rsidR="00444704" w:rsidRPr="00444704">
        <w:t>Painaustralia</w:t>
      </w:r>
      <w:proofErr w:type="spellEnd"/>
      <w:r w:rsidR="00444704" w:rsidRPr="00444704">
        <w:t xml:space="preserve"> and the Faculty of Pain Medicine, Australia and New Zealand College of Anaesthetists</w:t>
      </w:r>
      <w:r w:rsidR="00600143">
        <w:t>,</w:t>
      </w:r>
      <w:r w:rsidR="00444704">
        <w:t xml:space="preserve"> to </w:t>
      </w:r>
      <w:r w:rsidR="00C20214">
        <w:t>undertake a</w:t>
      </w:r>
      <w:r w:rsidR="00444704">
        <w:t xml:space="preserve"> </w:t>
      </w:r>
      <w:r w:rsidR="00FB2CA1">
        <w:t xml:space="preserve">report on </w:t>
      </w:r>
      <w:r w:rsidR="00C20214">
        <w:t>the cost</w:t>
      </w:r>
      <w:r w:rsidR="00632586">
        <w:t>-</w:t>
      </w:r>
      <w:r w:rsidR="00C20214">
        <w:t xml:space="preserve">effectiveness of </w:t>
      </w:r>
      <w:r w:rsidR="00FB2CA1">
        <w:t>pain devices</w:t>
      </w:r>
      <w:r w:rsidR="006E68DE">
        <w:t xml:space="preserve"> (</w:t>
      </w:r>
      <w:r w:rsidR="005F3AE1">
        <w:t>SCS and intrathecal pumps)</w:t>
      </w:r>
      <w:r w:rsidR="00FB2CA1">
        <w:t xml:space="preserve">. </w:t>
      </w:r>
      <w:r w:rsidR="00B51AD2">
        <w:t>Deloitte (2019) evaluated the cost</w:t>
      </w:r>
      <w:r w:rsidR="002B4CB9">
        <w:t>-</w:t>
      </w:r>
      <w:r w:rsidR="00B51AD2">
        <w:t>effectiveness of SCS versus usual care based on the probability of optimal pain relief</w:t>
      </w:r>
      <w:r w:rsidR="00D31C0B">
        <w:t xml:space="preserve"> (defined as achievement </w:t>
      </w:r>
      <w:r w:rsidR="00A665E2">
        <w:t xml:space="preserve">of a </w:t>
      </w:r>
      <w:r w:rsidR="00A665E2" w:rsidRPr="00A665E2">
        <w:t xml:space="preserve">50% </w:t>
      </w:r>
      <w:r w:rsidR="002802F8">
        <w:t xml:space="preserve">or greater </w:t>
      </w:r>
      <w:r w:rsidR="00A665E2" w:rsidRPr="00A665E2">
        <w:t xml:space="preserve">reduction </w:t>
      </w:r>
      <w:r w:rsidR="00612752">
        <w:t>in pain from</w:t>
      </w:r>
      <w:r w:rsidR="00A665E2">
        <w:t xml:space="preserve"> </w:t>
      </w:r>
      <w:r w:rsidR="00A665E2" w:rsidRPr="00A665E2">
        <w:t>the baseline level</w:t>
      </w:r>
      <w:r w:rsidR="0076577C">
        <w:t>, using a visual analog</w:t>
      </w:r>
      <w:r w:rsidR="00D52D3D">
        <w:t>ue</w:t>
      </w:r>
      <w:r w:rsidR="0076577C">
        <w:t xml:space="preserve"> scale [VAS]</w:t>
      </w:r>
      <w:r w:rsidR="00A665E2">
        <w:t>)</w:t>
      </w:r>
      <w:r w:rsidR="00B51AD2">
        <w:t xml:space="preserve">. </w:t>
      </w:r>
    </w:p>
    <w:p w14:paraId="00BD9480" w14:textId="77068F0B" w:rsidR="00B233F3" w:rsidRDefault="00EB317D" w:rsidP="00B233F3">
      <w:pPr>
        <w:pStyle w:val="BodyText"/>
      </w:pPr>
      <w:r>
        <w:t>A</w:t>
      </w:r>
      <w:r w:rsidR="007831C5">
        <w:t xml:space="preserve"> Markov model</w:t>
      </w:r>
      <w:r w:rsidR="006B2DB7">
        <w:t xml:space="preserve"> </w:t>
      </w:r>
      <w:r w:rsidR="00B6600E">
        <w:t xml:space="preserve">was </w:t>
      </w:r>
      <w:r w:rsidR="00C73771">
        <w:t xml:space="preserve">used to </w:t>
      </w:r>
      <w:r w:rsidR="00F06306">
        <w:t xml:space="preserve">compare </w:t>
      </w:r>
      <w:r w:rsidR="00C73771">
        <w:t>treatment</w:t>
      </w:r>
      <w:r w:rsidR="00F06306">
        <w:t>s</w:t>
      </w:r>
      <w:r w:rsidR="00C73771">
        <w:t xml:space="preserve"> </w:t>
      </w:r>
      <w:r w:rsidR="00F06306">
        <w:t>in</w:t>
      </w:r>
      <w:r w:rsidR="00C73771">
        <w:t xml:space="preserve"> FBSS and CRPS </w:t>
      </w:r>
      <w:r w:rsidR="00F06306">
        <w:t>patients</w:t>
      </w:r>
      <w:r w:rsidR="00C73771">
        <w:t>.</w:t>
      </w:r>
      <w:r w:rsidR="002F66F0">
        <w:t xml:space="preserve"> </w:t>
      </w:r>
      <w:r w:rsidR="0047754F">
        <w:t>(</w:t>
      </w:r>
      <w:r w:rsidR="002F66F0">
        <w:t>The study also evaluated intrathecal pumps for the treatment of cancer pain</w:t>
      </w:r>
      <w:r w:rsidR="00DB3686">
        <w:t>;</w:t>
      </w:r>
      <w:r w:rsidR="002F66F0">
        <w:t xml:space="preserve"> however</w:t>
      </w:r>
      <w:r w:rsidR="00DB3686">
        <w:t>,</w:t>
      </w:r>
      <w:r w:rsidR="002F66F0">
        <w:t xml:space="preserve"> th</w:t>
      </w:r>
      <w:r w:rsidR="00391BA5">
        <w:t>is</w:t>
      </w:r>
      <w:r w:rsidR="002F66F0">
        <w:t xml:space="preserve"> is not within scope of this review</w:t>
      </w:r>
      <w:r w:rsidR="0047754F">
        <w:t>).</w:t>
      </w:r>
      <w:r w:rsidR="002F66F0">
        <w:t xml:space="preserve"> </w:t>
      </w:r>
      <w:r w:rsidR="00BA19DF">
        <w:t xml:space="preserve">The study characteristics of Deloitte (2019) are summarised in </w:t>
      </w:r>
      <w:r w:rsidR="00BA19DF">
        <w:fldChar w:fldCharType="begin"/>
      </w:r>
      <w:r w:rsidR="00BA19DF">
        <w:instrText xml:space="preserve"> REF _Ref129714390 \h </w:instrText>
      </w:r>
      <w:r w:rsidR="00BA19DF">
        <w:fldChar w:fldCharType="separate"/>
      </w:r>
      <w:r w:rsidR="00CE6ACA">
        <w:t xml:space="preserve">Table </w:t>
      </w:r>
      <w:r w:rsidR="00CE6ACA">
        <w:rPr>
          <w:noProof/>
        </w:rPr>
        <w:t>21</w:t>
      </w:r>
      <w:r w:rsidR="00BA19DF">
        <w:fldChar w:fldCharType="end"/>
      </w:r>
      <w:r w:rsidR="00BA19DF">
        <w:t>.</w:t>
      </w:r>
    </w:p>
    <w:p w14:paraId="1F1441A6" w14:textId="68A23A24" w:rsidR="00BA19DF" w:rsidRDefault="00BA19DF" w:rsidP="00BA19DF">
      <w:pPr>
        <w:pStyle w:val="Caption"/>
      </w:pPr>
      <w:bookmarkStart w:id="105" w:name="_Ref129714390"/>
      <w:r>
        <w:t xml:space="preserve">Table </w:t>
      </w:r>
      <w:r>
        <w:fldChar w:fldCharType="begin"/>
      </w:r>
      <w:r>
        <w:instrText>SEQ Table \* ARABIC</w:instrText>
      </w:r>
      <w:r>
        <w:fldChar w:fldCharType="separate"/>
      </w:r>
      <w:r w:rsidR="00CE6ACA">
        <w:rPr>
          <w:noProof/>
        </w:rPr>
        <w:t>21</w:t>
      </w:r>
      <w:r>
        <w:fldChar w:fldCharType="end"/>
      </w:r>
      <w:bookmarkEnd w:id="105"/>
      <w:r>
        <w:tab/>
        <w:t>Study characteristics of Deloitte (2019)</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tudy characteristics of Deloitte (2019)"/>
        <w:tblDescription w:val="Table showing the objective/research questions, perspective, time horizon, economic evaluation type, population, intervention, comparator, source of effectiveness inputs, funding, and author COIs of Deloitte (2019)."/>
      </w:tblPr>
      <w:tblGrid>
        <w:gridCol w:w="1022"/>
        <w:gridCol w:w="1770"/>
        <w:gridCol w:w="1259"/>
        <w:gridCol w:w="1170"/>
        <w:gridCol w:w="1534"/>
        <w:gridCol w:w="1931"/>
        <w:gridCol w:w="952"/>
      </w:tblGrid>
      <w:tr w:rsidR="00220402" w:rsidRPr="006C7115" w14:paraId="609D71BF" w14:textId="77777777" w:rsidTr="001B0274">
        <w:trPr>
          <w:cantSplit/>
          <w:tblHeader/>
        </w:trPr>
        <w:tc>
          <w:tcPr>
            <w:tcW w:w="530" w:type="pct"/>
            <w:shd w:val="clear" w:color="auto" w:fill="BFBFBF"/>
          </w:tcPr>
          <w:p w14:paraId="4BC9A5DD" w14:textId="77777777" w:rsidR="00B233F3" w:rsidRPr="006C7115" w:rsidRDefault="00B233F3" w:rsidP="00061FDB">
            <w:pPr>
              <w:pStyle w:val="011TableHeading8pt"/>
              <w:ind w:left="-57" w:right="-57"/>
              <w:rPr>
                <w:sz w:val="18"/>
                <w:szCs w:val="18"/>
              </w:rPr>
            </w:pPr>
            <w:r w:rsidRPr="006C7115">
              <w:rPr>
                <w:sz w:val="18"/>
                <w:szCs w:val="18"/>
              </w:rPr>
              <w:t>Study ID</w:t>
            </w:r>
            <w:r w:rsidRPr="006C7115">
              <w:rPr>
                <w:sz w:val="18"/>
                <w:szCs w:val="18"/>
              </w:rPr>
              <w:br/>
              <w:t>Country</w:t>
            </w:r>
          </w:p>
        </w:tc>
        <w:tc>
          <w:tcPr>
            <w:tcW w:w="918" w:type="pct"/>
            <w:shd w:val="clear" w:color="auto" w:fill="BFBFBF"/>
          </w:tcPr>
          <w:p w14:paraId="11ECFB43" w14:textId="77777777" w:rsidR="00B233F3" w:rsidRPr="006C7115" w:rsidRDefault="00B233F3" w:rsidP="00061FDB">
            <w:pPr>
              <w:pStyle w:val="011TableHeading8pt"/>
              <w:ind w:left="-57" w:right="-57"/>
              <w:rPr>
                <w:sz w:val="18"/>
                <w:szCs w:val="18"/>
              </w:rPr>
            </w:pPr>
            <w:r w:rsidRPr="006C7115">
              <w:rPr>
                <w:sz w:val="18"/>
                <w:szCs w:val="18"/>
              </w:rPr>
              <w:t>Objective/ research question</w:t>
            </w:r>
          </w:p>
        </w:tc>
        <w:tc>
          <w:tcPr>
            <w:tcW w:w="653" w:type="pct"/>
            <w:shd w:val="clear" w:color="auto" w:fill="BFBFBF"/>
          </w:tcPr>
          <w:p w14:paraId="4B6FE300" w14:textId="77777777" w:rsidR="00B233F3" w:rsidRPr="006C7115" w:rsidRDefault="00B233F3" w:rsidP="00061FDB">
            <w:pPr>
              <w:pStyle w:val="011TableHeading8pt"/>
              <w:ind w:left="-57" w:right="-57"/>
              <w:rPr>
                <w:sz w:val="18"/>
                <w:szCs w:val="18"/>
              </w:rPr>
            </w:pPr>
            <w:r w:rsidRPr="006C7115">
              <w:rPr>
                <w:sz w:val="18"/>
                <w:szCs w:val="18"/>
              </w:rPr>
              <w:t xml:space="preserve">Perspective </w:t>
            </w:r>
            <w:r w:rsidRPr="006C7115">
              <w:rPr>
                <w:sz w:val="18"/>
                <w:szCs w:val="18"/>
              </w:rPr>
              <w:br/>
              <w:t>Time horizon</w:t>
            </w:r>
            <w:r w:rsidRPr="006C7115">
              <w:rPr>
                <w:sz w:val="18"/>
                <w:szCs w:val="18"/>
              </w:rPr>
              <w:br/>
              <w:t>EE type</w:t>
            </w:r>
          </w:p>
        </w:tc>
        <w:tc>
          <w:tcPr>
            <w:tcW w:w="607" w:type="pct"/>
            <w:shd w:val="clear" w:color="auto" w:fill="BFBFBF"/>
          </w:tcPr>
          <w:p w14:paraId="1E64508B" w14:textId="77777777" w:rsidR="00B233F3" w:rsidRPr="006C7115" w:rsidRDefault="00B233F3" w:rsidP="00061FDB">
            <w:pPr>
              <w:pStyle w:val="011TableHeading8pt"/>
              <w:ind w:left="-57" w:right="-57"/>
              <w:rPr>
                <w:sz w:val="18"/>
                <w:szCs w:val="18"/>
              </w:rPr>
            </w:pPr>
            <w:r w:rsidRPr="006C7115">
              <w:rPr>
                <w:sz w:val="18"/>
                <w:szCs w:val="18"/>
              </w:rPr>
              <w:t>Population</w:t>
            </w:r>
          </w:p>
        </w:tc>
        <w:tc>
          <w:tcPr>
            <w:tcW w:w="796" w:type="pct"/>
            <w:shd w:val="clear" w:color="auto" w:fill="BFBFBF"/>
          </w:tcPr>
          <w:p w14:paraId="09729A4C" w14:textId="77777777" w:rsidR="00B233F3" w:rsidRPr="006C7115" w:rsidRDefault="00B233F3" w:rsidP="00061FDB">
            <w:pPr>
              <w:pStyle w:val="011TableHeading8pt"/>
              <w:ind w:left="-57" w:right="-57"/>
              <w:rPr>
                <w:sz w:val="18"/>
                <w:szCs w:val="18"/>
              </w:rPr>
            </w:pPr>
            <w:r w:rsidRPr="006C7115">
              <w:rPr>
                <w:sz w:val="18"/>
                <w:szCs w:val="18"/>
              </w:rPr>
              <w:t>Intervention</w:t>
            </w:r>
            <w:r w:rsidRPr="006C7115">
              <w:rPr>
                <w:sz w:val="18"/>
                <w:szCs w:val="18"/>
              </w:rPr>
              <w:br/>
              <w:t>Comparator</w:t>
            </w:r>
          </w:p>
        </w:tc>
        <w:tc>
          <w:tcPr>
            <w:tcW w:w="1002" w:type="pct"/>
            <w:shd w:val="clear" w:color="auto" w:fill="BFBFBF"/>
          </w:tcPr>
          <w:p w14:paraId="0C961920" w14:textId="77777777" w:rsidR="00B233F3" w:rsidRPr="006C7115" w:rsidRDefault="00B233F3" w:rsidP="00061FDB">
            <w:pPr>
              <w:pStyle w:val="011TableHeading8pt"/>
              <w:ind w:left="-57" w:right="-57"/>
              <w:rPr>
                <w:sz w:val="18"/>
                <w:szCs w:val="18"/>
              </w:rPr>
            </w:pPr>
            <w:r w:rsidRPr="006C7115">
              <w:rPr>
                <w:sz w:val="18"/>
                <w:szCs w:val="18"/>
              </w:rPr>
              <w:t>Source of effectiveness inputs</w:t>
            </w:r>
          </w:p>
        </w:tc>
        <w:tc>
          <w:tcPr>
            <w:tcW w:w="494" w:type="pct"/>
            <w:shd w:val="clear" w:color="auto" w:fill="BFBFBF"/>
          </w:tcPr>
          <w:p w14:paraId="754E86FC" w14:textId="77777777" w:rsidR="00B233F3" w:rsidRPr="006C7115" w:rsidRDefault="00B233F3" w:rsidP="00061FDB">
            <w:pPr>
              <w:pStyle w:val="011TableHeading8pt"/>
              <w:ind w:left="-57" w:right="-57"/>
              <w:rPr>
                <w:sz w:val="18"/>
                <w:szCs w:val="18"/>
              </w:rPr>
            </w:pPr>
            <w:r w:rsidRPr="006C7115">
              <w:rPr>
                <w:sz w:val="18"/>
                <w:szCs w:val="18"/>
              </w:rPr>
              <w:t>Funding</w:t>
            </w:r>
            <w:r w:rsidRPr="006C7115">
              <w:rPr>
                <w:sz w:val="18"/>
                <w:szCs w:val="18"/>
              </w:rPr>
              <w:br/>
              <w:t>Author COIs</w:t>
            </w:r>
          </w:p>
        </w:tc>
      </w:tr>
      <w:tr w:rsidR="00294534" w:rsidRPr="006C7115" w14:paraId="0E1F64FE" w14:textId="77777777" w:rsidTr="001B0274">
        <w:trPr>
          <w:cantSplit/>
        </w:trPr>
        <w:tc>
          <w:tcPr>
            <w:tcW w:w="530" w:type="pct"/>
            <w:shd w:val="clear" w:color="auto" w:fill="auto"/>
          </w:tcPr>
          <w:p w14:paraId="1321A480" w14:textId="30DC9185" w:rsidR="00B233F3" w:rsidRPr="006C7115" w:rsidRDefault="00746279" w:rsidP="00061FDB">
            <w:pPr>
              <w:pStyle w:val="051Tabletext228pt"/>
              <w:ind w:left="-57" w:right="-57"/>
              <w:rPr>
                <w:sz w:val="18"/>
                <w:szCs w:val="18"/>
              </w:rPr>
            </w:pPr>
            <w:r w:rsidRPr="006C7115">
              <w:rPr>
                <w:sz w:val="18"/>
                <w:szCs w:val="18"/>
              </w:rPr>
              <w:t>Deloitte 2019</w:t>
            </w:r>
            <w:r w:rsidR="00D30C9B" w:rsidRPr="006C7115">
              <w:rPr>
                <w:sz w:val="18"/>
                <w:szCs w:val="18"/>
              </w:rPr>
              <w:br/>
              <w:t>Australia</w:t>
            </w:r>
          </w:p>
        </w:tc>
        <w:tc>
          <w:tcPr>
            <w:tcW w:w="918" w:type="pct"/>
          </w:tcPr>
          <w:p w14:paraId="0CB07C7F" w14:textId="3C2EA7AD" w:rsidR="00B233F3" w:rsidRPr="006C7115" w:rsidRDefault="0047166B" w:rsidP="00061FDB">
            <w:pPr>
              <w:pStyle w:val="051Tabletext228pt"/>
              <w:ind w:left="-57" w:right="-57"/>
              <w:rPr>
                <w:sz w:val="18"/>
                <w:szCs w:val="18"/>
              </w:rPr>
            </w:pPr>
            <w:r w:rsidRPr="006C7115">
              <w:rPr>
                <w:sz w:val="18"/>
                <w:szCs w:val="18"/>
              </w:rPr>
              <w:t>Identify the benefits that pain devices (SCS and intrathecal pumps) can provide, and their associated cost</w:t>
            </w:r>
            <w:r w:rsidR="002D10C6">
              <w:rPr>
                <w:sz w:val="18"/>
                <w:szCs w:val="18"/>
              </w:rPr>
              <w:t>-</w:t>
            </w:r>
            <w:r w:rsidRPr="006C7115">
              <w:rPr>
                <w:sz w:val="18"/>
                <w:szCs w:val="18"/>
              </w:rPr>
              <w:t>effectiveness</w:t>
            </w:r>
          </w:p>
        </w:tc>
        <w:tc>
          <w:tcPr>
            <w:tcW w:w="653" w:type="pct"/>
            <w:shd w:val="clear" w:color="auto" w:fill="auto"/>
          </w:tcPr>
          <w:p w14:paraId="69A4DE3D" w14:textId="46413AEC" w:rsidR="00B233F3" w:rsidRPr="006C7115" w:rsidRDefault="00061FDB" w:rsidP="00061FDB">
            <w:pPr>
              <w:pStyle w:val="051Tabletext228pt"/>
              <w:ind w:left="-57" w:right="-57"/>
              <w:rPr>
                <w:sz w:val="18"/>
                <w:szCs w:val="18"/>
              </w:rPr>
            </w:pPr>
            <w:r w:rsidRPr="006C7115">
              <w:rPr>
                <w:sz w:val="18"/>
                <w:szCs w:val="18"/>
              </w:rPr>
              <w:t xml:space="preserve">1. </w:t>
            </w:r>
            <w:r w:rsidR="00993F5A" w:rsidRPr="006C7115">
              <w:rPr>
                <w:sz w:val="18"/>
                <w:szCs w:val="18"/>
              </w:rPr>
              <w:t>Health system</w:t>
            </w:r>
            <w:r w:rsidR="00991606">
              <w:rPr>
                <w:sz w:val="18"/>
                <w:szCs w:val="18"/>
              </w:rPr>
              <w:t>;</w:t>
            </w:r>
            <w:r w:rsidR="00993F5A" w:rsidRPr="006C7115">
              <w:rPr>
                <w:sz w:val="18"/>
                <w:szCs w:val="18"/>
              </w:rPr>
              <w:t xml:space="preserve"> </w:t>
            </w:r>
            <w:r w:rsidRPr="006C7115">
              <w:rPr>
                <w:sz w:val="18"/>
                <w:szCs w:val="18"/>
              </w:rPr>
              <w:t>2. S</w:t>
            </w:r>
            <w:r w:rsidR="00993F5A" w:rsidRPr="006C7115">
              <w:rPr>
                <w:sz w:val="18"/>
                <w:szCs w:val="18"/>
              </w:rPr>
              <w:t>ocietal</w:t>
            </w:r>
            <w:r w:rsidR="00993F5A" w:rsidRPr="006C7115">
              <w:rPr>
                <w:sz w:val="18"/>
                <w:szCs w:val="18"/>
              </w:rPr>
              <w:br/>
              <w:t xml:space="preserve">15 </w:t>
            </w:r>
            <w:proofErr w:type="spellStart"/>
            <w:r w:rsidR="00993F5A" w:rsidRPr="006C7115">
              <w:rPr>
                <w:sz w:val="18"/>
                <w:szCs w:val="18"/>
              </w:rPr>
              <w:t>yrs</w:t>
            </w:r>
            <w:proofErr w:type="spellEnd"/>
            <w:r w:rsidR="00993F5A" w:rsidRPr="006C7115">
              <w:rPr>
                <w:sz w:val="18"/>
                <w:szCs w:val="18"/>
              </w:rPr>
              <w:br/>
            </w:r>
            <w:r w:rsidR="009834A7">
              <w:rPr>
                <w:sz w:val="18"/>
                <w:szCs w:val="18"/>
              </w:rPr>
              <w:t>CUA; m</w:t>
            </w:r>
            <w:r w:rsidR="008106E5" w:rsidRPr="006C7115">
              <w:rPr>
                <w:sz w:val="18"/>
                <w:szCs w:val="18"/>
              </w:rPr>
              <w:t>odel based</w:t>
            </w:r>
          </w:p>
        </w:tc>
        <w:tc>
          <w:tcPr>
            <w:tcW w:w="607" w:type="pct"/>
          </w:tcPr>
          <w:p w14:paraId="74EEBCA6" w14:textId="210AD6EB" w:rsidR="00B233F3" w:rsidRPr="006C7115" w:rsidRDefault="002D230F" w:rsidP="00061FDB">
            <w:pPr>
              <w:pStyle w:val="051Tabletext228pt"/>
              <w:ind w:left="-57" w:right="-57"/>
              <w:rPr>
                <w:sz w:val="18"/>
                <w:szCs w:val="18"/>
              </w:rPr>
            </w:pPr>
            <w:r w:rsidRPr="006C7115">
              <w:rPr>
                <w:sz w:val="18"/>
                <w:szCs w:val="18"/>
              </w:rPr>
              <w:t>FBSS; CRPS</w:t>
            </w:r>
          </w:p>
        </w:tc>
        <w:tc>
          <w:tcPr>
            <w:tcW w:w="796" w:type="pct"/>
          </w:tcPr>
          <w:p w14:paraId="05C81B21" w14:textId="78A50158" w:rsidR="00B233F3" w:rsidRPr="006C7115" w:rsidRDefault="00D04829" w:rsidP="00061FDB">
            <w:pPr>
              <w:pStyle w:val="051Tabletext228pt"/>
              <w:ind w:left="-57" w:right="-57"/>
              <w:rPr>
                <w:sz w:val="18"/>
                <w:szCs w:val="18"/>
              </w:rPr>
            </w:pPr>
            <w:r w:rsidRPr="006C7115">
              <w:rPr>
                <w:sz w:val="18"/>
                <w:szCs w:val="18"/>
              </w:rPr>
              <w:t>SCS</w:t>
            </w:r>
            <w:r w:rsidRPr="006C7115">
              <w:rPr>
                <w:sz w:val="18"/>
                <w:szCs w:val="18"/>
              </w:rPr>
              <w:br/>
            </w:r>
            <w:r w:rsidRPr="006C7115">
              <w:rPr>
                <w:sz w:val="18"/>
                <w:szCs w:val="18"/>
                <w:u w:val="single"/>
              </w:rPr>
              <w:t>FBSS:</w:t>
            </w:r>
            <w:r w:rsidRPr="006C7115">
              <w:rPr>
                <w:sz w:val="18"/>
                <w:szCs w:val="18"/>
              </w:rPr>
              <w:t xml:space="preserve"> UC </w:t>
            </w:r>
            <w:r w:rsidR="001D1616" w:rsidRPr="006C7115">
              <w:rPr>
                <w:sz w:val="18"/>
                <w:szCs w:val="18"/>
              </w:rPr>
              <w:t>+ reoperation</w:t>
            </w:r>
            <w:r w:rsidR="001D1616" w:rsidRPr="006C7115">
              <w:rPr>
                <w:sz w:val="18"/>
                <w:szCs w:val="18"/>
              </w:rPr>
              <w:br/>
            </w:r>
            <w:r w:rsidR="001D1616" w:rsidRPr="006C7115">
              <w:rPr>
                <w:sz w:val="18"/>
                <w:szCs w:val="18"/>
                <w:u w:val="single"/>
              </w:rPr>
              <w:t>CRPS:</w:t>
            </w:r>
            <w:r w:rsidR="001D1616" w:rsidRPr="006C7115">
              <w:rPr>
                <w:sz w:val="18"/>
                <w:szCs w:val="18"/>
              </w:rPr>
              <w:t xml:space="preserve"> </w:t>
            </w:r>
            <w:r w:rsidR="00CF225A" w:rsidRPr="006C7115">
              <w:rPr>
                <w:sz w:val="18"/>
                <w:szCs w:val="18"/>
              </w:rPr>
              <w:t xml:space="preserve">UC including </w:t>
            </w:r>
            <w:r w:rsidR="0078586C" w:rsidRPr="006C7115">
              <w:rPr>
                <w:sz w:val="18"/>
                <w:szCs w:val="18"/>
              </w:rPr>
              <w:t>inpatient ketamine infusions</w:t>
            </w:r>
          </w:p>
        </w:tc>
        <w:tc>
          <w:tcPr>
            <w:tcW w:w="1002" w:type="pct"/>
          </w:tcPr>
          <w:p w14:paraId="516FA873" w14:textId="6924A0FC" w:rsidR="00B233F3" w:rsidRPr="006C7115" w:rsidRDefault="0047754F" w:rsidP="00061FDB">
            <w:pPr>
              <w:pStyle w:val="051Tabletext228pt"/>
              <w:ind w:left="-57" w:right="-57"/>
              <w:rPr>
                <w:sz w:val="18"/>
                <w:szCs w:val="18"/>
              </w:rPr>
            </w:pPr>
            <w:r w:rsidRPr="006C7115">
              <w:rPr>
                <w:sz w:val="18"/>
                <w:szCs w:val="18"/>
              </w:rPr>
              <w:t xml:space="preserve">Selected </w:t>
            </w:r>
            <w:r w:rsidR="003A0DA7" w:rsidRPr="006C7115">
              <w:rPr>
                <w:sz w:val="18"/>
                <w:szCs w:val="18"/>
              </w:rPr>
              <w:t>RCT and observational studies</w:t>
            </w:r>
          </w:p>
          <w:p w14:paraId="68C566FA" w14:textId="12697C0E" w:rsidR="00D77D8D" w:rsidRPr="006C7115" w:rsidRDefault="00D77D8D" w:rsidP="00061FDB">
            <w:pPr>
              <w:pStyle w:val="051Tabletext228pt"/>
              <w:ind w:left="-57" w:right="-57"/>
              <w:rPr>
                <w:sz w:val="18"/>
                <w:szCs w:val="18"/>
              </w:rPr>
            </w:pPr>
            <w:r w:rsidRPr="006C7115">
              <w:rPr>
                <w:sz w:val="18"/>
                <w:szCs w:val="18"/>
              </w:rPr>
              <w:t>Expert opinion</w:t>
            </w:r>
          </w:p>
        </w:tc>
        <w:tc>
          <w:tcPr>
            <w:tcW w:w="494" w:type="pct"/>
            <w:shd w:val="clear" w:color="auto" w:fill="auto"/>
          </w:tcPr>
          <w:p w14:paraId="780C622E" w14:textId="697097D5" w:rsidR="00B233F3" w:rsidRPr="006C7115" w:rsidRDefault="003D26F3" w:rsidP="00061FDB">
            <w:pPr>
              <w:pStyle w:val="051Tabletext228pt"/>
              <w:ind w:left="-57" w:right="-57"/>
              <w:rPr>
                <w:sz w:val="18"/>
                <w:szCs w:val="18"/>
              </w:rPr>
            </w:pPr>
            <w:r w:rsidRPr="006C7115">
              <w:rPr>
                <w:sz w:val="18"/>
                <w:szCs w:val="18"/>
              </w:rPr>
              <w:t>NSANZ</w:t>
            </w:r>
            <w:r w:rsidRPr="006C7115">
              <w:rPr>
                <w:sz w:val="18"/>
                <w:szCs w:val="18"/>
              </w:rPr>
              <w:br/>
              <w:t>NR</w:t>
            </w:r>
          </w:p>
        </w:tc>
      </w:tr>
    </w:tbl>
    <w:p w14:paraId="0AF3E254" w14:textId="3C61488A" w:rsidR="002B1B42" w:rsidRDefault="008E4B50" w:rsidP="008E4B50">
      <w:pPr>
        <w:pStyle w:val="111Tablefootnoteslast-nostick8pt"/>
      </w:pPr>
      <w:r w:rsidRPr="00E36273">
        <w:t xml:space="preserve">Abbreviations: </w:t>
      </w:r>
      <w:r w:rsidR="00CF777E">
        <w:t>COI, conflict of interest;</w:t>
      </w:r>
      <w:r w:rsidRPr="00E36273">
        <w:t xml:space="preserve"> </w:t>
      </w:r>
      <w:r w:rsidR="002B1B42">
        <w:t xml:space="preserve">CRPS, complex regional pain syndrome; EE, economic evaluation; </w:t>
      </w:r>
      <w:r w:rsidR="002B1B42" w:rsidRPr="00E36273">
        <w:t xml:space="preserve">FBSS, failed back surgery syndrome; </w:t>
      </w:r>
      <w:r w:rsidR="00CF777E">
        <w:t xml:space="preserve">NSANZ, </w:t>
      </w:r>
      <w:r w:rsidR="00AF2FE8" w:rsidRPr="009B2CF9">
        <w:t>Neuromodulation Society of Australia and New Zealand</w:t>
      </w:r>
      <w:r w:rsidR="00CF777E">
        <w:t xml:space="preserve">; </w:t>
      </w:r>
      <w:r w:rsidR="002B1B42">
        <w:t>SCS, spinal cord stimulat</w:t>
      </w:r>
      <w:r w:rsidR="00104D96">
        <w:t>ion</w:t>
      </w:r>
      <w:r w:rsidR="002B1B42">
        <w:t xml:space="preserve">; UC, usual care. </w:t>
      </w:r>
    </w:p>
    <w:p w14:paraId="66E8AB7C" w14:textId="7DEBAAAA" w:rsidR="00545657" w:rsidRDefault="0005482E" w:rsidP="00B233F3">
      <w:pPr>
        <w:pStyle w:val="BodyText"/>
      </w:pPr>
      <w:r>
        <w:t xml:space="preserve">The </w:t>
      </w:r>
      <w:r w:rsidR="00D12ABC">
        <w:t>Deloitte</w:t>
      </w:r>
      <w:r>
        <w:t xml:space="preserve"> model employed</w:t>
      </w:r>
      <w:r w:rsidR="00BF604C">
        <w:t xml:space="preserve"> a similar approach to that presented in </w:t>
      </w:r>
      <w:r w:rsidR="00A12F3B">
        <w:t xml:space="preserve">the </w:t>
      </w:r>
      <w:r w:rsidR="00A7729E">
        <w:t xml:space="preserve">economic evaluation </w:t>
      </w:r>
      <w:r w:rsidR="00A12F3B">
        <w:t xml:space="preserve">commissioned for the </w:t>
      </w:r>
      <w:r w:rsidR="00156017">
        <w:t xml:space="preserve">UK’s </w:t>
      </w:r>
      <w:r w:rsidR="00156017" w:rsidRPr="00156017">
        <w:t xml:space="preserve">National Institute for Health Research </w:t>
      </w:r>
      <w:r w:rsidR="00156017">
        <w:t>(</w:t>
      </w:r>
      <w:r w:rsidR="00A12F3B">
        <w:t>NIHR</w:t>
      </w:r>
      <w:r w:rsidR="00156017">
        <w:t>)</w:t>
      </w:r>
      <w:r w:rsidR="00A12F3B">
        <w:t xml:space="preserve"> HTA Program (</w:t>
      </w:r>
      <w:r w:rsidR="00BF604C">
        <w:t>Simpson 2009), including</w:t>
      </w:r>
      <w:r>
        <w:t xml:space="preserve"> a 12</w:t>
      </w:r>
      <w:r w:rsidR="00716F01">
        <w:t>-</w:t>
      </w:r>
      <w:r>
        <w:t xml:space="preserve">month cycle </w:t>
      </w:r>
      <w:r w:rsidR="00582AAF">
        <w:t xml:space="preserve">length </w:t>
      </w:r>
      <w:r w:rsidR="000A7180">
        <w:t xml:space="preserve">with </w:t>
      </w:r>
      <w:r w:rsidR="00D26A30">
        <w:t xml:space="preserve">three </w:t>
      </w:r>
      <w:r w:rsidR="000A7180">
        <w:t>health states</w:t>
      </w:r>
      <w:r w:rsidR="00722F0D">
        <w:t>:</w:t>
      </w:r>
      <w:r w:rsidR="000A7180">
        <w:t xml:space="preserve"> </w:t>
      </w:r>
      <w:r w:rsidR="00487140">
        <w:t>optimal pain</w:t>
      </w:r>
      <w:r w:rsidR="00DE0B98">
        <w:t xml:space="preserve"> relief</w:t>
      </w:r>
      <w:r w:rsidR="007C4BB7">
        <w:t>, suboptimal pain</w:t>
      </w:r>
      <w:r w:rsidR="00DE0B98">
        <w:t xml:space="preserve"> relief</w:t>
      </w:r>
      <w:r w:rsidR="007C4BB7">
        <w:t xml:space="preserve"> and death.</w:t>
      </w:r>
      <w:r w:rsidR="00487140">
        <w:t xml:space="preserve"> </w:t>
      </w:r>
      <w:r w:rsidR="00CB0F03">
        <w:t>The mode</w:t>
      </w:r>
      <w:r w:rsidR="00EA0309">
        <w:t xml:space="preserve">l </w:t>
      </w:r>
      <w:r w:rsidR="00DF51DD" w:rsidRPr="00DF51DD">
        <w:t>had a decision analytic structure for the first 6 months, followed by a Markov process for up to 15 years</w:t>
      </w:r>
      <w:r w:rsidR="00ED3AF7">
        <w:t>, depending on patient characteristics</w:t>
      </w:r>
      <w:r w:rsidR="008B7742">
        <w:t xml:space="preserve">. </w:t>
      </w:r>
      <w:r w:rsidR="00582AAF">
        <w:t>A 5%</w:t>
      </w:r>
      <w:r w:rsidR="005F4D3A">
        <w:t xml:space="preserve"> discount rate was </w:t>
      </w:r>
      <w:r w:rsidR="00582AAF">
        <w:t>used</w:t>
      </w:r>
      <w:r w:rsidR="004F1CE4">
        <w:t>.</w:t>
      </w:r>
    </w:p>
    <w:p w14:paraId="14C47D6E" w14:textId="0CB278D3" w:rsidR="0052135F" w:rsidRDefault="0052135F" w:rsidP="00B233F3">
      <w:pPr>
        <w:pStyle w:val="BodyText"/>
      </w:pPr>
      <w:r>
        <w:t>Usual care was assumed to involve a repeat spinal fusion in FBSS patients (5% per annum), and quarterly inpatient ketamine infusions in a proportion of CRPS type I patients (20%; the authors acknowledged that this does not necessarily represent standard care for all patients).</w:t>
      </w:r>
    </w:p>
    <w:p w14:paraId="7D40C1C9" w14:textId="1672CE0F" w:rsidR="00AA6084" w:rsidRDefault="00851267" w:rsidP="00B233F3">
      <w:pPr>
        <w:pStyle w:val="BodyText"/>
      </w:pPr>
      <w:r>
        <w:t xml:space="preserve">The </w:t>
      </w:r>
      <w:r w:rsidR="00D553F6">
        <w:t xml:space="preserve">model assumed that the </w:t>
      </w:r>
      <w:r>
        <w:t xml:space="preserve">probability </w:t>
      </w:r>
      <w:r w:rsidR="00D553F6">
        <w:t xml:space="preserve">of </w:t>
      </w:r>
      <w:r w:rsidR="00002CB0">
        <w:t xml:space="preserve">a successful </w:t>
      </w:r>
      <w:r w:rsidR="00851B33">
        <w:t xml:space="preserve">trial of SCS </w:t>
      </w:r>
      <w:r w:rsidR="00002CB0">
        <w:t xml:space="preserve">was </w:t>
      </w:r>
      <w:r w:rsidR="00172425">
        <w:t xml:space="preserve">82.7%, taken from the </w:t>
      </w:r>
      <w:r w:rsidR="008376D4">
        <w:t>open-label</w:t>
      </w:r>
      <w:r w:rsidR="00172425">
        <w:t xml:space="preserve"> PROCESS trial (Kumar 2005).</w:t>
      </w:r>
      <w:r>
        <w:t xml:space="preserve"> </w:t>
      </w:r>
      <w:r w:rsidR="00F810FB">
        <w:t>Similar to Simpson (2009), t</w:t>
      </w:r>
      <w:r w:rsidR="00683907">
        <w:t xml:space="preserve">he probability of </w:t>
      </w:r>
      <w:r w:rsidR="00E753FE">
        <w:t xml:space="preserve">device-related </w:t>
      </w:r>
      <w:r w:rsidR="00683907">
        <w:t>complications</w:t>
      </w:r>
      <w:r w:rsidR="007C0A69">
        <w:t xml:space="preserve"> </w:t>
      </w:r>
      <w:r w:rsidR="009143C5">
        <w:t xml:space="preserve">was assumed </w:t>
      </w:r>
      <w:r w:rsidR="00DD3895">
        <w:t>to be 18% per annum (</w:t>
      </w:r>
      <w:r w:rsidR="00BE7AEB">
        <w:t>after the initial 6 months)</w:t>
      </w:r>
      <w:r w:rsidR="00F810FB">
        <w:t>.</w:t>
      </w:r>
      <w:r w:rsidR="00E36CC7">
        <w:t xml:space="preserve"> </w:t>
      </w:r>
      <w:r w:rsidR="00C801D0" w:rsidRPr="00C801D0">
        <w:t xml:space="preserve">The probability of a patient achieving an optimal health state after undergoing SCS implantation </w:t>
      </w:r>
      <w:r w:rsidR="009C7ECF">
        <w:t>wa</w:t>
      </w:r>
      <w:r w:rsidR="00C801D0" w:rsidRPr="00C801D0">
        <w:t>s 5</w:t>
      </w:r>
      <w:r w:rsidR="002616D9">
        <w:t>8.5</w:t>
      </w:r>
      <w:r w:rsidR="00C801D0" w:rsidRPr="00C801D0">
        <w:t xml:space="preserve">%, which was based on </w:t>
      </w:r>
      <w:r w:rsidR="002B33C4">
        <w:t>the PROCESS trial (</w:t>
      </w:r>
      <w:r w:rsidR="00C801D0" w:rsidRPr="00C801D0">
        <w:t>Kumar 2007).</w:t>
      </w:r>
      <w:r w:rsidR="003F62C2">
        <w:t xml:space="preserve"> Annual transition probabilities </w:t>
      </w:r>
      <w:r w:rsidR="00C62022">
        <w:t>were based on Simpson (2009) and updated in consultation with NSANZ.</w:t>
      </w:r>
    </w:p>
    <w:p w14:paraId="35C99388" w14:textId="7E94045F" w:rsidR="00BD734F" w:rsidRDefault="00BD734F" w:rsidP="00B233F3">
      <w:pPr>
        <w:pStyle w:val="BodyText"/>
      </w:pPr>
      <w:r>
        <w:t xml:space="preserve">Utility values for optimal and suboptimal pain relief were taken from the </w:t>
      </w:r>
      <w:r w:rsidR="009B12DE">
        <w:t>cost-effectiveness analysis</w:t>
      </w:r>
      <w:r>
        <w:t xml:space="preserve"> by Kumar (2013), based on EQ-5D scores at baseline and 6 months from a </w:t>
      </w:r>
      <w:r w:rsidR="009B12DE">
        <w:t xml:space="preserve">Canadian </w:t>
      </w:r>
      <w:r>
        <w:t xml:space="preserve">cohort of patients with FBSS </w:t>
      </w:r>
      <w:r w:rsidR="00934299">
        <w:t>(N=233) or</w:t>
      </w:r>
      <w:r>
        <w:t xml:space="preserve"> CRPS</w:t>
      </w:r>
      <w:r w:rsidR="00745125">
        <w:t xml:space="preserve"> </w:t>
      </w:r>
      <w:r w:rsidR="00934299">
        <w:t xml:space="preserve">(N=53) </w:t>
      </w:r>
      <w:r w:rsidR="00745125">
        <w:t>who received SCS or CMM</w:t>
      </w:r>
      <w:r>
        <w:t>.</w:t>
      </w:r>
    </w:p>
    <w:p w14:paraId="08E419DA" w14:textId="300FB44D" w:rsidR="002D6150" w:rsidRDefault="002D6150" w:rsidP="00B233F3">
      <w:pPr>
        <w:pStyle w:val="BodyText"/>
      </w:pPr>
      <w:r>
        <w:lastRenderedPageBreak/>
        <w:t xml:space="preserve">Complications were not modelled as separate health states because of the relatively short amount of time that patients would spend </w:t>
      </w:r>
      <w:r w:rsidR="007E7824">
        <w:t>in those states</w:t>
      </w:r>
      <w:r>
        <w:t>.</w:t>
      </w:r>
      <w:r w:rsidR="00335E08">
        <w:t xml:space="preserve"> </w:t>
      </w:r>
      <w:r w:rsidR="00E41A22">
        <w:t>The Deloitte model differed from</w:t>
      </w:r>
      <w:r w:rsidR="00335E08">
        <w:t xml:space="preserve"> </w:t>
      </w:r>
      <w:r w:rsidR="0098110B">
        <w:t>that of</w:t>
      </w:r>
      <w:r w:rsidR="00335E08">
        <w:t xml:space="preserve"> Simpson (2009) </w:t>
      </w:r>
      <w:r w:rsidR="00642768">
        <w:t xml:space="preserve">in </w:t>
      </w:r>
      <w:r w:rsidR="001072B4">
        <w:t>the approach used to capture</w:t>
      </w:r>
      <w:r w:rsidR="00642768">
        <w:t xml:space="preserve"> </w:t>
      </w:r>
      <w:r w:rsidR="00A4498E">
        <w:t xml:space="preserve">device-related </w:t>
      </w:r>
      <w:r w:rsidR="00642768">
        <w:t>complications</w:t>
      </w:r>
      <w:r w:rsidR="00CE0350">
        <w:t>.</w:t>
      </w:r>
      <w:r w:rsidR="00A4498E">
        <w:t xml:space="preserve"> </w:t>
      </w:r>
      <w:r w:rsidR="00A45A47">
        <w:t xml:space="preserve">Deloitte incorporated the cost of complications </w:t>
      </w:r>
      <w:r w:rsidR="003C0AAD">
        <w:t xml:space="preserve">as </w:t>
      </w:r>
      <w:r w:rsidR="00B76C1C">
        <w:t xml:space="preserve">a component of the ongoing cost of SCS treatment but </w:t>
      </w:r>
      <w:r w:rsidR="00A241FF">
        <w:t xml:space="preserve">held the </w:t>
      </w:r>
      <w:r w:rsidR="00F43621">
        <w:t xml:space="preserve">health </w:t>
      </w:r>
      <w:r w:rsidR="00A241FF">
        <w:t>utility constant across the year</w:t>
      </w:r>
      <w:r w:rsidR="00EA3350">
        <w:t xml:space="preserve">, whereas Simpson (2009) </w:t>
      </w:r>
      <w:r w:rsidR="007050E8">
        <w:t xml:space="preserve">assumed different </w:t>
      </w:r>
      <w:r w:rsidR="00400A99">
        <w:t xml:space="preserve">utility values </w:t>
      </w:r>
      <w:r w:rsidR="00A528F3">
        <w:t>and health system costs for patients with and without complications.</w:t>
      </w:r>
      <w:r w:rsidR="00975A23">
        <w:t xml:space="preserve"> </w:t>
      </w:r>
    </w:p>
    <w:p w14:paraId="38AFB404" w14:textId="03448C9B" w:rsidR="00677BE0" w:rsidRDefault="00C71E32" w:rsidP="00B233F3">
      <w:pPr>
        <w:pStyle w:val="BodyText"/>
      </w:pPr>
      <w:r>
        <w:t>Health system</w:t>
      </w:r>
      <w:r w:rsidR="00677BE0">
        <w:t xml:space="preserve"> cost inputs included </w:t>
      </w:r>
      <w:r w:rsidR="001759D8">
        <w:t xml:space="preserve">the cost of </w:t>
      </w:r>
      <w:r w:rsidR="00677BE0">
        <w:t xml:space="preserve">trial stimulation, </w:t>
      </w:r>
      <w:r w:rsidR="001759D8">
        <w:t xml:space="preserve">the </w:t>
      </w:r>
      <w:r w:rsidR="00677BE0">
        <w:t>implantation procedure</w:t>
      </w:r>
      <w:r w:rsidR="00B33851">
        <w:t xml:space="preserve"> and </w:t>
      </w:r>
      <w:proofErr w:type="spellStart"/>
      <w:r w:rsidR="00677BE0">
        <w:t>explant</w:t>
      </w:r>
      <w:r w:rsidR="001759D8">
        <w:t>ation</w:t>
      </w:r>
      <w:proofErr w:type="spellEnd"/>
      <w:r w:rsidR="00BB30FA">
        <w:t>.</w:t>
      </w:r>
      <w:r w:rsidR="001759D8">
        <w:t xml:space="preserve"> </w:t>
      </w:r>
      <w:r w:rsidR="00BB30FA">
        <w:t>T</w:t>
      </w:r>
      <w:r w:rsidR="00B33851">
        <w:t>hese costs were identical for FBSS and CRPS patients</w:t>
      </w:r>
      <w:r w:rsidR="00353C3D">
        <w:t>. O</w:t>
      </w:r>
      <w:r w:rsidR="00677BE0">
        <w:t>ngoing maintenance</w:t>
      </w:r>
      <w:r w:rsidR="00300558">
        <w:t xml:space="preserve"> </w:t>
      </w:r>
      <w:r w:rsidR="00394D6F">
        <w:t xml:space="preserve">costs </w:t>
      </w:r>
      <w:r w:rsidR="00353C3D">
        <w:t>were also incorporated in the model</w:t>
      </w:r>
      <w:r w:rsidR="0015670D">
        <w:t>,</w:t>
      </w:r>
      <w:r w:rsidR="00353C3D">
        <w:t xml:space="preserve"> </w:t>
      </w:r>
      <w:r w:rsidR="0015670D">
        <w:t>with higher costs</w:t>
      </w:r>
      <w:r w:rsidR="00B33851">
        <w:t xml:space="preserve"> </w:t>
      </w:r>
      <w:r w:rsidR="00B154A0">
        <w:t>for</w:t>
      </w:r>
      <w:r w:rsidR="00B33851">
        <w:t xml:space="preserve"> CRPS </w:t>
      </w:r>
      <w:r w:rsidR="00B154A0">
        <w:t>than FBSS</w:t>
      </w:r>
      <w:r w:rsidR="0027359A">
        <w:t>, primarily</w:t>
      </w:r>
      <w:r w:rsidR="00B33851">
        <w:t xml:space="preserve"> due to </w:t>
      </w:r>
      <w:r w:rsidR="0038554F">
        <w:t xml:space="preserve">the cost of </w:t>
      </w:r>
      <w:r w:rsidR="00526870">
        <w:t xml:space="preserve">regular </w:t>
      </w:r>
      <w:r w:rsidR="00B33851">
        <w:t xml:space="preserve">inpatient </w:t>
      </w:r>
      <w:r w:rsidR="00300558">
        <w:t>ketamine infusions</w:t>
      </w:r>
      <w:r w:rsidR="0027359A">
        <w:t xml:space="preserve"> </w:t>
      </w:r>
      <w:r w:rsidR="00353C3D">
        <w:t>(</w:t>
      </w:r>
      <w:r w:rsidR="0015670D">
        <w:t>applied</w:t>
      </w:r>
      <w:r w:rsidR="002B1EB0">
        <w:t xml:space="preserve"> to</w:t>
      </w:r>
      <w:r w:rsidR="0027359A">
        <w:t xml:space="preserve"> 2% of patients </w:t>
      </w:r>
      <w:r w:rsidR="00C11CB3">
        <w:t xml:space="preserve">with a </w:t>
      </w:r>
      <w:r w:rsidR="0027359A">
        <w:t>SCS and 20% of patients</w:t>
      </w:r>
      <w:r w:rsidR="00C11CB3">
        <w:t xml:space="preserve"> without</w:t>
      </w:r>
      <w:r w:rsidR="00300558">
        <w:t>)</w:t>
      </w:r>
      <w:r w:rsidR="00677BE0">
        <w:t>.</w:t>
      </w:r>
      <w:r w:rsidR="003826F8">
        <w:t xml:space="preserve"> </w:t>
      </w:r>
      <w:r w:rsidR="004C168C">
        <w:t xml:space="preserve">The model assumed that </w:t>
      </w:r>
      <w:r w:rsidR="00D56FEB">
        <w:t>total</w:t>
      </w:r>
      <w:r w:rsidR="004C168C">
        <w:t xml:space="preserve"> medication costs </w:t>
      </w:r>
      <w:r w:rsidR="004E06FE">
        <w:t xml:space="preserve">(opioids) </w:t>
      </w:r>
      <w:r w:rsidR="0003189D">
        <w:t>we</w:t>
      </w:r>
      <w:r w:rsidR="004C168C">
        <w:t xml:space="preserve">re reduced by 25% </w:t>
      </w:r>
      <w:r w:rsidR="00945D4D">
        <w:t>at one</w:t>
      </w:r>
      <w:r w:rsidR="00CE0AE8">
        <w:t xml:space="preserve"> </w:t>
      </w:r>
      <w:r w:rsidR="00945D4D">
        <w:t xml:space="preserve">year </w:t>
      </w:r>
      <w:r w:rsidR="008807E7">
        <w:t>after</w:t>
      </w:r>
      <w:r w:rsidR="004C168C">
        <w:t xml:space="preserve"> SCS</w:t>
      </w:r>
      <w:r w:rsidR="00B6420E">
        <w:t xml:space="preserve">, based on </w:t>
      </w:r>
      <w:r w:rsidR="00B36B80">
        <w:t xml:space="preserve">an </w:t>
      </w:r>
      <w:r w:rsidR="00BE067A">
        <w:t xml:space="preserve">observational study </w:t>
      </w:r>
      <w:r w:rsidR="00B36B80">
        <w:t>of U</w:t>
      </w:r>
      <w:r w:rsidR="004F670A">
        <w:t xml:space="preserve">nited </w:t>
      </w:r>
      <w:r w:rsidR="00B36B80">
        <w:t>S</w:t>
      </w:r>
      <w:r w:rsidR="004F670A">
        <w:t>tates</w:t>
      </w:r>
      <w:r w:rsidR="00B36B80">
        <w:t xml:space="preserve"> insurance claims data </w:t>
      </w:r>
      <w:r w:rsidR="00BE067A">
        <w:t>by Sharan (2018)</w:t>
      </w:r>
      <w:r w:rsidR="00B6420E">
        <w:t>.</w:t>
      </w:r>
      <w:r w:rsidR="0087642D">
        <w:t xml:space="preserve"> More recent propensity matched observational studies have </w:t>
      </w:r>
      <w:r w:rsidR="00FB54BC">
        <w:t xml:space="preserve">found little difference in </w:t>
      </w:r>
      <w:r w:rsidR="00687897">
        <w:t xml:space="preserve">opioid </w:t>
      </w:r>
      <w:r w:rsidR="00756AFF">
        <w:t xml:space="preserve">use (see </w:t>
      </w:r>
      <w:r w:rsidR="00337526">
        <w:t xml:space="preserve">Section </w:t>
      </w:r>
      <w:r w:rsidR="00527F41">
        <w:fldChar w:fldCharType="begin"/>
      </w:r>
      <w:r w:rsidR="00527F41">
        <w:instrText xml:space="preserve"> REF _Ref134458677 \r \h </w:instrText>
      </w:r>
      <w:r w:rsidR="00527F41">
        <w:fldChar w:fldCharType="separate"/>
      </w:r>
      <w:r w:rsidR="00CE6ACA">
        <w:t>3.2.5</w:t>
      </w:r>
      <w:r w:rsidR="00527F41">
        <w:fldChar w:fldCharType="end"/>
      </w:r>
      <w:r w:rsidR="00527F41">
        <w:t xml:space="preserve"> </w:t>
      </w:r>
      <w:r w:rsidR="00527F41">
        <w:fldChar w:fldCharType="begin"/>
      </w:r>
      <w:r w:rsidR="00527F41">
        <w:instrText xml:space="preserve"> REF _Ref134458677 \h </w:instrText>
      </w:r>
      <w:r w:rsidR="00527F41">
        <w:fldChar w:fldCharType="separate"/>
      </w:r>
      <w:r w:rsidR="00CE6ACA">
        <w:t>Additional non-randomised comparative evidence</w:t>
      </w:r>
      <w:r w:rsidR="00527F41">
        <w:fldChar w:fldCharType="end"/>
      </w:r>
      <w:r w:rsidR="00527F41">
        <w:t>).</w:t>
      </w:r>
    </w:p>
    <w:p w14:paraId="32764E89" w14:textId="2B28B233" w:rsidR="0068513B" w:rsidRDefault="0068513B" w:rsidP="00B233F3">
      <w:pPr>
        <w:pStyle w:val="BodyText"/>
      </w:pPr>
      <w:r>
        <w:t xml:space="preserve">The authors presented a societal perspective as an additional analysis </w:t>
      </w:r>
      <w:r w:rsidR="00B16DF2">
        <w:t>incorporating</w:t>
      </w:r>
      <w:r w:rsidR="00B16DF2" w:rsidDel="003A7BE1">
        <w:t xml:space="preserve"> </w:t>
      </w:r>
      <w:r w:rsidR="007F0FA0">
        <w:t xml:space="preserve">lost </w:t>
      </w:r>
      <w:r>
        <w:t xml:space="preserve">productivity in the model. This perspective has not been considered </w:t>
      </w:r>
      <w:r w:rsidR="00290C65">
        <w:t>here</w:t>
      </w:r>
      <w:r>
        <w:t xml:space="preserve"> as </w:t>
      </w:r>
      <w:r w:rsidR="00391F18">
        <w:t>this PLR</w:t>
      </w:r>
      <w:r w:rsidR="00A04FF7">
        <w:t xml:space="preserve"> is </w:t>
      </w:r>
      <w:r w:rsidR="005132A7">
        <w:t xml:space="preserve">focused </w:t>
      </w:r>
      <w:r w:rsidR="00A04FF7">
        <w:t>on</w:t>
      </w:r>
      <w:r>
        <w:t xml:space="preserve"> </w:t>
      </w:r>
      <w:r w:rsidR="00A6694E">
        <w:t>implications to the PL</w:t>
      </w:r>
      <w:r>
        <w:t xml:space="preserve"> </w:t>
      </w:r>
      <w:r w:rsidR="009149C8">
        <w:t>and associated Government health budgets</w:t>
      </w:r>
      <w:r>
        <w:t xml:space="preserve">. </w:t>
      </w:r>
    </w:p>
    <w:p w14:paraId="7FBBBDDA" w14:textId="42BBB696" w:rsidR="000958A3" w:rsidRDefault="00135CB4" w:rsidP="00B233F3">
      <w:pPr>
        <w:pStyle w:val="BodyText"/>
      </w:pPr>
      <w:r>
        <w:t xml:space="preserve">The </w:t>
      </w:r>
      <w:r w:rsidR="003A7BE1">
        <w:t xml:space="preserve">Deloitte economic evaluation </w:t>
      </w:r>
      <w:r>
        <w:t>was undertaken on behalf of</w:t>
      </w:r>
      <w:r w:rsidR="003A7BE1">
        <w:t>,</w:t>
      </w:r>
      <w:r>
        <w:t xml:space="preserve"> </w:t>
      </w:r>
      <w:r w:rsidR="0079298E">
        <w:t>and funded by</w:t>
      </w:r>
      <w:r w:rsidR="003A7BE1">
        <w:t>,</w:t>
      </w:r>
      <w:r w:rsidR="0079298E">
        <w:t xml:space="preserve"> </w:t>
      </w:r>
      <w:r>
        <w:t xml:space="preserve">the </w:t>
      </w:r>
      <w:r w:rsidR="0079298E">
        <w:t xml:space="preserve">SCS </w:t>
      </w:r>
      <w:r w:rsidR="0058211F">
        <w:t>stakeholders</w:t>
      </w:r>
      <w:r>
        <w:t xml:space="preserve"> peak body in Australia. </w:t>
      </w:r>
    </w:p>
    <w:p w14:paraId="72ED4264" w14:textId="479DF17B" w:rsidR="004C333A" w:rsidRDefault="004C333A" w:rsidP="004C333A">
      <w:pPr>
        <w:pStyle w:val="Heading5"/>
      </w:pPr>
      <w:r>
        <w:t>Findings</w:t>
      </w:r>
    </w:p>
    <w:p w14:paraId="273B65FB" w14:textId="114923DE" w:rsidR="005E4DF0" w:rsidRDefault="0087306B" w:rsidP="00B233F3">
      <w:pPr>
        <w:pStyle w:val="BodyText"/>
      </w:pPr>
      <w:r>
        <w:t>The findings of the cost</w:t>
      </w:r>
      <w:r w:rsidR="002D10C6">
        <w:t>-</w:t>
      </w:r>
      <w:r>
        <w:t>effectiveness analysis</w:t>
      </w:r>
      <w:r w:rsidR="00EA2D11">
        <w:t>, from the perspective of the health system,</w:t>
      </w:r>
      <w:r>
        <w:t xml:space="preserve"> are presented in </w:t>
      </w:r>
      <w:r w:rsidR="003D6E54">
        <w:fldChar w:fldCharType="begin"/>
      </w:r>
      <w:r w:rsidR="003D6E54">
        <w:instrText xml:space="preserve"> REF _Ref129717361 \h </w:instrText>
      </w:r>
      <w:r w:rsidR="003D6E54">
        <w:fldChar w:fldCharType="separate"/>
      </w:r>
      <w:r w:rsidR="00CE6ACA">
        <w:t xml:space="preserve">Table </w:t>
      </w:r>
      <w:r w:rsidR="00CE6ACA">
        <w:rPr>
          <w:noProof/>
        </w:rPr>
        <w:t>22</w:t>
      </w:r>
      <w:r w:rsidR="003D6E54">
        <w:fldChar w:fldCharType="end"/>
      </w:r>
      <w:r w:rsidR="003D6E54">
        <w:t xml:space="preserve">. </w:t>
      </w:r>
    </w:p>
    <w:p w14:paraId="0A6CF2A9" w14:textId="15154467" w:rsidR="00580ABA" w:rsidRDefault="00580ABA" w:rsidP="00580ABA">
      <w:pPr>
        <w:pStyle w:val="Caption"/>
      </w:pPr>
      <w:bookmarkStart w:id="106" w:name="_Ref129717361"/>
      <w:r>
        <w:t xml:space="preserve">Table </w:t>
      </w:r>
      <w:r>
        <w:fldChar w:fldCharType="begin"/>
      </w:r>
      <w:r>
        <w:instrText>SEQ Table \* ARABIC</w:instrText>
      </w:r>
      <w:r>
        <w:fldChar w:fldCharType="separate"/>
      </w:r>
      <w:r w:rsidR="00CE6ACA">
        <w:rPr>
          <w:noProof/>
        </w:rPr>
        <w:t>22</w:t>
      </w:r>
      <w:r>
        <w:fldChar w:fldCharType="end"/>
      </w:r>
      <w:bookmarkEnd w:id="106"/>
      <w:r>
        <w:tab/>
        <w:t>Outcomes of Deloitte (2019)</w:t>
      </w:r>
      <w:r w:rsidR="00C103AC">
        <w:t xml:space="preserve"> – health care perspective</w:t>
      </w:r>
    </w:p>
    <w:tbl>
      <w:tblPr>
        <w:tblStyle w:val="TableGrid"/>
        <w:tblW w:w="0" w:type="auto"/>
        <w:tblLook w:val="04A0" w:firstRow="1" w:lastRow="0" w:firstColumn="1" w:lastColumn="0" w:noHBand="0" w:noVBand="1"/>
        <w:tblCaption w:val="Outcomes of Deloitte (2019) - health care perspective"/>
        <w:tblDescription w:val="Table showing the health care perspective outcomes of Deloitte (2019)."/>
      </w:tblPr>
      <w:tblGrid>
        <w:gridCol w:w="1276"/>
        <w:gridCol w:w="1559"/>
        <w:gridCol w:w="1843"/>
        <w:gridCol w:w="1559"/>
        <w:gridCol w:w="2127"/>
        <w:gridCol w:w="1274"/>
      </w:tblGrid>
      <w:tr w:rsidR="004C333A" w14:paraId="4799FC6F" w14:textId="77777777" w:rsidTr="0062307C">
        <w:trPr>
          <w:cnfStyle w:val="100000000000" w:firstRow="1" w:lastRow="0" w:firstColumn="0" w:lastColumn="0" w:oddVBand="0" w:evenVBand="0" w:oddHBand="0" w:evenHBand="0" w:firstRowFirstColumn="0" w:firstRowLastColumn="0" w:lastRowFirstColumn="0" w:lastRowLastColumn="0"/>
        </w:trPr>
        <w:tc>
          <w:tcPr>
            <w:tcW w:w="1276" w:type="dxa"/>
          </w:tcPr>
          <w:p w14:paraId="3BB3C02E" w14:textId="77777777" w:rsidR="004C333A" w:rsidRPr="006C7115" w:rsidRDefault="004C333A" w:rsidP="00F8589A">
            <w:pPr>
              <w:pStyle w:val="011TableHeading8pt"/>
              <w:rPr>
                <w:sz w:val="18"/>
                <w:szCs w:val="24"/>
              </w:rPr>
            </w:pPr>
            <w:r w:rsidRPr="006C7115">
              <w:rPr>
                <w:sz w:val="18"/>
                <w:szCs w:val="24"/>
              </w:rPr>
              <w:t>Study ID</w:t>
            </w:r>
          </w:p>
        </w:tc>
        <w:tc>
          <w:tcPr>
            <w:tcW w:w="1559" w:type="dxa"/>
          </w:tcPr>
          <w:p w14:paraId="79E086DD" w14:textId="7F64862C" w:rsidR="004C333A" w:rsidRPr="006C7115" w:rsidRDefault="0015574E" w:rsidP="00F8589A">
            <w:pPr>
              <w:pStyle w:val="011TableHeading8pt"/>
              <w:rPr>
                <w:sz w:val="18"/>
                <w:szCs w:val="24"/>
              </w:rPr>
            </w:pPr>
            <w:r w:rsidRPr="006C7115">
              <w:rPr>
                <w:sz w:val="18"/>
                <w:szCs w:val="24"/>
              </w:rPr>
              <w:t xml:space="preserve">Incremental costs </w:t>
            </w:r>
            <w:r w:rsidR="00121BFF" w:rsidRPr="006C7115">
              <w:rPr>
                <w:sz w:val="18"/>
                <w:szCs w:val="24"/>
              </w:rPr>
              <w:t>($AUD)</w:t>
            </w:r>
          </w:p>
        </w:tc>
        <w:tc>
          <w:tcPr>
            <w:tcW w:w="1843" w:type="dxa"/>
          </w:tcPr>
          <w:p w14:paraId="35A2CA8A" w14:textId="7FCE6A21" w:rsidR="004C333A" w:rsidRPr="006C7115" w:rsidRDefault="0015574E" w:rsidP="00F8589A">
            <w:pPr>
              <w:pStyle w:val="011TableHeading8pt"/>
              <w:rPr>
                <w:sz w:val="18"/>
                <w:szCs w:val="24"/>
              </w:rPr>
            </w:pPr>
            <w:r w:rsidRPr="006C7115">
              <w:rPr>
                <w:sz w:val="18"/>
                <w:szCs w:val="24"/>
              </w:rPr>
              <w:t xml:space="preserve">Incremental effectiveness </w:t>
            </w:r>
            <w:r w:rsidR="00121BFF" w:rsidRPr="006C7115">
              <w:rPr>
                <w:sz w:val="18"/>
                <w:szCs w:val="24"/>
              </w:rPr>
              <w:t>(QALY)</w:t>
            </w:r>
          </w:p>
        </w:tc>
        <w:tc>
          <w:tcPr>
            <w:tcW w:w="1559" w:type="dxa"/>
          </w:tcPr>
          <w:p w14:paraId="4140EC85" w14:textId="2BB5C9C0" w:rsidR="004C333A" w:rsidRPr="006C7115" w:rsidRDefault="004C333A" w:rsidP="00F8589A">
            <w:pPr>
              <w:pStyle w:val="011TableHeading8pt"/>
              <w:rPr>
                <w:sz w:val="18"/>
                <w:szCs w:val="24"/>
              </w:rPr>
            </w:pPr>
            <w:r w:rsidRPr="006C7115">
              <w:rPr>
                <w:sz w:val="18"/>
                <w:szCs w:val="24"/>
              </w:rPr>
              <w:t>ICER</w:t>
            </w:r>
            <w:r w:rsidR="00C76356" w:rsidRPr="006C7115">
              <w:rPr>
                <w:sz w:val="18"/>
                <w:szCs w:val="24"/>
              </w:rPr>
              <w:t xml:space="preserve"> ($</w:t>
            </w:r>
            <w:r w:rsidR="0016503C" w:rsidRPr="006C7115">
              <w:rPr>
                <w:sz w:val="18"/>
                <w:szCs w:val="24"/>
              </w:rPr>
              <w:t>AUD</w:t>
            </w:r>
            <w:r w:rsidR="00C76356" w:rsidRPr="006C7115">
              <w:rPr>
                <w:sz w:val="18"/>
                <w:szCs w:val="24"/>
              </w:rPr>
              <w:t>/QALY)</w:t>
            </w:r>
          </w:p>
        </w:tc>
        <w:tc>
          <w:tcPr>
            <w:tcW w:w="2127" w:type="dxa"/>
          </w:tcPr>
          <w:p w14:paraId="72BE82BB" w14:textId="77777777" w:rsidR="004C333A" w:rsidRPr="006C7115" w:rsidRDefault="004C333A" w:rsidP="00F8589A">
            <w:pPr>
              <w:pStyle w:val="011TableHeading8pt"/>
              <w:rPr>
                <w:sz w:val="18"/>
                <w:szCs w:val="24"/>
              </w:rPr>
            </w:pPr>
            <w:r w:rsidRPr="006C7115">
              <w:rPr>
                <w:sz w:val="18"/>
                <w:szCs w:val="24"/>
              </w:rPr>
              <w:t>Sensitivity analysis</w:t>
            </w:r>
          </w:p>
        </w:tc>
        <w:tc>
          <w:tcPr>
            <w:tcW w:w="1274" w:type="dxa"/>
          </w:tcPr>
          <w:p w14:paraId="11AA26AA" w14:textId="77777777" w:rsidR="004C333A" w:rsidRPr="006C7115" w:rsidRDefault="004C333A" w:rsidP="00F8589A">
            <w:pPr>
              <w:pStyle w:val="011TableHeading8pt"/>
              <w:rPr>
                <w:sz w:val="18"/>
                <w:szCs w:val="24"/>
              </w:rPr>
            </w:pPr>
            <w:r w:rsidRPr="006C7115">
              <w:rPr>
                <w:sz w:val="18"/>
                <w:szCs w:val="24"/>
              </w:rPr>
              <w:t>Conclusion</w:t>
            </w:r>
          </w:p>
        </w:tc>
      </w:tr>
      <w:tr w:rsidR="00983546" w14:paraId="2FB4F378" w14:textId="77777777" w:rsidTr="0062307C">
        <w:tc>
          <w:tcPr>
            <w:tcW w:w="1276" w:type="dxa"/>
          </w:tcPr>
          <w:p w14:paraId="7975FC65" w14:textId="6300F3D7" w:rsidR="00983546" w:rsidRPr="006C7115" w:rsidRDefault="00983546" w:rsidP="00983546">
            <w:pPr>
              <w:pStyle w:val="051Tabletext228pt"/>
              <w:rPr>
                <w:sz w:val="18"/>
                <w:szCs w:val="24"/>
              </w:rPr>
            </w:pPr>
            <w:r w:rsidRPr="006C7115">
              <w:rPr>
                <w:sz w:val="18"/>
                <w:szCs w:val="24"/>
              </w:rPr>
              <w:t>Deloitte 2019</w:t>
            </w:r>
            <w:r w:rsidRPr="006C7115">
              <w:rPr>
                <w:sz w:val="18"/>
                <w:szCs w:val="24"/>
              </w:rPr>
              <w:br/>
              <w:t>Australia</w:t>
            </w:r>
          </w:p>
        </w:tc>
        <w:tc>
          <w:tcPr>
            <w:tcW w:w="1559" w:type="dxa"/>
          </w:tcPr>
          <w:p w14:paraId="3E60B93C" w14:textId="0FB14392" w:rsidR="00983546" w:rsidRPr="006C7115" w:rsidRDefault="00983546" w:rsidP="00983546">
            <w:pPr>
              <w:pStyle w:val="051Tabletext228pt"/>
              <w:rPr>
                <w:sz w:val="18"/>
                <w:szCs w:val="24"/>
              </w:rPr>
            </w:pPr>
            <w:r w:rsidRPr="006C7115">
              <w:rPr>
                <w:sz w:val="18"/>
                <w:szCs w:val="24"/>
                <w:u w:val="single"/>
              </w:rPr>
              <w:t>FBSS:</w:t>
            </w:r>
            <w:r w:rsidRPr="006C7115">
              <w:rPr>
                <w:sz w:val="18"/>
                <w:szCs w:val="24"/>
              </w:rPr>
              <w:t xml:space="preserve"> </w:t>
            </w:r>
            <w:r w:rsidR="00D22FED" w:rsidRPr="006C7115">
              <w:rPr>
                <w:sz w:val="18"/>
                <w:szCs w:val="24"/>
              </w:rPr>
              <w:t>$958</w:t>
            </w:r>
            <w:r w:rsidRPr="006C7115">
              <w:rPr>
                <w:sz w:val="18"/>
                <w:szCs w:val="24"/>
              </w:rPr>
              <w:br/>
            </w:r>
            <w:r w:rsidRPr="006C7115">
              <w:rPr>
                <w:sz w:val="18"/>
                <w:szCs w:val="24"/>
                <w:u w:val="single"/>
              </w:rPr>
              <w:t>CRPS:</w:t>
            </w:r>
            <w:r w:rsidRPr="006C7115">
              <w:rPr>
                <w:sz w:val="18"/>
                <w:szCs w:val="24"/>
              </w:rPr>
              <w:t xml:space="preserve"> </w:t>
            </w:r>
            <w:r w:rsidR="00D22FED" w:rsidRPr="006C7115">
              <w:rPr>
                <w:sz w:val="18"/>
                <w:szCs w:val="24"/>
              </w:rPr>
              <w:t>$188</w:t>
            </w:r>
          </w:p>
        </w:tc>
        <w:tc>
          <w:tcPr>
            <w:tcW w:w="1843" w:type="dxa"/>
          </w:tcPr>
          <w:p w14:paraId="1FAF0718" w14:textId="284E035C" w:rsidR="00983546" w:rsidRPr="006C7115" w:rsidRDefault="00983546" w:rsidP="00983546">
            <w:pPr>
              <w:pStyle w:val="051Tabletext228pt"/>
              <w:rPr>
                <w:sz w:val="18"/>
                <w:szCs w:val="24"/>
              </w:rPr>
            </w:pPr>
            <w:r w:rsidRPr="006C7115">
              <w:rPr>
                <w:sz w:val="18"/>
                <w:szCs w:val="24"/>
                <w:u w:val="single"/>
              </w:rPr>
              <w:t>FBSS:</w:t>
            </w:r>
            <w:r w:rsidRPr="006C7115">
              <w:rPr>
                <w:sz w:val="18"/>
                <w:szCs w:val="24"/>
              </w:rPr>
              <w:t xml:space="preserve"> 0.06 </w:t>
            </w:r>
            <w:r w:rsidRPr="006C7115">
              <w:rPr>
                <w:sz w:val="18"/>
                <w:szCs w:val="24"/>
              </w:rPr>
              <w:br/>
            </w:r>
            <w:r w:rsidRPr="006C7115">
              <w:rPr>
                <w:sz w:val="18"/>
                <w:szCs w:val="24"/>
                <w:u w:val="single"/>
              </w:rPr>
              <w:t>CRPS:</w:t>
            </w:r>
            <w:r w:rsidRPr="006C7115">
              <w:rPr>
                <w:sz w:val="18"/>
                <w:szCs w:val="24"/>
              </w:rPr>
              <w:t xml:space="preserve"> 0.08 </w:t>
            </w:r>
          </w:p>
        </w:tc>
        <w:tc>
          <w:tcPr>
            <w:tcW w:w="1559" w:type="dxa"/>
          </w:tcPr>
          <w:p w14:paraId="18AFE476" w14:textId="02A48565" w:rsidR="00983546" w:rsidRPr="006C7115" w:rsidRDefault="00983546" w:rsidP="00983546">
            <w:pPr>
              <w:pStyle w:val="051Tabletext228pt"/>
              <w:rPr>
                <w:sz w:val="18"/>
                <w:szCs w:val="24"/>
              </w:rPr>
            </w:pPr>
            <w:r w:rsidRPr="006C7115">
              <w:rPr>
                <w:sz w:val="18"/>
                <w:szCs w:val="24"/>
                <w:u w:val="single"/>
              </w:rPr>
              <w:t>FBSS:</w:t>
            </w:r>
            <w:r w:rsidRPr="006C7115">
              <w:rPr>
                <w:sz w:val="18"/>
                <w:szCs w:val="24"/>
              </w:rPr>
              <w:t xml:space="preserve"> $15,070 </w:t>
            </w:r>
            <w:r w:rsidRPr="006C7115">
              <w:rPr>
                <w:sz w:val="18"/>
                <w:szCs w:val="24"/>
              </w:rPr>
              <w:br/>
            </w:r>
            <w:r w:rsidRPr="006C7115">
              <w:rPr>
                <w:sz w:val="18"/>
                <w:szCs w:val="24"/>
                <w:u w:val="single"/>
              </w:rPr>
              <w:t>CRPS:</w:t>
            </w:r>
            <w:r w:rsidRPr="006C7115">
              <w:rPr>
                <w:sz w:val="18"/>
                <w:szCs w:val="24"/>
              </w:rPr>
              <w:t xml:space="preserve"> $2,321 </w:t>
            </w:r>
          </w:p>
        </w:tc>
        <w:tc>
          <w:tcPr>
            <w:tcW w:w="2127" w:type="dxa"/>
          </w:tcPr>
          <w:p w14:paraId="2EDC33F2" w14:textId="45F12B8F" w:rsidR="00983546" w:rsidRPr="006C7115" w:rsidRDefault="00FC0D7F" w:rsidP="00983546">
            <w:pPr>
              <w:pStyle w:val="051Tabletext228pt"/>
              <w:rPr>
                <w:sz w:val="18"/>
                <w:szCs w:val="24"/>
              </w:rPr>
            </w:pPr>
            <w:r w:rsidRPr="006C7115">
              <w:rPr>
                <w:sz w:val="18"/>
                <w:szCs w:val="24"/>
              </w:rPr>
              <w:t>Model</w:t>
            </w:r>
            <w:r w:rsidR="00983546" w:rsidRPr="006C7115">
              <w:rPr>
                <w:sz w:val="18"/>
                <w:szCs w:val="24"/>
              </w:rPr>
              <w:t xml:space="preserve"> sensitive to time horizon, discount rate, ongoing costs of SCS/</w:t>
            </w:r>
            <w:r w:rsidR="00983546" w:rsidRPr="00190E31">
              <w:rPr>
                <w:sz w:val="18"/>
                <w:szCs w:val="24"/>
              </w:rPr>
              <w:t>U</w:t>
            </w:r>
            <w:r w:rsidR="00190E31" w:rsidRPr="00190E31">
              <w:rPr>
                <w:sz w:val="18"/>
                <w:szCs w:val="24"/>
              </w:rPr>
              <w:t>C</w:t>
            </w:r>
            <w:r w:rsidR="00983546" w:rsidRPr="006C7115">
              <w:rPr>
                <w:sz w:val="18"/>
                <w:szCs w:val="24"/>
              </w:rPr>
              <w:t xml:space="preserve"> treatment, device longevity</w:t>
            </w:r>
          </w:p>
        </w:tc>
        <w:tc>
          <w:tcPr>
            <w:tcW w:w="1274" w:type="dxa"/>
          </w:tcPr>
          <w:p w14:paraId="50C1A3C7" w14:textId="35771000" w:rsidR="00983546" w:rsidRPr="006C7115" w:rsidRDefault="00612CC5" w:rsidP="004F4B0A">
            <w:pPr>
              <w:pStyle w:val="051Tabletext228pt"/>
              <w:rPr>
                <w:sz w:val="18"/>
                <w:szCs w:val="24"/>
              </w:rPr>
            </w:pPr>
            <w:r>
              <w:rPr>
                <w:sz w:val="18"/>
                <w:szCs w:val="24"/>
              </w:rPr>
              <w:t>SCS c</w:t>
            </w:r>
            <w:r w:rsidRPr="006C7115">
              <w:rPr>
                <w:sz w:val="18"/>
                <w:szCs w:val="24"/>
              </w:rPr>
              <w:t xml:space="preserve">ost </w:t>
            </w:r>
            <w:r w:rsidR="00983546" w:rsidRPr="006C7115">
              <w:rPr>
                <w:sz w:val="18"/>
                <w:szCs w:val="24"/>
              </w:rPr>
              <w:t>effective</w:t>
            </w:r>
          </w:p>
        </w:tc>
      </w:tr>
    </w:tbl>
    <w:p w14:paraId="17E4B505" w14:textId="2266E977" w:rsidR="008E4B50" w:rsidRDefault="008E4B50" w:rsidP="008E4B50">
      <w:pPr>
        <w:pStyle w:val="111Tablefootnoteslast-nostick8pt"/>
      </w:pPr>
      <w:r w:rsidRPr="00E36273">
        <w:t xml:space="preserve">Abbreviations: </w:t>
      </w:r>
      <w:r w:rsidR="004170D9">
        <w:t xml:space="preserve">$AUD, Australian dollars; CRPS, complex regional pain syndrome; </w:t>
      </w:r>
      <w:r w:rsidR="004170D9" w:rsidRPr="00E36273">
        <w:t xml:space="preserve">FBSS, failed back surgery syndrome; </w:t>
      </w:r>
      <w:r w:rsidR="004170D9">
        <w:t>ICER, incremental cost-effectiveness ratio; SCS, spinal cord stimulat</w:t>
      </w:r>
      <w:r w:rsidR="004B7932">
        <w:t>ion</w:t>
      </w:r>
      <w:r w:rsidR="004170D9">
        <w:t>; QALY, quality-adjusted life year</w:t>
      </w:r>
      <w:r w:rsidR="002B1B42">
        <w:t>; U</w:t>
      </w:r>
      <w:r w:rsidR="00190E31">
        <w:t>C</w:t>
      </w:r>
      <w:r w:rsidR="002B1B42">
        <w:t xml:space="preserve">, </w:t>
      </w:r>
      <w:r w:rsidR="00190E31">
        <w:t>usual care</w:t>
      </w:r>
      <w:r w:rsidR="004170D9">
        <w:t>.</w:t>
      </w:r>
    </w:p>
    <w:p w14:paraId="333D5754" w14:textId="65B5801B" w:rsidR="002B2850" w:rsidRDefault="00361B0C" w:rsidP="005E4DF0">
      <w:pPr>
        <w:pStyle w:val="BodyText"/>
      </w:pPr>
      <w:r>
        <w:t>C</w:t>
      </w:r>
      <w:r w:rsidR="005A075C">
        <w:t>ost</w:t>
      </w:r>
      <w:r w:rsidR="00F43D37">
        <w:t xml:space="preserve"> increments</w:t>
      </w:r>
      <w:r w:rsidR="005A075C">
        <w:t xml:space="preserve"> for </w:t>
      </w:r>
      <w:r w:rsidR="00054C8E">
        <w:t>FBSS and CRPS were quite different</w:t>
      </w:r>
      <w:r w:rsidR="002B2850">
        <w:t>, at $958 and $188 respectively</w:t>
      </w:r>
      <w:r w:rsidR="009270A4">
        <w:t xml:space="preserve">, likely reflecting the </w:t>
      </w:r>
      <w:r w:rsidR="003356B5">
        <w:t xml:space="preserve">higher ongoing maintenance </w:t>
      </w:r>
      <w:r w:rsidR="007107F1">
        <w:t xml:space="preserve">costs for </w:t>
      </w:r>
      <w:r w:rsidR="00902D38">
        <w:t xml:space="preserve">CRPS patients </w:t>
      </w:r>
      <w:r w:rsidR="00061D88">
        <w:t xml:space="preserve">in the </w:t>
      </w:r>
      <w:r w:rsidR="002B1A30">
        <w:t>usual care arm</w:t>
      </w:r>
      <w:r w:rsidR="0079759C">
        <w:t xml:space="preserve">, due to </w:t>
      </w:r>
      <w:r w:rsidR="003A0506">
        <w:t xml:space="preserve">the </w:t>
      </w:r>
      <w:r w:rsidR="003814AC">
        <w:t>assumptions about inpatient ketamine infusion</w:t>
      </w:r>
      <w:r w:rsidR="002A214D">
        <w:t>s</w:t>
      </w:r>
      <w:r w:rsidR="002B2850">
        <w:t xml:space="preserve">. </w:t>
      </w:r>
    </w:p>
    <w:p w14:paraId="409CF81E" w14:textId="00C26129" w:rsidR="00835A68" w:rsidRDefault="005E4DF0" w:rsidP="00835A68">
      <w:pPr>
        <w:pStyle w:val="BodyText"/>
      </w:pPr>
      <w:r>
        <w:t xml:space="preserve">The model showed that each SCS patient gained 0.06 and 0.08 QALYs per year when compared to usual care for the treatment of FBSS and CRPS, respectively. </w:t>
      </w:r>
      <w:r w:rsidR="008230FD">
        <w:t xml:space="preserve">The </w:t>
      </w:r>
      <w:r w:rsidR="00DB7FA4">
        <w:t xml:space="preserve">authors </w:t>
      </w:r>
      <w:r w:rsidR="00E75134">
        <w:t>commented</w:t>
      </w:r>
      <w:r w:rsidR="00DB7FA4">
        <w:t xml:space="preserve"> that the</w:t>
      </w:r>
      <w:r w:rsidR="008230FD">
        <w:t xml:space="preserve"> utility gained for patients receiving SCS </w:t>
      </w:r>
      <w:r w:rsidR="00ED2475">
        <w:t xml:space="preserve">was higher than in the usual care arm </w:t>
      </w:r>
      <w:r w:rsidR="00C56B08">
        <w:t xml:space="preserve">in both optimal and suboptimal health states </w:t>
      </w:r>
      <w:r w:rsidR="008C07B4">
        <w:t>due to the maintenance of pain relief with SCS</w:t>
      </w:r>
      <w:r w:rsidR="00DB7FA4">
        <w:t>, while the treatment effect of alternative therapies generally wears off over time.</w:t>
      </w:r>
    </w:p>
    <w:p w14:paraId="224EB0BE" w14:textId="5D5E397B" w:rsidR="005E4DF0" w:rsidRDefault="005E4DF0" w:rsidP="005E4DF0">
      <w:pPr>
        <w:pStyle w:val="BodyText"/>
      </w:pPr>
      <w:r>
        <w:t xml:space="preserve">From a health system perspective, SCS devices were </w:t>
      </w:r>
      <w:r w:rsidR="00456884">
        <w:t>considered</w:t>
      </w:r>
      <w:r>
        <w:t xml:space="preserve"> cost effective in the treatment of FBSS and CRPS </w:t>
      </w:r>
      <w:r w:rsidR="00F846DF">
        <w:t xml:space="preserve">(type I) </w:t>
      </w:r>
      <w:r>
        <w:t xml:space="preserve">when compared to usual care. </w:t>
      </w:r>
      <w:r w:rsidR="005C4662">
        <w:t>The incremental cost-effectiveness ratio (ICER) was</w:t>
      </w:r>
      <w:r>
        <w:t xml:space="preserve"> $15,070 per QALY gained </w:t>
      </w:r>
      <w:r w:rsidR="005C4662">
        <w:t xml:space="preserve">for patients with FBSS </w:t>
      </w:r>
      <w:r w:rsidR="00C9426D" w:rsidRPr="00C9426D">
        <w:t>and</w:t>
      </w:r>
      <w:r>
        <w:t xml:space="preserve"> $2,321 per QALY gained</w:t>
      </w:r>
      <w:r w:rsidR="005C4662">
        <w:t xml:space="preserve"> for patients with CRPS</w:t>
      </w:r>
      <w:r>
        <w:t>.</w:t>
      </w:r>
    </w:p>
    <w:p w14:paraId="59D09FFC" w14:textId="56E90B18" w:rsidR="008D4A5C" w:rsidRDefault="00176E3D" w:rsidP="005E4DF0">
      <w:pPr>
        <w:pStyle w:val="BodyText"/>
      </w:pPr>
      <w:r>
        <w:t>Univariate s</w:t>
      </w:r>
      <w:r w:rsidR="008D4A5C">
        <w:t>ensitivity analyses indicated that the model was most sensitive to the time horizon, discount rate, ongoing costs of treatment</w:t>
      </w:r>
      <w:r w:rsidR="00313DDE">
        <w:t xml:space="preserve"> </w:t>
      </w:r>
      <w:r w:rsidR="007579B7">
        <w:t xml:space="preserve">in </w:t>
      </w:r>
      <w:r w:rsidR="005E61DF">
        <w:t>the SCS arm</w:t>
      </w:r>
      <w:r w:rsidR="008D4A5C">
        <w:t xml:space="preserve">, and device longevity. </w:t>
      </w:r>
      <w:r w:rsidR="00DD7B81">
        <w:t xml:space="preserve">When the </w:t>
      </w:r>
      <w:r w:rsidR="00E83A8E">
        <w:t xml:space="preserve">model </w:t>
      </w:r>
      <w:r w:rsidR="00DD7B81">
        <w:t xml:space="preserve">time horizon was reduced </w:t>
      </w:r>
      <w:r w:rsidR="007579B7">
        <w:t xml:space="preserve">from </w:t>
      </w:r>
      <w:r w:rsidR="00E83A8E">
        <w:t xml:space="preserve">15 </w:t>
      </w:r>
      <w:r w:rsidR="00DD7B81">
        <w:t xml:space="preserve">to </w:t>
      </w:r>
      <w:r w:rsidR="00E83A8E">
        <w:t>2</w:t>
      </w:r>
      <w:r w:rsidR="00B02B1E">
        <w:t xml:space="preserve"> years, the </w:t>
      </w:r>
      <w:r w:rsidR="00C41A73">
        <w:t xml:space="preserve">ICER </w:t>
      </w:r>
      <w:r w:rsidR="007B47FD">
        <w:t>increased to</w:t>
      </w:r>
      <w:r w:rsidR="00C41A73">
        <w:t xml:space="preserve"> $97,</w:t>
      </w:r>
      <w:r w:rsidR="00C900AF">
        <w:t>986</w:t>
      </w:r>
      <w:r w:rsidR="001E1D2D">
        <w:t xml:space="preserve"> per </w:t>
      </w:r>
      <w:r w:rsidR="00C0355F">
        <w:t xml:space="preserve">QALY for </w:t>
      </w:r>
      <w:r w:rsidR="00813976">
        <w:t xml:space="preserve">FBSS patients and </w:t>
      </w:r>
      <w:r w:rsidR="009D3B8D">
        <w:t>$73,833</w:t>
      </w:r>
      <w:r w:rsidR="001E1D2D">
        <w:t xml:space="preserve"> per </w:t>
      </w:r>
      <w:r w:rsidR="009D3B8D">
        <w:lastRenderedPageBreak/>
        <w:t xml:space="preserve">QALY for CRPS patients, reflecting </w:t>
      </w:r>
      <w:r w:rsidR="00514C09">
        <w:t xml:space="preserve">the high up-front costs of the intervention. </w:t>
      </w:r>
      <w:r w:rsidR="00206DB1">
        <w:t xml:space="preserve">When ongoing costs in the SCS arm were increased by 20% (which could be expected if the </w:t>
      </w:r>
      <w:r w:rsidR="005722F9">
        <w:t>assumed reductions in opioid use were not re</w:t>
      </w:r>
      <w:r w:rsidR="00E83A8E">
        <w:t>al</w:t>
      </w:r>
      <w:r w:rsidR="005722F9">
        <w:t xml:space="preserve">ised in practice), the ICER increased to $22,804 </w:t>
      </w:r>
      <w:r w:rsidR="003A73AD">
        <w:t xml:space="preserve">per QALY </w:t>
      </w:r>
      <w:r w:rsidR="005722F9">
        <w:t>for FBSS and $</w:t>
      </w:r>
      <w:r w:rsidR="007579B7">
        <w:t xml:space="preserve">8,758 </w:t>
      </w:r>
      <w:r w:rsidR="003A73AD">
        <w:t xml:space="preserve">per QALY </w:t>
      </w:r>
      <w:r w:rsidR="007579B7">
        <w:t xml:space="preserve">for CRPS. </w:t>
      </w:r>
      <w:r w:rsidR="008A0AF3">
        <w:t>When</w:t>
      </w:r>
      <w:r w:rsidR="00FC7558">
        <w:t xml:space="preserve"> the device life</w:t>
      </w:r>
      <w:r w:rsidR="00462B0A">
        <w:t xml:space="preserve"> </w:t>
      </w:r>
      <w:r w:rsidR="00FC7558">
        <w:t xml:space="preserve">span </w:t>
      </w:r>
      <w:r w:rsidR="008A0AF3">
        <w:t xml:space="preserve">was reduced from </w:t>
      </w:r>
      <w:r w:rsidR="00966DB7">
        <w:t xml:space="preserve">nine </w:t>
      </w:r>
      <w:r w:rsidR="008A0AF3">
        <w:t>to</w:t>
      </w:r>
      <w:r w:rsidR="00FC7558">
        <w:t xml:space="preserve"> five years, the </w:t>
      </w:r>
      <w:r>
        <w:t xml:space="preserve">model indicated the </w:t>
      </w:r>
      <w:r w:rsidR="007A2A08">
        <w:t>cost is over four times great</w:t>
      </w:r>
      <w:r w:rsidR="00955164">
        <w:t>er for treatment of FBSS</w:t>
      </w:r>
      <w:r w:rsidR="007A2A08">
        <w:t xml:space="preserve"> ($2</w:t>
      </w:r>
      <w:r w:rsidR="00C8329F">
        <w:t>,</w:t>
      </w:r>
      <w:r w:rsidR="007A2A08">
        <w:t>861)</w:t>
      </w:r>
      <w:r w:rsidR="00955164">
        <w:t xml:space="preserve"> and 11 times great</w:t>
      </w:r>
      <w:r w:rsidR="00526786">
        <w:t>er</w:t>
      </w:r>
      <w:r w:rsidR="00955164">
        <w:t xml:space="preserve"> for treatment of CRPS</w:t>
      </w:r>
      <w:r w:rsidR="00526786">
        <w:t xml:space="preserve"> ($</w:t>
      </w:r>
      <w:r w:rsidR="00B17713">
        <w:t>2</w:t>
      </w:r>
      <w:r w:rsidR="00E030CD">
        <w:t>,</w:t>
      </w:r>
      <w:r w:rsidR="00B17713">
        <w:t>095</w:t>
      </w:r>
      <w:r w:rsidR="00526786">
        <w:t>)</w:t>
      </w:r>
      <w:r w:rsidR="00C757F1">
        <w:t xml:space="preserve">, resulting in ICERs of </w:t>
      </w:r>
      <w:r w:rsidR="00DC66C4">
        <w:t>$45,017</w:t>
      </w:r>
      <w:r w:rsidR="001E1D2D">
        <w:t xml:space="preserve"> per </w:t>
      </w:r>
      <w:r w:rsidR="00DC66C4">
        <w:t xml:space="preserve">QALY for FBSS and </w:t>
      </w:r>
      <w:r w:rsidR="00090EA3">
        <w:t>$25,869</w:t>
      </w:r>
      <w:r w:rsidR="001E1D2D">
        <w:t xml:space="preserve"> per </w:t>
      </w:r>
      <w:r w:rsidR="00090EA3">
        <w:t>QALY for CRPS</w:t>
      </w:r>
      <w:r w:rsidR="00955164">
        <w:t xml:space="preserve">. </w:t>
      </w:r>
      <w:r w:rsidR="00134164">
        <w:t xml:space="preserve">The </w:t>
      </w:r>
      <w:r w:rsidR="00F55CDC">
        <w:t>authors’</w:t>
      </w:r>
      <w:r w:rsidR="00134164">
        <w:t xml:space="preserve"> base case assumption that the device life span was </w:t>
      </w:r>
      <w:r w:rsidR="00F1658D">
        <w:t>8-10</w:t>
      </w:r>
      <w:r w:rsidR="00134164">
        <w:t xml:space="preserve"> years may not be plausible in practice. </w:t>
      </w:r>
    </w:p>
    <w:p w14:paraId="638DC0B0" w14:textId="455B88EF" w:rsidR="008E4B50" w:rsidRDefault="00E821B3" w:rsidP="008E4B50">
      <w:pPr>
        <w:pStyle w:val="BodyText"/>
      </w:pPr>
      <w:r>
        <w:t xml:space="preserve">The report presented a </w:t>
      </w:r>
      <w:r w:rsidR="00E124CB">
        <w:t xml:space="preserve">reasonably </w:t>
      </w:r>
      <w:r>
        <w:t xml:space="preserve">detailed breakdown of </w:t>
      </w:r>
      <w:r w:rsidR="001342B5">
        <w:t xml:space="preserve">cost inputs </w:t>
      </w:r>
      <w:r w:rsidR="00E124CB">
        <w:t>from</w:t>
      </w:r>
      <w:r w:rsidR="001342B5">
        <w:t xml:space="preserve"> the Austr</w:t>
      </w:r>
      <w:r w:rsidR="00E124CB">
        <w:t>al</w:t>
      </w:r>
      <w:r w:rsidR="001342B5">
        <w:t>i</w:t>
      </w:r>
      <w:r w:rsidR="00E124CB">
        <w:t>a</w:t>
      </w:r>
      <w:r w:rsidR="001342B5">
        <w:t xml:space="preserve">n health care </w:t>
      </w:r>
      <w:r w:rsidR="00E124CB">
        <w:t>perspective; h</w:t>
      </w:r>
      <w:r w:rsidR="008E4B50" w:rsidRPr="004052E7">
        <w:t xml:space="preserve">owever, </w:t>
      </w:r>
      <w:r w:rsidR="002549D1">
        <w:t xml:space="preserve">it </w:t>
      </w:r>
      <w:r w:rsidR="006276B1">
        <w:t>is</w:t>
      </w:r>
      <w:r w:rsidR="002549D1">
        <w:t xml:space="preserve"> unclear </w:t>
      </w:r>
      <w:r w:rsidR="0021076B">
        <w:t>whether</w:t>
      </w:r>
      <w:r w:rsidR="00500EEE">
        <w:t xml:space="preserve"> </w:t>
      </w:r>
      <w:r w:rsidR="00736439">
        <w:t xml:space="preserve">the </w:t>
      </w:r>
      <w:r w:rsidR="00ED48FB">
        <w:t xml:space="preserve">analysis </w:t>
      </w:r>
      <w:r w:rsidR="006276B1">
        <w:t>adequately incorporate</w:t>
      </w:r>
      <w:r w:rsidR="006215D9">
        <w:t>d</w:t>
      </w:r>
      <w:r w:rsidR="006276B1">
        <w:t xml:space="preserve"> </w:t>
      </w:r>
      <w:r w:rsidR="00187B22">
        <w:t xml:space="preserve">revision surgeries, </w:t>
      </w:r>
      <w:r w:rsidR="00284ED5">
        <w:t>and</w:t>
      </w:r>
      <w:r w:rsidR="00187B22">
        <w:t xml:space="preserve"> </w:t>
      </w:r>
      <w:r w:rsidR="00ED48FB">
        <w:t xml:space="preserve">lead </w:t>
      </w:r>
      <w:r w:rsidR="00284ED5">
        <w:t xml:space="preserve">and device </w:t>
      </w:r>
      <w:r w:rsidR="00ED48FB">
        <w:t>replacement</w:t>
      </w:r>
      <w:r w:rsidR="00284ED5">
        <w:t>s over the longer term, given the lack</w:t>
      </w:r>
      <w:r w:rsidR="00187B22">
        <w:t xml:space="preserve"> of </w:t>
      </w:r>
      <w:r w:rsidR="003D3612">
        <w:t>reliable</w:t>
      </w:r>
      <w:r w:rsidR="00A42854">
        <w:t xml:space="preserve"> clinical studies </w:t>
      </w:r>
      <w:r w:rsidR="00284ED5">
        <w:t>reporting long</w:t>
      </w:r>
      <w:r w:rsidR="00FD79E7">
        <w:t>-</w:t>
      </w:r>
      <w:r w:rsidR="00284ED5">
        <w:t>term outcomes</w:t>
      </w:r>
      <w:r w:rsidR="002F6F35">
        <w:t>.</w:t>
      </w:r>
      <w:r w:rsidR="006215D9">
        <w:t xml:space="preserve"> </w:t>
      </w:r>
    </w:p>
    <w:p w14:paraId="3F316672" w14:textId="6612E475" w:rsidR="004C333A" w:rsidRPr="00B233F3" w:rsidRDefault="009F2DD7" w:rsidP="00B233F3">
      <w:pPr>
        <w:pStyle w:val="BodyText"/>
      </w:pPr>
      <w:r>
        <w:t xml:space="preserve">Lastly, the </w:t>
      </w:r>
      <w:r w:rsidR="00DD2105">
        <w:t>clinical evidence underpinning</w:t>
      </w:r>
      <w:r>
        <w:t xml:space="preserve"> the </w:t>
      </w:r>
      <w:r w:rsidR="00462358">
        <w:t xml:space="preserve">analysis is based on studies </w:t>
      </w:r>
      <w:r w:rsidR="00C263E7">
        <w:t xml:space="preserve">at high risk of bias due to lack of blinding, </w:t>
      </w:r>
      <w:r w:rsidR="00462358">
        <w:t xml:space="preserve">with inadequate follow-up for </w:t>
      </w:r>
      <w:r w:rsidR="00355F44">
        <w:t xml:space="preserve">a </w:t>
      </w:r>
      <w:r w:rsidR="00060002">
        <w:t>device that is permanently implanted</w:t>
      </w:r>
      <w:r w:rsidR="00462358">
        <w:t xml:space="preserve">. </w:t>
      </w:r>
      <w:r w:rsidR="00060002">
        <w:t>The</w:t>
      </w:r>
      <w:r w:rsidR="00462358">
        <w:t xml:space="preserve"> </w:t>
      </w:r>
      <w:r w:rsidR="00055A11">
        <w:t xml:space="preserve">treatment effect </w:t>
      </w:r>
      <w:r>
        <w:t xml:space="preserve">modelled </w:t>
      </w:r>
      <w:r w:rsidR="00055A11">
        <w:t xml:space="preserve">over the </w:t>
      </w:r>
      <w:r>
        <w:t>15</w:t>
      </w:r>
      <w:r w:rsidR="003D3612">
        <w:t>-</w:t>
      </w:r>
      <w:r>
        <w:t xml:space="preserve">year time horizon </w:t>
      </w:r>
      <w:r w:rsidR="00055A11">
        <w:t xml:space="preserve">is </w:t>
      </w:r>
      <w:r>
        <w:t xml:space="preserve">not supported by </w:t>
      </w:r>
      <w:r w:rsidR="002A1098">
        <w:t xml:space="preserve">reliable </w:t>
      </w:r>
      <w:r w:rsidR="008F0F2A">
        <w:t xml:space="preserve">long-term </w:t>
      </w:r>
      <w:r w:rsidR="007101C9">
        <w:t xml:space="preserve">clinical data. </w:t>
      </w:r>
      <w:r w:rsidR="00263525">
        <w:t xml:space="preserve">The </w:t>
      </w:r>
      <w:r w:rsidR="00A94B61">
        <w:t xml:space="preserve">model assumes that the treatment effect </w:t>
      </w:r>
      <w:r w:rsidR="00D46CE5">
        <w:t xml:space="preserve">(pain relief and </w:t>
      </w:r>
      <w:proofErr w:type="spellStart"/>
      <w:r w:rsidR="00D46CE5">
        <w:t>HRQoL</w:t>
      </w:r>
      <w:proofErr w:type="spellEnd"/>
      <w:r w:rsidR="00D46CE5">
        <w:t xml:space="preserve"> benefits) </w:t>
      </w:r>
      <w:r w:rsidR="00A94B61">
        <w:t xml:space="preserve">is maintained </w:t>
      </w:r>
      <w:r w:rsidR="00D46CE5">
        <w:t>over time</w:t>
      </w:r>
      <w:r w:rsidR="000D1A01">
        <w:t>;</w:t>
      </w:r>
      <w:r w:rsidR="00D46CE5">
        <w:t xml:space="preserve"> </w:t>
      </w:r>
      <w:r w:rsidR="0007723E">
        <w:t xml:space="preserve">the potential for a </w:t>
      </w:r>
      <w:r w:rsidR="00A94B61">
        <w:t xml:space="preserve">waning </w:t>
      </w:r>
      <w:r w:rsidR="00E21C46">
        <w:t>in pain relief</w:t>
      </w:r>
      <w:r w:rsidR="0007723E">
        <w:t xml:space="preserve"> is not captured in the base case or sensitivity analyses</w:t>
      </w:r>
      <w:r w:rsidR="00B24D2D">
        <w:t xml:space="preserve">. </w:t>
      </w:r>
    </w:p>
    <w:p w14:paraId="6B539FC8" w14:textId="1B1F5EDB" w:rsidR="00E530A0" w:rsidRDefault="00E530A0" w:rsidP="00482560">
      <w:pPr>
        <w:pStyle w:val="Heading1"/>
      </w:pPr>
      <w:bookmarkStart w:id="107" w:name="_Toc165634679"/>
      <w:r>
        <w:lastRenderedPageBreak/>
        <w:t xml:space="preserve">Patient </w:t>
      </w:r>
      <w:r w:rsidR="00A6623F">
        <w:t>s</w:t>
      </w:r>
      <w:r>
        <w:t xml:space="preserve">election and </w:t>
      </w:r>
      <w:r w:rsidR="00A6623F">
        <w:t>m</w:t>
      </w:r>
      <w:r>
        <w:t>anagement</w:t>
      </w:r>
      <w:bookmarkEnd w:id="107"/>
    </w:p>
    <w:p w14:paraId="5E699B09" w14:textId="2E6B7F9F" w:rsidR="00BF34C9" w:rsidRPr="00BF34C9" w:rsidRDefault="00BF34C9" w:rsidP="00BF34C9">
      <w:pPr>
        <w:pStyle w:val="BodyText"/>
      </w:pPr>
      <w:r>
        <w:t>The research question to focus the review is:</w:t>
      </w:r>
    </w:p>
    <w:p w14:paraId="0EA2EC70" w14:textId="6DAB9DDB" w:rsidR="006F6D73" w:rsidRDefault="00BA342C" w:rsidP="006F6D73">
      <w:pPr>
        <w:pStyle w:val="Boxeditalictext"/>
        <w:rPr>
          <w:rFonts w:eastAsia="Batang"/>
          <w:lang w:eastAsia="en-AU"/>
        </w:rPr>
      </w:pPr>
      <w:r>
        <w:rPr>
          <w:rFonts w:eastAsia="Batang"/>
          <w:lang w:eastAsia="en-AU"/>
        </w:rPr>
        <w:t xml:space="preserve">What evidence-based </w:t>
      </w:r>
      <w:r w:rsidR="00CE6514">
        <w:rPr>
          <w:rFonts w:eastAsia="Batang"/>
          <w:lang w:eastAsia="en-AU"/>
        </w:rPr>
        <w:t xml:space="preserve">clinical practice guidelines </w:t>
      </w:r>
      <w:r>
        <w:rPr>
          <w:rFonts w:eastAsia="Batang"/>
          <w:lang w:eastAsia="en-AU"/>
        </w:rPr>
        <w:t>are available for patient selection and management of spinal cord stimulation? If key guidelines are identified, what recommendations do they make?</w:t>
      </w:r>
    </w:p>
    <w:p w14:paraId="6518B6D9" w14:textId="2CEDC324" w:rsidR="006F6D73" w:rsidRDefault="008C69AB" w:rsidP="008C69AB">
      <w:pPr>
        <w:pStyle w:val="Heading2"/>
        <w:rPr>
          <w:rFonts w:eastAsia="Batang"/>
          <w:lang w:eastAsia="en-AU"/>
        </w:rPr>
      </w:pPr>
      <w:bookmarkStart w:id="108" w:name="_Toc165634680"/>
      <w:r>
        <w:rPr>
          <w:rFonts w:eastAsia="Batang"/>
          <w:lang w:eastAsia="en-AU"/>
        </w:rPr>
        <w:t>Methodology</w:t>
      </w:r>
      <w:bookmarkEnd w:id="108"/>
    </w:p>
    <w:p w14:paraId="309B0E41" w14:textId="4BD5198D" w:rsidR="000F3873" w:rsidRDefault="00143255" w:rsidP="008C69AB">
      <w:pPr>
        <w:pStyle w:val="BodyText"/>
        <w:rPr>
          <w:rFonts w:eastAsia="Batang"/>
          <w:lang w:eastAsia="en-AU"/>
        </w:rPr>
      </w:pPr>
      <w:r>
        <w:rPr>
          <w:rFonts w:eastAsia="Batang"/>
          <w:lang w:eastAsia="en-AU"/>
        </w:rPr>
        <w:t xml:space="preserve">A grey literature search was conducted to obtain </w:t>
      </w:r>
      <w:r w:rsidR="00FB4D5B">
        <w:rPr>
          <w:rFonts w:eastAsia="Batang"/>
          <w:lang w:eastAsia="en-AU"/>
        </w:rPr>
        <w:t xml:space="preserve">relevant </w:t>
      </w:r>
      <w:r>
        <w:rPr>
          <w:rFonts w:eastAsia="Batang"/>
          <w:lang w:eastAsia="en-AU"/>
        </w:rPr>
        <w:t>c</w:t>
      </w:r>
      <w:r w:rsidR="00634947">
        <w:rPr>
          <w:rFonts w:eastAsia="Batang"/>
          <w:lang w:eastAsia="en-AU"/>
        </w:rPr>
        <w:t xml:space="preserve">linical practice guidelines, HTAs, </w:t>
      </w:r>
      <w:r w:rsidR="00764712">
        <w:rPr>
          <w:rFonts w:eastAsia="Batang"/>
          <w:lang w:eastAsia="en-AU"/>
        </w:rPr>
        <w:t>position statements, and regulatory advice</w:t>
      </w:r>
      <w:r w:rsidR="00FB4D5B">
        <w:rPr>
          <w:rFonts w:eastAsia="Batang"/>
          <w:lang w:eastAsia="en-AU"/>
        </w:rPr>
        <w:t xml:space="preserve">. Additional evidence was also </w:t>
      </w:r>
      <w:r w:rsidR="00E742EC">
        <w:rPr>
          <w:rFonts w:eastAsia="Batang"/>
          <w:lang w:eastAsia="en-AU"/>
        </w:rPr>
        <w:t>extracted from</w:t>
      </w:r>
      <w:r w:rsidR="00B84F2D">
        <w:rPr>
          <w:rFonts w:eastAsia="Batang"/>
          <w:lang w:eastAsia="en-AU"/>
        </w:rPr>
        <w:t xml:space="preserve"> the feedback received from the sponsors and stakeholders. Due to the volume of relevant publications, </w:t>
      </w:r>
      <w:r w:rsidR="0026174D">
        <w:rPr>
          <w:rFonts w:eastAsia="Batang"/>
          <w:lang w:eastAsia="en-AU"/>
        </w:rPr>
        <w:t xml:space="preserve">a restriction </w:t>
      </w:r>
      <w:r w:rsidR="00566CBA">
        <w:rPr>
          <w:rFonts w:eastAsia="Batang"/>
          <w:lang w:eastAsia="en-AU"/>
        </w:rPr>
        <w:t>to</w:t>
      </w:r>
      <w:r w:rsidR="0026174D">
        <w:rPr>
          <w:rFonts w:eastAsia="Batang"/>
          <w:lang w:eastAsia="en-AU"/>
        </w:rPr>
        <w:t xml:space="preserve"> evidence published </w:t>
      </w:r>
      <w:r w:rsidR="00B726F0">
        <w:rPr>
          <w:rFonts w:eastAsia="Batang"/>
          <w:lang w:eastAsia="en-AU"/>
        </w:rPr>
        <w:t xml:space="preserve">in the last ten years was applied. A total </w:t>
      </w:r>
      <w:r w:rsidR="00967960">
        <w:rPr>
          <w:rFonts w:eastAsia="Batang"/>
          <w:lang w:eastAsia="en-AU"/>
        </w:rPr>
        <w:t xml:space="preserve">of </w:t>
      </w:r>
      <w:r w:rsidR="00967960" w:rsidRPr="0006641C">
        <w:rPr>
          <w:rFonts w:eastAsia="Batang"/>
          <w:lang w:eastAsia="en-AU"/>
        </w:rPr>
        <w:t>13</w:t>
      </w:r>
      <w:r w:rsidR="00967960">
        <w:rPr>
          <w:rFonts w:eastAsia="Batang"/>
          <w:lang w:eastAsia="en-AU"/>
        </w:rPr>
        <w:t xml:space="preserve"> publications were </w:t>
      </w:r>
      <w:r w:rsidR="00F46E4F">
        <w:rPr>
          <w:rFonts w:eastAsia="Batang"/>
          <w:lang w:eastAsia="en-AU"/>
        </w:rPr>
        <w:t>included in the current review</w:t>
      </w:r>
      <w:r w:rsidR="00D2105C">
        <w:rPr>
          <w:rFonts w:eastAsia="Batang"/>
          <w:lang w:eastAsia="en-AU"/>
        </w:rPr>
        <w:t>,</w:t>
      </w:r>
      <w:r w:rsidR="0066467D">
        <w:rPr>
          <w:rFonts w:eastAsia="Batang"/>
          <w:lang w:eastAsia="en-AU"/>
        </w:rPr>
        <w:t xml:space="preserve"> including multiple publications from the </w:t>
      </w:r>
      <w:r w:rsidR="00183EB2">
        <w:rPr>
          <w:rFonts w:eastAsia="Batang"/>
          <w:lang w:eastAsia="en-AU"/>
        </w:rPr>
        <w:t>Neurostimulation Appropr</w:t>
      </w:r>
      <w:r w:rsidR="00BC1030">
        <w:rPr>
          <w:rFonts w:eastAsia="Batang"/>
          <w:lang w:eastAsia="en-AU"/>
        </w:rPr>
        <w:t>iateness Committee (NACC) and the Neuromodulation Appropriateness Consensus Committee (NACC) (</w:t>
      </w:r>
      <w:r w:rsidR="0006641C">
        <w:rPr>
          <w:rFonts w:eastAsia="Batang"/>
          <w:lang w:eastAsia="en-AU"/>
        </w:rPr>
        <w:t xml:space="preserve">Deer </w:t>
      </w:r>
      <w:r w:rsidR="007813AD">
        <w:rPr>
          <w:rFonts w:eastAsia="Batang"/>
          <w:lang w:eastAsia="en-AU"/>
        </w:rPr>
        <w:t xml:space="preserve">et al. </w:t>
      </w:r>
      <w:r w:rsidR="0006641C">
        <w:rPr>
          <w:rFonts w:eastAsia="Batang"/>
          <w:lang w:eastAsia="en-AU"/>
        </w:rPr>
        <w:t xml:space="preserve">2022; Deer </w:t>
      </w:r>
      <w:r w:rsidR="007813AD">
        <w:rPr>
          <w:rFonts w:eastAsia="Batang"/>
          <w:lang w:eastAsia="en-AU"/>
        </w:rPr>
        <w:t xml:space="preserve">et al. </w:t>
      </w:r>
      <w:r w:rsidR="0006641C">
        <w:rPr>
          <w:rFonts w:eastAsia="Batang"/>
          <w:lang w:eastAsia="en-AU"/>
        </w:rPr>
        <w:t xml:space="preserve">2019; Deer </w:t>
      </w:r>
      <w:r w:rsidR="007813AD">
        <w:rPr>
          <w:rFonts w:eastAsia="Batang"/>
          <w:lang w:eastAsia="en-AU"/>
        </w:rPr>
        <w:t xml:space="preserve">et al. </w:t>
      </w:r>
      <w:r w:rsidR="0006641C">
        <w:rPr>
          <w:rFonts w:eastAsia="Batang"/>
          <w:lang w:eastAsia="en-AU"/>
        </w:rPr>
        <w:t>2014</w:t>
      </w:r>
      <w:r w:rsidR="00BC1030">
        <w:rPr>
          <w:rFonts w:eastAsia="Batang"/>
          <w:lang w:eastAsia="en-AU"/>
        </w:rPr>
        <w:t>)</w:t>
      </w:r>
      <w:r w:rsidR="00F46E4F">
        <w:rPr>
          <w:rFonts w:eastAsia="Batang"/>
          <w:lang w:eastAsia="en-AU"/>
        </w:rPr>
        <w:t xml:space="preserve">. </w:t>
      </w:r>
      <w:r w:rsidR="00D0195F">
        <w:rPr>
          <w:rFonts w:eastAsia="Batang"/>
          <w:lang w:eastAsia="en-AU"/>
        </w:rPr>
        <w:t>Although t</w:t>
      </w:r>
      <w:r w:rsidR="00C84790">
        <w:rPr>
          <w:rFonts w:eastAsia="Batang"/>
          <w:lang w:eastAsia="en-AU"/>
        </w:rPr>
        <w:t xml:space="preserve">he </w:t>
      </w:r>
      <w:r w:rsidR="007D4595">
        <w:rPr>
          <w:rFonts w:eastAsia="Batang"/>
          <w:lang w:eastAsia="en-AU"/>
        </w:rPr>
        <w:t xml:space="preserve">2008 </w:t>
      </w:r>
      <w:r w:rsidR="00C84790">
        <w:rPr>
          <w:rFonts w:eastAsia="Batang"/>
          <w:lang w:eastAsia="en-AU"/>
        </w:rPr>
        <w:t xml:space="preserve">NICE guideline </w:t>
      </w:r>
      <w:r w:rsidR="007D4595">
        <w:rPr>
          <w:rFonts w:eastAsia="Batang"/>
          <w:lang w:eastAsia="en-AU"/>
        </w:rPr>
        <w:t xml:space="preserve">(TA159) </w:t>
      </w:r>
      <w:r w:rsidR="00D0195F">
        <w:rPr>
          <w:rFonts w:eastAsia="Batang"/>
          <w:lang w:eastAsia="en-AU"/>
        </w:rPr>
        <w:t xml:space="preserve">was published in 2008, </w:t>
      </w:r>
      <w:r w:rsidR="006F4E51">
        <w:rPr>
          <w:rFonts w:eastAsia="Batang"/>
          <w:lang w:eastAsia="en-AU"/>
        </w:rPr>
        <w:t xml:space="preserve">it has been included because it </w:t>
      </w:r>
      <w:r w:rsidR="00566668">
        <w:rPr>
          <w:rFonts w:eastAsia="Batang"/>
          <w:lang w:eastAsia="en-AU"/>
        </w:rPr>
        <w:t xml:space="preserve">was </w:t>
      </w:r>
      <w:r w:rsidR="006F4E51">
        <w:rPr>
          <w:rFonts w:eastAsia="Batang"/>
          <w:lang w:eastAsia="en-AU"/>
        </w:rPr>
        <w:t>considered for review in 2014 and added to the ‘static guidance list’.</w:t>
      </w:r>
      <w:r w:rsidR="00C84790">
        <w:rPr>
          <w:rFonts w:eastAsia="Batang"/>
          <w:lang w:eastAsia="en-AU"/>
        </w:rPr>
        <w:t xml:space="preserve"> </w:t>
      </w:r>
      <w:r w:rsidR="001B00A1">
        <w:rPr>
          <w:rFonts w:eastAsia="Batang"/>
          <w:lang w:eastAsia="en-AU"/>
        </w:rPr>
        <w:t xml:space="preserve">The </w:t>
      </w:r>
      <w:r w:rsidR="003A63E0">
        <w:rPr>
          <w:rFonts w:eastAsia="Batang"/>
          <w:lang w:eastAsia="en-AU"/>
        </w:rPr>
        <w:t xml:space="preserve">Scottish Intercollegiate Guidelines Network </w:t>
      </w:r>
      <w:r w:rsidR="00410167">
        <w:rPr>
          <w:rFonts w:eastAsia="Batang"/>
          <w:lang w:eastAsia="en-AU"/>
        </w:rPr>
        <w:t>(</w:t>
      </w:r>
      <w:r w:rsidR="001B00A1">
        <w:rPr>
          <w:rFonts w:eastAsia="Batang"/>
          <w:lang w:eastAsia="en-AU"/>
        </w:rPr>
        <w:t>SIGN</w:t>
      </w:r>
      <w:r w:rsidR="00410167">
        <w:rPr>
          <w:rFonts w:eastAsia="Batang"/>
          <w:lang w:eastAsia="en-AU"/>
        </w:rPr>
        <w:t>)</w:t>
      </w:r>
      <w:r w:rsidR="001B00A1">
        <w:rPr>
          <w:rFonts w:eastAsia="Batang"/>
          <w:lang w:eastAsia="en-AU"/>
        </w:rPr>
        <w:t xml:space="preserve"> (2018) guideline does not make any recommendations for the use of SCS as a treatment option due to the </w:t>
      </w:r>
      <w:r w:rsidR="00064D92">
        <w:rPr>
          <w:rFonts w:eastAsia="Batang"/>
          <w:lang w:eastAsia="en-AU"/>
        </w:rPr>
        <w:t>uncertainty</w:t>
      </w:r>
      <w:r w:rsidR="001B00A1">
        <w:rPr>
          <w:rFonts w:eastAsia="Batang"/>
          <w:lang w:eastAsia="en-AU"/>
        </w:rPr>
        <w:t xml:space="preserve"> of </w:t>
      </w:r>
      <w:r w:rsidR="00064D92">
        <w:rPr>
          <w:rFonts w:eastAsia="Batang"/>
          <w:lang w:eastAsia="en-AU"/>
        </w:rPr>
        <w:t xml:space="preserve">the </w:t>
      </w:r>
      <w:r w:rsidR="001B00A1">
        <w:rPr>
          <w:rFonts w:eastAsia="Batang"/>
          <w:lang w:eastAsia="en-AU"/>
        </w:rPr>
        <w:t>evidence available.</w:t>
      </w:r>
    </w:p>
    <w:p w14:paraId="7344E30E" w14:textId="57B38099" w:rsidR="008C69AB" w:rsidRDefault="00F27F7F" w:rsidP="008C69AB">
      <w:pPr>
        <w:pStyle w:val="BodyText"/>
        <w:rPr>
          <w:rFonts w:eastAsia="Batang"/>
          <w:lang w:eastAsia="en-AU"/>
        </w:rPr>
      </w:pPr>
      <w:r>
        <w:rPr>
          <w:rFonts w:eastAsia="Batang"/>
          <w:lang w:eastAsia="en-AU"/>
        </w:rPr>
        <w:t xml:space="preserve">Only one </w:t>
      </w:r>
      <w:r w:rsidR="001549B8">
        <w:rPr>
          <w:rFonts w:eastAsia="Batang"/>
          <w:lang w:eastAsia="en-AU"/>
        </w:rPr>
        <w:t xml:space="preserve">relevant </w:t>
      </w:r>
      <w:r>
        <w:rPr>
          <w:rFonts w:eastAsia="Batang"/>
          <w:lang w:eastAsia="en-AU"/>
        </w:rPr>
        <w:t xml:space="preserve">publication from Australia was </w:t>
      </w:r>
      <w:r w:rsidR="00C9205E">
        <w:rPr>
          <w:rFonts w:eastAsia="Batang"/>
          <w:lang w:eastAsia="en-AU"/>
        </w:rPr>
        <w:t>identified in the search</w:t>
      </w:r>
      <w:r w:rsidR="007B6622">
        <w:rPr>
          <w:rFonts w:eastAsia="Batang"/>
          <w:lang w:eastAsia="en-AU"/>
        </w:rPr>
        <w:t xml:space="preserve"> </w:t>
      </w:r>
      <w:r w:rsidR="007B6622">
        <w:rPr>
          <w:rFonts w:eastAsia="Batang"/>
          <w:lang w:eastAsia="en-AU"/>
        </w:rPr>
        <w:fldChar w:fldCharType="begin">
          <w:fldData xml:space="preserve">PEVuZE5vdGU+PENpdGU+PEF1dGhvcj5CYXRlczwvQXV0aG9yPjxZZWFyPjIwMTk8L1llYXI+PFJl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</w:fldData>
        </w:fldChar>
      </w:r>
      <w:r w:rsidR="007B6622">
        <w:rPr>
          <w:rFonts w:eastAsia="Batang"/>
          <w:lang w:eastAsia="en-AU"/>
        </w:rPr>
        <w:instrText xml:space="preserve"> ADDIN EN.CITE </w:instrText>
      </w:r>
      <w:r w:rsidR="007B6622">
        <w:rPr>
          <w:rFonts w:eastAsia="Batang"/>
          <w:lang w:eastAsia="en-AU"/>
        </w:rPr>
        <w:fldChar w:fldCharType="begin">
          <w:fldData xml:space="preserve">PEVuZE5vdGU+PENpdGU+PEF1dGhvcj5CYXRlczwvQXV0aG9yPjxZZWFyPjIwMTk8L1llYXI+PFJl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</w:fldData>
        </w:fldChar>
      </w:r>
      <w:r w:rsidR="007B6622">
        <w:rPr>
          <w:rFonts w:eastAsia="Batang"/>
          <w:lang w:eastAsia="en-AU"/>
        </w:rPr>
        <w:instrText xml:space="preserve"> ADDIN EN.CITE.DATA </w:instrText>
      </w:r>
      <w:r w:rsidR="007B6622">
        <w:rPr>
          <w:rFonts w:eastAsia="Batang"/>
          <w:lang w:eastAsia="en-AU"/>
        </w:rPr>
      </w:r>
      <w:r w:rsidR="007B6622">
        <w:rPr>
          <w:rFonts w:eastAsia="Batang"/>
          <w:lang w:eastAsia="en-AU"/>
        </w:rPr>
        <w:fldChar w:fldCharType="end"/>
      </w:r>
      <w:r w:rsidR="007B6622">
        <w:rPr>
          <w:rFonts w:eastAsia="Batang"/>
          <w:lang w:eastAsia="en-AU"/>
        </w:rPr>
      </w:r>
      <w:r w:rsidR="007B6622">
        <w:rPr>
          <w:rFonts w:eastAsia="Batang"/>
          <w:lang w:eastAsia="en-AU"/>
        </w:rPr>
        <w:fldChar w:fldCharType="separate"/>
      </w:r>
      <w:r w:rsidR="007B6622">
        <w:rPr>
          <w:rFonts w:eastAsia="Batang"/>
          <w:noProof/>
          <w:lang w:eastAsia="en-AU"/>
        </w:rPr>
        <w:t>(Bates et al. 2019)</w:t>
      </w:r>
      <w:r w:rsidR="007B6622">
        <w:rPr>
          <w:rFonts w:eastAsia="Batang"/>
          <w:lang w:eastAsia="en-AU"/>
        </w:rPr>
        <w:fldChar w:fldCharType="end"/>
      </w:r>
      <w:r w:rsidR="00DF7296">
        <w:rPr>
          <w:rFonts w:eastAsia="Batang"/>
          <w:lang w:eastAsia="en-AU"/>
        </w:rPr>
        <w:t>. The</w:t>
      </w:r>
      <w:r w:rsidR="00AD6539" w:rsidDel="00DF7296">
        <w:rPr>
          <w:rFonts w:eastAsia="Batang"/>
          <w:lang w:eastAsia="en-AU"/>
        </w:rPr>
        <w:t xml:space="preserve"> </w:t>
      </w:r>
      <w:r w:rsidR="00DF7296">
        <w:rPr>
          <w:rFonts w:eastAsia="Batang"/>
          <w:lang w:eastAsia="en-AU"/>
        </w:rPr>
        <w:t xml:space="preserve">publication </w:t>
      </w:r>
      <w:r w:rsidR="00F80188">
        <w:rPr>
          <w:rFonts w:eastAsia="Batang"/>
          <w:lang w:eastAsia="en-AU"/>
        </w:rPr>
        <w:t>included</w:t>
      </w:r>
      <w:r w:rsidR="00AD6539">
        <w:rPr>
          <w:rFonts w:eastAsia="Batang"/>
          <w:lang w:eastAsia="en-AU"/>
        </w:rPr>
        <w:t xml:space="preserve"> a clinical algorithm </w:t>
      </w:r>
      <w:r w:rsidR="00F80188">
        <w:rPr>
          <w:rFonts w:eastAsia="Batang"/>
          <w:lang w:eastAsia="en-AU"/>
        </w:rPr>
        <w:t xml:space="preserve">for the management of chronic pain </w:t>
      </w:r>
      <w:r w:rsidR="00DE38E1">
        <w:rPr>
          <w:rFonts w:eastAsia="Batang"/>
          <w:lang w:eastAsia="en-AU"/>
        </w:rPr>
        <w:t xml:space="preserve">adapted from recommendations </w:t>
      </w:r>
      <w:r w:rsidR="00C9205E">
        <w:rPr>
          <w:rFonts w:eastAsia="Batang"/>
          <w:lang w:eastAsia="en-AU"/>
        </w:rPr>
        <w:t xml:space="preserve">from </w:t>
      </w:r>
      <w:r w:rsidR="00DE38E1">
        <w:rPr>
          <w:rFonts w:eastAsia="Batang"/>
          <w:lang w:eastAsia="en-AU"/>
        </w:rPr>
        <w:t xml:space="preserve">various </w:t>
      </w:r>
      <w:r w:rsidR="00566668">
        <w:rPr>
          <w:rFonts w:eastAsia="Batang"/>
          <w:lang w:eastAsia="en-AU"/>
        </w:rPr>
        <w:t>sources;</w:t>
      </w:r>
      <w:r>
        <w:rPr>
          <w:rFonts w:eastAsia="Batang"/>
          <w:lang w:eastAsia="en-AU"/>
        </w:rPr>
        <w:t xml:space="preserve"> however</w:t>
      </w:r>
      <w:r w:rsidR="00DF7296">
        <w:rPr>
          <w:rFonts w:eastAsia="Batang"/>
          <w:lang w:eastAsia="en-AU"/>
        </w:rPr>
        <w:t>,</w:t>
      </w:r>
      <w:r>
        <w:rPr>
          <w:rFonts w:eastAsia="Batang"/>
          <w:lang w:eastAsia="en-AU"/>
        </w:rPr>
        <w:t xml:space="preserve"> </w:t>
      </w:r>
      <w:r w:rsidR="00CD0F8D">
        <w:rPr>
          <w:rFonts w:eastAsia="Batang"/>
          <w:lang w:eastAsia="en-AU"/>
        </w:rPr>
        <w:t xml:space="preserve">it did not provide </w:t>
      </w:r>
      <w:r w:rsidR="007A6327">
        <w:rPr>
          <w:rFonts w:eastAsia="Batang"/>
          <w:lang w:eastAsia="en-AU"/>
        </w:rPr>
        <w:t xml:space="preserve">specific </w:t>
      </w:r>
      <w:r w:rsidR="00CD0F8D">
        <w:rPr>
          <w:rFonts w:eastAsia="Batang"/>
          <w:lang w:eastAsia="en-AU"/>
        </w:rPr>
        <w:t>recommendations on the use of SCS</w:t>
      </w:r>
      <w:r w:rsidR="007A6327">
        <w:rPr>
          <w:rFonts w:eastAsia="Batang"/>
          <w:lang w:eastAsia="en-AU"/>
        </w:rPr>
        <w:t>.</w:t>
      </w:r>
      <w:r w:rsidR="00ED0689">
        <w:rPr>
          <w:rFonts w:eastAsia="Batang"/>
          <w:lang w:eastAsia="en-AU"/>
        </w:rPr>
        <w:t xml:space="preserve"> </w:t>
      </w:r>
      <w:r w:rsidR="006A4B6B">
        <w:rPr>
          <w:rFonts w:eastAsia="Batang"/>
          <w:lang w:eastAsia="en-AU"/>
        </w:rPr>
        <w:t>A</w:t>
      </w:r>
      <w:r w:rsidR="002A281E">
        <w:rPr>
          <w:rFonts w:eastAsia="Batang"/>
          <w:lang w:eastAsia="en-AU"/>
        </w:rPr>
        <w:t xml:space="preserve"> number of guidelines for the purpose </w:t>
      </w:r>
      <w:r w:rsidR="00442DC6">
        <w:rPr>
          <w:rFonts w:eastAsia="Batang"/>
          <w:lang w:eastAsia="en-AU"/>
        </w:rPr>
        <w:t xml:space="preserve">of accident </w:t>
      </w:r>
      <w:r w:rsidR="00B50058">
        <w:rPr>
          <w:rFonts w:eastAsia="Batang"/>
          <w:lang w:eastAsia="en-AU"/>
        </w:rPr>
        <w:t>compensation</w:t>
      </w:r>
      <w:r w:rsidR="006A4B6B">
        <w:rPr>
          <w:rFonts w:eastAsia="Batang"/>
          <w:lang w:eastAsia="en-AU"/>
        </w:rPr>
        <w:t xml:space="preserve"> were also retrieved </w:t>
      </w:r>
      <w:r w:rsidR="00442DC6">
        <w:rPr>
          <w:rFonts w:eastAsia="Batang"/>
          <w:lang w:eastAsia="en-AU"/>
        </w:rPr>
        <w:t>and these were not included.</w:t>
      </w:r>
      <w:r w:rsidR="00B50058">
        <w:rPr>
          <w:rFonts w:eastAsia="Batang"/>
          <w:lang w:eastAsia="en-AU"/>
        </w:rPr>
        <w:t xml:space="preserve"> A summary of the </w:t>
      </w:r>
      <w:r w:rsidR="00E7170C">
        <w:rPr>
          <w:rFonts w:eastAsia="Batang"/>
          <w:lang w:eastAsia="en-AU"/>
        </w:rPr>
        <w:t>included publications</w:t>
      </w:r>
      <w:r w:rsidR="001C6064">
        <w:rPr>
          <w:rFonts w:eastAsia="Batang"/>
          <w:lang w:eastAsia="en-AU"/>
        </w:rPr>
        <w:t xml:space="preserve"> can be found in</w:t>
      </w:r>
      <w:r w:rsidR="00CD7BF7">
        <w:rPr>
          <w:rFonts w:eastAsia="Batang"/>
          <w:lang w:eastAsia="en-AU"/>
        </w:rPr>
        <w:t xml:space="preserve"> Appendix </w:t>
      </w:r>
      <w:r w:rsidR="00CD7BF7">
        <w:rPr>
          <w:rFonts w:eastAsia="Batang"/>
          <w:lang w:eastAsia="en-AU"/>
        </w:rPr>
        <w:fldChar w:fldCharType="begin"/>
      </w:r>
      <w:r w:rsidR="00CD7BF7">
        <w:rPr>
          <w:rFonts w:eastAsia="Batang"/>
          <w:lang w:eastAsia="en-AU"/>
        </w:rPr>
        <w:instrText xml:space="preserve"> REF _Ref165633428 \n \h </w:instrText>
      </w:r>
      <w:r w:rsidR="00CD7BF7">
        <w:rPr>
          <w:rFonts w:eastAsia="Batang"/>
          <w:lang w:eastAsia="en-AU"/>
        </w:rPr>
      </w:r>
      <w:r w:rsidR="00CD7BF7">
        <w:rPr>
          <w:rFonts w:eastAsia="Batang"/>
          <w:lang w:eastAsia="en-AU"/>
        </w:rPr>
        <w:fldChar w:fldCharType="separate"/>
      </w:r>
      <w:r w:rsidR="00CE6ACA">
        <w:rPr>
          <w:rFonts w:eastAsia="Batang"/>
          <w:lang w:eastAsia="en-AU"/>
        </w:rPr>
        <w:t>E.1</w:t>
      </w:r>
      <w:r w:rsidR="00CD7BF7">
        <w:rPr>
          <w:rFonts w:eastAsia="Batang"/>
          <w:lang w:eastAsia="en-AU"/>
        </w:rPr>
        <w:fldChar w:fldCharType="end"/>
      </w:r>
      <w:r w:rsidR="00AD1E1B">
        <w:rPr>
          <w:rFonts w:eastAsia="Batang"/>
          <w:lang w:eastAsia="en-AU"/>
        </w:rPr>
        <w:t>,</w:t>
      </w:r>
      <w:r w:rsidR="00E72A52">
        <w:rPr>
          <w:rFonts w:eastAsia="Batang"/>
          <w:lang w:eastAsia="en-AU"/>
        </w:rPr>
        <w:t xml:space="preserve"> </w:t>
      </w:r>
      <w:r w:rsidR="00275244">
        <w:rPr>
          <w:rFonts w:eastAsia="Batang"/>
          <w:lang w:eastAsia="en-AU"/>
        </w:rPr>
        <w:fldChar w:fldCharType="begin"/>
      </w:r>
      <w:r w:rsidR="00275244">
        <w:rPr>
          <w:rFonts w:eastAsia="Batang"/>
          <w:lang w:eastAsia="en-AU"/>
        </w:rPr>
        <w:instrText xml:space="preserve"> REF _Ref134441613 \h </w:instrText>
      </w:r>
      <w:r w:rsidR="00275244">
        <w:rPr>
          <w:rFonts w:eastAsia="Batang"/>
          <w:lang w:eastAsia="en-AU"/>
        </w:rPr>
      </w:r>
      <w:r w:rsidR="00275244">
        <w:rPr>
          <w:rFonts w:eastAsia="Batang"/>
          <w:lang w:eastAsia="en-AU"/>
        </w:rPr>
        <w:fldChar w:fldCharType="separate"/>
      </w:r>
      <w:r w:rsidR="00CE6ACA">
        <w:t xml:space="preserve">Table App </w:t>
      </w:r>
      <w:r w:rsidR="00CE6ACA">
        <w:rPr>
          <w:noProof/>
        </w:rPr>
        <w:t>24</w:t>
      </w:r>
      <w:r w:rsidR="00275244">
        <w:rPr>
          <w:rFonts w:eastAsia="Batang"/>
          <w:lang w:eastAsia="en-AU"/>
        </w:rPr>
        <w:fldChar w:fldCharType="end"/>
      </w:r>
      <w:r w:rsidR="00275244">
        <w:rPr>
          <w:rFonts w:eastAsia="Batang"/>
          <w:lang w:eastAsia="en-AU"/>
        </w:rPr>
        <w:t>.</w:t>
      </w:r>
    </w:p>
    <w:p w14:paraId="65FD9CDB" w14:textId="42F1C6A9" w:rsidR="00E8019D" w:rsidRDefault="001467B2" w:rsidP="00E8019D">
      <w:pPr>
        <w:pStyle w:val="Heading2"/>
        <w:rPr>
          <w:rFonts w:eastAsia="Batang"/>
          <w:lang w:eastAsia="en-AU"/>
        </w:rPr>
      </w:pPr>
      <w:bookmarkStart w:id="109" w:name="_Toc165634681"/>
      <w:r>
        <w:rPr>
          <w:rFonts w:eastAsia="Batang"/>
          <w:lang w:eastAsia="en-AU"/>
        </w:rPr>
        <w:t xml:space="preserve">Patient </w:t>
      </w:r>
      <w:r w:rsidR="000A3557">
        <w:rPr>
          <w:rFonts w:eastAsia="Batang"/>
          <w:lang w:eastAsia="en-AU"/>
        </w:rPr>
        <w:t>population</w:t>
      </w:r>
      <w:bookmarkEnd w:id="109"/>
    </w:p>
    <w:p w14:paraId="53B9749E" w14:textId="2DC2AC84" w:rsidR="00DD2CE6" w:rsidRPr="00DD2CE6" w:rsidRDefault="00DD2CE6" w:rsidP="003F0DAA">
      <w:pPr>
        <w:pStyle w:val="Heading3"/>
        <w:rPr>
          <w:rFonts w:eastAsia="Batang"/>
          <w:lang w:eastAsia="en-AU"/>
        </w:rPr>
      </w:pPr>
      <w:bookmarkStart w:id="110" w:name="_Ref134018103"/>
      <w:bookmarkStart w:id="111" w:name="_Ref134206344"/>
      <w:bookmarkStart w:id="112" w:name="_Toc165634682"/>
      <w:r>
        <w:rPr>
          <w:rFonts w:eastAsia="Batang"/>
          <w:lang w:eastAsia="en-AU"/>
        </w:rPr>
        <w:t>Clinical indications</w:t>
      </w:r>
      <w:bookmarkEnd w:id="110"/>
      <w:bookmarkEnd w:id="111"/>
      <w:bookmarkEnd w:id="112"/>
    </w:p>
    <w:p w14:paraId="22149423" w14:textId="380E094A" w:rsidR="00AF3403" w:rsidRDefault="0039673A" w:rsidP="00AF3403">
      <w:pPr>
        <w:pStyle w:val="BodyText"/>
        <w:rPr>
          <w:rFonts w:eastAsia="Batang"/>
          <w:lang w:eastAsia="en-AU"/>
        </w:rPr>
      </w:pPr>
      <w:r>
        <w:rPr>
          <w:rFonts w:eastAsia="Batang"/>
          <w:lang w:eastAsia="en-AU"/>
        </w:rPr>
        <w:t xml:space="preserve">There is little consensus in the recommendations on the </w:t>
      </w:r>
      <w:r w:rsidR="007E3CD9">
        <w:rPr>
          <w:rFonts w:eastAsia="Batang"/>
          <w:lang w:eastAsia="en-AU"/>
        </w:rPr>
        <w:t xml:space="preserve">patient population that should receive SCS. This may be attributed </w:t>
      </w:r>
      <w:r w:rsidR="00DB6A0C">
        <w:rPr>
          <w:rFonts w:eastAsia="Batang"/>
          <w:lang w:eastAsia="en-AU"/>
        </w:rPr>
        <w:t xml:space="preserve">to the variability in </w:t>
      </w:r>
      <w:r w:rsidR="00F90875">
        <w:rPr>
          <w:rFonts w:eastAsia="Batang"/>
          <w:lang w:eastAsia="en-AU"/>
        </w:rPr>
        <w:t>pathologies that can result in patients developing chronic pain.</w:t>
      </w:r>
      <w:r w:rsidR="009A3B8A">
        <w:rPr>
          <w:rFonts w:eastAsia="Batang"/>
          <w:lang w:eastAsia="en-AU"/>
        </w:rPr>
        <w:t xml:space="preserve"> </w:t>
      </w:r>
      <w:r w:rsidR="007B16A5">
        <w:rPr>
          <w:rFonts w:eastAsia="Batang"/>
          <w:lang w:eastAsia="en-AU"/>
        </w:rPr>
        <w:t>S</w:t>
      </w:r>
      <w:r w:rsidR="00B35E83">
        <w:rPr>
          <w:rFonts w:eastAsia="Batang"/>
          <w:lang w:eastAsia="en-AU"/>
        </w:rPr>
        <w:t>even</w:t>
      </w:r>
      <w:r w:rsidR="007B16A5">
        <w:rPr>
          <w:rFonts w:eastAsia="Batang"/>
          <w:lang w:eastAsia="en-AU"/>
        </w:rPr>
        <w:t xml:space="preserve"> </w:t>
      </w:r>
      <w:r w:rsidR="00120C1F">
        <w:rPr>
          <w:rFonts w:eastAsia="Batang"/>
          <w:lang w:eastAsia="en-AU"/>
        </w:rPr>
        <w:t xml:space="preserve">publications provided consensus and </w:t>
      </w:r>
      <w:r w:rsidR="00256BFD">
        <w:rPr>
          <w:rFonts w:eastAsia="Batang"/>
          <w:lang w:eastAsia="en-AU"/>
        </w:rPr>
        <w:t>evidence-based</w:t>
      </w:r>
      <w:r w:rsidR="00120C1F">
        <w:rPr>
          <w:rFonts w:eastAsia="Batang"/>
          <w:lang w:eastAsia="en-AU"/>
        </w:rPr>
        <w:t xml:space="preserve"> recommendations </w:t>
      </w:r>
      <w:r w:rsidR="00261CAD">
        <w:rPr>
          <w:rFonts w:eastAsia="Batang"/>
          <w:lang w:eastAsia="en-AU"/>
        </w:rPr>
        <w:t>on</w:t>
      </w:r>
      <w:r w:rsidR="00DF489C">
        <w:rPr>
          <w:rFonts w:eastAsia="Batang"/>
          <w:lang w:eastAsia="en-AU"/>
        </w:rPr>
        <w:t xml:space="preserve"> </w:t>
      </w:r>
      <w:r w:rsidR="000144A7">
        <w:rPr>
          <w:rFonts w:eastAsia="Batang"/>
          <w:lang w:eastAsia="en-AU"/>
        </w:rPr>
        <w:t xml:space="preserve">indications </w:t>
      </w:r>
      <w:r w:rsidR="00CA6900">
        <w:rPr>
          <w:rFonts w:eastAsia="Batang"/>
          <w:lang w:eastAsia="en-AU"/>
        </w:rPr>
        <w:t>where</w:t>
      </w:r>
      <w:r w:rsidR="00227021">
        <w:rPr>
          <w:rFonts w:eastAsia="Batang"/>
          <w:lang w:eastAsia="en-AU"/>
        </w:rPr>
        <w:t xml:space="preserve"> SCS </w:t>
      </w:r>
      <w:r w:rsidR="00CA6900">
        <w:rPr>
          <w:rFonts w:eastAsia="Batang"/>
          <w:lang w:eastAsia="en-AU"/>
        </w:rPr>
        <w:t xml:space="preserve">is recommended </w:t>
      </w:r>
      <w:r w:rsidR="00227021">
        <w:rPr>
          <w:rFonts w:eastAsia="Batang"/>
          <w:lang w:eastAsia="en-AU"/>
        </w:rPr>
        <w:t>as a trea</w:t>
      </w:r>
      <w:r w:rsidR="00AD411E">
        <w:rPr>
          <w:rFonts w:eastAsia="Batang"/>
          <w:lang w:eastAsia="en-AU"/>
        </w:rPr>
        <w:t>tment option</w:t>
      </w:r>
      <w:r w:rsidR="006F05EC">
        <w:rPr>
          <w:rFonts w:eastAsia="Batang"/>
          <w:lang w:eastAsia="en-AU"/>
        </w:rPr>
        <w:t xml:space="preserve">, including one publication on </w:t>
      </w:r>
      <w:r w:rsidR="00D44197">
        <w:rPr>
          <w:rFonts w:eastAsia="Batang"/>
          <w:lang w:eastAsia="en-AU"/>
        </w:rPr>
        <w:t xml:space="preserve">DRGS </w:t>
      </w:r>
      <w:r w:rsidR="007C51C4">
        <w:rPr>
          <w:rFonts w:eastAsia="Batang"/>
          <w:lang w:eastAsia="en-AU"/>
        </w:rPr>
        <w:t xml:space="preserve">(Deer </w:t>
      </w:r>
      <w:r w:rsidR="00DA7E4E">
        <w:rPr>
          <w:rFonts w:eastAsia="Batang"/>
          <w:lang w:eastAsia="en-AU"/>
        </w:rPr>
        <w:t xml:space="preserve">et al. </w:t>
      </w:r>
      <w:r w:rsidR="007C51C4">
        <w:rPr>
          <w:rFonts w:eastAsia="Batang"/>
          <w:lang w:eastAsia="en-AU"/>
        </w:rPr>
        <w:t>2019).</w:t>
      </w:r>
      <w:r w:rsidR="00177786">
        <w:rPr>
          <w:rFonts w:eastAsia="Batang"/>
          <w:lang w:eastAsia="en-AU"/>
        </w:rPr>
        <w:t xml:space="preserve"> </w:t>
      </w:r>
      <w:r w:rsidR="00597149">
        <w:rPr>
          <w:rFonts w:eastAsia="Batang"/>
          <w:lang w:eastAsia="en-AU"/>
        </w:rPr>
        <w:t xml:space="preserve">In some cases where this is limited evidence, </w:t>
      </w:r>
      <w:r w:rsidR="00DD7D02">
        <w:rPr>
          <w:rFonts w:eastAsia="Batang"/>
          <w:lang w:eastAsia="en-AU"/>
        </w:rPr>
        <w:t xml:space="preserve">the use of SCS or DRGS needs to be assessed on a case-by-case basis (e.g., DRGS in patients with </w:t>
      </w:r>
      <w:r w:rsidR="00432AF3">
        <w:rPr>
          <w:rFonts w:eastAsia="Batang"/>
          <w:lang w:eastAsia="en-AU"/>
        </w:rPr>
        <w:t>DPN</w:t>
      </w:r>
      <w:r w:rsidR="009457E3">
        <w:rPr>
          <w:rFonts w:eastAsia="Batang"/>
          <w:lang w:eastAsia="en-AU"/>
        </w:rPr>
        <w:t xml:space="preserve"> [Deer et al. 2019]</w:t>
      </w:r>
      <w:r w:rsidR="00D36E52">
        <w:rPr>
          <w:rFonts w:eastAsia="Batang"/>
          <w:lang w:eastAsia="en-AU"/>
        </w:rPr>
        <w:t xml:space="preserve"> or SCS for patients with visceral pain [Deer 2014])</w:t>
      </w:r>
      <w:r w:rsidR="00711C2D">
        <w:rPr>
          <w:rFonts w:eastAsia="Batang"/>
          <w:lang w:eastAsia="en-AU"/>
        </w:rPr>
        <w:t>.</w:t>
      </w:r>
      <w:r w:rsidR="00663AD6">
        <w:rPr>
          <w:rFonts w:eastAsia="Batang"/>
          <w:lang w:eastAsia="en-AU"/>
        </w:rPr>
        <w:t xml:space="preserve"> </w:t>
      </w:r>
      <w:r w:rsidR="006A67B1">
        <w:rPr>
          <w:rFonts w:eastAsia="Batang"/>
          <w:lang w:eastAsia="en-AU"/>
        </w:rPr>
        <w:fldChar w:fldCharType="begin"/>
      </w:r>
      <w:r w:rsidR="006A67B1">
        <w:rPr>
          <w:rFonts w:eastAsia="Batang"/>
          <w:lang w:eastAsia="en-AU"/>
        </w:rPr>
        <w:instrText xml:space="preserve"> REF _Ref133859014 \h </w:instrText>
      </w:r>
      <w:r w:rsidR="006A67B1">
        <w:rPr>
          <w:rFonts w:eastAsia="Batang"/>
          <w:lang w:eastAsia="en-AU"/>
        </w:rPr>
      </w:r>
      <w:r w:rsidR="006A67B1">
        <w:rPr>
          <w:rFonts w:eastAsia="Batang"/>
          <w:lang w:eastAsia="en-AU"/>
        </w:rPr>
        <w:fldChar w:fldCharType="separate"/>
      </w:r>
      <w:r w:rsidR="00CE6ACA">
        <w:t xml:space="preserve">Table </w:t>
      </w:r>
      <w:r w:rsidR="00CE6ACA">
        <w:rPr>
          <w:noProof/>
        </w:rPr>
        <w:t>23</w:t>
      </w:r>
      <w:r w:rsidR="006A67B1">
        <w:rPr>
          <w:rFonts w:eastAsia="Batang"/>
          <w:lang w:eastAsia="en-AU"/>
        </w:rPr>
        <w:fldChar w:fldCharType="end"/>
      </w:r>
      <w:r w:rsidR="005B7B55">
        <w:rPr>
          <w:rFonts w:eastAsia="Batang"/>
          <w:lang w:eastAsia="en-AU"/>
        </w:rPr>
        <w:t xml:space="preserve"> </w:t>
      </w:r>
      <w:r w:rsidR="001E2C2B">
        <w:rPr>
          <w:rFonts w:eastAsia="Batang"/>
          <w:lang w:eastAsia="en-AU"/>
        </w:rPr>
        <w:t xml:space="preserve">summarises the patient populations recommended </w:t>
      </w:r>
      <w:r w:rsidR="002D6D4D">
        <w:rPr>
          <w:rFonts w:eastAsia="Batang"/>
          <w:lang w:eastAsia="en-AU"/>
        </w:rPr>
        <w:t>as</w:t>
      </w:r>
      <w:r w:rsidR="001E2C2B">
        <w:rPr>
          <w:rFonts w:eastAsia="Batang"/>
          <w:lang w:eastAsia="en-AU"/>
        </w:rPr>
        <w:t xml:space="preserve"> </w:t>
      </w:r>
      <w:r w:rsidR="002D6D4D">
        <w:rPr>
          <w:rFonts w:eastAsia="Batang"/>
          <w:lang w:eastAsia="en-AU"/>
        </w:rPr>
        <w:t>‘</w:t>
      </w:r>
      <w:r w:rsidR="00795E7E">
        <w:rPr>
          <w:rFonts w:eastAsia="Batang"/>
          <w:lang w:eastAsia="en-AU"/>
        </w:rPr>
        <w:t>appropriate</w:t>
      </w:r>
      <w:r w:rsidR="002D6D4D">
        <w:rPr>
          <w:rFonts w:eastAsia="Batang"/>
          <w:lang w:eastAsia="en-AU"/>
        </w:rPr>
        <w:t>’</w:t>
      </w:r>
      <w:r w:rsidR="00795E7E">
        <w:rPr>
          <w:rFonts w:eastAsia="Batang"/>
          <w:lang w:eastAsia="en-AU"/>
        </w:rPr>
        <w:t xml:space="preserve"> for </w:t>
      </w:r>
      <w:r w:rsidR="00972CC4">
        <w:rPr>
          <w:rFonts w:eastAsia="Batang"/>
          <w:lang w:eastAsia="en-AU"/>
        </w:rPr>
        <w:t>treatment by SCS</w:t>
      </w:r>
      <w:r w:rsidR="00F10884">
        <w:rPr>
          <w:rFonts w:eastAsia="Batang"/>
          <w:lang w:eastAsia="en-AU"/>
        </w:rPr>
        <w:t xml:space="preserve"> (excluding indications recommended on a case-by-case basis)</w:t>
      </w:r>
      <w:r w:rsidR="00972CC4">
        <w:rPr>
          <w:rFonts w:eastAsia="Batang"/>
          <w:lang w:eastAsia="en-AU"/>
        </w:rPr>
        <w:t>.</w:t>
      </w:r>
    </w:p>
    <w:p w14:paraId="62BA743A" w14:textId="786EB63D" w:rsidR="00757921" w:rsidRDefault="00757921" w:rsidP="00757921">
      <w:pPr>
        <w:pStyle w:val="Caption"/>
        <w:rPr>
          <w:rFonts w:eastAsia="Batang"/>
        </w:rPr>
      </w:pPr>
      <w:bookmarkStart w:id="113" w:name="_Ref133859014"/>
      <w:r>
        <w:t xml:space="preserve">Table </w:t>
      </w:r>
      <w:r>
        <w:fldChar w:fldCharType="begin"/>
      </w:r>
      <w:r>
        <w:instrText>SEQ Table \* ARABIC</w:instrText>
      </w:r>
      <w:r>
        <w:fldChar w:fldCharType="separate"/>
      </w:r>
      <w:r w:rsidR="00CE6ACA">
        <w:rPr>
          <w:noProof/>
        </w:rPr>
        <w:t>23</w:t>
      </w:r>
      <w:r>
        <w:fldChar w:fldCharType="end"/>
      </w:r>
      <w:bookmarkEnd w:id="113"/>
      <w:r>
        <w:tab/>
        <w:t>Recommended indications for SCS</w:t>
      </w:r>
    </w:p>
    <w:tbl>
      <w:tblPr>
        <w:tblStyle w:val="TableGrid"/>
        <w:tblW w:w="0" w:type="auto"/>
        <w:tblLook w:val="04A0" w:firstRow="1" w:lastRow="0" w:firstColumn="1" w:lastColumn="0" w:noHBand="0" w:noVBand="1"/>
        <w:tblCaption w:val="Recommended indications for SCS"/>
        <w:tblDescription w:val="Table showing the recommended indications for SCS from the included guidance publications."/>
      </w:tblPr>
      <w:tblGrid>
        <w:gridCol w:w="1604"/>
        <w:gridCol w:w="1123"/>
        <w:gridCol w:w="1230"/>
        <w:gridCol w:w="1117"/>
        <w:gridCol w:w="1183"/>
        <w:gridCol w:w="1117"/>
        <w:gridCol w:w="1274"/>
        <w:gridCol w:w="990"/>
      </w:tblGrid>
      <w:tr w:rsidR="00F60240" w:rsidRPr="00F60240" w14:paraId="3590050A" w14:textId="4EF2E9A8" w:rsidTr="007B0874">
        <w:trPr>
          <w:cnfStyle w:val="100000000000" w:firstRow="1" w:lastRow="0" w:firstColumn="0" w:lastColumn="0" w:oddVBand="0" w:evenVBand="0" w:oddHBand="0" w:evenHBand="0" w:firstRowFirstColumn="0" w:firstRowLastColumn="0" w:lastRowFirstColumn="0" w:lastRowLastColumn="0"/>
        </w:trPr>
        <w:tc>
          <w:tcPr>
            <w:tcW w:w="1604" w:type="dxa"/>
          </w:tcPr>
          <w:p w14:paraId="581CBA49" w14:textId="77777777" w:rsidR="00F60240" w:rsidRPr="00F60240" w:rsidRDefault="00F60240" w:rsidP="00F60240">
            <w:pPr>
              <w:pStyle w:val="011TableHeading8pt"/>
              <w:rPr>
                <w:rFonts w:eastAsia="Batang"/>
                <w:sz w:val="18"/>
                <w:szCs w:val="18"/>
              </w:rPr>
            </w:pPr>
          </w:p>
        </w:tc>
        <w:tc>
          <w:tcPr>
            <w:tcW w:w="1123" w:type="dxa"/>
          </w:tcPr>
          <w:p w14:paraId="6123778E" w14:textId="55B31F73" w:rsidR="00F60240" w:rsidRPr="00F60240" w:rsidRDefault="007B0874" w:rsidP="00F60240">
            <w:pPr>
              <w:pStyle w:val="011TableHeading8pt"/>
              <w:rPr>
                <w:rFonts w:eastAsia="Batang"/>
                <w:sz w:val="18"/>
                <w:szCs w:val="18"/>
              </w:rPr>
            </w:pPr>
            <w:r>
              <w:rPr>
                <w:rFonts w:eastAsia="Batang"/>
                <w:sz w:val="18"/>
                <w:szCs w:val="18"/>
                <w:lang w:eastAsia="en-AU"/>
              </w:rPr>
              <w:t>ASPN (USA)</w:t>
            </w:r>
            <w:r w:rsidRPr="000F47B0">
              <w:rPr>
                <w:rFonts w:eastAsia="Batang"/>
                <w:sz w:val="18"/>
                <w:szCs w:val="18"/>
                <w:lang w:eastAsia="en-AU"/>
              </w:rPr>
              <w:br/>
            </w:r>
            <w:r w:rsidRPr="00523B0D">
              <w:rPr>
                <w:rFonts w:eastAsia="Batang"/>
                <w:i/>
                <w:sz w:val="18"/>
                <w:szCs w:val="18"/>
                <w:lang w:eastAsia="en-AU"/>
              </w:rPr>
              <w:t>Sayed 2022</w:t>
            </w:r>
          </w:p>
        </w:tc>
        <w:tc>
          <w:tcPr>
            <w:tcW w:w="1230" w:type="dxa"/>
          </w:tcPr>
          <w:p w14:paraId="28AE7826" w14:textId="46765D46" w:rsidR="00F60240" w:rsidRPr="00F60240" w:rsidRDefault="007B0874" w:rsidP="00F60240">
            <w:pPr>
              <w:pStyle w:val="011TableHeading8pt"/>
              <w:rPr>
                <w:rFonts w:eastAsia="Batang"/>
                <w:sz w:val="18"/>
                <w:szCs w:val="18"/>
              </w:rPr>
            </w:pPr>
            <w:r>
              <w:rPr>
                <w:rFonts w:eastAsia="Batang"/>
                <w:sz w:val="18"/>
                <w:szCs w:val="18"/>
                <w:lang w:eastAsia="en-AU"/>
              </w:rPr>
              <w:t>Dutch Consensus (Denmark)</w:t>
            </w:r>
            <w:r>
              <w:rPr>
                <w:rFonts w:eastAsia="Batang"/>
                <w:sz w:val="18"/>
                <w:szCs w:val="18"/>
                <w:lang w:eastAsia="en-AU"/>
              </w:rPr>
              <w:br/>
            </w:r>
            <w:proofErr w:type="spellStart"/>
            <w:r w:rsidRPr="00B83F79">
              <w:rPr>
                <w:rFonts w:eastAsia="Batang"/>
                <w:i/>
                <w:sz w:val="18"/>
                <w:szCs w:val="18"/>
                <w:lang w:eastAsia="en-AU"/>
              </w:rPr>
              <w:t>Edelbroek</w:t>
            </w:r>
            <w:proofErr w:type="spellEnd"/>
            <w:r w:rsidRPr="00B83F79">
              <w:rPr>
                <w:rFonts w:eastAsia="Batang"/>
                <w:i/>
                <w:sz w:val="18"/>
                <w:szCs w:val="18"/>
                <w:lang w:eastAsia="en-AU"/>
              </w:rPr>
              <w:t xml:space="preserve"> 2022</w:t>
            </w:r>
          </w:p>
        </w:tc>
        <w:tc>
          <w:tcPr>
            <w:tcW w:w="1117" w:type="dxa"/>
          </w:tcPr>
          <w:p w14:paraId="4844236B" w14:textId="0E25FD5A" w:rsidR="00F60240" w:rsidRPr="00F60240" w:rsidRDefault="007B0874" w:rsidP="00F60240">
            <w:pPr>
              <w:pStyle w:val="011TableHeading8pt"/>
              <w:rPr>
                <w:rFonts w:eastAsia="Batang"/>
                <w:sz w:val="18"/>
                <w:szCs w:val="18"/>
              </w:rPr>
            </w:pPr>
            <w:r>
              <w:rPr>
                <w:rFonts w:eastAsia="Batang"/>
                <w:sz w:val="18"/>
                <w:szCs w:val="18"/>
                <w:lang w:eastAsia="en-AU"/>
              </w:rPr>
              <w:t>NACC (USA)</w:t>
            </w:r>
            <w:r>
              <w:rPr>
                <w:rFonts w:eastAsia="Batang"/>
                <w:sz w:val="18"/>
                <w:szCs w:val="18"/>
                <w:lang w:eastAsia="en-AU"/>
              </w:rPr>
              <w:br/>
            </w:r>
            <w:r w:rsidRPr="00E95ECE">
              <w:rPr>
                <w:rFonts w:eastAsia="Batang"/>
                <w:i/>
                <w:sz w:val="18"/>
                <w:szCs w:val="18"/>
                <w:lang w:eastAsia="en-AU"/>
              </w:rPr>
              <w:t>Deer 2019</w:t>
            </w:r>
          </w:p>
        </w:tc>
        <w:tc>
          <w:tcPr>
            <w:tcW w:w="1183" w:type="dxa"/>
          </w:tcPr>
          <w:p w14:paraId="790FA300" w14:textId="0A510DC1" w:rsidR="00F60240" w:rsidRPr="00F60240" w:rsidRDefault="007B0874" w:rsidP="00F60240">
            <w:pPr>
              <w:pStyle w:val="011TableHeading8pt"/>
              <w:rPr>
                <w:rFonts w:eastAsia="Batang"/>
                <w:sz w:val="18"/>
                <w:szCs w:val="18"/>
              </w:rPr>
            </w:pPr>
            <w:r w:rsidRPr="000F47B0">
              <w:rPr>
                <w:rFonts w:eastAsia="Batang"/>
                <w:sz w:val="18"/>
                <w:szCs w:val="18"/>
                <w:lang w:eastAsia="en-AU"/>
              </w:rPr>
              <w:t>EAN (Europe)</w:t>
            </w:r>
            <w:r w:rsidRPr="000F47B0">
              <w:rPr>
                <w:rFonts w:eastAsia="Batang"/>
                <w:sz w:val="18"/>
                <w:szCs w:val="18"/>
                <w:lang w:eastAsia="en-AU"/>
              </w:rPr>
              <w:br/>
            </w:r>
            <w:proofErr w:type="spellStart"/>
            <w:r w:rsidRPr="000A5C6B">
              <w:rPr>
                <w:rFonts w:eastAsia="Batang"/>
                <w:i/>
                <w:sz w:val="18"/>
                <w:szCs w:val="18"/>
                <w:lang w:eastAsia="en-AU"/>
              </w:rPr>
              <w:t>Cruccu</w:t>
            </w:r>
            <w:proofErr w:type="spellEnd"/>
            <w:r w:rsidRPr="000A5C6B">
              <w:rPr>
                <w:rFonts w:eastAsia="Batang"/>
                <w:i/>
                <w:sz w:val="18"/>
                <w:szCs w:val="18"/>
                <w:lang w:eastAsia="en-AU"/>
              </w:rPr>
              <w:t xml:space="preserve"> 2016</w:t>
            </w:r>
            <w:r w:rsidRPr="000A5C6B">
              <w:rPr>
                <w:rFonts w:eastAsia="Batang"/>
                <w:i/>
                <w:sz w:val="18"/>
                <w:szCs w:val="18"/>
                <w:vertAlign w:val="superscript"/>
                <w:lang w:eastAsia="en-AU"/>
              </w:rPr>
              <w:t>b</w:t>
            </w:r>
          </w:p>
        </w:tc>
        <w:tc>
          <w:tcPr>
            <w:tcW w:w="1117" w:type="dxa"/>
          </w:tcPr>
          <w:p w14:paraId="67ED1CC0" w14:textId="48557EA7" w:rsidR="00F60240" w:rsidRPr="00F60240" w:rsidRDefault="007B0874" w:rsidP="00F60240">
            <w:pPr>
              <w:pStyle w:val="011TableHeading8pt"/>
              <w:rPr>
                <w:rFonts w:eastAsia="Batang"/>
                <w:sz w:val="18"/>
                <w:szCs w:val="18"/>
              </w:rPr>
            </w:pPr>
            <w:r>
              <w:rPr>
                <w:rFonts w:eastAsia="Batang"/>
                <w:sz w:val="18"/>
                <w:szCs w:val="18"/>
                <w:lang w:eastAsia="en-AU"/>
              </w:rPr>
              <w:t>NACC (USA)</w:t>
            </w:r>
            <w:r>
              <w:rPr>
                <w:rFonts w:eastAsia="Batang"/>
                <w:sz w:val="18"/>
                <w:szCs w:val="18"/>
                <w:lang w:eastAsia="en-AU"/>
              </w:rPr>
              <w:br/>
            </w:r>
            <w:r w:rsidRPr="000A5C6B">
              <w:rPr>
                <w:rFonts w:eastAsia="Batang"/>
                <w:i/>
                <w:sz w:val="18"/>
                <w:szCs w:val="18"/>
                <w:lang w:eastAsia="en-AU"/>
              </w:rPr>
              <w:t>Deer 2014</w:t>
            </w:r>
          </w:p>
        </w:tc>
        <w:tc>
          <w:tcPr>
            <w:tcW w:w="1274" w:type="dxa"/>
          </w:tcPr>
          <w:p w14:paraId="0E74E55E" w14:textId="423CC83B" w:rsidR="00F60240" w:rsidRPr="00F60240" w:rsidRDefault="007B0874" w:rsidP="00F60240">
            <w:pPr>
              <w:pStyle w:val="011TableHeading8pt"/>
              <w:rPr>
                <w:rFonts w:eastAsia="Batang"/>
                <w:sz w:val="18"/>
                <w:szCs w:val="18"/>
              </w:rPr>
            </w:pPr>
            <w:r>
              <w:rPr>
                <w:rFonts w:eastAsia="Batang"/>
                <w:sz w:val="18"/>
                <w:szCs w:val="18"/>
                <w:lang w:eastAsia="en-AU"/>
              </w:rPr>
              <w:t>ASIPP IPM Guidelines</w:t>
            </w:r>
            <w:r>
              <w:rPr>
                <w:rFonts w:eastAsia="Batang"/>
                <w:sz w:val="18"/>
                <w:szCs w:val="18"/>
                <w:lang w:eastAsia="en-AU"/>
              </w:rPr>
              <w:br/>
            </w:r>
            <w:proofErr w:type="spellStart"/>
            <w:r w:rsidRPr="00B83F79">
              <w:rPr>
                <w:rFonts w:eastAsia="Batang"/>
                <w:i/>
                <w:sz w:val="18"/>
                <w:szCs w:val="18"/>
                <w:lang w:eastAsia="en-AU"/>
              </w:rPr>
              <w:t>Manchika</w:t>
            </w:r>
            <w:r>
              <w:rPr>
                <w:rFonts w:eastAsia="Batang"/>
                <w:i/>
                <w:sz w:val="18"/>
                <w:szCs w:val="18"/>
                <w:lang w:eastAsia="en-AU"/>
              </w:rPr>
              <w:t>n</w:t>
            </w:r>
            <w:r w:rsidRPr="00B83F79">
              <w:rPr>
                <w:rFonts w:eastAsia="Batang"/>
                <w:i/>
                <w:sz w:val="18"/>
                <w:szCs w:val="18"/>
                <w:lang w:eastAsia="en-AU"/>
              </w:rPr>
              <w:t>ti</w:t>
            </w:r>
            <w:proofErr w:type="spellEnd"/>
            <w:r w:rsidRPr="00B83F79">
              <w:rPr>
                <w:rFonts w:eastAsia="Batang"/>
                <w:i/>
                <w:sz w:val="18"/>
                <w:szCs w:val="18"/>
                <w:lang w:eastAsia="en-AU"/>
              </w:rPr>
              <w:t xml:space="preserve"> 2013</w:t>
            </w:r>
          </w:p>
        </w:tc>
        <w:tc>
          <w:tcPr>
            <w:tcW w:w="990" w:type="dxa"/>
          </w:tcPr>
          <w:p w14:paraId="5FFD2C23" w14:textId="452D3A1A" w:rsidR="007B0874" w:rsidRPr="000F47B0" w:rsidRDefault="007B0874" w:rsidP="00F60240">
            <w:pPr>
              <w:pStyle w:val="011TableHeading8pt"/>
              <w:rPr>
                <w:rFonts w:eastAsia="Batang"/>
                <w:sz w:val="18"/>
                <w:szCs w:val="18"/>
                <w:lang w:eastAsia="en-AU"/>
              </w:rPr>
            </w:pPr>
            <w:r w:rsidRPr="000F47B0">
              <w:rPr>
                <w:rFonts w:eastAsia="Batang"/>
                <w:sz w:val="18"/>
                <w:szCs w:val="18"/>
                <w:lang w:eastAsia="en-AU"/>
              </w:rPr>
              <w:t>NICE 2008</w:t>
            </w:r>
            <w:r>
              <w:rPr>
                <w:rFonts w:eastAsia="Batang"/>
                <w:sz w:val="18"/>
                <w:szCs w:val="18"/>
                <w:lang w:eastAsia="en-AU"/>
              </w:rPr>
              <w:t xml:space="preserve"> (UK)</w:t>
            </w:r>
          </w:p>
        </w:tc>
      </w:tr>
      <w:tr w:rsidR="00F60240" w:rsidRPr="00F60240" w14:paraId="551F2905" w14:textId="57B164CC" w:rsidTr="00CC06DE">
        <w:tc>
          <w:tcPr>
            <w:tcW w:w="1604" w:type="dxa"/>
          </w:tcPr>
          <w:p w14:paraId="711E2BD1" w14:textId="50941694" w:rsidR="00F60240" w:rsidRPr="00F60240" w:rsidRDefault="00F60240" w:rsidP="00F60240">
            <w:pPr>
              <w:pStyle w:val="051Tabletext228pt"/>
              <w:rPr>
                <w:rFonts w:eastAsia="Batang"/>
                <w:sz w:val="18"/>
                <w:szCs w:val="18"/>
              </w:rPr>
            </w:pPr>
            <w:r w:rsidRPr="000A6422">
              <w:rPr>
                <w:rFonts w:eastAsia="Batang"/>
                <w:sz w:val="18"/>
                <w:szCs w:val="18"/>
              </w:rPr>
              <w:t>Chronic lower extremity pain</w:t>
            </w:r>
          </w:p>
        </w:tc>
        <w:tc>
          <w:tcPr>
            <w:tcW w:w="1123" w:type="dxa"/>
            <w:vAlign w:val="center"/>
          </w:tcPr>
          <w:p w14:paraId="2D83F34D" w14:textId="77777777" w:rsidR="00F60240" w:rsidRPr="00F60240" w:rsidRDefault="00F60240" w:rsidP="00CC06DE">
            <w:pPr>
              <w:pStyle w:val="051Tabletext228pt"/>
              <w:jc w:val="center"/>
              <w:rPr>
                <w:rFonts w:eastAsia="Batang"/>
                <w:sz w:val="18"/>
                <w:szCs w:val="18"/>
              </w:rPr>
            </w:pPr>
          </w:p>
        </w:tc>
        <w:tc>
          <w:tcPr>
            <w:tcW w:w="1230" w:type="dxa"/>
            <w:vAlign w:val="center"/>
          </w:tcPr>
          <w:p w14:paraId="3A19ACE9" w14:textId="77777777" w:rsidR="00F60240" w:rsidRPr="00F60240" w:rsidRDefault="00F60240" w:rsidP="00CC06DE">
            <w:pPr>
              <w:pStyle w:val="051Tabletext228pt"/>
              <w:jc w:val="center"/>
              <w:rPr>
                <w:rFonts w:eastAsia="Batang"/>
                <w:sz w:val="18"/>
                <w:szCs w:val="18"/>
              </w:rPr>
            </w:pPr>
          </w:p>
        </w:tc>
        <w:tc>
          <w:tcPr>
            <w:tcW w:w="1117" w:type="dxa"/>
            <w:vAlign w:val="center"/>
          </w:tcPr>
          <w:p w14:paraId="060B3B9E" w14:textId="77777777" w:rsidR="00F60240" w:rsidRPr="00F60240" w:rsidRDefault="00F60240" w:rsidP="00CC06DE">
            <w:pPr>
              <w:pStyle w:val="051Tabletext228pt"/>
              <w:jc w:val="center"/>
              <w:rPr>
                <w:rFonts w:eastAsia="Batang"/>
                <w:sz w:val="18"/>
                <w:szCs w:val="18"/>
              </w:rPr>
            </w:pPr>
          </w:p>
        </w:tc>
        <w:tc>
          <w:tcPr>
            <w:tcW w:w="1183" w:type="dxa"/>
            <w:vAlign w:val="center"/>
          </w:tcPr>
          <w:p w14:paraId="77FACF1F" w14:textId="77777777" w:rsidR="00F60240" w:rsidRPr="00F60240" w:rsidRDefault="00F60240" w:rsidP="00CC06DE">
            <w:pPr>
              <w:pStyle w:val="051Tabletext228pt"/>
              <w:jc w:val="center"/>
              <w:rPr>
                <w:rFonts w:eastAsia="Batang"/>
                <w:sz w:val="18"/>
                <w:szCs w:val="18"/>
              </w:rPr>
            </w:pPr>
          </w:p>
        </w:tc>
        <w:tc>
          <w:tcPr>
            <w:tcW w:w="1117" w:type="dxa"/>
            <w:vAlign w:val="center"/>
          </w:tcPr>
          <w:p w14:paraId="6BE8D756" w14:textId="77777777" w:rsidR="00F60240" w:rsidRPr="00F60240" w:rsidRDefault="00F60240" w:rsidP="00CC06DE">
            <w:pPr>
              <w:pStyle w:val="051Tabletext228pt"/>
              <w:jc w:val="center"/>
              <w:rPr>
                <w:rFonts w:eastAsia="Batang"/>
                <w:sz w:val="18"/>
                <w:szCs w:val="18"/>
              </w:rPr>
            </w:pPr>
          </w:p>
        </w:tc>
        <w:tc>
          <w:tcPr>
            <w:tcW w:w="1274" w:type="dxa"/>
            <w:vAlign w:val="center"/>
          </w:tcPr>
          <w:p w14:paraId="5E9A00D7" w14:textId="1CAC9C97" w:rsidR="00F60240" w:rsidRPr="00F60240" w:rsidRDefault="00332AC2" w:rsidP="00CC06DE">
            <w:pPr>
              <w:pStyle w:val="051Tabletext228pt"/>
              <w:jc w:val="center"/>
              <w:rPr>
                <w:rFonts w:eastAsia="Batang"/>
                <w:sz w:val="18"/>
                <w:szCs w:val="18"/>
              </w:rPr>
            </w:pPr>
            <w:r w:rsidRPr="000F47B0">
              <w:rPr>
                <w:rFonts w:ascii="Wingdings" w:eastAsia="Wingdings" w:hAnsi="Wingdings" w:cs="Wingdings"/>
                <w:sz w:val="18"/>
                <w:szCs w:val="18"/>
                <w:lang w:eastAsia="en-AU"/>
              </w:rPr>
              <w:t>ü</w:t>
            </w:r>
            <w:r w:rsidRPr="000F47B0">
              <w:rPr>
                <w:rFonts w:eastAsia="Batang"/>
                <w:sz w:val="18"/>
                <w:szCs w:val="18"/>
                <w:vertAlign w:val="superscript"/>
                <w:lang w:eastAsia="en-AU"/>
              </w:rPr>
              <w:t>d</w:t>
            </w:r>
          </w:p>
        </w:tc>
        <w:tc>
          <w:tcPr>
            <w:tcW w:w="990" w:type="dxa"/>
            <w:vAlign w:val="center"/>
          </w:tcPr>
          <w:p w14:paraId="3077EABA" w14:textId="77777777" w:rsidR="007B0874" w:rsidRPr="00F60240" w:rsidRDefault="007B0874" w:rsidP="00CC06DE">
            <w:pPr>
              <w:pStyle w:val="051Tabletext228pt"/>
              <w:jc w:val="center"/>
              <w:rPr>
                <w:rFonts w:eastAsia="Batang"/>
                <w:sz w:val="18"/>
                <w:szCs w:val="18"/>
              </w:rPr>
            </w:pPr>
          </w:p>
        </w:tc>
      </w:tr>
      <w:tr w:rsidR="00F60240" w:rsidRPr="00F60240" w14:paraId="652C8B48" w14:textId="437044D2" w:rsidTr="00CC06DE">
        <w:tc>
          <w:tcPr>
            <w:tcW w:w="1604" w:type="dxa"/>
          </w:tcPr>
          <w:p w14:paraId="27759AC1" w14:textId="350342BD" w:rsidR="00F60240" w:rsidRPr="00F60240" w:rsidRDefault="00F60240" w:rsidP="00F60240">
            <w:pPr>
              <w:pStyle w:val="051Tabletext228pt"/>
              <w:rPr>
                <w:rFonts w:eastAsia="Batang"/>
                <w:sz w:val="18"/>
                <w:szCs w:val="18"/>
              </w:rPr>
            </w:pPr>
            <w:r w:rsidRPr="000A6422">
              <w:rPr>
                <w:rFonts w:eastAsia="Batang"/>
                <w:sz w:val="18"/>
                <w:szCs w:val="18"/>
              </w:rPr>
              <w:t>Chronic back and leg pain</w:t>
            </w:r>
          </w:p>
        </w:tc>
        <w:tc>
          <w:tcPr>
            <w:tcW w:w="1123" w:type="dxa"/>
            <w:vAlign w:val="center"/>
          </w:tcPr>
          <w:p w14:paraId="65BEB434" w14:textId="77777777" w:rsidR="00F60240" w:rsidRPr="00F60240" w:rsidRDefault="00F60240" w:rsidP="00CC06DE">
            <w:pPr>
              <w:pStyle w:val="051Tabletext228pt"/>
              <w:jc w:val="center"/>
              <w:rPr>
                <w:rFonts w:eastAsia="Batang"/>
                <w:sz w:val="18"/>
                <w:szCs w:val="18"/>
              </w:rPr>
            </w:pPr>
          </w:p>
        </w:tc>
        <w:tc>
          <w:tcPr>
            <w:tcW w:w="1230" w:type="dxa"/>
            <w:vAlign w:val="center"/>
          </w:tcPr>
          <w:p w14:paraId="601423C7" w14:textId="77777777" w:rsidR="00F60240" w:rsidRPr="00F60240" w:rsidRDefault="00F60240" w:rsidP="00CC06DE">
            <w:pPr>
              <w:pStyle w:val="051Tabletext228pt"/>
              <w:jc w:val="center"/>
              <w:rPr>
                <w:rFonts w:eastAsia="Batang"/>
                <w:sz w:val="18"/>
                <w:szCs w:val="18"/>
              </w:rPr>
            </w:pPr>
          </w:p>
        </w:tc>
        <w:tc>
          <w:tcPr>
            <w:tcW w:w="1117" w:type="dxa"/>
            <w:vAlign w:val="center"/>
          </w:tcPr>
          <w:p w14:paraId="7FAD70EA" w14:textId="77777777" w:rsidR="00F60240" w:rsidRPr="00F60240" w:rsidRDefault="00F60240" w:rsidP="00CC06DE">
            <w:pPr>
              <w:pStyle w:val="051Tabletext228pt"/>
              <w:jc w:val="center"/>
              <w:rPr>
                <w:rFonts w:eastAsia="Batang"/>
                <w:sz w:val="18"/>
                <w:szCs w:val="18"/>
              </w:rPr>
            </w:pPr>
          </w:p>
        </w:tc>
        <w:tc>
          <w:tcPr>
            <w:tcW w:w="1183" w:type="dxa"/>
            <w:vAlign w:val="center"/>
          </w:tcPr>
          <w:p w14:paraId="3BD1C93A" w14:textId="134D86A4" w:rsidR="00F60240" w:rsidRPr="00F60240" w:rsidRDefault="00C86291"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c>
          <w:tcPr>
            <w:tcW w:w="1117" w:type="dxa"/>
            <w:vAlign w:val="center"/>
          </w:tcPr>
          <w:p w14:paraId="7A219899" w14:textId="77777777" w:rsidR="00F60240" w:rsidRPr="00F60240" w:rsidRDefault="00F60240" w:rsidP="00CC06DE">
            <w:pPr>
              <w:pStyle w:val="051Tabletext228pt"/>
              <w:jc w:val="center"/>
              <w:rPr>
                <w:rFonts w:eastAsia="Batang"/>
                <w:sz w:val="18"/>
                <w:szCs w:val="18"/>
              </w:rPr>
            </w:pPr>
          </w:p>
        </w:tc>
        <w:tc>
          <w:tcPr>
            <w:tcW w:w="1274" w:type="dxa"/>
            <w:vAlign w:val="center"/>
          </w:tcPr>
          <w:p w14:paraId="75E82050" w14:textId="77777777" w:rsidR="00F60240" w:rsidRPr="00F60240" w:rsidRDefault="00F60240" w:rsidP="00CC06DE">
            <w:pPr>
              <w:pStyle w:val="051Tabletext228pt"/>
              <w:jc w:val="center"/>
              <w:rPr>
                <w:rFonts w:eastAsia="Batang"/>
                <w:sz w:val="18"/>
                <w:szCs w:val="18"/>
              </w:rPr>
            </w:pPr>
          </w:p>
        </w:tc>
        <w:tc>
          <w:tcPr>
            <w:tcW w:w="990" w:type="dxa"/>
            <w:vAlign w:val="center"/>
          </w:tcPr>
          <w:p w14:paraId="4D881AC0" w14:textId="77777777" w:rsidR="007B0874" w:rsidRPr="00F60240" w:rsidRDefault="007B0874" w:rsidP="00CC06DE">
            <w:pPr>
              <w:pStyle w:val="051Tabletext228pt"/>
              <w:jc w:val="center"/>
              <w:rPr>
                <w:rFonts w:eastAsia="Batang"/>
                <w:sz w:val="18"/>
                <w:szCs w:val="18"/>
              </w:rPr>
            </w:pPr>
          </w:p>
        </w:tc>
      </w:tr>
      <w:tr w:rsidR="00F60240" w:rsidRPr="00F60240" w14:paraId="27D786B0" w14:textId="0130BA95" w:rsidTr="00CC06DE">
        <w:tc>
          <w:tcPr>
            <w:tcW w:w="1604" w:type="dxa"/>
          </w:tcPr>
          <w:p w14:paraId="78E82A7C" w14:textId="0961287E" w:rsidR="00F60240" w:rsidRPr="00F60240" w:rsidRDefault="00F60240" w:rsidP="00F60240">
            <w:pPr>
              <w:pStyle w:val="051Tabletext228pt"/>
              <w:rPr>
                <w:rFonts w:eastAsia="Batang"/>
                <w:sz w:val="18"/>
                <w:szCs w:val="18"/>
              </w:rPr>
            </w:pPr>
            <w:r w:rsidRPr="000A6422">
              <w:rPr>
                <w:rFonts w:eastAsia="Batang"/>
                <w:sz w:val="18"/>
                <w:szCs w:val="18"/>
              </w:rPr>
              <w:lastRenderedPageBreak/>
              <w:t>Chronic low back pain</w:t>
            </w:r>
          </w:p>
        </w:tc>
        <w:tc>
          <w:tcPr>
            <w:tcW w:w="1123" w:type="dxa"/>
            <w:vAlign w:val="center"/>
          </w:tcPr>
          <w:p w14:paraId="7DB2D55F" w14:textId="0440D5F7" w:rsidR="00F60240" w:rsidRPr="00F60240" w:rsidRDefault="002A592A" w:rsidP="00CC06DE">
            <w:pPr>
              <w:pStyle w:val="051Tabletext228pt"/>
              <w:jc w:val="center"/>
              <w:rPr>
                <w:rFonts w:eastAsia="Batang"/>
                <w:sz w:val="18"/>
                <w:szCs w:val="18"/>
              </w:rPr>
            </w:pPr>
            <w:r w:rsidRPr="000F47B0">
              <w:rPr>
                <w:rFonts w:ascii="Wingdings" w:eastAsia="Wingdings" w:hAnsi="Wingdings" w:cs="Wingdings"/>
                <w:sz w:val="18"/>
                <w:szCs w:val="18"/>
                <w:lang w:eastAsia="en-AU"/>
              </w:rPr>
              <w:t>ü</w:t>
            </w:r>
            <w:r w:rsidRPr="000F47B0">
              <w:rPr>
                <w:rFonts w:eastAsia="Batang"/>
                <w:sz w:val="18"/>
                <w:szCs w:val="18"/>
                <w:vertAlign w:val="superscript"/>
                <w:lang w:eastAsia="en-AU"/>
              </w:rPr>
              <w:t>e</w:t>
            </w:r>
          </w:p>
        </w:tc>
        <w:tc>
          <w:tcPr>
            <w:tcW w:w="1230" w:type="dxa"/>
            <w:vAlign w:val="center"/>
          </w:tcPr>
          <w:p w14:paraId="50B0A74E" w14:textId="77777777" w:rsidR="00F60240" w:rsidRPr="00F60240" w:rsidRDefault="00F60240" w:rsidP="00CC06DE">
            <w:pPr>
              <w:pStyle w:val="051Tabletext228pt"/>
              <w:jc w:val="center"/>
              <w:rPr>
                <w:rFonts w:eastAsia="Batang"/>
                <w:sz w:val="18"/>
                <w:szCs w:val="18"/>
              </w:rPr>
            </w:pPr>
          </w:p>
        </w:tc>
        <w:tc>
          <w:tcPr>
            <w:tcW w:w="1117" w:type="dxa"/>
            <w:vAlign w:val="center"/>
          </w:tcPr>
          <w:p w14:paraId="240F36AD" w14:textId="77777777" w:rsidR="00F60240" w:rsidRPr="00F60240" w:rsidRDefault="00F60240" w:rsidP="00CC06DE">
            <w:pPr>
              <w:pStyle w:val="051Tabletext228pt"/>
              <w:jc w:val="center"/>
              <w:rPr>
                <w:rFonts w:eastAsia="Batang"/>
                <w:sz w:val="18"/>
                <w:szCs w:val="18"/>
              </w:rPr>
            </w:pPr>
          </w:p>
        </w:tc>
        <w:tc>
          <w:tcPr>
            <w:tcW w:w="1183" w:type="dxa"/>
            <w:vAlign w:val="center"/>
          </w:tcPr>
          <w:p w14:paraId="76B14E6E" w14:textId="59DCF4B7" w:rsidR="00F60240" w:rsidRPr="00F60240" w:rsidRDefault="00C86291"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c>
          <w:tcPr>
            <w:tcW w:w="1117" w:type="dxa"/>
            <w:vAlign w:val="center"/>
          </w:tcPr>
          <w:p w14:paraId="0B1ACC06" w14:textId="77777777" w:rsidR="00F60240" w:rsidRPr="00F60240" w:rsidRDefault="00F60240" w:rsidP="00CC06DE">
            <w:pPr>
              <w:pStyle w:val="051Tabletext228pt"/>
              <w:jc w:val="center"/>
              <w:rPr>
                <w:rFonts w:eastAsia="Batang"/>
                <w:sz w:val="18"/>
                <w:szCs w:val="18"/>
              </w:rPr>
            </w:pPr>
          </w:p>
        </w:tc>
        <w:tc>
          <w:tcPr>
            <w:tcW w:w="1274" w:type="dxa"/>
            <w:vAlign w:val="center"/>
          </w:tcPr>
          <w:p w14:paraId="1E11B19D" w14:textId="0DB353C6" w:rsidR="00F60240" w:rsidRPr="00F60240" w:rsidRDefault="00332AC2" w:rsidP="00CC06DE">
            <w:pPr>
              <w:pStyle w:val="051Tabletext228pt"/>
              <w:jc w:val="center"/>
              <w:rPr>
                <w:rFonts w:eastAsia="Batang"/>
                <w:sz w:val="18"/>
                <w:szCs w:val="18"/>
              </w:rPr>
            </w:pPr>
            <w:r w:rsidRPr="000F47B0">
              <w:rPr>
                <w:rFonts w:ascii="Wingdings" w:eastAsia="Wingdings" w:hAnsi="Wingdings" w:cs="Wingdings"/>
                <w:sz w:val="18"/>
                <w:szCs w:val="18"/>
                <w:lang w:eastAsia="en-AU"/>
              </w:rPr>
              <w:t>ü</w:t>
            </w:r>
            <w:r w:rsidRPr="000F47B0">
              <w:rPr>
                <w:rFonts w:eastAsia="Batang"/>
                <w:sz w:val="18"/>
                <w:szCs w:val="18"/>
                <w:vertAlign w:val="superscript"/>
                <w:lang w:eastAsia="en-AU"/>
              </w:rPr>
              <w:t>d</w:t>
            </w:r>
          </w:p>
        </w:tc>
        <w:tc>
          <w:tcPr>
            <w:tcW w:w="990" w:type="dxa"/>
            <w:vAlign w:val="center"/>
          </w:tcPr>
          <w:p w14:paraId="62F54BE1" w14:textId="77777777" w:rsidR="007B0874" w:rsidRPr="00F60240" w:rsidRDefault="007B0874" w:rsidP="00CC06DE">
            <w:pPr>
              <w:pStyle w:val="051Tabletext228pt"/>
              <w:jc w:val="center"/>
              <w:rPr>
                <w:rFonts w:eastAsia="Batang"/>
                <w:sz w:val="18"/>
                <w:szCs w:val="18"/>
              </w:rPr>
            </w:pPr>
          </w:p>
        </w:tc>
      </w:tr>
      <w:tr w:rsidR="00F60240" w:rsidRPr="00F60240" w14:paraId="447AA609" w14:textId="1376B81A" w:rsidTr="00CC06DE">
        <w:tc>
          <w:tcPr>
            <w:tcW w:w="1604" w:type="dxa"/>
          </w:tcPr>
          <w:p w14:paraId="1256DFB0" w14:textId="38F3062F" w:rsidR="00F60240" w:rsidRPr="00F60240" w:rsidRDefault="00F60240" w:rsidP="00F60240">
            <w:pPr>
              <w:pStyle w:val="051Tabletext228pt"/>
              <w:rPr>
                <w:rFonts w:eastAsia="Batang"/>
                <w:sz w:val="18"/>
                <w:szCs w:val="18"/>
              </w:rPr>
            </w:pPr>
            <w:r>
              <w:rPr>
                <w:rFonts w:eastAsia="Batang"/>
                <w:sz w:val="18"/>
                <w:szCs w:val="18"/>
              </w:rPr>
              <w:t xml:space="preserve">Complex regional pain </w:t>
            </w:r>
            <w:proofErr w:type="spellStart"/>
            <w:r>
              <w:rPr>
                <w:rFonts w:eastAsia="Batang"/>
                <w:sz w:val="18"/>
                <w:szCs w:val="18"/>
              </w:rPr>
              <w:t>syndrome</w:t>
            </w:r>
            <w:r>
              <w:rPr>
                <w:rFonts w:eastAsia="Batang"/>
                <w:sz w:val="18"/>
                <w:szCs w:val="18"/>
                <w:vertAlign w:val="superscript"/>
              </w:rPr>
              <w:t>a</w:t>
            </w:r>
            <w:proofErr w:type="spellEnd"/>
          </w:p>
        </w:tc>
        <w:tc>
          <w:tcPr>
            <w:tcW w:w="1123" w:type="dxa"/>
            <w:vAlign w:val="center"/>
          </w:tcPr>
          <w:p w14:paraId="29D01CEF" w14:textId="77777777" w:rsidR="00F60240" w:rsidRPr="00F60240" w:rsidRDefault="00F60240" w:rsidP="00CC06DE">
            <w:pPr>
              <w:pStyle w:val="051Tabletext228pt"/>
              <w:jc w:val="center"/>
              <w:rPr>
                <w:rFonts w:eastAsia="Batang"/>
                <w:sz w:val="18"/>
                <w:szCs w:val="18"/>
              </w:rPr>
            </w:pPr>
          </w:p>
        </w:tc>
        <w:tc>
          <w:tcPr>
            <w:tcW w:w="1230" w:type="dxa"/>
            <w:vAlign w:val="center"/>
          </w:tcPr>
          <w:p w14:paraId="2FF2C6EE" w14:textId="696F453C" w:rsidR="00F60240" w:rsidRPr="00F60240" w:rsidRDefault="00FF402F" w:rsidP="00CC06DE">
            <w:pPr>
              <w:pStyle w:val="051Tabletext228pt"/>
              <w:jc w:val="center"/>
              <w:rPr>
                <w:rFonts w:eastAsia="Batang"/>
                <w:sz w:val="18"/>
                <w:szCs w:val="18"/>
              </w:rPr>
            </w:pPr>
            <w:r w:rsidRPr="000F47B0">
              <w:rPr>
                <w:rFonts w:ascii="Wingdings" w:eastAsia="Wingdings" w:hAnsi="Wingdings" w:cs="Wingdings"/>
                <w:sz w:val="18"/>
                <w:szCs w:val="18"/>
                <w:lang w:eastAsia="en-AU"/>
              </w:rPr>
              <w:t>ü</w:t>
            </w:r>
          </w:p>
        </w:tc>
        <w:tc>
          <w:tcPr>
            <w:tcW w:w="1117" w:type="dxa"/>
            <w:vAlign w:val="center"/>
          </w:tcPr>
          <w:p w14:paraId="0FC66497" w14:textId="5DFD792B" w:rsidR="00F60240" w:rsidRPr="00F60240" w:rsidRDefault="001F4CA5"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c>
          <w:tcPr>
            <w:tcW w:w="1183" w:type="dxa"/>
            <w:vAlign w:val="center"/>
          </w:tcPr>
          <w:p w14:paraId="490DBD50" w14:textId="17E97571" w:rsidR="00F60240" w:rsidRPr="00F60240" w:rsidRDefault="00AC47C3"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c>
          <w:tcPr>
            <w:tcW w:w="1117" w:type="dxa"/>
            <w:vAlign w:val="center"/>
          </w:tcPr>
          <w:p w14:paraId="2F247257" w14:textId="2C355D09" w:rsidR="00F60240" w:rsidRPr="00F60240" w:rsidRDefault="003974DB"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c>
          <w:tcPr>
            <w:tcW w:w="1274" w:type="dxa"/>
            <w:vAlign w:val="center"/>
          </w:tcPr>
          <w:p w14:paraId="24434A00" w14:textId="77777777" w:rsidR="00F60240" w:rsidRPr="00F60240" w:rsidRDefault="00F60240" w:rsidP="00CC06DE">
            <w:pPr>
              <w:pStyle w:val="051Tabletext228pt"/>
              <w:jc w:val="center"/>
              <w:rPr>
                <w:rFonts w:eastAsia="Batang"/>
                <w:sz w:val="18"/>
                <w:szCs w:val="18"/>
              </w:rPr>
            </w:pPr>
          </w:p>
        </w:tc>
        <w:tc>
          <w:tcPr>
            <w:tcW w:w="990" w:type="dxa"/>
            <w:vAlign w:val="center"/>
          </w:tcPr>
          <w:p w14:paraId="65B0AB0F" w14:textId="3F189101" w:rsidR="007B0874" w:rsidRPr="00F60240" w:rsidRDefault="003974DB"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r>
      <w:tr w:rsidR="00F60240" w:rsidRPr="00F60240" w14:paraId="2124815D" w14:textId="575B33E0" w:rsidTr="00CC06DE">
        <w:tc>
          <w:tcPr>
            <w:tcW w:w="1604" w:type="dxa"/>
          </w:tcPr>
          <w:p w14:paraId="30407E6A" w14:textId="21A4C8EF" w:rsidR="00F60240" w:rsidRPr="00F60240" w:rsidRDefault="00F60240" w:rsidP="00F60240">
            <w:pPr>
              <w:pStyle w:val="051Tabletext228pt"/>
              <w:rPr>
                <w:rFonts w:eastAsia="Batang"/>
                <w:sz w:val="18"/>
                <w:szCs w:val="18"/>
              </w:rPr>
            </w:pPr>
            <w:r w:rsidRPr="000A6422">
              <w:rPr>
                <w:rFonts w:eastAsia="Batang"/>
                <w:sz w:val="18"/>
                <w:szCs w:val="18"/>
              </w:rPr>
              <w:t>Failed back surgery syndrome</w:t>
            </w:r>
          </w:p>
        </w:tc>
        <w:tc>
          <w:tcPr>
            <w:tcW w:w="1123" w:type="dxa"/>
            <w:vAlign w:val="center"/>
          </w:tcPr>
          <w:p w14:paraId="353E6580" w14:textId="77777777" w:rsidR="00F60240" w:rsidRPr="00F60240" w:rsidRDefault="00F60240" w:rsidP="00CC06DE">
            <w:pPr>
              <w:pStyle w:val="051Tabletext228pt"/>
              <w:jc w:val="center"/>
              <w:rPr>
                <w:rFonts w:eastAsia="Batang"/>
                <w:sz w:val="18"/>
                <w:szCs w:val="18"/>
              </w:rPr>
            </w:pPr>
          </w:p>
        </w:tc>
        <w:tc>
          <w:tcPr>
            <w:tcW w:w="1230" w:type="dxa"/>
            <w:vAlign w:val="center"/>
          </w:tcPr>
          <w:p w14:paraId="35C8B3CC" w14:textId="6FE4CDA2" w:rsidR="00F60240" w:rsidRPr="00F60240" w:rsidRDefault="00880B21" w:rsidP="00CC06DE">
            <w:pPr>
              <w:pStyle w:val="051Tabletext228pt"/>
              <w:jc w:val="center"/>
              <w:rPr>
                <w:rFonts w:eastAsia="Batang"/>
                <w:sz w:val="18"/>
                <w:szCs w:val="18"/>
              </w:rPr>
            </w:pPr>
            <w:r w:rsidRPr="000F47B0">
              <w:rPr>
                <w:rFonts w:ascii="Wingdings" w:eastAsia="Wingdings" w:hAnsi="Wingdings" w:cs="Wingdings"/>
                <w:sz w:val="18"/>
                <w:szCs w:val="18"/>
                <w:lang w:eastAsia="en-AU"/>
              </w:rPr>
              <w:t>ü</w:t>
            </w:r>
            <w:r w:rsidRPr="000F47B0">
              <w:rPr>
                <w:rFonts w:eastAsia="Batang"/>
                <w:sz w:val="18"/>
                <w:szCs w:val="18"/>
                <w:vertAlign w:val="superscript"/>
                <w:lang w:eastAsia="en-AU"/>
              </w:rPr>
              <w:t>c</w:t>
            </w:r>
          </w:p>
        </w:tc>
        <w:tc>
          <w:tcPr>
            <w:tcW w:w="1117" w:type="dxa"/>
            <w:vAlign w:val="center"/>
          </w:tcPr>
          <w:p w14:paraId="6FA659D8" w14:textId="77777777" w:rsidR="00F60240" w:rsidRPr="00F60240" w:rsidRDefault="00F60240" w:rsidP="00CC06DE">
            <w:pPr>
              <w:pStyle w:val="051Tabletext228pt"/>
              <w:jc w:val="center"/>
              <w:rPr>
                <w:rFonts w:eastAsia="Batang"/>
                <w:sz w:val="18"/>
                <w:szCs w:val="18"/>
              </w:rPr>
            </w:pPr>
          </w:p>
        </w:tc>
        <w:tc>
          <w:tcPr>
            <w:tcW w:w="1183" w:type="dxa"/>
            <w:vAlign w:val="center"/>
          </w:tcPr>
          <w:p w14:paraId="5BD1B146" w14:textId="77777777" w:rsidR="00F60240" w:rsidRPr="00F60240" w:rsidRDefault="00F60240" w:rsidP="00CC06DE">
            <w:pPr>
              <w:pStyle w:val="051Tabletext228pt"/>
              <w:jc w:val="center"/>
              <w:rPr>
                <w:rFonts w:eastAsia="Batang"/>
                <w:sz w:val="18"/>
                <w:szCs w:val="18"/>
              </w:rPr>
            </w:pPr>
          </w:p>
        </w:tc>
        <w:tc>
          <w:tcPr>
            <w:tcW w:w="1117" w:type="dxa"/>
            <w:vAlign w:val="center"/>
          </w:tcPr>
          <w:p w14:paraId="168AA35F" w14:textId="299F0B77" w:rsidR="00F60240" w:rsidRPr="00F60240" w:rsidRDefault="003974DB"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c>
          <w:tcPr>
            <w:tcW w:w="1274" w:type="dxa"/>
            <w:vAlign w:val="center"/>
          </w:tcPr>
          <w:p w14:paraId="5FAA3E4A" w14:textId="77777777" w:rsidR="00F60240" w:rsidRPr="00F60240" w:rsidRDefault="00F60240" w:rsidP="00CC06DE">
            <w:pPr>
              <w:pStyle w:val="051Tabletext228pt"/>
              <w:jc w:val="center"/>
              <w:rPr>
                <w:rFonts w:eastAsia="Batang"/>
                <w:sz w:val="18"/>
                <w:szCs w:val="18"/>
              </w:rPr>
            </w:pPr>
          </w:p>
        </w:tc>
        <w:tc>
          <w:tcPr>
            <w:tcW w:w="990" w:type="dxa"/>
            <w:vAlign w:val="center"/>
          </w:tcPr>
          <w:p w14:paraId="3F66204A" w14:textId="5EE7DFA5" w:rsidR="007B0874" w:rsidRPr="00F60240" w:rsidRDefault="003974DB"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r>
      <w:tr w:rsidR="00F60240" w:rsidRPr="00F60240" w14:paraId="3AFDFE10" w14:textId="4557CA4E" w:rsidTr="00CC06DE">
        <w:tc>
          <w:tcPr>
            <w:tcW w:w="1604" w:type="dxa"/>
          </w:tcPr>
          <w:p w14:paraId="10839685" w14:textId="119820DB" w:rsidR="00F60240" w:rsidRPr="00F60240" w:rsidRDefault="00F60240" w:rsidP="00F60240">
            <w:pPr>
              <w:pStyle w:val="051Tabletext228pt"/>
              <w:rPr>
                <w:rFonts w:eastAsia="Batang"/>
                <w:sz w:val="18"/>
                <w:szCs w:val="18"/>
              </w:rPr>
            </w:pPr>
            <w:r w:rsidRPr="000A6422">
              <w:rPr>
                <w:rFonts w:eastAsia="Batang"/>
                <w:sz w:val="18"/>
                <w:szCs w:val="18"/>
              </w:rPr>
              <w:t>Painful diabetic neuropathy/ polyneuropathy</w:t>
            </w:r>
          </w:p>
        </w:tc>
        <w:tc>
          <w:tcPr>
            <w:tcW w:w="1123" w:type="dxa"/>
            <w:vAlign w:val="center"/>
          </w:tcPr>
          <w:p w14:paraId="2332159B" w14:textId="77777777" w:rsidR="00F60240" w:rsidRPr="00F60240" w:rsidRDefault="00F60240" w:rsidP="00CC06DE">
            <w:pPr>
              <w:pStyle w:val="051Tabletext228pt"/>
              <w:jc w:val="center"/>
              <w:rPr>
                <w:rFonts w:eastAsia="Batang"/>
                <w:sz w:val="18"/>
                <w:szCs w:val="18"/>
              </w:rPr>
            </w:pPr>
          </w:p>
        </w:tc>
        <w:tc>
          <w:tcPr>
            <w:tcW w:w="1230" w:type="dxa"/>
            <w:vAlign w:val="center"/>
          </w:tcPr>
          <w:p w14:paraId="53739201" w14:textId="79975F0C" w:rsidR="00F60240" w:rsidRPr="00F60240" w:rsidRDefault="00FF402F" w:rsidP="00CC06DE">
            <w:pPr>
              <w:pStyle w:val="051Tabletext228pt"/>
              <w:jc w:val="center"/>
              <w:rPr>
                <w:rFonts w:eastAsia="Batang"/>
                <w:sz w:val="18"/>
                <w:szCs w:val="18"/>
              </w:rPr>
            </w:pPr>
            <w:r w:rsidRPr="000F47B0">
              <w:rPr>
                <w:rFonts w:ascii="Wingdings" w:eastAsia="Wingdings" w:hAnsi="Wingdings" w:cs="Wingdings"/>
                <w:sz w:val="18"/>
                <w:szCs w:val="18"/>
                <w:lang w:eastAsia="en-AU"/>
              </w:rPr>
              <w:t>ü</w:t>
            </w:r>
          </w:p>
        </w:tc>
        <w:tc>
          <w:tcPr>
            <w:tcW w:w="1117" w:type="dxa"/>
            <w:vAlign w:val="center"/>
          </w:tcPr>
          <w:p w14:paraId="13B52122" w14:textId="77777777" w:rsidR="00F60240" w:rsidRPr="00F60240" w:rsidRDefault="00F60240" w:rsidP="00CC06DE">
            <w:pPr>
              <w:pStyle w:val="051Tabletext228pt"/>
              <w:jc w:val="center"/>
              <w:rPr>
                <w:rFonts w:eastAsia="Batang"/>
                <w:sz w:val="18"/>
                <w:szCs w:val="18"/>
              </w:rPr>
            </w:pPr>
          </w:p>
        </w:tc>
        <w:tc>
          <w:tcPr>
            <w:tcW w:w="1183" w:type="dxa"/>
            <w:vAlign w:val="center"/>
          </w:tcPr>
          <w:p w14:paraId="26C4D6FE" w14:textId="57C9D727" w:rsidR="00F60240" w:rsidRPr="00F60240" w:rsidRDefault="00AC47C3"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c>
          <w:tcPr>
            <w:tcW w:w="1117" w:type="dxa"/>
            <w:vAlign w:val="center"/>
          </w:tcPr>
          <w:p w14:paraId="6878863E" w14:textId="77777777" w:rsidR="00F60240" w:rsidRPr="00F60240" w:rsidRDefault="00F60240" w:rsidP="00CC06DE">
            <w:pPr>
              <w:pStyle w:val="051Tabletext228pt"/>
              <w:jc w:val="center"/>
              <w:rPr>
                <w:rFonts w:eastAsia="Batang"/>
                <w:sz w:val="18"/>
                <w:szCs w:val="18"/>
              </w:rPr>
            </w:pPr>
          </w:p>
        </w:tc>
        <w:tc>
          <w:tcPr>
            <w:tcW w:w="1274" w:type="dxa"/>
            <w:vAlign w:val="center"/>
          </w:tcPr>
          <w:p w14:paraId="72C2ECA9" w14:textId="77777777" w:rsidR="00F60240" w:rsidRPr="00F60240" w:rsidRDefault="00F60240" w:rsidP="00CC06DE">
            <w:pPr>
              <w:pStyle w:val="051Tabletext228pt"/>
              <w:jc w:val="center"/>
              <w:rPr>
                <w:rFonts w:eastAsia="Batang"/>
                <w:sz w:val="18"/>
                <w:szCs w:val="18"/>
              </w:rPr>
            </w:pPr>
          </w:p>
        </w:tc>
        <w:tc>
          <w:tcPr>
            <w:tcW w:w="990" w:type="dxa"/>
            <w:vAlign w:val="center"/>
          </w:tcPr>
          <w:p w14:paraId="22EC98E0" w14:textId="77777777" w:rsidR="007B0874" w:rsidRPr="00F60240" w:rsidRDefault="007B0874" w:rsidP="00CC06DE">
            <w:pPr>
              <w:pStyle w:val="051Tabletext228pt"/>
              <w:jc w:val="center"/>
              <w:rPr>
                <w:rFonts w:eastAsia="Batang"/>
                <w:sz w:val="18"/>
                <w:szCs w:val="18"/>
              </w:rPr>
            </w:pPr>
          </w:p>
        </w:tc>
      </w:tr>
      <w:tr w:rsidR="00F60240" w:rsidRPr="00F60240" w14:paraId="64EAEC48" w14:textId="4E8EF93C" w:rsidTr="00CC06DE">
        <w:tc>
          <w:tcPr>
            <w:tcW w:w="1604" w:type="dxa"/>
          </w:tcPr>
          <w:p w14:paraId="3D089097" w14:textId="32C2B3A6" w:rsidR="00F60240" w:rsidRPr="00F60240" w:rsidRDefault="00F60240" w:rsidP="00F60240">
            <w:pPr>
              <w:pStyle w:val="051Tabletext228pt"/>
              <w:rPr>
                <w:rFonts w:eastAsia="Batang"/>
                <w:sz w:val="18"/>
                <w:szCs w:val="18"/>
              </w:rPr>
            </w:pPr>
            <w:r w:rsidRPr="000A6422">
              <w:rPr>
                <w:rFonts w:eastAsia="Batang"/>
                <w:sz w:val="18"/>
                <w:szCs w:val="18"/>
              </w:rPr>
              <w:t>Refractory chronic cluster headache</w:t>
            </w:r>
          </w:p>
        </w:tc>
        <w:tc>
          <w:tcPr>
            <w:tcW w:w="1123" w:type="dxa"/>
            <w:vAlign w:val="center"/>
          </w:tcPr>
          <w:p w14:paraId="0C9FD676" w14:textId="77777777" w:rsidR="00F60240" w:rsidRPr="00F60240" w:rsidRDefault="00F60240" w:rsidP="00CC06DE">
            <w:pPr>
              <w:pStyle w:val="051Tabletext228pt"/>
              <w:jc w:val="center"/>
              <w:rPr>
                <w:rFonts w:eastAsia="Batang"/>
                <w:sz w:val="18"/>
                <w:szCs w:val="18"/>
              </w:rPr>
            </w:pPr>
          </w:p>
        </w:tc>
        <w:tc>
          <w:tcPr>
            <w:tcW w:w="1230" w:type="dxa"/>
            <w:vAlign w:val="center"/>
          </w:tcPr>
          <w:p w14:paraId="6AF32C08" w14:textId="67B487BB" w:rsidR="00F60240" w:rsidRPr="00F60240" w:rsidRDefault="00FF402F" w:rsidP="00CC06DE">
            <w:pPr>
              <w:pStyle w:val="051Tabletext228pt"/>
              <w:jc w:val="center"/>
              <w:rPr>
                <w:rFonts w:eastAsia="Batang"/>
                <w:sz w:val="18"/>
                <w:szCs w:val="18"/>
              </w:rPr>
            </w:pPr>
            <w:r w:rsidRPr="000F47B0">
              <w:rPr>
                <w:rFonts w:ascii="Wingdings" w:eastAsia="Wingdings" w:hAnsi="Wingdings" w:cs="Wingdings"/>
                <w:sz w:val="18"/>
                <w:szCs w:val="18"/>
                <w:lang w:eastAsia="en-AU"/>
              </w:rPr>
              <w:t>ü</w:t>
            </w:r>
          </w:p>
        </w:tc>
        <w:tc>
          <w:tcPr>
            <w:tcW w:w="1117" w:type="dxa"/>
            <w:vAlign w:val="center"/>
          </w:tcPr>
          <w:p w14:paraId="0DED0D78" w14:textId="77777777" w:rsidR="00F60240" w:rsidRPr="00F60240" w:rsidRDefault="00F60240" w:rsidP="00CC06DE">
            <w:pPr>
              <w:pStyle w:val="051Tabletext228pt"/>
              <w:jc w:val="center"/>
              <w:rPr>
                <w:rFonts w:eastAsia="Batang"/>
                <w:sz w:val="18"/>
                <w:szCs w:val="18"/>
              </w:rPr>
            </w:pPr>
          </w:p>
        </w:tc>
        <w:tc>
          <w:tcPr>
            <w:tcW w:w="1183" w:type="dxa"/>
            <w:vAlign w:val="center"/>
          </w:tcPr>
          <w:p w14:paraId="5A2A710F" w14:textId="77777777" w:rsidR="00F60240" w:rsidRPr="00F60240" w:rsidRDefault="00F60240" w:rsidP="00CC06DE">
            <w:pPr>
              <w:pStyle w:val="051Tabletext228pt"/>
              <w:jc w:val="center"/>
              <w:rPr>
                <w:rFonts w:eastAsia="Batang"/>
                <w:sz w:val="18"/>
                <w:szCs w:val="18"/>
              </w:rPr>
            </w:pPr>
          </w:p>
        </w:tc>
        <w:tc>
          <w:tcPr>
            <w:tcW w:w="1117" w:type="dxa"/>
            <w:vAlign w:val="center"/>
          </w:tcPr>
          <w:p w14:paraId="29403CB2" w14:textId="77777777" w:rsidR="00F60240" w:rsidRPr="00F60240" w:rsidRDefault="00F60240" w:rsidP="00CC06DE">
            <w:pPr>
              <w:pStyle w:val="051Tabletext228pt"/>
              <w:jc w:val="center"/>
              <w:rPr>
                <w:rFonts w:eastAsia="Batang"/>
                <w:sz w:val="18"/>
                <w:szCs w:val="18"/>
              </w:rPr>
            </w:pPr>
          </w:p>
        </w:tc>
        <w:tc>
          <w:tcPr>
            <w:tcW w:w="1274" w:type="dxa"/>
            <w:vAlign w:val="center"/>
          </w:tcPr>
          <w:p w14:paraId="20652FE3" w14:textId="77777777" w:rsidR="00F60240" w:rsidRPr="00F60240" w:rsidRDefault="00F60240" w:rsidP="00CC06DE">
            <w:pPr>
              <w:pStyle w:val="051Tabletext228pt"/>
              <w:jc w:val="center"/>
              <w:rPr>
                <w:rFonts w:eastAsia="Batang"/>
                <w:sz w:val="18"/>
                <w:szCs w:val="18"/>
              </w:rPr>
            </w:pPr>
          </w:p>
        </w:tc>
        <w:tc>
          <w:tcPr>
            <w:tcW w:w="990" w:type="dxa"/>
            <w:vAlign w:val="center"/>
          </w:tcPr>
          <w:p w14:paraId="4A1444D1" w14:textId="77777777" w:rsidR="007B0874" w:rsidRPr="00F60240" w:rsidRDefault="007B0874" w:rsidP="00CC06DE">
            <w:pPr>
              <w:pStyle w:val="051Tabletext228pt"/>
              <w:jc w:val="center"/>
              <w:rPr>
                <w:rFonts w:eastAsia="Batang"/>
                <w:sz w:val="18"/>
                <w:szCs w:val="18"/>
              </w:rPr>
            </w:pPr>
          </w:p>
        </w:tc>
      </w:tr>
      <w:tr w:rsidR="00F60240" w:rsidRPr="00F60240" w14:paraId="65763597" w14:textId="490C35A4" w:rsidTr="00CC06DE">
        <w:tc>
          <w:tcPr>
            <w:tcW w:w="1604" w:type="dxa"/>
          </w:tcPr>
          <w:p w14:paraId="4CF3AE06" w14:textId="7CB3E5BC" w:rsidR="00F60240" w:rsidRPr="000A6422" w:rsidRDefault="00F60240" w:rsidP="00F60240">
            <w:pPr>
              <w:pStyle w:val="051Tabletext228pt"/>
              <w:rPr>
                <w:rFonts w:eastAsia="Batang"/>
                <w:sz w:val="18"/>
                <w:szCs w:val="18"/>
              </w:rPr>
            </w:pPr>
            <w:r>
              <w:rPr>
                <w:rFonts w:eastAsia="Batang"/>
                <w:sz w:val="18"/>
                <w:szCs w:val="18"/>
              </w:rPr>
              <w:t>Neuropathic</w:t>
            </w:r>
            <w:r w:rsidRPr="000A6422">
              <w:rPr>
                <w:rFonts w:eastAsia="Batang"/>
                <w:sz w:val="18"/>
                <w:szCs w:val="18"/>
              </w:rPr>
              <w:t xml:space="preserve"> groin pain</w:t>
            </w:r>
          </w:p>
        </w:tc>
        <w:tc>
          <w:tcPr>
            <w:tcW w:w="1123" w:type="dxa"/>
            <w:vAlign w:val="center"/>
          </w:tcPr>
          <w:p w14:paraId="3B68011C" w14:textId="77777777" w:rsidR="00F60240" w:rsidRPr="00F60240" w:rsidRDefault="00F60240" w:rsidP="00CC06DE">
            <w:pPr>
              <w:pStyle w:val="051Tabletext228pt"/>
              <w:jc w:val="center"/>
              <w:rPr>
                <w:rFonts w:eastAsia="Batang"/>
                <w:sz w:val="18"/>
                <w:szCs w:val="18"/>
              </w:rPr>
            </w:pPr>
          </w:p>
        </w:tc>
        <w:tc>
          <w:tcPr>
            <w:tcW w:w="1230" w:type="dxa"/>
            <w:vAlign w:val="center"/>
          </w:tcPr>
          <w:p w14:paraId="1FFF5C5A" w14:textId="77777777" w:rsidR="00F60240" w:rsidRPr="00F60240" w:rsidRDefault="00F60240" w:rsidP="00CC06DE">
            <w:pPr>
              <w:pStyle w:val="051Tabletext228pt"/>
              <w:jc w:val="center"/>
              <w:rPr>
                <w:rFonts w:eastAsia="Batang"/>
                <w:sz w:val="18"/>
                <w:szCs w:val="18"/>
              </w:rPr>
            </w:pPr>
          </w:p>
        </w:tc>
        <w:tc>
          <w:tcPr>
            <w:tcW w:w="1117" w:type="dxa"/>
            <w:vAlign w:val="center"/>
          </w:tcPr>
          <w:p w14:paraId="22869F9F" w14:textId="7F11CD1B" w:rsidR="00F60240" w:rsidRPr="00F60240" w:rsidRDefault="00E144E0" w:rsidP="00CC06DE">
            <w:pPr>
              <w:pStyle w:val="051Tabletext228pt"/>
              <w:jc w:val="center"/>
              <w:rPr>
                <w:rFonts w:eastAsia="Batang"/>
                <w:sz w:val="18"/>
                <w:szCs w:val="18"/>
              </w:rPr>
            </w:pPr>
            <w:r>
              <w:rPr>
                <w:rFonts w:ascii="Wingdings" w:eastAsia="Wingdings" w:hAnsi="Wingdings" w:cs="Wingdings"/>
                <w:sz w:val="18"/>
                <w:szCs w:val="18"/>
              </w:rPr>
              <w:sym w:font="Wingdings" w:char="F0FC"/>
            </w:r>
          </w:p>
        </w:tc>
        <w:tc>
          <w:tcPr>
            <w:tcW w:w="1183" w:type="dxa"/>
            <w:vAlign w:val="center"/>
          </w:tcPr>
          <w:p w14:paraId="21A64FB6" w14:textId="77777777" w:rsidR="00F60240" w:rsidRPr="00F60240" w:rsidRDefault="00F60240" w:rsidP="00CC06DE">
            <w:pPr>
              <w:pStyle w:val="051Tabletext228pt"/>
              <w:jc w:val="center"/>
              <w:rPr>
                <w:rFonts w:eastAsia="Batang"/>
                <w:sz w:val="18"/>
                <w:szCs w:val="18"/>
              </w:rPr>
            </w:pPr>
          </w:p>
        </w:tc>
        <w:tc>
          <w:tcPr>
            <w:tcW w:w="1117" w:type="dxa"/>
            <w:vAlign w:val="center"/>
          </w:tcPr>
          <w:p w14:paraId="044CAE65" w14:textId="77777777" w:rsidR="00F60240" w:rsidRPr="00F60240" w:rsidRDefault="00F60240" w:rsidP="00CC06DE">
            <w:pPr>
              <w:pStyle w:val="051Tabletext228pt"/>
              <w:jc w:val="center"/>
              <w:rPr>
                <w:rFonts w:eastAsia="Batang"/>
                <w:sz w:val="18"/>
                <w:szCs w:val="18"/>
              </w:rPr>
            </w:pPr>
          </w:p>
        </w:tc>
        <w:tc>
          <w:tcPr>
            <w:tcW w:w="1274" w:type="dxa"/>
            <w:vAlign w:val="center"/>
          </w:tcPr>
          <w:p w14:paraId="0CCB11CA" w14:textId="77777777" w:rsidR="00F60240" w:rsidRPr="00F60240" w:rsidRDefault="00F60240" w:rsidP="00CC06DE">
            <w:pPr>
              <w:pStyle w:val="051Tabletext228pt"/>
              <w:jc w:val="center"/>
              <w:rPr>
                <w:rFonts w:eastAsia="Batang"/>
                <w:sz w:val="18"/>
                <w:szCs w:val="18"/>
              </w:rPr>
            </w:pPr>
          </w:p>
        </w:tc>
        <w:tc>
          <w:tcPr>
            <w:tcW w:w="990" w:type="dxa"/>
            <w:vAlign w:val="center"/>
          </w:tcPr>
          <w:p w14:paraId="5C6523C1" w14:textId="77777777" w:rsidR="007B0874" w:rsidRPr="00F60240" w:rsidRDefault="007B0874" w:rsidP="00CC06DE">
            <w:pPr>
              <w:pStyle w:val="051Tabletext228pt"/>
              <w:jc w:val="center"/>
              <w:rPr>
                <w:rFonts w:eastAsia="Batang"/>
                <w:sz w:val="18"/>
                <w:szCs w:val="18"/>
              </w:rPr>
            </w:pPr>
          </w:p>
        </w:tc>
      </w:tr>
      <w:tr w:rsidR="00F60240" w:rsidRPr="00F60240" w14:paraId="168460D3" w14:textId="1C7D7593" w:rsidTr="00CC06DE">
        <w:tc>
          <w:tcPr>
            <w:tcW w:w="1604" w:type="dxa"/>
          </w:tcPr>
          <w:p w14:paraId="20AA18C8" w14:textId="78908D65" w:rsidR="00F60240" w:rsidRPr="000A6422" w:rsidRDefault="00F60240" w:rsidP="00F60240">
            <w:pPr>
              <w:pStyle w:val="051Tabletext228pt"/>
              <w:rPr>
                <w:rFonts w:eastAsia="Batang"/>
                <w:sz w:val="18"/>
                <w:szCs w:val="18"/>
              </w:rPr>
            </w:pPr>
            <w:r w:rsidRPr="000A6422">
              <w:rPr>
                <w:rFonts w:eastAsia="Batang"/>
                <w:sz w:val="18"/>
                <w:szCs w:val="18"/>
              </w:rPr>
              <w:t>Other small fib</w:t>
            </w:r>
            <w:r>
              <w:rPr>
                <w:rFonts w:eastAsia="Batang"/>
                <w:sz w:val="18"/>
                <w:szCs w:val="18"/>
              </w:rPr>
              <w:t>re</w:t>
            </w:r>
            <w:r w:rsidRPr="000A6422">
              <w:rPr>
                <w:rFonts w:eastAsia="Batang"/>
                <w:sz w:val="18"/>
                <w:szCs w:val="18"/>
              </w:rPr>
              <w:t xml:space="preserve"> neuropathies</w:t>
            </w:r>
          </w:p>
        </w:tc>
        <w:tc>
          <w:tcPr>
            <w:tcW w:w="1123" w:type="dxa"/>
            <w:vAlign w:val="center"/>
          </w:tcPr>
          <w:p w14:paraId="3885742B" w14:textId="77777777" w:rsidR="00F60240" w:rsidRPr="00F60240" w:rsidRDefault="00F60240" w:rsidP="00CC06DE">
            <w:pPr>
              <w:pStyle w:val="051Tabletext228pt"/>
              <w:jc w:val="center"/>
              <w:rPr>
                <w:rFonts w:eastAsia="Batang"/>
                <w:sz w:val="18"/>
                <w:szCs w:val="18"/>
              </w:rPr>
            </w:pPr>
          </w:p>
        </w:tc>
        <w:tc>
          <w:tcPr>
            <w:tcW w:w="1230" w:type="dxa"/>
            <w:vAlign w:val="center"/>
          </w:tcPr>
          <w:p w14:paraId="72C66258" w14:textId="08600A1B" w:rsidR="00F60240" w:rsidRPr="00F60240" w:rsidRDefault="00FF402F" w:rsidP="00CC06DE">
            <w:pPr>
              <w:pStyle w:val="051Tabletext228pt"/>
              <w:jc w:val="center"/>
              <w:rPr>
                <w:rFonts w:eastAsia="Batang"/>
                <w:sz w:val="18"/>
                <w:szCs w:val="18"/>
              </w:rPr>
            </w:pPr>
            <w:r w:rsidRPr="000F47B0">
              <w:rPr>
                <w:rFonts w:ascii="Wingdings" w:eastAsia="Wingdings" w:hAnsi="Wingdings" w:cs="Wingdings"/>
                <w:sz w:val="18"/>
                <w:szCs w:val="18"/>
                <w:lang w:eastAsia="en-AU"/>
              </w:rPr>
              <w:t>ü</w:t>
            </w:r>
          </w:p>
        </w:tc>
        <w:tc>
          <w:tcPr>
            <w:tcW w:w="1117" w:type="dxa"/>
            <w:vAlign w:val="center"/>
          </w:tcPr>
          <w:p w14:paraId="3FB7CA2C" w14:textId="77777777" w:rsidR="00F60240" w:rsidRPr="00F60240" w:rsidRDefault="00F60240" w:rsidP="00CC06DE">
            <w:pPr>
              <w:pStyle w:val="051Tabletext228pt"/>
              <w:jc w:val="center"/>
              <w:rPr>
                <w:rFonts w:eastAsia="Batang"/>
                <w:sz w:val="18"/>
                <w:szCs w:val="18"/>
              </w:rPr>
            </w:pPr>
          </w:p>
        </w:tc>
        <w:tc>
          <w:tcPr>
            <w:tcW w:w="1183" w:type="dxa"/>
            <w:vAlign w:val="center"/>
          </w:tcPr>
          <w:p w14:paraId="08D3CBBC" w14:textId="77777777" w:rsidR="00F60240" w:rsidRPr="00F60240" w:rsidRDefault="00F60240" w:rsidP="00CC06DE">
            <w:pPr>
              <w:pStyle w:val="051Tabletext228pt"/>
              <w:jc w:val="center"/>
              <w:rPr>
                <w:rFonts w:eastAsia="Batang"/>
                <w:sz w:val="18"/>
                <w:szCs w:val="18"/>
              </w:rPr>
            </w:pPr>
          </w:p>
        </w:tc>
        <w:tc>
          <w:tcPr>
            <w:tcW w:w="1117" w:type="dxa"/>
            <w:vAlign w:val="center"/>
          </w:tcPr>
          <w:p w14:paraId="403BA54B" w14:textId="77777777" w:rsidR="00F60240" w:rsidRPr="00F60240" w:rsidRDefault="00F60240" w:rsidP="00CC06DE">
            <w:pPr>
              <w:pStyle w:val="051Tabletext228pt"/>
              <w:jc w:val="center"/>
              <w:rPr>
                <w:rFonts w:eastAsia="Batang"/>
                <w:sz w:val="18"/>
                <w:szCs w:val="18"/>
              </w:rPr>
            </w:pPr>
          </w:p>
        </w:tc>
        <w:tc>
          <w:tcPr>
            <w:tcW w:w="1274" w:type="dxa"/>
            <w:vAlign w:val="center"/>
          </w:tcPr>
          <w:p w14:paraId="4B40F85A" w14:textId="77777777" w:rsidR="00F60240" w:rsidRPr="00F60240" w:rsidRDefault="00F60240" w:rsidP="00CC06DE">
            <w:pPr>
              <w:pStyle w:val="051Tabletext228pt"/>
              <w:jc w:val="center"/>
              <w:rPr>
                <w:rFonts w:eastAsia="Batang"/>
                <w:sz w:val="18"/>
                <w:szCs w:val="18"/>
              </w:rPr>
            </w:pPr>
          </w:p>
        </w:tc>
        <w:tc>
          <w:tcPr>
            <w:tcW w:w="990" w:type="dxa"/>
            <w:vAlign w:val="center"/>
          </w:tcPr>
          <w:p w14:paraId="4D0116F3" w14:textId="77777777" w:rsidR="007B0874" w:rsidRPr="00F60240" w:rsidRDefault="007B0874" w:rsidP="00CC06DE">
            <w:pPr>
              <w:pStyle w:val="051Tabletext228pt"/>
              <w:jc w:val="center"/>
              <w:rPr>
                <w:rFonts w:eastAsia="Batang"/>
                <w:sz w:val="18"/>
                <w:szCs w:val="18"/>
              </w:rPr>
            </w:pPr>
          </w:p>
        </w:tc>
      </w:tr>
    </w:tbl>
    <w:p w14:paraId="37CCAAE2" w14:textId="268342C7" w:rsidR="005B0C21" w:rsidRPr="005E1686" w:rsidRDefault="0071075E" w:rsidP="005B0C21">
      <w:pPr>
        <w:pStyle w:val="111Tablefootnoteslast-nostick8pt"/>
        <w:rPr>
          <w:rFonts w:eastAsia="Batang"/>
          <w:lang w:eastAsia="en-AU"/>
        </w:rPr>
      </w:pPr>
      <w:r>
        <w:rPr>
          <w:rFonts w:eastAsia="Batang"/>
          <w:lang w:eastAsia="en-AU"/>
        </w:rPr>
        <w:t xml:space="preserve">Abbreviations: </w:t>
      </w:r>
      <w:bookmarkStart w:id="114" w:name="_Hlk134533663"/>
      <w:r w:rsidR="00026374">
        <w:rPr>
          <w:rFonts w:eastAsia="Batang"/>
          <w:lang w:eastAsia="en-AU"/>
        </w:rPr>
        <w:t xml:space="preserve">ASPN, American Society of Pain and Neuroscience; </w:t>
      </w:r>
      <w:r w:rsidR="0053220C">
        <w:rPr>
          <w:rFonts w:eastAsia="Batang"/>
          <w:lang w:eastAsia="en-AU"/>
        </w:rPr>
        <w:t xml:space="preserve">ASIPP, American Society of Interventional Pain Physicians; </w:t>
      </w:r>
      <w:r w:rsidR="00347A5D" w:rsidRPr="00523B0D">
        <w:rPr>
          <w:rFonts w:eastAsia="Batang"/>
          <w:lang w:eastAsia="en-AU"/>
        </w:rPr>
        <w:t xml:space="preserve">EAN, </w:t>
      </w:r>
      <w:r w:rsidR="001F2C5B">
        <w:rPr>
          <w:rFonts w:eastAsia="Batang"/>
          <w:lang w:eastAsia="en-AU"/>
        </w:rPr>
        <w:t>European Academy of Neurology</w:t>
      </w:r>
      <w:r w:rsidR="00347A5D">
        <w:rPr>
          <w:rFonts w:eastAsia="Batang"/>
          <w:lang w:eastAsia="en-AU"/>
        </w:rPr>
        <w:t xml:space="preserve">; </w:t>
      </w:r>
      <w:r w:rsidR="0053220C">
        <w:rPr>
          <w:rFonts w:eastAsia="Batang"/>
          <w:lang w:eastAsia="en-AU"/>
        </w:rPr>
        <w:t xml:space="preserve">IPM, </w:t>
      </w:r>
      <w:r w:rsidR="00026374">
        <w:rPr>
          <w:rFonts w:eastAsia="Batang"/>
          <w:lang w:eastAsia="en-AU"/>
        </w:rPr>
        <w:t xml:space="preserve">Interventional Pain Management; </w:t>
      </w:r>
      <w:r w:rsidR="001F2C5B">
        <w:rPr>
          <w:rFonts w:eastAsia="Batang"/>
          <w:lang w:eastAsia="en-AU"/>
        </w:rPr>
        <w:t xml:space="preserve">NACC, </w:t>
      </w:r>
      <w:r w:rsidR="001F2C5B">
        <w:t>Neuromodulation Appropriateness Consensus Committee/ the Neurostimulation Appropriateness Consensus Committee</w:t>
      </w:r>
      <w:r w:rsidR="001F2C5B">
        <w:rPr>
          <w:rFonts w:eastAsia="Batang"/>
          <w:lang w:eastAsia="en-AU"/>
        </w:rPr>
        <w:t xml:space="preserve">; </w:t>
      </w:r>
      <w:r w:rsidR="009D72FE">
        <w:rPr>
          <w:rFonts w:eastAsia="Batang"/>
          <w:lang w:eastAsia="en-AU"/>
        </w:rPr>
        <w:t xml:space="preserve">NICE, National Institute of Health and Care Excellence; </w:t>
      </w:r>
      <w:r w:rsidR="00AC4545" w:rsidRPr="00026374">
        <w:rPr>
          <w:rFonts w:eastAsia="Batang"/>
          <w:lang w:eastAsia="en-AU"/>
        </w:rPr>
        <w:t xml:space="preserve">SCS, </w:t>
      </w:r>
      <w:r w:rsidR="00026374">
        <w:rPr>
          <w:rFonts w:eastAsia="Batang"/>
          <w:lang w:eastAsia="en-AU"/>
        </w:rPr>
        <w:t>spinal cord stimulation</w:t>
      </w:r>
      <w:bookmarkEnd w:id="114"/>
      <w:r w:rsidR="006D136B">
        <w:rPr>
          <w:rFonts w:eastAsia="Batang"/>
          <w:lang w:eastAsia="en-AU"/>
        </w:rPr>
        <w:t>.</w:t>
      </w:r>
      <w:r w:rsidR="00F853C0">
        <w:rPr>
          <w:rFonts w:eastAsia="Batang"/>
          <w:b/>
          <w:bCs/>
          <w:lang w:eastAsia="en-AU"/>
        </w:rPr>
        <w:br/>
      </w:r>
      <w:r w:rsidR="0032045F">
        <w:rPr>
          <w:rFonts w:eastAsia="Batang"/>
          <w:b/>
          <w:bCs/>
          <w:lang w:eastAsia="en-AU"/>
        </w:rPr>
        <w:t xml:space="preserve">a </w:t>
      </w:r>
      <w:r w:rsidR="00B35E83">
        <w:rPr>
          <w:rFonts w:eastAsia="Batang"/>
          <w:lang w:eastAsia="en-AU"/>
        </w:rPr>
        <w:t>t</w:t>
      </w:r>
      <w:r w:rsidR="0032045F">
        <w:rPr>
          <w:rFonts w:eastAsia="Batang"/>
          <w:lang w:eastAsia="en-AU"/>
        </w:rPr>
        <w:t>ype I or II</w:t>
      </w:r>
      <w:r w:rsidR="000D2529">
        <w:rPr>
          <w:rFonts w:eastAsia="Batang"/>
          <w:lang w:eastAsia="en-AU"/>
        </w:rPr>
        <w:br/>
      </w:r>
      <w:r w:rsidR="000D2529">
        <w:rPr>
          <w:rFonts w:eastAsia="Batang"/>
          <w:b/>
          <w:bCs/>
          <w:lang w:eastAsia="en-AU"/>
        </w:rPr>
        <w:t>b</w:t>
      </w:r>
      <w:r w:rsidR="000D2529">
        <w:rPr>
          <w:rFonts w:eastAsia="Batang"/>
          <w:lang w:eastAsia="en-AU"/>
        </w:rPr>
        <w:t xml:space="preserve"> </w:t>
      </w:r>
      <w:r w:rsidR="005A255F">
        <w:rPr>
          <w:rFonts w:eastAsia="Batang"/>
          <w:lang w:eastAsia="en-AU"/>
        </w:rPr>
        <w:t>SCS added to CMM</w:t>
      </w:r>
      <w:r w:rsidR="001F1E83">
        <w:rPr>
          <w:rFonts w:eastAsia="Batang"/>
          <w:lang w:eastAsia="en-AU"/>
        </w:rPr>
        <w:br/>
      </w:r>
      <w:r w:rsidR="001F1E83">
        <w:rPr>
          <w:rFonts w:eastAsia="Batang"/>
          <w:b/>
          <w:bCs/>
          <w:lang w:eastAsia="en-AU"/>
        </w:rPr>
        <w:t>c</w:t>
      </w:r>
      <w:r w:rsidR="001F1E83">
        <w:rPr>
          <w:rFonts w:eastAsia="Batang"/>
          <w:lang w:eastAsia="en-AU"/>
        </w:rPr>
        <w:t xml:space="preserve"> </w:t>
      </w:r>
      <w:r w:rsidR="00B35E83">
        <w:rPr>
          <w:rFonts w:eastAsia="Batang"/>
          <w:lang w:eastAsia="en-AU"/>
        </w:rPr>
        <w:t>r</w:t>
      </w:r>
      <w:r w:rsidR="001F1E83">
        <w:rPr>
          <w:rFonts w:eastAsia="Batang"/>
          <w:lang w:eastAsia="en-AU"/>
        </w:rPr>
        <w:t>eferred to as persistent spinal pain syndrome (PSPS) type 2 with arm or leg pain</w:t>
      </w:r>
      <w:r w:rsidR="00414B86">
        <w:rPr>
          <w:rFonts w:eastAsia="Batang"/>
          <w:lang w:eastAsia="en-AU"/>
        </w:rPr>
        <w:br/>
      </w:r>
      <w:r w:rsidR="00414B86">
        <w:rPr>
          <w:rFonts w:eastAsia="Batang"/>
          <w:b/>
          <w:bCs/>
          <w:lang w:eastAsia="en-AU"/>
        </w:rPr>
        <w:t>d</w:t>
      </w:r>
      <w:r w:rsidR="00414B86">
        <w:rPr>
          <w:rFonts w:eastAsia="Batang"/>
          <w:lang w:eastAsia="en-AU"/>
        </w:rPr>
        <w:t xml:space="preserve"> </w:t>
      </w:r>
      <w:r w:rsidR="00B35E83">
        <w:rPr>
          <w:rFonts w:eastAsia="Batang"/>
          <w:lang w:eastAsia="en-AU"/>
        </w:rPr>
        <w:t>s</w:t>
      </w:r>
      <w:r w:rsidR="00414B86">
        <w:rPr>
          <w:rFonts w:eastAsia="Batang"/>
          <w:lang w:eastAsia="en-AU"/>
        </w:rPr>
        <w:t xml:space="preserve">econdary to </w:t>
      </w:r>
      <w:r w:rsidR="002166C2">
        <w:rPr>
          <w:rFonts w:eastAsia="Batang"/>
          <w:lang w:eastAsia="en-AU"/>
        </w:rPr>
        <w:t>FBSS</w:t>
      </w:r>
      <w:r w:rsidR="00B35E83">
        <w:rPr>
          <w:rFonts w:eastAsia="Batang"/>
          <w:lang w:eastAsia="en-AU"/>
        </w:rPr>
        <w:br/>
      </w:r>
      <w:r w:rsidR="00B35E83">
        <w:rPr>
          <w:rFonts w:eastAsia="Batang"/>
          <w:b/>
          <w:bCs/>
          <w:lang w:eastAsia="en-AU"/>
        </w:rPr>
        <w:t>e</w:t>
      </w:r>
      <w:r w:rsidR="00B35E83">
        <w:rPr>
          <w:rFonts w:eastAsia="Batang"/>
          <w:lang w:eastAsia="en-AU"/>
        </w:rPr>
        <w:t xml:space="preserve"> non-surgical low back pain</w:t>
      </w:r>
      <w:r w:rsidR="006314A2" w:rsidRPr="006314A2">
        <w:rPr>
          <w:rFonts w:eastAsia="Batang"/>
          <w:lang w:eastAsia="en-AU"/>
        </w:rPr>
        <w:t xml:space="preserve"> </w:t>
      </w:r>
      <w:r w:rsidR="006314A2">
        <w:rPr>
          <w:rFonts w:eastAsia="Batang"/>
          <w:lang w:eastAsia="en-AU"/>
        </w:rPr>
        <w:br/>
        <w:t>Note: indications that are recommended on a case-by-case basis have not been included</w:t>
      </w:r>
    </w:p>
    <w:p w14:paraId="01E3FA25" w14:textId="5C28C21E" w:rsidR="005B0C21" w:rsidRDefault="005B0C21" w:rsidP="00DD260A">
      <w:pPr>
        <w:pStyle w:val="Heading4"/>
        <w:rPr>
          <w:rFonts w:eastAsia="Batang"/>
          <w:lang w:eastAsia="en-AU"/>
        </w:rPr>
      </w:pPr>
      <w:bookmarkStart w:id="115" w:name="_Ref134521649"/>
      <w:bookmarkStart w:id="116" w:name="_Ref134019083"/>
      <w:r>
        <w:rPr>
          <w:rFonts w:eastAsia="Batang"/>
          <w:lang w:eastAsia="en-AU"/>
        </w:rPr>
        <w:t>Additional indications</w:t>
      </w:r>
      <w:bookmarkEnd w:id="115"/>
    </w:p>
    <w:p w14:paraId="22001989" w14:textId="605BC3C6" w:rsidR="005B0C21" w:rsidRDefault="005B0C21" w:rsidP="005B0C21">
      <w:pPr>
        <w:pStyle w:val="BodyText"/>
        <w:rPr>
          <w:rFonts w:eastAsia="Batang"/>
          <w:lang w:eastAsia="en-AU"/>
        </w:rPr>
      </w:pPr>
      <w:r>
        <w:rPr>
          <w:rFonts w:eastAsia="Batang"/>
          <w:lang w:eastAsia="en-AU"/>
        </w:rPr>
        <w:t>Additional recommendations o</w:t>
      </w:r>
      <w:r w:rsidR="00383CC4">
        <w:rPr>
          <w:rFonts w:eastAsia="Batang"/>
          <w:lang w:eastAsia="en-AU"/>
        </w:rPr>
        <w:t>n</w:t>
      </w:r>
      <w:r>
        <w:rPr>
          <w:rFonts w:eastAsia="Batang"/>
          <w:lang w:eastAsia="en-AU"/>
        </w:rPr>
        <w:t xml:space="preserve"> patient populations where the use of SCS is appropriate has been included in three publications. The NACC recommends the use of cervical SCS for neuropathic pain syndromes affecting the upper extremities, such as radiculopathy</w:t>
      </w:r>
      <w:r w:rsidR="00024033">
        <w:rPr>
          <w:rFonts w:eastAsia="Batang"/>
          <w:lang w:eastAsia="en-AU"/>
        </w:rPr>
        <w:t xml:space="preserve"> (Deer </w:t>
      </w:r>
      <w:r w:rsidR="00AD40A8">
        <w:rPr>
          <w:rFonts w:eastAsia="Batang"/>
          <w:lang w:eastAsia="en-AU"/>
        </w:rPr>
        <w:t xml:space="preserve">et al. </w:t>
      </w:r>
      <w:r w:rsidR="00024033">
        <w:rPr>
          <w:rFonts w:eastAsia="Batang"/>
          <w:lang w:eastAsia="en-AU"/>
        </w:rPr>
        <w:t xml:space="preserve">2014), and for cervical radicular pain and upper extremity CRPS after failure of pharmaceutical or injection therapies (Deer </w:t>
      </w:r>
      <w:r w:rsidR="00AD40A8">
        <w:rPr>
          <w:rFonts w:eastAsia="Batang"/>
          <w:lang w:eastAsia="en-AU"/>
        </w:rPr>
        <w:t xml:space="preserve">et al. </w:t>
      </w:r>
      <w:r w:rsidR="00024033">
        <w:rPr>
          <w:rFonts w:eastAsia="Batang"/>
          <w:lang w:eastAsia="en-AU"/>
        </w:rPr>
        <w:t>2022)</w:t>
      </w:r>
      <w:r>
        <w:rPr>
          <w:rFonts w:eastAsia="Batang"/>
          <w:lang w:eastAsia="en-AU"/>
        </w:rPr>
        <w:t xml:space="preserve">. Cervical DRGS is recommended when pharmaceutical, injection and cervical SCS therapies have failed in patients with upper extremity neuropathic pain and CRPS (Deer </w:t>
      </w:r>
      <w:r w:rsidR="00AD40A8">
        <w:rPr>
          <w:rFonts w:eastAsia="Batang"/>
          <w:lang w:eastAsia="en-AU"/>
        </w:rPr>
        <w:t xml:space="preserve">et al. </w:t>
      </w:r>
      <w:r>
        <w:rPr>
          <w:rFonts w:eastAsia="Batang"/>
          <w:lang w:eastAsia="en-AU"/>
        </w:rPr>
        <w:t>2022).</w:t>
      </w:r>
    </w:p>
    <w:p w14:paraId="30674F47" w14:textId="33065C76" w:rsidR="00170FDF" w:rsidRDefault="006F02F3" w:rsidP="005B0C21">
      <w:pPr>
        <w:pStyle w:val="BodyText"/>
        <w:rPr>
          <w:rFonts w:eastAsia="Batang"/>
          <w:lang w:eastAsia="en-AU"/>
        </w:rPr>
      </w:pPr>
      <w:r>
        <w:rPr>
          <w:rFonts w:eastAsia="Batang"/>
          <w:lang w:eastAsia="en-AU"/>
        </w:rPr>
        <w:t>The</w:t>
      </w:r>
      <w:r w:rsidR="00EC0C44">
        <w:rPr>
          <w:rFonts w:eastAsia="Batang"/>
          <w:lang w:eastAsia="en-AU"/>
        </w:rPr>
        <w:t xml:space="preserve"> </w:t>
      </w:r>
      <w:r w:rsidR="00031F38">
        <w:rPr>
          <w:rFonts w:eastAsia="Batang"/>
          <w:lang w:eastAsia="en-AU"/>
        </w:rPr>
        <w:t>American Society of Pain and Neuroscience (</w:t>
      </w:r>
      <w:r w:rsidR="00E75E88">
        <w:rPr>
          <w:rFonts w:eastAsia="Batang"/>
          <w:lang w:eastAsia="en-AU"/>
        </w:rPr>
        <w:t>A</w:t>
      </w:r>
      <w:r w:rsidR="00031F38">
        <w:rPr>
          <w:rFonts w:eastAsia="Batang"/>
          <w:lang w:eastAsia="en-AU"/>
        </w:rPr>
        <w:t>SPN)</w:t>
      </w:r>
      <w:r>
        <w:rPr>
          <w:rFonts w:eastAsia="Batang"/>
          <w:lang w:eastAsia="en-AU"/>
        </w:rPr>
        <w:t xml:space="preserve"> (</w:t>
      </w:r>
      <w:r w:rsidR="005B0C21">
        <w:rPr>
          <w:rFonts w:eastAsia="Batang"/>
          <w:lang w:eastAsia="en-AU"/>
        </w:rPr>
        <w:t xml:space="preserve">Sayed </w:t>
      </w:r>
      <w:r w:rsidR="00170FDF">
        <w:rPr>
          <w:rFonts w:eastAsia="Batang"/>
          <w:lang w:eastAsia="en-AU"/>
        </w:rPr>
        <w:t xml:space="preserve">et al. </w:t>
      </w:r>
      <w:r w:rsidR="005B0C21">
        <w:rPr>
          <w:rFonts w:eastAsia="Batang"/>
          <w:lang w:eastAsia="en-AU"/>
        </w:rPr>
        <w:t xml:space="preserve">2022) </w:t>
      </w:r>
      <w:r w:rsidR="00765D32">
        <w:rPr>
          <w:rFonts w:eastAsia="Batang"/>
          <w:lang w:eastAsia="en-AU"/>
        </w:rPr>
        <w:t xml:space="preserve">has </w:t>
      </w:r>
      <w:r w:rsidR="005B0C21">
        <w:rPr>
          <w:rFonts w:eastAsia="Batang"/>
          <w:lang w:eastAsia="en-AU"/>
        </w:rPr>
        <w:t xml:space="preserve">also recommended that SCS is an appropriate treatment option following lumbar spinal surgery and in the treatment of patients with predominate lumbar spinal stenosis. </w:t>
      </w:r>
    </w:p>
    <w:p w14:paraId="78E06A2B" w14:textId="3AB94EE6" w:rsidR="005B0C21" w:rsidRDefault="005B0C21" w:rsidP="005B0C21">
      <w:pPr>
        <w:pStyle w:val="BodyText"/>
        <w:rPr>
          <w:rFonts w:eastAsia="Batang"/>
          <w:lang w:eastAsia="en-AU"/>
        </w:rPr>
      </w:pPr>
      <w:r>
        <w:rPr>
          <w:rFonts w:eastAsia="Batang"/>
          <w:lang w:eastAsia="en-AU"/>
        </w:rPr>
        <w:t xml:space="preserve">Lastly, Ziegler </w:t>
      </w:r>
      <w:r w:rsidR="00170FDF">
        <w:rPr>
          <w:rFonts w:eastAsia="Batang"/>
          <w:lang w:eastAsia="en-AU"/>
        </w:rPr>
        <w:t xml:space="preserve">et al. </w:t>
      </w:r>
      <w:r>
        <w:rPr>
          <w:rFonts w:eastAsia="Batang"/>
          <w:lang w:eastAsia="en-AU"/>
        </w:rPr>
        <w:t xml:space="preserve">(2022) characterised SCS </w:t>
      </w:r>
      <w:r w:rsidR="00170FDF">
        <w:rPr>
          <w:rFonts w:eastAsia="Batang"/>
          <w:lang w:eastAsia="en-AU"/>
        </w:rPr>
        <w:t xml:space="preserve">as </w:t>
      </w:r>
      <w:r>
        <w:rPr>
          <w:rFonts w:eastAsia="Batang"/>
          <w:lang w:eastAsia="en-AU"/>
        </w:rPr>
        <w:t xml:space="preserve">an invasive treatment option that should be reserved for patients with diabetic sensorimotor polyneuropathy who do not respond to analgesic combination pharmacotherapy. </w:t>
      </w:r>
    </w:p>
    <w:p w14:paraId="33796392" w14:textId="22ABECAA" w:rsidR="00CC6830" w:rsidRDefault="00CC6830" w:rsidP="00CC6830">
      <w:pPr>
        <w:pStyle w:val="Heading5"/>
        <w:rPr>
          <w:rFonts w:eastAsia="Batang"/>
          <w:lang w:eastAsia="en-AU"/>
        </w:rPr>
      </w:pPr>
      <w:r>
        <w:rPr>
          <w:rFonts w:eastAsia="Batang"/>
          <w:lang w:eastAsia="en-AU"/>
        </w:rPr>
        <w:t>Refractory angina pectoris</w:t>
      </w:r>
    </w:p>
    <w:p w14:paraId="52EDA43E" w14:textId="14E305E0" w:rsidR="00CC6830" w:rsidRPr="007D5C2A" w:rsidRDefault="00CC6830" w:rsidP="007D5C2A">
      <w:pPr>
        <w:autoSpaceDE w:val="0"/>
        <w:autoSpaceDN w:val="0"/>
        <w:adjustRightInd w:val="0"/>
        <w:spacing w:after="0" w:line="240" w:lineRule="auto"/>
        <w:rPr>
          <w:rFonts w:ascii="MyriadPro-Light" w:eastAsia="Calibri" w:hAnsi="MyriadPro-Light" w:cs="MyriadPro-Light"/>
          <w:sz w:val="16"/>
          <w:szCs w:val="16"/>
          <w:lang w:eastAsia="en-AU"/>
        </w:rPr>
      </w:pPr>
      <w:r>
        <w:rPr>
          <w:rFonts w:eastAsia="Batang"/>
          <w:lang w:eastAsia="en-AU"/>
        </w:rPr>
        <w:t xml:space="preserve">Section </w:t>
      </w:r>
      <w:r>
        <w:rPr>
          <w:rFonts w:eastAsia="Batang"/>
          <w:lang w:eastAsia="en-AU"/>
        </w:rPr>
        <w:fldChar w:fldCharType="begin"/>
      </w:r>
      <w:r>
        <w:rPr>
          <w:rFonts w:eastAsia="Batang"/>
          <w:lang w:eastAsia="en-AU"/>
        </w:rPr>
        <w:instrText xml:space="preserve"> REF _Ref133943520 \r \h </w:instrText>
      </w:r>
      <w:r>
        <w:rPr>
          <w:rFonts w:eastAsia="Batang"/>
          <w:lang w:eastAsia="en-AU"/>
        </w:rPr>
      </w:r>
      <w:r>
        <w:rPr>
          <w:rFonts w:eastAsia="Batang"/>
          <w:lang w:eastAsia="en-AU"/>
        </w:rPr>
        <w:fldChar w:fldCharType="separate"/>
      </w:r>
      <w:r w:rsidR="00CE6ACA">
        <w:rPr>
          <w:rFonts w:eastAsia="Batang"/>
          <w:lang w:eastAsia="en-AU"/>
        </w:rPr>
        <w:t>2.2.2</w:t>
      </w:r>
      <w:r>
        <w:rPr>
          <w:rFonts w:eastAsia="Batang"/>
          <w:lang w:eastAsia="en-AU"/>
        </w:rPr>
        <w:fldChar w:fldCharType="end"/>
      </w:r>
      <w:r>
        <w:rPr>
          <w:rFonts w:eastAsia="Batang"/>
          <w:lang w:eastAsia="en-AU"/>
        </w:rPr>
        <w:t xml:space="preserve"> of this review discusses the inclusion of refractory angina pectoris as an indication for SCS based on the key MBS item </w:t>
      </w:r>
      <w:r>
        <w:rPr>
          <w:lang w:val="en-US"/>
        </w:rPr>
        <w:t>for implantation (</w:t>
      </w:r>
      <w:r w:rsidR="00A21E44">
        <w:rPr>
          <w:lang w:val="en-US"/>
        </w:rPr>
        <w:t xml:space="preserve">Item </w:t>
      </w:r>
      <w:r>
        <w:rPr>
          <w:lang w:val="en-US"/>
        </w:rPr>
        <w:t xml:space="preserve">39134). </w:t>
      </w:r>
      <w:r>
        <w:rPr>
          <w:rFonts w:eastAsia="Batang"/>
          <w:lang w:eastAsia="en-AU"/>
        </w:rPr>
        <w:t xml:space="preserve">The included publications do not provide any recommendations that </w:t>
      </w:r>
      <w:r w:rsidR="00576C2A">
        <w:rPr>
          <w:rFonts w:eastAsia="Batang"/>
          <w:lang w:eastAsia="en-AU"/>
        </w:rPr>
        <w:t xml:space="preserve">specifically </w:t>
      </w:r>
      <w:r>
        <w:rPr>
          <w:rFonts w:eastAsia="Batang"/>
          <w:lang w:eastAsia="en-AU"/>
        </w:rPr>
        <w:t>endorse the use of SCS for the treatment of refractory angina pectoris</w:t>
      </w:r>
      <w:r w:rsidR="00202B90">
        <w:rPr>
          <w:rFonts w:eastAsia="Batang"/>
          <w:lang w:eastAsia="en-AU"/>
        </w:rPr>
        <w:t>. The NICE guideline (2008)</w:t>
      </w:r>
      <w:r w:rsidR="000A6F84">
        <w:rPr>
          <w:rFonts w:eastAsia="Batang"/>
          <w:lang w:eastAsia="en-AU"/>
        </w:rPr>
        <w:t>’s evaluation of CLI and refractory angina pectoris</w:t>
      </w:r>
      <w:r w:rsidR="00202B90">
        <w:rPr>
          <w:rFonts w:eastAsia="Batang"/>
          <w:lang w:eastAsia="en-AU"/>
        </w:rPr>
        <w:t xml:space="preserve"> </w:t>
      </w:r>
      <w:r>
        <w:rPr>
          <w:rFonts w:eastAsia="Batang"/>
          <w:lang w:eastAsia="en-AU"/>
        </w:rPr>
        <w:t xml:space="preserve">does not recommend SCS as a treatment option for </w:t>
      </w:r>
      <w:r w:rsidR="00F9198C">
        <w:rPr>
          <w:rFonts w:eastAsia="Batang"/>
          <w:lang w:eastAsia="en-AU"/>
        </w:rPr>
        <w:t>“</w:t>
      </w:r>
      <w:r>
        <w:rPr>
          <w:rFonts w:eastAsia="Batang"/>
          <w:lang w:eastAsia="en-AU"/>
        </w:rPr>
        <w:t>chronic pain</w:t>
      </w:r>
      <w:r w:rsidR="000C74B4">
        <w:rPr>
          <w:rFonts w:eastAsia="Batang"/>
          <w:lang w:eastAsia="en-AU"/>
        </w:rPr>
        <w:t xml:space="preserve"> of</w:t>
      </w:r>
      <w:r>
        <w:rPr>
          <w:rFonts w:eastAsia="Batang"/>
          <w:lang w:eastAsia="en-AU"/>
        </w:rPr>
        <w:t xml:space="preserve"> ischaemic origin</w:t>
      </w:r>
      <w:r w:rsidR="005052BD">
        <w:rPr>
          <w:rFonts w:eastAsia="Batang"/>
          <w:lang w:eastAsia="en-AU"/>
        </w:rPr>
        <w:t xml:space="preserve"> except</w:t>
      </w:r>
      <w:r w:rsidR="00F9198C">
        <w:rPr>
          <w:rFonts w:eastAsia="Batang"/>
          <w:lang w:eastAsia="en-AU"/>
        </w:rPr>
        <w:t xml:space="preserve"> in the context of research as part of a clinical trial”</w:t>
      </w:r>
      <w:r>
        <w:rPr>
          <w:rFonts w:eastAsia="Batang"/>
          <w:lang w:eastAsia="en-AU"/>
        </w:rPr>
        <w:t>.</w:t>
      </w:r>
      <w:r w:rsidR="00F9198C">
        <w:rPr>
          <w:rFonts w:ascii="MyriadPro-Light" w:eastAsia="Calibri" w:hAnsi="MyriadPro-Light" w:cs="MyriadPro-Light"/>
          <w:sz w:val="16"/>
          <w:szCs w:val="16"/>
          <w:lang w:eastAsia="en-AU"/>
        </w:rPr>
        <w:t xml:space="preserve"> </w:t>
      </w:r>
    </w:p>
    <w:p w14:paraId="37CC2E05" w14:textId="13474D42" w:rsidR="00B100DC" w:rsidRDefault="00B100DC" w:rsidP="00DD260A">
      <w:pPr>
        <w:pStyle w:val="Heading4"/>
        <w:rPr>
          <w:rFonts w:eastAsia="Batang"/>
          <w:lang w:eastAsia="en-AU"/>
        </w:rPr>
      </w:pPr>
      <w:r>
        <w:rPr>
          <w:rFonts w:eastAsia="Batang"/>
          <w:lang w:eastAsia="en-AU"/>
        </w:rPr>
        <w:lastRenderedPageBreak/>
        <w:t>Device indications</w:t>
      </w:r>
    </w:p>
    <w:p w14:paraId="40734536" w14:textId="15D2CC8B" w:rsidR="00AF43CE" w:rsidRDefault="00C044A4" w:rsidP="00B100DC">
      <w:pPr>
        <w:pStyle w:val="BodyText"/>
        <w:rPr>
          <w:rFonts w:eastAsia="Batang"/>
          <w:lang w:eastAsia="en-AU"/>
        </w:rPr>
      </w:pPr>
      <w:bookmarkStart w:id="117" w:name="_Ref134522105"/>
      <w:r>
        <w:rPr>
          <w:rFonts w:eastAsia="Batang"/>
          <w:lang w:eastAsia="en-AU"/>
        </w:rPr>
        <w:t>The</w:t>
      </w:r>
      <w:r w:rsidR="002008C0">
        <w:rPr>
          <w:rFonts w:eastAsia="Batang"/>
          <w:lang w:eastAsia="en-AU"/>
        </w:rPr>
        <w:t xml:space="preserve"> </w:t>
      </w:r>
      <w:r>
        <w:rPr>
          <w:rFonts w:eastAsia="Batang"/>
          <w:lang w:eastAsia="en-AU"/>
        </w:rPr>
        <w:t xml:space="preserve">clinical indications and patient populations </w:t>
      </w:r>
      <w:r w:rsidR="00956721">
        <w:rPr>
          <w:rFonts w:eastAsia="Batang"/>
          <w:lang w:eastAsia="en-AU"/>
        </w:rPr>
        <w:t>specified</w:t>
      </w:r>
      <w:r>
        <w:rPr>
          <w:rFonts w:eastAsia="Batang"/>
          <w:lang w:eastAsia="en-AU"/>
        </w:rPr>
        <w:t xml:space="preserve"> by device manufacturers for each of the SCS systems </w:t>
      </w:r>
      <w:r w:rsidR="00EC586D">
        <w:rPr>
          <w:rFonts w:eastAsia="Batang"/>
          <w:lang w:eastAsia="en-AU"/>
        </w:rPr>
        <w:t xml:space="preserve">align with the </w:t>
      </w:r>
      <w:r w:rsidR="0063295C">
        <w:rPr>
          <w:rFonts w:eastAsia="Batang"/>
          <w:lang w:eastAsia="en-AU"/>
        </w:rPr>
        <w:t>recommendations</w:t>
      </w:r>
      <w:r w:rsidR="00CF7C3C">
        <w:rPr>
          <w:rFonts w:eastAsia="Batang"/>
          <w:lang w:eastAsia="en-AU"/>
        </w:rPr>
        <w:t xml:space="preserve"> from the included </w:t>
      </w:r>
      <w:r w:rsidR="00426FA9">
        <w:rPr>
          <w:rFonts w:eastAsia="Batang"/>
          <w:lang w:eastAsia="en-AU"/>
        </w:rPr>
        <w:t>guidance documents</w:t>
      </w:r>
      <w:r w:rsidR="009C3C06">
        <w:rPr>
          <w:rFonts w:eastAsia="Batang"/>
          <w:lang w:eastAsia="en-AU"/>
        </w:rPr>
        <w:t>.</w:t>
      </w:r>
      <w:r w:rsidR="00CF7C3C">
        <w:rPr>
          <w:rFonts w:eastAsia="Batang"/>
          <w:lang w:eastAsia="en-AU"/>
        </w:rPr>
        <w:t xml:space="preserve"> The</w:t>
      </w:r>
      <w:r w:rsidR="00F23A54">
        <w:rPr>
          <w:rFonts w:eastAsia="Batang"/>
          <w:lang w:eastAsia="en-AU"/>
        </w:rPr>
        <w:t xml:space="preserve">re is consensus amongst </w:t>
      </w:r>
      <w:r w:rsidR="00C01C73">
        <w:rPr>
          <w:rFonts w:eastAsia="Batang"/>
          <w:lang w:eastAsia="en-AU"/>
        </w:rPr>
        <w:t xml:space="preserve">manufacturers </w:t>
      </w:r>
      <w:r w:rsidR="000A3820">
        <w:rPr>
          <w:rFonts w:eastAsia="Batang"/>
          <w:lang w:eastAsia="en-AU"/>
        </w:rPr>
        <w:t xml:space="preserve">that the SCS systems should be used in patients with </w:t>
      </w:r>
      <w:r w:rsidR="00D21D67">
        <w:rPr>
          <w:rFonts w:eastAsia="Batang"/>
          <w:lang w:eastAsia="en-AU"/>
        </w:rPr>
        <w:t>“</w:t>
      </w:r>
      <w:r w:rsidR="000A3820">
        <w:rPr>
          <w:rFonts w:eastAsia="Batang"/>
          <w:lang w:eastAsia="en-AU"/>
        </w:rPr>
        <w:t xml:space="preserve">chronic </w:t>
      </w:r>
      <w:r w:rsidR="00012939">
        <w:rPr>
          <w:rFonts w:eastAsia="Batang"/>
          <w:lang w:eastAsia="en-AU"/>
        </w:rPr>
        <w:t>intract</w:t>
      </w:r>
      <w:r w:rsidR="00511FD3">
        <w:rPr>
          <w:rFonts w:eastAsia="Batang"/>
          <w:lang w:eastAsia="en-AU"/>
        </w:rPr>
        <w:t>able pain of the trunk and/or limbs</w:t>
      </w:r>
      <w:r w:rsidR="00D21D67">
        <w:rPr>
          <w:rFonts w:eastAsia="Batang"/>
          <w:lang w:eastAsia="en-AU"/>
        </w:rPr>
        <w:t>”</w:t>
      </w:r>
      <w:r w:rsidR="00991DF2">
        <w:rPr>
          <w:rFonts w:eastAsia="Batang"/>
          <w:lang w:eastAsia="en-AU"/>
        </w:rPr>
        <w:t xml:space="preserve">, </w:t>
      </w:r>
      <w:r w:rsidR="005E55B1">
        <w:rPr>
          <w:rFonts w:eastAsia="Batang"/>
          <w:lang w:eastAsia="en-AU"/>
        </w:rPr>
        <w:t xml:space="preserve">with some manufacturers </w:t>
      </w:r>
      <w:r w:rsidR="005A69A5">
        <w:rPr>
          <w:rFonts w:eastAsia="Batang"/>
          <w:lang w:eastAsia="en-AU"/>
        </w:rPr>
        <w:t>indicating</w:t>
      </w:r>
      <w:r w:rsidR="00991DF2">
        <w:rPr>
          <w:rFonts w:eastAsia="Batang"/>
          <w:lang w:eastAsia="en-AU"/>
        </w:rPr>
        <w:t xml:space="preserve"> specific </w:t>
      </w:r>
      <w:r w:rsidR="00880F71">
        <w:rPr>
          <w:rFonts w:eastAsia="Batang"/>
          <w:lang w:eastAsia="en-AU"/>
        </w:rPr>
        <w:t xml:space="preserve">neuropathic pain </w:t>
      </w:r>
      <w:r w:rsidR="005A69A5">
        <w:rPr>
          <w:rFonts w:eastAsia="Batang"/>
          <w:lang w:eastAsia="en-AU"/>
        </w:rPr>
        <w:t>disorders</w:t>
      </w:r>
      <w:r w:rsidR="0050719D">
        <w:rPr>
          <w:rFonts w:eastAsia="Batang"/>
          <w:lang w:eastAsia="en-AU"/>
        </w:rPr>
        <w:t xml:space="preserve">. </w:t>
      </w:r>
      <w:r w:rsidR="0006416E">
        <w:rPr>
          <w:rFonts w:eastAsia="Batang"/>
          <w:lang w:eastAsia="en-AU"/>
        </w:rPr>
        <w:t>None of the device</w:t>
      </w:r>
      <w:r w:rsidR="008848AA">
        <w:rPr>
          <w:rFonts w:eastAsia="Batang"/>
          <w:lang w:eastAsia="en-AU"/>
        </w:rPr>
        <w:t>s</w:t>
      </w:r>
      <w:r w:rsidR="0006416E">
        <w:rPr>
          <w:rFonts w:eastAsia="Batang"/>
          <w:lang w:eastAsia="en-AU"/>
        </w:rPr>
        <w:t xml:space="preserve"> have any indications for chronic pain of ischaemic origin</w:t>
      </w:r>
      <w:r w:rsidR="009C3F2C">
        <w:rPr>
          <w:rFonts w:eastAsia="Batang"/>
          <w:lang w:eastAsia="en-AU"/>
        </w:rPr>
        <w:t>,</w:t>
      </w:r>
      <w:r w:rsidR="0006416E">
        <w:rPr>
          <w:rFonts w:eastAsia="Batang"/>
          <w:lang w:eastAsia="en-AU"/>
        </w:rPr>
        <w:t xml:space="preserve"> which is consistent with the </w:t>
      </w:r>
      <w:r w:rsidR="00BF41C8">
        <w:rPr>
          <w:rFonts w:eastAsia="Batang"/>
          <w:lang w:eastAsia="en-AU"/>
        </w:rPr>
        <w:t xml:space="preserve">recommendations from </w:t>
      </w:r>
      <w:r w:rsidR="00AF43CE">
        <w:rPr>
          <w:rFonts w:eastAsia="Batang"/>
          <w:lang w:eastAsia="en-AU"/>
        </w:rPr>
        <w:t>NICE (2008).</w:t>
      </w:r>
      <w:r w:rsidR="008848AA">
        <w:rPr>
          <w:rFonts w:eastAsia="Batang"/>
          <w:lang w:eastAsia="en-AU"/>
        </w:rPr>
        <w:t xml:space="preserve"> T</w:t>
      </w:r>
      <w:r w:rsidR="00E574A6">
        <w:rPr>
          <w:rFonts w:eastAsia="Batang"/>
          <w:lang w:eastAsia="en-AU"/>
        </w:rPr>
        <w:t>he clinical indications and patient populations for each of the SCS systems are tabulated in</w:t>
      </w:r>
      <w:r w:rsidR="00820103">
        <w:rPr>
          <w:rFonts w:eastAsia="Batang"/>
          <w:lang w:eastAsia="en-AU"/>
        </w:rPr>
        <w:t xml:space="preserve"> </w:t>
      </w:r>
      <w:r w:rsidR="009C6006">
        <w:rPr>
          <w:rFonts w:eastAsia="Batang"/>
          <w:lang w:eastAsia="en-AU"/>
        </w:rPr>
        <w:t>Appendix</w:t>
      </w:r>
      <w:r w:rsidR="00CD7BF7">
        <w:rPr>
          <w:rFonts w:eastAsia="Batang"/>
          <w:lang w:eastAsia="en-AU"/>
        </w:rPr>
        <w:t xml:space="preserve"> </w:t>
      </w:r>
      <w:r w:rsidR="00CD7BF7">
        <w:rPr>
          <w:rFonts w:eastAsia="Batang"/>
          <w:lang w:eastAsia="en-AU"/>
        </w:rPr>
        <w:fldChar w:fldCharType="begin"/>
      </w:r>
      <w:r w:rsidR="00CD7BF7">
        <w:rPr>
          <w:rFonts w:eastAsia="Batang"/>
          <w:lang w:eastAsia="en-AU"/>
        </w:rPr>
        <w:instrText xml:space="preserve"> REF _Ref165633464 \n \h </w:instrText>
      </w:r>
      <w:r w:rsidR="00CD7BF7">
        <w:rPr>
          <w:rFonts w:eastAsia="Batang"/>
          <w:lang w:eastAsia="en-AU"/>
        </w:rPr>
      </w:r>
      <w:r w:rsidR="00CD7BF7">
        <w:rPr>
          <w:rFonts w:eastAsia="Batang"/>
          <w:lang w:eastAsia="en-AU"/>
        </w:rPr>
        <w:fldChar w:fldCharType="separate"/>
      </w:r>
      <w:r w:rsidR="00CE6ACA">
        <w:rPr>
          <w:rFonts w:eastAsia="Batang"/>
          <w:lang w:eastAsia="en-AU"/>
        </w:rPr>
        <w:t>E.2</w:t>
      </w:r>
      <w:r w:rsidR="00CD7BF7">
        <w:rPr>
          <w:rFonts w:eastAsia="Batang"/>
          <w:lang w:eastAsia="en-AU"/>
        </w:rPr>
        <w:fldChar w:fldCharType="end"/>
      </w:r>
      <w:r w:rsidR="009C6006">
        <w:rPr>
          <w:rFonts w:eastAsia="Batang"/>
          <w:lang w:eastAsia="en-AU"/>
        </w:rPr>
        <w:t>,</w:t>
      </w:r>
      <w:r w:rsidR="00820103">
        <w:rPr>
          <w:rFonts w:eastAsia="Batang"/>
          <w:lang w:eastAsia="en-AU"/>
        </w:rPr>
        <w:t xml:space="preserve"> </w:t>
      </w:r>
      <w:r w:rsidR="005B4ED3">
        <w:rPr>
          <w:rFonts w:eastAsia="Batang"/>
          <w:lang w:eastAsia="en-AU"/>
        </w:rPr>
        <w:fldChar w:fldCharType="begin"/>
      </w:r>
      <w:r w:rsidR="005B4ED3">
        <w:rPr>
          <w:rFonts w:eastAsia="Batang"/>
          <w:lang w:eastAsia="en-AU"/>
        </w:rPr>
        <w:instrText xml:space="preserve"> REF _Ref134453088 \h </w:instrText>
      </w:r>
      <w:r w:rsidR="005B4ED3">
        <w:rPr>
          <w:rFonts w:eastAsia="Batang"/>
          <w:lang w:eastAsia="en-AU"/>
        </w:rPr>
      </w:r>
      <w:r w:rsidR="005B4ED3">
        <w:rPr>
          <w:rFonts w:eastAsia="Batang"/>
          <w:lang w:eastAsia="en-AU"/>
        </w:rPr>
        <w:fldChar w:fldCharType="separate"/>
      </w:r>
      <w:r w:rsidR="00CE6ACA">
        <w:t xml:space="preserve">Table App </w:t>
      </w:r>
      <w:r w:rsidR="00CE6ACA">
        <w:rPr>
          <w:noProof/>
        </w:rPr>
        <w:t>25</w:t>
      </w:r>
      <w:r w:rsidR="005B4ED3">
        <w:rPr>
          <w:rFonts w:eastAsia="Batang"/>
          <w:lang w:eastAsia="en-AU"/>
        </w:rPr>
        <w:fldChar w:fldCharType="end"/>
      </w:r>
      <w:r w:rsidR="002321AB">
        <w:rPr>
          <w:rFonts w:eastAsia="Batang"/>
          <w:lang w:eastAsia="en-AU"/>
        </w:rPr>
        <w:t>.</w:t>
      </w:r>
      <w:bookmarkEnd w:id="117"/>
    </w:p>
    <w:p w14:paraId="6367A68F" w14:textId="771A8F9C" w:rsidR="00291168" w:rsidRDefault="00471069" w:rsidP="00336F71">
      <w:pPr>
        <w:pStyle w:val="Heading3"/>
        <w:rPr>
          <w:rFonts w:eastAsia="Batang"/>
          <w:lang w:eastAsia="en-AU"/>
        </w:rPr>
      </w:pPr>
      <w:bookmarkStart w:id="118" w:name="_Ref134521792"/>
      <w:bookmarkStart w:id="119" w:name="_Ref134522106"/>
      <w:bookmarkStart w:id="120" w:name="_Ref134522129"/>
      <w:bookmarkStart w:id="121" w:name="_Ref134522243"/>
      <w:bookmarkStart w:id="122" w:name="_Ref134522399"/>
      <w:bookmarkStart w:id="123" w:name="_Toc165634683"/>
      <w:r>
        <w:rPr>
          <w:rFonts w:eastAsia="Batang"/>
          <w:lang w:eastAsia="en-AU"/>
        </w:rPr>
        <w:t>Eligibility criteria</w:t>
      </w:r>
      <w:bookmarkEnd w:id="116"/>
      <w:bookmarkEnd w:id="118"/>
      <w:bookmarkEnd w:id="119"/>
      <w:bookmarkEnd w:id="120"/>
      <w:bookmarkEnd w:id="121"/>
      <w:bookmarkEnd w:id="122"/>
      <w:bookmarkEnd w:id="123"/>
    </w:p>
    <w:p w14:paraId="7D099114" w14:textId="08EE4B43" w:rsidR="00F7521B" w:rsidRDefault="00A67D6A" w:rsidP="00684A06">
      <w:pPr>
        <w:pStyle w:val="BodyText"/>
        <w:rPr>
          <w:rFonts w:eastAsia="Batang"/>
          <w:lang w:eastAsia="en-AU"/>
        </w:rPr>
      </w:pPr>
      <w:r>
        <w:rPr>
          <w:rFonts w:eastAsia="Batang"/>
          <w:lang w:eastAsia="en-AU"/>
        </w:rPr>
        <w:t>Several</w:t>
      </w:r>
      <w:r w:rsidR="00FA213A">
        <w:rPr>
          <w:rFonts w:eastAsia="Batang"/>
          <w:lang w:eastAsia="en-AU"/>
        </w:rPr>
        <w:t xml:space="preserve"> </w:t>
      </w:r>
      <w:r w:rsidR="002E4A6C">
        <w:rPr>
          <w:rFonts w:eastAsia="Batang"/>
          <w:lang w:eastAsia="en-AU"/>
        </w:rPr>
        <w:t xml:space="preserve">of </w:t>
      </w:r>
      <w:r w:rsidR="00BA3290">
        <w:rPr>
          <w:rFonts w:eastAsia="Batang"/>
          <w:lang w:eastAsia="en-AU"/>
        </w:rPr>
        <w:t xml:space="preserve">the recommended indications </w:t>
      </w:r>
      <w:r w:rsidR="00FA213A">
        <w:rPr>
          <w:rFonts w:eastAsia="Batang"/>
          <w:lang w:eastAsia="en-AU"/>
        </w:rPr>
        <w:t xml:space="preserve">include </w:t>
      </w:r>
      <w:r w:rsidR="007141CD">
        <w:rPr>
          <w:rFonts w:eastAsia="Batang"/>
          <w:lang w:eastAsia="en-AU"/>
        </w:rPr>
        <w:t xml:space="preserve">additional </w:t>
      </w:r>
      <w:r w:rsidR="008B0E87">
        <w:rPr>
          <w:rFonts w:eastAsia="Batang"/>
          <w:lang w:eastAsia="en-AU"/>
        </w:rPr>
        <w:t xml:space="preserve">criteria </w:t>
      </w:r>
      <w:r w:rsidR="00ED2A42">
        <w:rPr>
          <w:rFonts w:eastAsia="Batang"/>
          <w:lang w:eastAsia="en-AU"/>
        </w:rPr>
        <w:t>for</w:t>
      </w:r>
      <w:r w:rsidR="00FA213A">
        <w:rPr>
          <w:rFonts w:eastAsia="Batang"/>
          <w:lang w:eastAsia="en-AU"/>
        </w:rPr>
        <w:t xml:space="preserve"> SCS </w:t>
      </w:r>
      <w:r w:rsidR="008C5B3F">
        <w:rPr>
          <w:rFonts w:eastAsia="Batang"/>
          <w:lang w:eastAsia="en-AU"/>
        </w:rPr>
        <w:t xml:space="preserve">to be recommended </w:t>
      </w:r>
      <w:r w:rsidR="00ED2A42">
        <w:rPr>
          <w:rFonts w:eastAsia="Batang"/>
          <w:lang w:eastAsia="en-AU"/>
        </w:rPr>
        <w:t xml:space="preserve">as an </w:t>
      </w:r>
      <w:r w:rsidR="005A031F">
        <w:rPr>
          <w:rFonts w:eastAsia="Batang"/>
          <w:lang w:eastAsia="en-AU"/>
        </w:rPr>
        <w:t>appropriate treatment option</w:t>
      </w:r>
      <w:r w:rsidR="00070CAB">
        <w:rPr>
          <w:rFonts w:eastAsia="Batang"/>
          <w:lang w:eastAsia="en-AU"/>
        </w:rPr>
        <w:t xml:space="preserve">. The NICE (2008) guideline recommends criteria </w:t>
      </w:r>
      <w:r w:rsidR="007613C1">
        <w:rPr>
          <w:rFonts w:eastAsia="Batang"/>
          <w:lang w:eastAsia="en-AU"/>
        </w:rPr>
        <w:t>that characterises the stage of chronic pain</w:t>
      </w:r>
      <w:r w:rsidR="00FD69ED">
        <w:rPr>
          <w:rFonts w:eastAsia="Batang"/>
          <w:lang w:eastAsia="en-AU"/>
        </w:rPr>
        <w:t xml:space="preserve"> in adults (over 6 months) </w:t>
      </w:r>
      <w:r w:rsidR="00CF106C">
        <w:rPr>
          <w:rFonts w:eastAsia="Batang"/>
          <w:lang w:eastAsia="en-AU"/>
        </w:rPr>
        <w:t>where CMM has not worked</w:t>
      </w:r>
      <w:r w:rsidR="004455B8">
        <w:rPr>
          <w:rFonts w:eastAsia="Batang"/>
          <w:lang w:eastAsia="en-AU"/>
        </w:rPr>
        <w:t xml:space="preserve">. The remaining </w:t>
      </w:r>
      <w:r w:rsidR="00CF106C">
        <w:rPr>
          <w:rFonts w:eastAsia="Batang"/>
          <w:lang w:eastAsia="en-AU"/>
        </w:rPr>
        <w:t xml:space="preserve">additional </w:t>
      </w:r>
      <w:r w:rsidR="004455B8">
        <w:rPr>
          <w:rFonts w:eastAsia="Batang"/>
          <w:lang w:eastAsia="en-AU"/>
        </w:rPr>
        <w:t xml:space="preserve">criteria </w:t>
      </w:r>
      <w:r w:rsidR="00CC6223">
        <w:rPr>
          <w:rFonts w:eastAsia="Batang"/>
          <w:lang w:eastAsia="en-AU"/>
        </w:rPr>
        <w:t xml:space="preserve">recommend that SCS be used as an alternative or when other treatment options have failed. </w:t>
      </w:r>
      <w:r w:rsidR="009E5BDD">
        <w:rPr>
          <w:rFonts w:eastAsia="Batang"/>
          <w:lang w:eastAsia="en-AU"/>
        </w:rPr>
        <w:t xml:space="preserve">The </w:t>
      </w:r>
      <w:r w:rsidR="009477DF">
        <w:rPr>
          <w:rFonts w:eastAsia="Batang"/>
          <w:lang w:eastAsia="en-AU"/>
        </w:rPr>
        <w:t>Dutch</w:t>
      </w:r>
      <w:r w:rsidR="009E5BDD">
        <w:rPr>
          <w:rFonts w:eastAsia="Batang"/>
          <w:lang w:eastAsia="en-AU"/>
        </w:rPr>
        <w:t xml:space="preserve"> Consensus (</w:t>
      </w:r>
      <w:proofErr w:type="spellStart"/>
      <w:r w:rsidR="00CC6223">
        <w:rPr>
          <w:rFonts w:eastAsia="Batang"/>
          <w:lang w:eastAsia="en-AU"/>
        </w:rPr>
        <w:t>Edelbroek</w:t>
      </w:r>
      <w:proofErr w:type="spellEnd"/>
      <w:r w:rsidR="00CC6223">
        <w:rPr>
          <w:rFonts w:eastAsia="Batang"/>
          <w:lang w:eastAsia="en-AU"/>
        </w:rPr>
        <w:t xml:space="preserve"> </w:t>
      </w:r>
      <w:r w:rsidR="001860B2">
        <w:rPr>
          <w:rFonts w:eastAsia="Batang"/>
          <w:lang w:eastAsia="en-AU"/>
        </w:rPr>
        <w:t>et al.</w:t>
      </w:r>
      <w:r w:rsidR="00CC6223">
        <w:rPr>
          <w:rFonts w:eastAsia="Batang"/>
          <w:lang w:eastAsia="en-AU"/>
        </w:rPr>
        <w:t xml:space="preserve"> 2022</w:t>
      </w:r>
      <w:r w:rsidR="009E5BDD">
        <w:rPr>
          <w:rFonts w:eastAsia="Batang"/>
          <w:lang w:eastAsia="en-AU"/>
        </w:rPr>
        <w:t>)</w:t>
      </w:r>
      <w:r w:rsidR="00CC6223">
        <w:rPr>
          <w:rFonts w:eastAsia="Batang"/>
          <w:lang w:eastAsia="en-AU"/>
        </w:rPr>
        <w:t xml:space="preserve"> </w:t>
      </w:r>
      <w:r w:rsidR="003E6DA5">
        <w:rPr>
          <w:rFonts w:eastAsia="Batang"/>
          <w:lang w:eastAsia="en-AU"/>
        </w:rPr>
        <w:t xml:space="preserve">recommends for all five indications that </w:t>
      </w:r>
      <w:r w:rsidR="00D06587">
        <w:rPr>
          <w:rFonts w:eastAsia="Batang"/>
          <w:lang w:eastAsia="en-AU"/>
        </w:rPr>
        <w:t>neurostimulation</w:t>
      </w:r>
      <w:r w:rsidR="00262AD6">
        <w:rPr>
          <w:rFonts w:eastAsia="Batang"/>
          <w:lang w:eastAsia="en-AU"/>
        </w:rPr>
        <w:t xml:space="preserve">, including SCS and DRGS, </w:t>
      </w:r>
      <w:r w:rsidR="001B1265">
        <w:rPr>
          <w:rFonts w:eastAsia="Batang"/>
          <w:lang w:eastAsia="en-AU"/>
        </w:rPr>
        <w:t xml:space="preserve">should be applied after conservative and minimally invasive </w:t>
      </w:r>
      <w:r w:rsidR="001A61CC">
        <w:rPr>
          <w:rFonts w:eastAsia="Batang"/>
          <w:lang w:eastAsia="en-AU"/>
        </w:rPr>
        <w:t>treatment options</w:t>
      </w:r>
      <w:r w:rsidR="001B1265">
        <w:rPr>
          <w:rFonts w:eastAsia="Batang"/>
          <w:lang w:eastAsia="en-AU"/>
        </w:rPr>
        <w:t xml:space="preserve"> have been </w:t>
      </w:r>
      <w:r w:rsidR="001A61CC">
        <w:rPr>
          <w:rFonts w:eastAsia="Batang"/>
          <w:lang w:eastAsia="en-AU"/>
        </w:rPr>
        <w:t xml:space="preserve">exhausted. </w:t>
      </w:r>
      <w:r w:rsidR="004800CD">
        <w:rPr>
          <w:rFonts w:eastAsia="Batang"/>
          <w:lang w:eastAsia="en-AU"/>
        </w:rPr>
        <w:t>Th</w:t>
      </w:r>
      <w:r w:rsidR="005807DF">
        <w:rPr>
          <w:rFonts w:eastAsia="Batang"/>
          <w:lang w:eastAsia="en-AU"/>
        </w:rPr>
        <w:t xml:space="preserve">ere appears to be consensus on </w:t>
      </w:r>
      <w:r w:rsidR="00806B73">
        <w:rPr>
          <w:rFonts w:eastAsia="Batang"/>
          <w:lang w:eastAsia="en-AU"/>
        </w:rPr>
        <w:t xml:space="preserve">this </w:t>
      </w:r>
      <w:r w:rsidR="008A1C3E">
        <w:rPr>
          <w:rFonts w:eastAsia="Batang"/>
          <w:lang w:eastAsia="en-AU"/>
        </w:rPr>
        <w:t xml:space="preserve">recommendation across </w:t>
      </w:r>
      <w:r w:rsidR="00A876B7">
        <w:rPr>
          <w:rFonts w:eastAsia="Batang"/>
          <w:lang w:eastAsia="en-AU"/>
        </w:rPr>
        <w:t xml:space="preserve">five of </w:t>
      </w:r>
      <w:r w:rsidR="008A1C3E">
        <w:rPr>
          <w:rFonts w:eastAsia="Batang"/>
          <w:lang w:eastAsia="en-AU"/>
        </w:rPr>
        <w:t xml:space="preserve">the publications. </w:t>
      </w:r>
      <w:r w:rsidR="00A450D5">
        <w:rPr>
          <w:rFonts w:eastAsia="Batang"/>
          <w:lang w:eastAsia="en-AU"/>
        </w:rPr>
        <w:fldChar w:fldCharType="begin"/>
      </w:r>
      <w:r w:rsidR="00A450D5">
        <w:rPr>
          <w:rFonts w:eastAsia="Batang"/>
          <w:lang w:eastAsia="en-AU"/>
        </w:rPr>
        <w:instrText xml:space="preserve"> REF _Ref133863702 \h </w:instrText>
      </w:r>
      <w:r w:rsidR="00A450D5">
        <w:rPr>
          <w:rFonts w:eastAsia="Batang"/>
          <w:lang w:eastAsia="en-AU"/>
        </w:rPr>
      </w:r>
      <w:r w:rsidR="00A450D5">
        <w:rPr>
          <w:rFonts w:eastAsia="Batang"/>
          <w:lang w:eastAsia="en-AU"/>
        </w:rPr>
        <w:fldChar w:fldCharType="separate"/>
      </w:r>
      <w:r w:rsidR="00CE6ACA">
        <w:t xml:space="preserve">Table </w:t>
      </w:r>
      <w:r w:rsidR="00CE6ACA">
        <w:rPr>
          <w:noProof/>
        </w:rPr>
        <w:t>24</w:t>
      </w:r>
      <w:r w:rsidR="00A450D5">
        <w:rPr>
          <w:rFonts w:eastAsia="Batang"/>
          <w:lang w:eastAsia="en-AU"/>
        </w:rPr>
        <w:fldChar w:fldCharType="end"/>
      </w:r>
      <w:r w:rsidR="00A450D5">
        <w:rPr>
          <w:rFonts w:eastAsia="Batang"/>
          <w:lang w:eastAsia="en-AU"/>
        </w:rPr>
        <w:t xml:space="preserve"> </w:t>
      </w:r>
      <w:r w:rsidR="00DB7365">
        <w:rPr>
          <w:rFonts w:eastAsia="Batang"/>
          <w:lang w:eastAsia="en-AU"/>
        </w:rPr>
        <w:t>summarises the additional criteria required for use of SCS for the recommended indications.</w:t>
      </w:r>
    </w:p>
    <w:p w14:paraId="0879F7CB" w14:textId="7182D7D9" w:rsidR="00A22352" w:rsidRDefault="00A22352" w:rsidP="00A22352">
      <w:pPr>
        <w:pStyle w:val="Caption"/>
        <w:rPr>
          <w:rFonts w:eastAsia="Batang"/>
          <w:lang w:eastAsia="en-AU"/>
        </w:rPr>
      </w:pPr>
      <w:bookmarkStart w:id="124" w:name="_Ref133863702"/>
      <w:r>
        <w:t xml:space="preserve">Table </w:t>
      </w:r>
      <w:r>
        <w:fldChar w:fldCharType="begin"/>
      </w:r>
      <w:r>
        <w:instrText>SEQ Table \* ARABIC</w:instrText>
      </w:r>
      <w:r>
        <w:fldChar w:fldCharType="separate"/>
      </w:r>
      <w:r w:rsidR="00CE6ACA">
        <w:rPr>
          <w:noProof/>
        </w:rPr>
        <w:t>24</w:t>
      </w:r>
      <w:r>
        <w:fldChar w:fldCharType="end"/>
      </w:r>
      <w:bookmarkEnd w:id="124"/>
      <w:r>
        <w:tab/>
        <w:t>Additional criteria for recommended indications appropriate for SCS</w:t>
      </w:r>
    </w:p>
    <w:tbl>
      <w:tblPr>
        <w:tblStyle w:val="TableGrid"/>
        <w:tblW w:w="0" w:type="auto"/>
        <w:tblLook w:val="04A0" w:firstRow="1" w:lastRow="0" w:firstColumn="1" w:lastColumn="0" w:noHBand="0" w:noVBand="1"/>
        <w:tblCaption w:val="Additional criteria for recommended indications appropriate for SCS"/>
        <w:tblDescription w:val="Table showing the additional criteria required for SCS to be recommended for specific indications."/>
      </w:tblPr>
      <w:tblGrid>
        <w:gridCol w:w="1701"/>
        <w:gridCol w:w="2268"/>
        <w:gridCol w:w="5669"/>
      </w:tblGrid>
      <w:tr w:rsidR="00A22352" w:rsidRPr="005D634D" w14:paraId="11C18AC1" w14:textId="77777777" w:rsidTr="005D634D">
        <w:trPr>
          <w:cnfStyle w:val="100000000000" w:firstRow="1" w:lastRow="0" w:firstColumn="0" w:lastColumn="0" w:oddVBand="0" w:evenVBand="0" w:oddHBand="0" w:evenHBand="0" w:firstRowFirstColumn="0" w:firstRowLastColumn="0" w:lastRowFirstColumn="0" w:lastRowLastColumn="0"/>
        </w:trPr>
        <w:tc>
          <w:tcPr>
            <w:tcW w:w="1701" w:type="dxa"/>
            <w:tcBorders>
              <w:top w:val="nil"/>
            </w:tcBorders>
          </w:tcPr>
          <w:p w14:paraId="4A23D5CD" w14:textId="6E9674F6" w:rsidR="00A22352" w:rsidRPr="005D634D" w:rsidRDefault="005D634D">
            <w:pPr>
              <w:pStyle w:val="011TableHeading8pt"/>
              <w:rPr>
                <w:rFonts w:eastAsia="Batang"/>
                <w:sz w:val="18"/>
                <w:szCs w:val="24"/>
                <w:lang w:eastAsia="en-AU"/>
              </w:rPr>
            </w:pPr>
            <w:r>
              <w:rPr>
                <w:rFonts w:eastAsia="Batang"/>
                <w:sz w:val="18"/>
                <w:szCs w:val="24"/>
                <w:lang w:eastAsia="en-AU"/>
              </w:rPr>
              <w:t>Guideline developer (country)</w:t>
            </w:r>
          </w:p>
        </w:tc>
        <w:tc>
          <w:tcPr>
            <w:tcW w:w="2268" w:type="dxa"/>
            <w:tcBorders>
              <w:top w:val="nil"/>
            </w:tcBorders>
          </w:tcPr>
          <w:p w14:paraId="5BCDF602" w14:textId="77777777" w:rsidR="00A22352" w:rsidRPr="005D634D" w:rsidRDefault="00A22352">
            <w:pPr>
              <w:pStyle w:val="011TableHeading8pt"/>
              <w:rPr>
                <w:rFonts w:eastAsia="Batang"/>
                <w:sz w:val="18"/>
                <w:szCs w:val="24"/>
                <w:lang w:eastAsia="en-AU"/>
              </w:rPr>
            </w:pPr>
            <w:r w:rsidRPr="005D634D">
              <w:rPr>
                <w:rFonts w:eastAsia="Batang"/>
                <w:sz w:val="18"/>
                <w:szCs w:val="24"/>
                <w:lang w:eastAsia="en-AU"/>
              </w:rPr>
              <w:t>Recommended indication</w:t>
            </w:r>
          </w:p>
        </w:tc>
        <w:tc>
          <w:tcPr>
            <w:tcW w:w="5669" w:type="dxa"/>
            <w:tcBorders>
              <w:top w:val="nil"/>
            </w:tcBorders>
          </w:tcPr>
          <w:p w14:paraId="07639115" w14:textId="77777777" w:rsidR="00A22352" w:rsidRPr="005D634D" w:rsidRDefault="00A22352">
            <w:pPr>
              <w:pStyle w:val="011TableHeading8pt"/>
              <w:rPr>
                <w:rFonts w:eastAsia="Batang"/>
                <w:sz w:val="18"/>
                <w:szCs w:val="24"/>
                <w:lang w:eastAsia="en-AU"/>
              </w:rPr>
            </w:pPr>
            <w:r w:rsidRPr="005D634D">
              <w:rPr>
                <w:rFonts w:eastAsia="Batang"/>
                <w:sz w:val="18"/>
                <w:szCs w:val="24"/>
                <w:lang w:eastAsia="en-AU"/>
              </w:rPr>
              <w:t>Additional criteria</w:t>
            </w:r>
          </w:p>
        </w:tc>
      </w:tr>
      <w:tr w:rsidR="00004C6F" w:rsidRPr="005D634D" w14:paraId="16C0BFB4" w14:textId="77777777" w:rsidTr="005D634D">
        <w:tc>
          <w:tcPr>
            <w:tcW w:w="1701" w:type="dxa"/>
          </w:tcPr>
          <w:p w14:paraId="1AC1B2EA" w14:textId="77777777" w:rsidR="00004C6F" w:rsidRPr="005D634D" w:rsidRDefault="00004C6F">
            <w:pPr>
              <w:pStyle w:val="051Tabletext228pt"/>
              <w:rPr>
                <w:rFonts w:eastAsia="Batang"/>
                <w:sz w:val="18"/>
                <w:szCs w:val="24"/>
                <w:lang w:eastAsia="en-AU"/>
              </w:rPr>
            </w:pPr>
            <w:r w:rsidRPr="005D634D">
              <w:rPr>
                <w:rFonts w:eastAsia="Batang"/>
                <w:sz w:val="18"/>
                <w:szCs w:val="24"/>
                <w:lang w:eastAsia="en-AU"/>
              </w:rPr>
              <w:t>Dutch Consensus (Denmark)</w:t>
            </w:r>
            <w:r w:rsidRPr="005D634D">
              <w:rPr>
                <w:rFonts w:eastAsia="Batang"/>
                <w:sz w:val="18"/>
                <w:szCs w:val="24"/>
                <w:lang w:eastAsia="en-AU"/>
              </w:rPr>
              <w:br/>
            </w:r>
            <w:proofErr w:type="spellStart"/>
            <w:r w:rsidRPr="005D634D">
              <w:rPr>
                <w:rFonts w:eastAsia="Batang"/>
                <w:i/>
                <w:iCs/>
                <w:sz w:val="18"/>
                <w:szCs w:val="24"/>
                <w:lang w:eastAsia="en-AU"/>
              </w:rPr>
              <w:t>Edelbroek</w:t>
            </w:r>
            <w:proofErr w:type="spellEnd"/>
            <w:r w:rsidRPr="005D634D">
              <w:rPr>
                <w:rFonts w:eastAsia="Batang"/>
                <w:i/>
                <w:iCs/>
                <w:sz w:val="18"/>
                <w:szCs w:val="24"/>
                <w:lang w:eastAsia="en-AU"/>
              </w:rPr>
              <w:t xml:space="preserve"> 2022</w:t>
            </w:r>
          </w:p>
        </w:tc>
        <w:tc>
          <w:tcPr>
            <w:tcW w:w="2268" w:type="dxa"/>
          </w:tcPr>
          <w:p w14:paraId="13F98BA2" w14:textId="77777777" w:rsidR="00004C6F" w:rsidRPr="005D634D" w:rsidRDefault="00004C6F">
            <w:pPr>
              <w:pStyle w:val="051Tabletext228pt"/>
              <w:rPr>
                <w:rFonts w:eastAsia="Batang"/>
                <w:sz w:val="18"/>
                <w:szCs w:val="24"/>
                <w:lang w:eastAsia="en-AU"/>
              </w:rPr>
            </w:pPr>
            <w:r w:rsidRPr="005D634D">
              <w:rPr>
                <w:rFonts w:eastAsia="Batang"/>
                <w:sz w:val="18"/>
                <w:szCs w:val="24"/>
                <w:lang w:eastAsia="en-AU"/>
              </w:rPr>
              <w:t>PSPS (FBSS), CRPS, PDPN, other SFNs, medically refractory chronic cluster headache</w:t>
            </w:r>
          </w:p>
        </w:tc>
        <w:tc>
          <w:tcPr>
            <w:tcW w:w="5669" w:type="dxa"/>
          </w:tcPr>
          <w:p w14:paraId="676E8A69" w14:textId="77777777" w:rsidR="00004C6F" w:rsidRPr="005D634D" w:rsidRDefault="00004C6F">
            <w:pPr>
              <w:pStyle w:val="051Tabletext228pt"/>
              <w:rPr>
                <w:rFonts w:eastAsia="Batang"/>
                <w:sz w:val="18"/>
                <w:szCs w:val="24"/>
                <w:lang w:eastAsia="en-AU"/>
              </w:rPr>
            </w:pPr>
            <w:r w:rsidRPr="005D634D">
              <w:rPr>
                <w:rFonts w:eastAsia="Batang"/>
                <w:sz w:val="18"/>
                <w:szCs w:val="24"/>
                <w:lang w:eastAsia="en-AU"/>
              </w:rPr>
              <w:t>Conservative treatments should be applied before neurostimulation. In the cause of insufficient effect on conservative treatments, minimally invasive treatment can be considered</w:t>
            </w:r>
          </w:p>
        </w:tc>
      </w:tr>
      <w:tr w:rsidR="00004C6F" w:rsidRPr="005D634D" w14:paraId="7054104C" w14:textId="77777777" w:rsidTr="005D634D">
        <w:tc>
          <w:tcPr>
            <w:tcW w:w="1701" w:type="dxa"/>
          </w:tcPr>
          <w:p w14:paraId="42501E5D" w14:textId="77777777" w:rsidR="00004C6F" w:rsidRPr="005D634D" w:rsidRDefault="00004C6F">
            <w:pPr>
              <w:pStyle w:val="051Tabletext228pt"/>
              <w:rPr>
                <w:rFonts w:eastAsia="Batang"/>
                <w:sz w:val="18"/>
                <w:szCs w:val="24"/>
                <w:lang w:eastAsia="en-AU"/>
              </w:rPr>
            </w:pPr>
            <w:r w:rsidRPr="005D634D">
              <w:rPr>
                <w:rFonts w:eastAsia="Batang"/>
                <w:sz w:val="18"/>
                <w:szCs w:val="24"/>
                <w:lang w:eastAsia="en-AU"/>
              </w:rPr>
              <w:t>NACC (USA)</w:t>
            </w:r>
            <w:r w:rsidRPr="005D634D">
              <w:rPr>
                <w:rFonts w:eastAsia="Batang"/>
                <w:sz w:val="18"/>
                <w:szCs w:val="24"/>
                <w:lang w:eastAsia="en-AU"/>
              </w:rPr>
              <w:br/>
            </w:r>
            <w:r w:rsidRPr="005D634D">
              <w:rPr>
                <w:rFonts w:eastAsia="Batang"/>
                <w:i/>
                <w:iCs/>
                <w:sz w:val="18"/>
                <w:szCs w:val="24"/>
                <w:lang w:eastAsia="en-AU"/>
              </w:rPr>
              <w:t>Deer 2019</w:t>
            </w:r>
          </w:p>
        </w:tc>
        <w:tc>
          <w:tcPr>
            <w:tcW w:w="2268" w:type="dxa"/>
          </w:tcPr>
          <w:p w14:paraId="16A9BA0B" w14:textId="77777777" w:rsidR="00004C6F" w:rsidRPr="005D634D" w:rsidRDefault="00004C6F">
            <w:pPr>
              <w:pStyle w:val="051Tabletext228pt"/>
              <w:rPr>
                <w:rFonts w:eastAsia="Batang"/>
                <w:sz w:val="18"/>
                <w:szCs w:val="24"/>
                <w:lang w:eastAsia="en-AU"/>
              </w:rPr>
            </w:pPr>
            <w:r w:rsidRPr="005D634D">
              <w:rPr>
                <w:rFonts w:eastAsia="Batang"/>
                <w:sz w:val="18"/>
                <w:szCs w:val="24"/>
                <w:lang w:eastAsia="en-AU"/>
              </w:rPr>
              <w:t>FBSS</w:t>
            </w:r>
          </w:p>
        </w:tc>
        <w:tc>
          <w:tcPr>
            <w:tcW w:w="5669" w:type="dxa"/>
          </w:tcPr>
          <w:p w14:paraId="0852ECD3" w14:textId="77777777" w:rsidR="00004C6F" w:rsidRPr="005D634D" w:rsidRDefault="00004C6F">
            <w:pPr>
              <w:pStyle w:val="051Tabletext228pt"/>
              <w:rPr>
                <w:rFonts w:eastAsia="Batang"/>
                <w:sz w:val="18"/>
                <w:szCs w:val="24"/>
                <w:lang w:eastAsia="en-AU"/>
              </w:rPr>
            </w:pPr>
            <w:r w:rsidRPr="005D634D">
              <w:rPr>
                <w:rFonts w:eastAsia="Batang"/>
                <w:sz w:val="18"/>
                <w:szCs w:val="24"/>
                <w:lang w:eastAsia="en-AU"/>
              </w:rPr>
              <w:t>Absence of neurological progression requiring surgical intervention with persistent axial and radicular complaints</w:t>
            </w:r>
          </w:p>
        </w:tc>
      </w:tr>
      <w:tr w:rsidR="00A22352" w:rsidRPr="005D634D" w14:paraId="701BD0C4" w14:textId="77777777" w:rsidTr="005D634D">
        <w:tc>
          <w:tcPr>
            <w:tcW w:w="1701" w:type="dxa"/>
          </w:tcPr>
          <w:p w14:paraId="48F4C376" w14:textId="649F7250" w:rsidR="00A22352" w:rsidRPr="005D634D" w:rsidRDefault="009477DF">
            <w:pPr>
              <w:pStyle w:val="051Tabletext228pt"/>
              <w:rPr>
                <w:rFonts w:eastAsia="Batang"/>
                <w:sz w:val="18"/>
                <w:szCs w:val="24"/>
                <w:lang w:eastAsia="en-AU"/>
              </w:rPr>
            </w:pPr>
            <w:r w:rsidRPr="005D634D">
              <w:rPr>
                <w:rFonts w:eastAsia="Batang"/>
                <w:sz w:val="18"/>
                <w:szCs w:val="24"/>
                <w:lang w:eastAsia="en-AU"/>
              </w:rPr>
              <w:t>EAN (</w:t>
            </w:r>
            <w:r w:rsidR="00676FDD" w:rsidRPr="005D634D">
              <w:rPr>
                <w:rFonts w:eastAsia="Batang"/>
                <w:sz w:val="18"/>
                <w:szCs w:val="24"/>
                <w:lang w:eastAsia="en-AU"/>
              </w:rPr>
              <w:t>Europe)</w:t>
            </w:r>
            <w:r w:rsidRPr="005D634D">
              <w:rPr>
                <w:rFonts w:eastAsia="Batang"/>
                <w:sz w:val="18"/>
                <w:szCs w:val="24"/>
                <w:lang w:eastAsia="en-AU"/>
              </w:rPr>
              <w:br/>
            </w:r>
            <w:proofErr w:type="spellStart"/>
            <w:r w:rsidR="00A22352" w:rsidRPr="005D634D">
              <w:rPr>
                <w:rFonts w:eastAsia="Batang"/>
                <w:i/>
                <w:iCs/>
                <w:sz w:val="18"/>
                <w:szCs w:val="24"/>
                <w:lang w:eastAsia="en-AU"/>
              </w:rPr>
              <w:t>Cruccu</w:t>
            </w:r>
            <w:proofErr w:type="spellEnd"/>
            <w:r w:rsidR="00A22352" w:rsidRPr="005D634D">
              <w:rPr>
                <w:rFonts w:eastAsia="Batang"/>
                <w:i/>
                <w:iCs/>
                <w:sz w:val="18"/>
                <w:szCs w:val="24"/>
                <w:lang w:eastAsia="en-AU"/>
              </w:rPr>
              <w:t xml:space="preserve"> 2016</w:t>
            </w:r>
          </w:p>
        </w:tc>
        <w:tc>
          <w:tcPr>
            <w:tcW w:w="2268" w:type="dxa"/>
          </w:tcPr>
          <w:p w14:paraId="70FB6C4B"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CBLP</w:t>
            </w:r>
          </w:p>
        </w:tc>
        <w:tc>
          <w:tcPr>
            <w:tcW w:w="5669" w:type="dxa"/>
          </w:tcPr>
          <w:p w14:paraId="78765EB2"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Alternative to reoperation in post-surgical CBLP</w:t>
            </w:r>
          </w:p>
        </w:tc>
      </w:tr>
      <w:tr w:rsidR="00A22352" w:rsidRPr="005D634D" w14:paraId="5565F7BB" w14:textId="77777777" w:rsidTr="005D634D">
        <w:tc>
          <w:tcPr>
            <w:tcW w:w="1701" w:type="dxa"/>
          </w:tcPr>
          <w:p w14:paraId="26C33B89" w14:textId="6F99782E" w:rsidR="00A22352" w:rsidRPr="005D634D" w:rsidRDefault="00676FDD">
            <w:pPr>
              <w:pStyle w:val="051Tabletext228pt"/>
              <w:rPr>
                <w:rFonts w:eastAsia="Batang"/>
                <w:sz w:val="18"/>
                <w:szCs w:val="24"/>
                <w:lang w:eastAsia="en-AU"/>
              </w:rPr>
            </w:pPr>
            <w:r w:rsidRPr="005D634D">
              <w:rPr>
                <w:rFonts w:eastAsia="Batang"/>
                <w:sz w:val="18"/>
                <w:szCs w:val="24"/>
                <w:lang w:eastAsia="en-AU"/>
              </w:rPr>
              <w:t>ASIPP IPM (USA)</w:t>
            </w:r>
            <w:r w:rsidRPr="005D634D">
              <w:rPr>
                <w:rFonts w:eastAsia="Batang"/>
                <w:sz w:val="18"/>
                <w:szCs w:val="24"/>
                <w:lang w:eastAsia="en-AU"/>
              </w:rPr>
              <w:br/>
            </w:r>
            <w:proofErr w:type="spellStart"/>
            <w:r w:rsidR="00A22352" w:rsidRPr="005D634D">
              <w:rPr>
                <w:rFonts w:eastAsia="Batang"/>
                <w:i/>
                <w:iCs/>
                <w:sz w:val="18"/>
                <w:szCs w:val="24"/>
                <w:lang w:eastAsia="en-AU"/>
              </w:rPr>
              <w:t>Manchikanti</w:t>
            </w:r>
            <w:proofErr w:type="spellEnd"/>
            <w:r w:rsidR="00A22352" w:rsidRPr="005D634D">
              <w:rPr>
                <w:rFonts w:eastAsia="Batang"/>
                <w:i/>
                <w:iCs/>
                <w:sz w:val="18"/>
                <w:szCs w:val="24"/>
                <w:lang w:eastAsia="en-AU"/>
              </w:rPr>
              <w:t xml:space="preserve"> 2013</w:t>
            </w:r>
          </w:p>
        </w:tc>
        <w:tc>
          <w:tcPr>
            <w:tcW w:w="2268" w:type="dxa"/>
          </w:tcPr>
          <w:p w14:paraId="2ACFCD9D"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CLBP with lower extremity pain secondary to FBSS</w:t>
            </w:r>
          </w:p>
        </w:tc>
        <w:tc>
          <w:tcPr>
            <w:tcW w:w="5669" w:type="dxa"/>
          </w:tcPr>
          <w:p w14:paraId="010FC785"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After exhausting multiple conservative and interventional modalities</w:t>
            </w:r>
          </w:p>
        </w:tc>
      </w:tr>
      <w:tr w:rsidR="00A22352" w:rsidRPr="005D634D" w14:paraId="11806A94" w14:textId="77777777" w:rsidTr="005D634D">
        <w:tc>
          <w:tcPr>
            <w:tcW w:w="1701" w:type="dxa"/>
            <w:tcBorders>
              <w:bottom w:val="nil"/>
            </w:tcBorders>
          </w:tcPr>
          <w:p w14:paraId="43DDA68A" w14:textId="37AFD10C" w:rsidR="00A22352" w:rsidRPr="005D634D" w:rsidRDefault="00A22352">
            <w:pPr>
              <w:pStyle w:val="051Tabletext228pt"/>
              <w:rPr>
                <w:rFonts w:eastAsia="Batang"/>
                <w:sz w:val="18"/>
                <w:szCs w:val="24"/>
                <w:lang w:eastAsia="en-AU"/>
              </w:rPr>
            </w:pPr>
            <w:r w:rsidRPr="005D634D">
              <w:rPr>
                <w:rFonts w:eastAsia="Batang"/>
                <w:sz w:val="18"/>
                <w:szCs w:val="24"/>
                <w:lang w:eastAsia="en-AU"/>
              </w:rPr>
              <w:t>NICE 2008</w:t>
            </w:r>
            <w:r w:rsidR="005D634D">
              <w:rPr>
                <w:rFonts w:eastAsia="Batang"/>
                <w:sz w:val="18"/>
                <w:szCs w:val="24"/>
                <w:lang w:eastAsia="en-AU"/>
              </w:rPr>
              <w:t xml:space="preserve"> (UK)</w:t>
            </w:r>
          </w:p>
        </w:tc>
        <w:tc>
          <w:tcPr>
            <w:tcW w:w="2268" w:type="dxa"/>
          </w:tcPr>
          <w:p w14:paraId="294AC6C3"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Chronic pain of neuropathic origin</w:t>
            </w:r>
          </w:p>
        </w:tc>
        <w:tc>
          <w:tcPr>
            <w:tcW w:w="5669" w:type="dxa"/>
          </w:tcPr>
          <w:p w14:paraId="34B7FD62" w14:textId="6D64A6C2" w:rsidR="00A22352" w:rsidRPr="005D634D" w:rsidRDefault="00A22352">
            <w:pPr>
              <w:pStyle w:val="051Tabletext228pt"/>
              <w:rPr>
                <w:rFonts w:eastAsia="Batang"/>
                <w:sz w:val="18"/>
                <w:szCs w:val="24"/>
                <w:lang w:eastAsia="en-AU"/>
              </w:rPr>
            </w:pPr>
            <w:r w:rsidRPr="005D634D">
              <w:rPr>
                <w:rFonts w:eastAsia="Batang"/>
                <w:sz w:val="18"/>
                <w:szCs w:val="24"/>
                <w:lang w:eastAsia="en-AU"/>
              </w:rPr>
              <w:t>Continue to experience chronic pain (measuring at least 50mm on a 0–100mm VAS) for at least 6 months despite appropriate conventional medical management</w:t>
            </w:r>
          </w:p>
        </w:tc>
      </w:tr>
      <w:tr w:rsidR="00A22352" w:rsidRPr="005D634D" w14:paraId="7EE4DE34" w14:textId="77777777" w:rsidTr="005D634D">
        <w:tc>
          <w:tcPr>
            <w:tcW w:w="1701" w:type="dxa"/>
            <w:tcBorders>
              <w:top w:val="nil"/>
              <w:bottom w:val="nil"/>
            </w:tcBorders>
          </w:tcPr>
          <w:p w14:paraId="0685584E" w14:textId="77777777" w:rsidR="00A22352" w:rsidRPr="005D634D" w:rsidRDefault="00A22352">
            <w:pPr>
              <w:pStyle w:val="051Tabletext228pt"/>
              <w:rPr>
                <w:rFonts w:eastAsia="Batang"/>
                <w:sz w:val="18"/>
                <w:szCs w:val="24"/>
                <w:lang w:eastAsia="en-AU"/>
              </w:rPr>
            </w:pPr>
          </w:p>
        </w:tc>
        <w:tc>
          <w:tcPr>
            <w:tcW w:w="2268" w:type="dxa"/>
          </w:tcPr>
          <w:p w14:paraId="44996614"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FBSS</w:t>
            </w:r>
          </w:p>
        </w:tc>
        <w:tc>
          <w:tcPr>
            <w:tcW w:w="5669" w:type="dxa"/>
          </w:tcPr>
          <w:p w14:paraId="4BEDDA84"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Alternative to repeat operation or increased opioid use</w:t>
            </w:r>
          </w:p>
        </w:tc>
      </w:tr>
      <w:tr w:rsidR="00A22352" w:rsidRPr="005D634D" w14:paraId="38D73E9C" w14:textId="77777777" w:rsidTr="005D634D">
        <w:tc>
          <w:tcPr>
            <w:tcW w:w="1701" w:type="dxa"/>
            <w:tcBorders>
              <w:top w:val="nil"/>
            </w:tcBorders>
          </w:tcPr>
          <w:p w14:paraId="2D2D7271" w14:textId="77777777" w:rsidR="00A22352" w:rsidRPr="005D634D" w:rsidRDefault="00A22352">
            <w:pPr>
              <w:pStyle w:val="051Tabletext228pt"/>
              <w:rPr>
                <w:rFonts w:eastAsia="Batang"/>
                <w:sz w:val="18"/>
                <w:szCs w:val="24"/>
                <w:lang w:eastAsia="en-AU"/>
              </w:rPr>
            </w:pPr>
          </w:p>
        </w:tc>
        <w:tc>
          <w:tcPr>
            <w:tcW w:w="2268" w:type="dxa"/>
          </w:tcPr>
          <w:p w14:paraId="438C3523"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CRPS</w:t>
            </w:r>
          </w:p>
        </w:tc>
        <w:tc>
          <w:tcPr>
            <w:tcW w:w="5669" w:type="dxa"/>
          </w:tcPr>
          <w:p w14:paraId="74DF629E" w14:textId="77777777" w:rsidR="00A22352" w:rsidRPr="005D634D" w:rsidRDefault="00A22352">
            <w:pPr>
              <w:pStyle w:val="051Tabletext228pt"/>
              <w:rPr>
                <w:rFonts w:eastAsia="Batang"/>
                <w:sz w:val="18"/>
                <w:szCs w:val="24"/>
                <w:lang w:eastAsia="en-AU"/>
              </w:rPr>
            </w:pPr>
            <w:r w:rsidRPr="005D634D">
              <w:rPr>
                <w:rFonts w:eastAsia="Batang"/>
                <w:sz w:val="18"/>
                <w:szCs w:val="24"/>
                <w:lang w:eastAsia="en-AU"/>
              </w:rPr>
              <w:t>After pharmacotherapy and nerve blocks have been tried but have not provided adequate pain relief</w:t>
            </w:r>
          </w:p>
        </w:tc>
      </w:tr>
    </w:tbl>
    <w:p w14:paraId="20904AAF" w14:textId="25C2F921" w:rsidR="00A22352" w:rsidRDefault="00A22352" w:rsidP="00A22352">
      <w:pPr>
        <w:pStyle w:val="111Tablefootnoteslast-nostick8pt"/>
        <w:rPr>
          <w:rFonts w:eastAsia="Batang"/>
          <w:lang w:eastAsia="en-AU"/>
        </w:rPr>
      </w:pPr>
      <w:r>
        <w:rPr>
          <w:rFonts w:eastAsia="Batang"/>
          <w:lang w:eastAsia="en-AU"/>
        </w:rPr>
        <w:t xml:space="preserve">Abbreviations: </w:t>
      </w:r>
      <w:r w:rsidR="00EE4C6D">
        <w:rPr>
          <w:rFonts w:eastAsia="Batang"/>
          <w:lang w:eastAsia="en-AU"/>
        </w:rPr>
        <w:t xml:space="preserve">ASIPP, American Society of Interventional Pain Physicians; </w:t>
      </w:r>
      <w:r>
        <w:rPr>
          <w:rFonts w:eastAsia="Batang"/>
          <w:lang w:eastAsia="en-AU"/>
        </w:rPr>
        <w:t xml:space="preserve">CBLP, chronic back and leg pain; CLBP, chronic low back pain; </w:t>
      </w:r>
      <w:r w:rsidR="00B80F2F" w:rsidRPr="00676FDD">
        <w:rPr>
          <w:rFonts w:eastAsia="Batang"/>
          <w:lang w:eastAsia="en-AU"/>
        </w:rPr>
        <w:t xml:space="preserve">CRPS, </w:t>
      </w:r>
      <w:r w:rsidR="00676FDD">
        <w:rPr>
          <w:rFonts w:eastAsia="Batang"/>
          <w:lang w:eastAsia="en-AU"/>
        </w:rPr>
        <w:t>complex regional pain syndrome;</w:t>
      </w:r>
      <w:r w:rsidR="00B80F2F">
        <w:rPr>
          <w:rFonts w:eastAsia="Batang"/>
          <w:lang w:eastAsia="en-AU"/>
        </w:rPr>
        <w:t xml:space="preserve"> </w:t>
      </w:r>
      <w:r w:rsidR="00676FDD">
        <w:rPr>
          <w:rFonts w:eastAsia="Batang"/>
          <w:lang w:eastAsia="en-AU"/>
        </w:rPr>
        <w:t xml:space="preserve">EAN, European Academy of Neurology; </w:t>
      </w:r>
      <w:r>
        <w:rPr>
          <w:rFonts w:eastAsia="Batang"/>
          <w:lang w:eastAsia="en-AU"/>
        </w:rPr>
        <w:t xml:space="preserve">FBSS, failed back surgery syndrome; </w:t>
      </w:r>
      <w:r w:rsidR="00004C6F">
        <w:t>IPM, Interventional Pain Management;</w:t>
      </w:r>
      <w:r w:rsidR="00004C6F">
        <w:rPr>
          <w:rFonts w:eastAsia="Batang"/>
          <w:lang w:eastAsia="en-AU"/>
        </w:rPr>
        <w:t xml:space="preserve"> </w:t>
      </w:r>
      <w:r w:rsidR="00EE4C6D">
        <w:rPr>
          <w:rFonts w:eastAsia="Batang"/>
          <w:lang w:eastAsia="en-AU"/>
        </w:rPr>
        <w:t xml:space="preserve">NACC, </w:t>
      </w:r>
      <w:r w:rsidR="00EE4C6D">
        <w:t>Neuromodulation Appropriateness Consensus Committee/ the Neurostimulation Appropriateness Consensus Committee</w:t>
      </w:r>
      <w:r w:rsidR="00EE4C6D">
        <w:rPr>
          <w:rFonts w:eastAsia="Batang"/>
          <w:lang w:eastAsia="en-AU"/>
        </w:rPr>
        <w:t xml:space="preserve">; </w:t>
      </w:r>
      <w:r>
        <w:rPr>
          <w:rFonts w:eastAsia="Batang"/>
          <w:lang w:eastAsia="en-AU"/>
        </w:rPr>
        <w:t>NICE, National Institute of Health and Care Excellence; PDN, painful diabetic neuropathy; PDPN, painful diabetic polyneuropathy;</w:t>
      </w:r>
      <w:r w:rsidR="00E87D24">
        <w:rPr>
          <w:rFonts w:eastAsia="Batang"/>
          <w:lang w:eastAsia="en-AU"/>
        </w:rPr>
        <w:t xml:space="preserve"> PSPS, persistent spinal pain syndrome;</w:t>
      </w:r>
      <w:r>
        <w:rPr>
          <w:rFonts w:eastAsia="Batang"/>
          <w:lang w:eastAsia="en-AU"/>
        </w:rPr>
        <w:t xml:space="preserve"> SFN, small </w:t>
      </w:r>
      <w:proofErr w:type="spellStart"/>
      <w:r>
        <w:rPr>
          <w:rFonts w:eastAsia="Batang"/>
          <w:lang w:eastAsia="en-AU"/>
        </w:rPr>
        <w:t>fib</w:t>
      </w:r>
      <w:r w:rsidR="00B915DF">
        <w:rPr>
          <w:rFonts w:eastAsia="Batang"/>
          <w:lang w:eastAsia="en-AU"/>
        </w:rPr>
        <w:t>re</w:t>
      </w:r>
      <w:proofErr w:type="spellEnd"/>
      <w:r>
        <w:rPr>
          <w:rFonts w:eastAsia="Batang"/>
          <w:lang w:eastAsia="en-AU"/>
        </w:rPr>
        <w:t xml:space="preserve"> neuropathies</w:t>
      </w:r>
      <w:r w:rsidR="00EF2039">
        <w:rPr>
          <w:rFonts w:eastAsia="Batang"/>
          <w:lang w:eastAsia="en-AU"/>
        </w:rPr>
        <w:t>, VAS, visual analogue scale</w:t>
      </w:r>
    </w:p>
    <w:p w14:paraId="75F154FE" w14:textId="6001305A" w:rsidR="00160AD9" w:rsidRDefault="00EB1D0A" w:rsidP="00EB1D0A">
      <w:pPr>
        <w:pStyle w:val="Heading3"/>
        <w:rPr>
          <w:rFonts w:eastAsia="Batang"/>
          <w:lang w:eastAsia="en-AU"/>
        </w:rPr>
      </w:pPr>
      <w:bookmarkStart w:id="125" w:name="_Ref134023625"/>
      <w:bookmarkStart w:id="126" w:name="_Toc165634684"/>
      <w:r>
        <w:rPr>
          <w:rFonts w:eastAsia="Batang"/>
          <w:lang w:eastAsia="en-AU"/>
        </w:rPr>
        <w:t xml:space="preserve">Patients unsuitable for </w:t>
      </w:r>
      <w:r w:rsidR="00CE3EDE">
        <w:rPr>
          <w:rFonts w:eastAsia="Batang"/>
          <w:lang w:eastAsia="en-AU"/>
        </w:rPr>
        <w:t>spinal cord stimulation</w:t>
      </w:r>
      <w:bookmarkEnd w:id="125"/>
      <w:bookmarkEnd w:id="126"/>
    </w:p>
    <w:p w14:paraId="39D3116D" w14:textId="79C2D746" w:rsidR="007527C9" w:rsidRDefault="00B83217" w:rsidP="00EB1D0A">
      <w:pPr>
        <w:pStyle w:val="BodyText"/>
        <w:rPr>
          <w:rFonts w:eastAsia="Batang"/>
          <w:lang w:eastAsia="en-AU"/>
        </w:rPr>
      </w:pPr>
      <w:r>
        <w:rPr>
          <w:rFonts w:eastAsia="Batang"/>
          <w:lang w:eastAsia="en-AU"/>
        </w:rPr>
        <w:t xml:space="preserve">Three publications have provided recommendations on patient populations </w:t>
      </w:r>
      <w:r w:rsidR="00C02D6C">
        <w:rPr>
          <w:rFonts w:eastAsia="Batang"/>
          <w:lang w:eastAsia="en-AU"/>
        </w:rPr>
        <w:t xml:space="preserve">that may </w:t>
      </w:r>
      <w:r w:rsidR="00B9136C">
        <w:rPr>
          <w:rFonts w:eastAsia="Batang"/>
          <w:lang w:eastAsia="en-AU"/>
        </w:rPr>
        <w:t xml:space="preserve">be contraindicated or are unsuitable to receive SCS. </w:t>
      </w:r>
      <w:r w:rsidR="00AD07BB">
        <w:rPr>
          <w:rFonts w:eastAsia="Batang"/>
          <w:lang w:eastAsia="en-AU"/>
        </w:rPr>
        <w:fldChar w:fldCharType="begin"/>
      </w:r>
      <w:r w:rsidR="00AD07BB">
        <w:rPr>
          <w:rFonts w:eastAsia="Batang"/>
          <w:lang w:eastAsia="en-AU"/>
        </w:rPr>
        <w:instrText xml:space="preserve"> REF _Ref134451251 \h </w:instrText>
      </w:r>
      <w:r w:rsidR="00AD07BB">
        <w:rPr>
          <w:rFonts w:eastAsia="Batang"/>
          <w:lang w:eastAsia="en-AU"/>
        </w:rPr>
      </w:r>
      <w:r w:rsidR="00AD07BB">
        <w:rPr>
          <w:rFonts w:eastAsia="Batang"/>
          <w:lang w:eastAsia="en-AU"/>
        </w:rPr>
        <w:fldChar w:fldCharType="separate"/>
      </w:r>
      <w:r w:rsidR="00CE6ACA">
        <w:t xml:space="preserve">Table </w:t>
      </w:r>
      <w:r w:rsidR="00CE6ACA">
        <w:rPr>
          <w:noProof/>
        </w:rPr>
        <w:t>25</w:t>
      </w:r>
      <w:r w:rsidR="00AD07BB">
        <w:rPr>
          <w:rFonts w:eastAsia="Batang"/>
          <w:lang w:eastAsia="en-AU"/>
        </w:rPr>
        <w:fldChar w:fldCharType="end"/>
      </w:r>
      <w:r w:rsidR="00AD07BB">
        <w:rPr>
          <w:rFonts w:eastAsia="Batang"/>
          <w:lang w:eastAsia="en-AU"/>
        </w:rPr>
        <w:t xml:space="preserve"> </w:t>
      </w:r>
      <w:r w:rsidR="00F36588">
        <w:rPr>
          <w:rFonts w:eastAsia="Batang"/>
          <w:lang w:eastAsia="en-AU"/>
        </w:rPr>
        <w:t xml:space="preserve">lists the recommendations for patients that </w:t>
      </w:r>
      <w:r w:rsidR="007527C9">
        <w:rPr>
          <w:rFonts w:eastAsia="Batang"/>
          <w:lang w:eastAsia="en-AU"/>
        </w:rPr>
        <w:t>are not recommended for SCS as a treatment option.</w:t>
      </w:r>
    </w:p>
    <w:p w14:paraId="775E6DAD" w14:textId="6CFAAAD5" w:rsidR="00EF2039" w:rsidRDefault="00EF2039" w:rsidP="00EF2039">
      <w:pPr>
        <w:pStyle w:val="Caption"/>
        <w:rPr>
          <w:rFonts w:eastAsia="Batang"/>
          <w:lang w:eastAsia="en-AU"/>
        </w:rPr>
      </w:pPr>
      <w:bookmarkStart w:id="127" w:name="_Ref134451251"/>
      <w:r>
        <w:lastRenderedPageBreak/>
        <w:t xml:space="preserve">Table </w:t>
      </w:r>
      <w:r>
        <w:fldChar w:fldCharType="begin"/>
      </w:r>
      <w:r>
        <w:instrText>SEQ Table \* ARABIC</w:instrText>
      </w:r>
      <w:r>
        <w:fldChar w:fldCharType="separate"/>
      </w:r>
      <w:r w:rsidR="00CE6ACA">
        <w:rPr>
          <w:noProof/>
        </w:rPr>
        <w:t>25</w:t>
      </w:r>
      <w:r>
        <w:fldChar w:fldCharType="end"/>
      </w:r>
      <w:bookmarkEnd w:id="127"/>
      <w:r>
        <w:tab/>
        <w:t>Recommendations on patients that are unsuitable or contraindicated for SCS</w:t>
      </w:r>
    </w:p>
    <w:tbl>
      <w:tblPr>
        <w:tblStyle w:val="TableGrid"/>
        <w:tblW w:w="0" w:type="auto"/>
        <w:tblLook w:val="04A0" w:firstRow="1" w:lastRow="0" w:firstColumn="1" w:lastColumn="0" w:noHBand="0" w:noVBand="1"/>
        <w:tblCaption w:val="Recommendations on patients that are unsuitable or contraindicated for SCS"/>
        <w:tblDescription w:val="Table showing the recommendations on patients that are unsuitable or contraindicated for SCS."/>
      </w:tblPr>
      <w:tblGrid>
        <w:gridCol w:w="1701"/>
        <w:gridCol w:w="7937"/>
      </w:tblGrid>
      <w:tr w:rsidR="00EF2039" w:rsidRPr="005D634D" w14:paraId="7F7F8743" w14:textId="77777777" w:rsidTr="005D634D">
        <w:trPr>
          <w:cnfStyle w:val="100000000000" w:firstRow="1" w:lastRow="0" w:firstColumn="0" w:lastColumn="0" w:oddVBand="0" w:evenVBand="0" w:oddHBand="0" w:evenHBand="0" w:firstRowFirstColumn="0" w:firstRowLastColumn="0" w:lastRowFirstColumn="0" w:lastRowLastColumn="0"/>
        </w:trPr>
        <w:tc>
          <w:tcPr>
            <w:tcW w:w="1701" w:type="dxa"/>
          </w:tcPr>
          <w:p w14:paraId="7CA26F45" w14:textId="1E3FA512" w:rsidR="00EF2039" w:rsidRPr="005D634D" w:rsidRDefault="005D634D">
            <w:pPr>
              <w:pStyle w:val="011TableHeading8pt"/>
              <w:rPr>
                <w:rFonts w:eastAsia="Batang"/>
                <w:sz w:val="18"/>
                <w:szCs w:val="24"/>
                <w:lang w:eastAsia="en-AU"/>
              </w:rPr>
            </w:pPr>
            <w:r>
              <w:rPr>
                <w:rFonts w:eastAsia="Batang"/>
                <w:sz w:val="18"/>
                <w:szCs w:val="24"/>
                <w:lang w:eastAsia="en-AU"/>
              </w:rPr>
              <w:t>Guideline developer (country)</w:t>
            </w:r>
          </w:p>
        </w:tc>
        <w:tc>
          <w:tcPr>
            <w:tcW w:w="7937" w:type="dxa"/>
          </w:tcPr>
          <w:p w14:paraId="7E9399C8" w14:textId="77777777" w:rsidR="00EF2039" w:rsidRPr="005D634D" w:rsidRDefault="00EF2039">
            <w:pPr>
              <w:pStyle w:val="011TableHeading8pt"/>
              <w:rPr>
                <w:rFonts w:eastAsia="Batang"/>
                <w:sz w:val="18"/>
                <w:szCs w:val="24"/>
                <w:lang w:eastAsia="en-AU"/>
              </w:rPr>
            </w:pPr>
            <w:r w:rsidRPr="005D634D">
              <w:rPr>
                <w:rFonts w:eastAsia="Batang"/>
                <w:sz w:val="18"/>
                <w:szCs w:val="24"/>
                <w:lang w:eastAsia="en-AU"/>
              </w:rPr>
              <w:t>Recommendation</w:t>
            </w:r>
          </w:p>
        </w:tc>
      </w:tr>
      <w:tr w:rsidR="00EF2039" w:rsidRPr="005D634D" w14:paraId="02E098D2" w14:textId="77777777" w:rsidTr="005D634D">
        <w:tc>
          <w:tcPr>
            <w:tcW w:w="1701" w:type="dxa"/>
          </w:tcPr>
          <w:p w14:paraId="5A750E0C" w14:textId="5640A22F" w:rsidR="00EF2039" w:rsidRPr="005D634D" w:rsidRDefault="00BF2D61">
            <w:pPr>
              <w:pStyle w:val="051Tabletext228pt"/>
              <w:rPr>
                <w:rFonts w:eastAsia="Batang"/>
                <w:sz w:val="18"/>
                <w:szCs w:val="24"/>
                <w:lang w:eastAsia="en-AU"/>
              </w:rPr>
            </w:pPr>
            <w:r w:rsidRPr="005D634D">
              <w:rPr>
                <w:rFonts w:eastAsia="Batang"/>
                <w:sz w:val="18"/>
                <w:szCs w:val="24"/>
                <w:lang w:eastAsia="en-AU"/>
              </w:rPr>
              <w:t>NACC (USA)</w:t>
            </w:r>
            <w:r w:rsidR="009E22E2" w:rsidRPr="005D634D">
              <w:rPr>
                <w:rFonts w:eastAsia="Batang"/>
                <w:sz w:val="18"/>
                <w:szCs w:val="24"/>
                <w:lang w:eastAsia="en-AU"/>
              </w:rPr>
              <w:br/>
            </w:r>
            <w:r w:rsidR="00EF2039" w:rsidRPr="005D634D">
              <w:rPr>
                <w:rFonts w:eastAsia="Batang"/>
                <w:sz w:val="18"/>
                <w:szCs w:val="24"/>
                <w:lang w:eastAsia="en-AU"/>
              </w:rPr>
              <w:t>Deer 2019</w:t>
            </w:r>
          </w:p>
        </w:tc>
        <w:tc>
          <w:tcPr>
            <w:tcW w:w="7937" w:type="dxa"/>
          </w:tcPr>
          <w:p w14:paraId="57A8D42D" w14:textId="35580E6A" w:rsidR="00EF2039" w:rsidRPr="005D634D" w:rsidRDefault="00EF2039">
            <w:pPr>
              <w:autoSpaceDE w:val="0"/>
              <w:autoSpaceDN w:val="0"/>
              <w:adjustRightInd w:val="0"/>
              <w:spacing w:after="0" w:line="240" w:lineRule="auto"/>
              <w:rPr>
                <w:rFonts w:ascii="MyriadPro-Light" w:eastAsia="Calibri" w:hAnsi="MyriadPro-Light" w:cs="MyriadPro-Light"/>
                <w:sz w:val="18"/>
                <w:szCs w:val="24"/>
                <w:lang w:eastAsia="en-AU"/>
              </w:rPr>
            </w:pPr>
            <w:r w:rsidRPr="005D634D">
              <w:rPr>
                <w:rFonts w:ascii="MyriadPro-Light" w:eastAsia="Calibri" w:hAnsi="MyriadPro-Light" w:cs="MyriadPro-Light"/>
                <w:sz w:val="18"/>
                <w:szCs w:val="24"/>
                <w:lang w:eastAsia="en-AU"/>
              </w:rPr>
              <w:t>Patients with significant psychological issues should be excluded or treated prior to consideration of DRG</w:t>
            </w:r>
            <w:r w:rsidR="00CB74E8" w:rsidRPr="005D634D">
              <w:rPr>
                <w:rFonts w:ascii="MyriadPro-Light" w:eastAsia="Calibri" w:hAnsi="MyriadPro-Light" w:cs="MyriadPro-Light"/>
                <w:sz w:val="18"/>
                <w:szCs w:val="24"/>
                <w:lang w:eastAsia="en-AU"/>
              </w:rPr>
              <w:t>S</w:t>
            </w:r>
            <w:r w:rsidRPr="005D634D">
              <w:rPr>
                <w:rFonts w:ascii="MyriadPro-Light" w:eastAsia="Calibri" w:hAnsi="MyriadPro-Light" w:cs="MyriadPro-Light"/>
                <w:sz w:val="18"/>
                <w:szCs w:val="24"/>
                <w:lang w:eastAsia="en-AU"/>
              </w:rPr>
              <w:t>. A history of sexual abuse or significant psychologic comorbidity should be considered a relative contraindication until proper counselling can be established and the therapist feels that an implant is indicated</w:t>
            </w:r>
            <w:r w:rsidR="00127A85" w:rsidRPr="005D634D">
              <w:rPr>
                <w:rFonts w:ascii="MyriadPro-Light" w:eastAsia="Calibri" w:hAnsi="MyriadPro-Light" w:cs="MyriadPro-Light"/>
                <w:sz w:val="18"/>
                <w:szCs w:val="24"/>
                <w:lang w:eastAsia="en-AU"/>
              </w:rPr>
              <w:t>.</w:t>
            </w:r>
          </w:p>
        </w:tc>
      </w:tr>
      <w:tr w:rsidR="00EF2039" w:rsidRPr="005D634D" w14:paraId="2E7BCCA6" w14:textId="77777777" w:rsidTr="005D634D">
        <w:tc>
          <w:tcPr>
            <w:tcW w:w="1701" w:type="dxa"/>
            <w:tcBorders>
              <w:bottom w:val="nil"/>
            </w:tcBorders>
          </w:tcPr>
          <w:p w14:paraId="4FBA9E73" w14:textId="6B661FC6" w:rsidR="00EF2039" w:rsidRPr="005D634D" w:rsidRDefault="005D634D">
            <w:pPr>
              <w:pStyle w:val="051Tabletext228pt"/>
              <w:rPr>
                <w:rFonts w:eastAsia="Batang"/>
                <w:sz w:val="18"/>
                <w:szCs w:val="24"/>
                <w:lang w:eastAsia="en-AU"/>
              </w:rPr>
            </w:pPr>
            <w:r>
              <w:rPr>
                <w:rFonts w:eastAsia="Batang"/>
                <w:sz w:val="18"/>
                <w:szCs w:val="24"/>
                <w:lang w:eastAsia="en-AU"/>
              </w:rPr>
              <w:t>NACC</w:t>
            </w:r>
            <w:r w:rsidR="002D4612">
              <w:rPr>
                <w:rFonts w:eastAsia="Batang"/>
                <w:sz w:val="18"/>
                <w:szCs w:val="24"/>
                <w:lang w:eastAsia="en-AU"/>
              </w:rPr>
              <w:t xml:space="preserve"> (USA)</w:t>
            </w:r>
            <w:r>
              <w:rPr>
                <w:rFonts w:eastAsia="Batang"/>
                <w:sz w:val="18"/>
                <w:szCs w:val="24"/>
                <w:lang w:eastAsia="en-AU"/>
              </w:rPr>
              <w:br/>
            </w:r>
            <w:r w:rsidR="00EF2039" w:rsidRPr="005D634D">
              <w:rPr>
                <w:rFonts w:eastAsia="Batang"/>
                <w:sz w:val="18"/>
                <w:szCs w:val="24"/>
                <w:lang w:eastAsia="en-AU"/>
              </w:rPr>
              <w:t>Deer 2014</w:t>
            </w:r>
          </w:p>
        </w:tc>
        <w:tc>
          <w:tcPr>
            <w:tcW w:w="7937" w:type="dxa"/>
          </w:tcPr>
          <w:p w14:paraId="455D7C71" w14:textId="08D677BC" w:rsidR="00EF2039" w:rsidRPr="005D634D" w:rsidRDefault="00EF2039">
            <w:pPr>
              <w:pStyle w:val="051Tabletext228pt"/>
              <w:rPr>
                <w:rFonts w:eastAsia="Batang"/>
                <w:sz w:val="18"/>
                <w:szCs w:val="24"/>
                <w:lang w:eastAsia="en-AU"/>
              </w:rPr>
            </w:pPr>
            <w:r w:rsidRPr="005D634D">
              <w:rPr>
                <w:rFonts w:ascii="MyriadPro-Light" w:eastAsia="Calibri" w:hAnsi="MyriadPro-Light" w:cs="MyriadPro-Light"/>
                <w:sz w:val="18"/>
                <w:szCs w:val="24"/>
                <w:lang w:eastAsia="en-AU"/>
              </w:rPr>
              <w:t>Patients with inadequately controlled psychiatric/psychological problems should not be implanted</w:t>
            </w:r>
            <w:r w:rsidR="00127A85" w:rsidRPr="005D634D">
              <w:rPr>
                <w:rFonts w:ascii="MyriadPro-Light" w:eastAsia="Calibri" w:hAnsi="MyriadPro-Light" w:cs="MyriadPro-Light"/>
                <w:sz w:val="18"/>
                <w:szCs w:val="24"/>
                <w:lang w:eastAsia="en-AU"/>
              </w:rPr>
              <w:t>.</w:t>
            </w:r>
          </w:p>
        </w:tc>
      </w:tr>
      <w:tr w:rsidR="00EF2039" w:rsidRPr="005D634D" w14:paraId="3A0C0DC0" w14:textId="77777777" w:rsidTr="005D634D">
        <w:tc>
          <w:tcPr>
            <w:tcW w:w="1701" w:type="dxa"/>
            <w:tcBorders>
              <w:top w:val="nil"/>
              <w:bottom w:val="nil"/>
            </w:tcBorders>
          </w:tcPr>
          <w:p w14:paraId="5E66CEB9" w14:textId="77777777" w:rsidR="00EF2039" w:rsidRPr="005D634D" w:rsidRDefault="00EF2039">
            <w:pPr>
              <w:pStyle w:val="051Tabletext228pt"/>
              <w:rPr>
                <w:rFonts w:eastAsia="Batang"/>
                <w:sz w:val="18"/>
                <w:szCs w:val="24"/>
                <w:lang w:eastAsia="en-AU"/>
              </w:rPr>
            </w:pPr>
          </w:p>
        </w:tc>
        <w:tc>
          <w:tcPr>
            <w:tcW w:w="7937" w:type="dxa"/>
          </w:tcPr>
          <w:p w14:paraId="291587EB" w14:textId="243D0B28" w:rsidR="00EF2039" w:rsidRPr="005D634D" w:rsidRDefault="00EF2039">
            <w:pPr>
              <w:autoSpaceDE w:val="0"/>
              <w:autoSpaceDN w:val="0"/>
              <w:adjustRightInd w:val="0"/>
              <w:spacing w:after="0" w:line="240" w:lineRule="auto"/>
              <w:rPr>
                <w:rFonts w:ascii="MyriadPro-Light" w:eastAsia="Calibri" w:hAnsi="MyriadPro-Light" w:cs="MyriadPro-Light"/>
                <w:sz w:val="18"/>
                <w:szCs w:val="24"/>
                <w:lang w:eastAsia="en-AU"/>
              </w:rPr>
            </w:pPr>
            <w:r w:rsidRPr="005D634D">
              <w:rPr>
                <w:rFonts w:ascii="MyriadPro-Light" w:eastAsia="Calibri" w:hAnsi="MyriadPro-Light" w:cs="MyriadPro-Light"/>
                <w:sz w:val="18"/>
                <w:szCs w:val="24"/>
                <w:lang w:eastAsia="en-AU"/>
              </w:rPr>
              <w:t>Patients who cannot be taken off anticoagulants or bridged safely for the proper duration surrounding the trial or surgery should not undergo SCS or PNS</w:t>
            </w:r>
            <w:r w:rsidR="00127A85" w:rsidRPr="005D634D">
              <w:rPr>
                <w:rFonts w:ascii="MyriadPro-Light" w:eastAsia="Calibri" w:hAnsi="MyriadPro-Light" w:cs="MyriadPro-Light"/>
                <w:sz w:val="18"/>
                <w:szCs w:val="24"/>
                <w:lang w:eastAsia="en-AU"/>
              </w:rPr>
              <w:t>.</w:t>
            </w:r>
          </w:p>
        </w:tc>
      </w:tr>
      <w:tr w:rsidR="00EF2039" w:rsidRPr="005D634D" w14:paraId="3A6D8186" w14:textId="77777777" w:rsidTr="005D634D">
        <w:tc>
          <w:tcPr>
            <w:tcW w:w="1701" w:type="dxa"/>
            <w:tcBorders>
              <w:top w:val="nil"/>
              <w:bottom w:val="nil"/>
            </w:tcBorders>
          </w:tcPr>
          <w:p w14:paraId="7B784E3F" w14:textId="77777777" w:rsidR="00EF2039" w:rsidRPr="005D634D" w:rsidRDefault="00EF2039">
            <w:pPr>
              <w:pStyle w:val="051Tabletext228pt"/>
              <w:rPr>
                <w:rFonts w:eastAsia="Batang"/>
                <w:sz w:val="18"/>
                <w:szCs w:val="24"/>
                <w:lang w:eastAsia="en-AU"/>
              </w:rPr>
            </w:pPr>
          </w:p>
        </w:tc>
        <w:tc>
          <w:tcPr>
            <w:tcW w:w="7937" w:type="dxa"/>
          </w:tcPr>
          <w:p w14:paraId="515EBC60" w14:textId="442D7AB9" w:rsidR="00EF2039" w:rsidRPr="005D634D" w:rsidRDefault="00EF2039">
            <w:pPr>
              <w:pStyle w:val="051Tabletext228pt"/>
              <w:rPr>
                <w:rFonts w:eastAsia="Batang"/>
                <w:sz w:val="18"/>
                <w:szCs w:val="24"/>
                <w:lang w:eastAsia="en-AU"/>
              </w:rPr>
            </w:pPr>
            <w:r w:rsidRPr="005D634D">
              <w:rPr>
                <w:rFonts w:ascii="MyriadPro-Light" w:eastAsia="Calibri" w:hAnsi="MyriadPro-Light" w:cs="MyriadPro-Light"/>
                <w:sz w:val="18"/>
                <w:szCs w:val="24"/>
                <w:lang w:eastAsia="en-AU"/>
              </w:rPr>
              <w:t>Patients in whom a systemic infection cannot be cured should not undergo implant</w:t>
            </w:r>
            <w:r w:rsidR="00127A85" w:rsidRPr="005D634D">
              <w:rPr>
                <w:rFonts w:ascii="MyriadPro-Light" w:eastAsia="Calibri" w:hAnsi="MyriadPro-Light" w:cs="MyriadPro-Light"/>
                <w:sz w:val="18"/>
                <w:szCs w:val="24"/>
                <w:lang w:eastAsia="en-AU"/>
              </w:rPr>
              <w:t>.</w:t>
            </w:r>
          </w:p>
        </w:tc>
      </w:tr>
      <w:tr w:rsidR="00EF2039" w:rsidRPr="005D634D" w14:paraId="1356CBB6" w14:textId="77777777" w:rsidTr="005D634D">
        <w:tc>
          <w:tcPr>
            <w:tcW w:w="1701" w:type="dxa"/>
            <w:tcBorders>
              <w:top w:val="nil"/>
              <w:bottom w:val="nil"/>
            </w:tcBorders>
          </w:tcPr>
          <w:p w14:paraId="160EB292" w14:textId="77777777" w:rsidR="00EF2039" w:rsidRPr="005D634D" w:rsidRDefault="00EF2039">
            <w:pPr>
              <w:pStyle w:val="051Tabletext228pt"/>
              <w:rPr>
                <w:rFonts w:eastAsia="Batang"/>
                <w:sz w:val="18"/>
                <w:szCs w:val="24"/>
                <w:lang w:eastAsia="en-AU"/>
              </w:rPr>
            </w:pPr>
          </w:p>
        </w:tc>
        <w:tc>
          <w:tcPr>
            <w:tcW w:w="7937" w:type="dxa"/>
          </w:tcPr>
          <w:p w14:paraId="4CE54A0E" w14:textId="1AA4BAFE" w:rsidR="00EF2039" w:rsidRPr="005D634D" w:rsidRDefault="00EF2039">
            <w:pPr>
              <w:autoSpaceDE w:val="0"/>
              <w:autoSpaceDN w:val="0"/>
              <w:adjustRightInd w:val="0"/>
              <w:spacing w:after="0" w:line="240" w:lineRule="auto"/>
              <w:rPr>
                <w:rFonts w:ascii="MyriadPro-Light" w:eastAsia="Calibri" w:hAnsi="MyriadPro-Light" w:cs="MyriadPro-Light"/>
                <w:sz w:val="18"/>
                <w:szCs w:val="24"/>
                <w:lang w:eastAsia="en-AU"/>
              </w:rPr>
            </w:pPr>
            <w:r w:rsidRPr="005D634D">
              <w:rPr>
                <w:rFonts w:ascii="MyriadPro-Light" w:eastAsia="Calibri" w:hAnsi="MyriadPro-Light" w:cs="MyriadPro-Light"/>
                <w:sz w:val="18"/>
                <w:szCs w:val="24"/>
                <w:lang w:eastAsia="en-AU"/>
              </w:rPr>
              <w:t>Patients in whom the treating physician does not have a strong working differential diagnosis in regard to the pain generator should not be implanted</w:t>
            </w:r>
            <w:r w:rsidR="00127A85" w:rsidRPr="005D634D">
              <w:rPr>
                <w:rFonts w:ascii="MyriadPro-Light" w:eastAsia="Calibri" w:hAnsi="MyriadPro-Light" w:cs="MyriadPro-Light"/>
                <w:sz w:val="18"/>
                <w:szCs w:val="24"/>
                <w:lang w:eastAsia="en-AU"/>
              </w:rPr>
              <w:t>.</w:t>
            </w:r>
          </w:p>
        </w:tc>
      </w:tr>
      <w:tr w:rsidR="00EF2039" w:rsidRPr="005D634D" w14:paraId="12E5034B" w14:textId="77777777" w:rsidTr="005D634D">
        <w:tc>
          <w:tcPr>
            <w:tcW w:w="1701" w:type="dxa"/>
            <w:tcBorders>
              <w:top w:val="nil"/>
              <w:bottom w:val="nil"/>
            </w:tcBorders>
          </w:tcPr>
          <w:p w14:paraId="03D1C9AE" w14:textId="77777777" w:rsidR="00EF2039" w:rsidRPr="005D634D" w:rsidRDefault="00EF2039">
            <w:pPr>
              <w:pStyle w:val="051Tabletext228pt"/>
              <w:rPr>
                <w:rFonts w:eastAsia="Batang"/>
                <w:sz w:val="18"/>
                <w:szCs w:val="24"/>
                <w:lang w:eastAsia="en-AU"/>
              </w:rPr>
            </w:pPr>
          </w:p>
        </w:tc>
        <w:tc>
          <w:tcPr>
            <w:tcW w:w="7937" w:type="dxa"/>
          </w:tcPr>
          <w:p w14:paraId="2232D368" w14:textId="24EBA1F4" w:rsidR="00EF2039" w:rsidRPr="005D634D" w:rsidRDefault="00EF2039">
            <w:pPr>
              <w:autoSpaceDE w:val="0"/>
              <w:autoSpaceDN w:val="0"/>
              <w:adjustRightInd w:val="0"/>
              <w:spacing w:after="0" w:line="240" w:lineRule="auto"/>
              <w:rPr>
                <w:rFonts w:ascii="MyriadPro-Light" w:eastAsia="Calibri" w:hAnsi="MyriadPro-Light" w:cs="MyriadPro-Light"/>
                <w:sz w:val="18"/>
                <w:szCs w:val="24"/>
                <w:lang w:eastAsia="en-AU"/>
              </w:rPr>
            </w:pPr>
            <w:r w:rsidRPr="005D634D">
              <w:rPr>
                <w:rFonts w:ascii="MyriadPro-Light" w:eastAsia="Calibri" w:hAnsi="MyriadPro-Light" w:cs="MyriadPro-Light"/>
                <w:sz w:val="18"/>
                <w:szCs w:val="24"/>
                <w:lang w:eastAsia="en-AU"/>
              </w:rPr>
              <w:t>In patients with platelet counts less than 50,000, SCS trials and implants should be avoided, unless managed in close collaboration with the treating haematologist</w:t>
            </w:r>
            <w:r w:rsidR="00127A85" w:rsidRPr="005D634D">
              <w:rPr>
                <w:rFonts w:ascii="MyriadPro-Light" w:eastAsia="Calibri" w:hAnsi="MyriadPro-Light" w:cs="MyriadPro-Light"/>
                <w:sz w:val="18"/>
                <w:szCs w:val="24"/>
                <w:lang w:eastAsia="en-AU"/>
              </w:rPr>
              <w:t>.</w:t>
            </w:r>
          </w:p>
        </w:tc>
      </w:tr>
      <w:tr w:rsidR="00EF2039" w:rsidRPr="005D634D" w14:paraId="74771077" w14:textId="77777777" w:rsidTr="005D634D">
        <w:tc>
          <w:tcPr>
            <w:tcW w:w="1701" w:type="dxa"/>
            <w:tcBorders>
              <w:top w:val="nil"/>
            </w:tcBorders>
          </w:tcPr>
          <w:p w14:paraId="76BC04CC" w14:textId="77777777" w:rsidR="00EF2039" w:rsidRPr="005D634D" w:rsidRDefault="00EF2039">
            <w:pPr>
              <w:pStyle w:val="051Tabletext228pt"/>
              <w:rPr>
                <w:rFonts w:eastAsia="Batang"/>
                <w:sz w:val="18"/>
                <w:szCs w:val="24"/>
                <w:lang w:eastAsia="en-AU"/>
              </w:rPr>
            </w:pPr>
          </w:p>
        </w:tc>
        <w:tc>
          <w:tcPr>
            <w:tcW w:w="7937" w:type="dxa"/>
          </w:tcPr>
          <w:p w14:paraId="2610FAED" w14:textId="2DAA4B78" w:rsidR="00EF2039" w:rsidRPr="005D634D" w:rsidRDefault="00EF2039">
            <w:pPr>
              <w:autoSpaceDE w:val="0"/>
              <w:autoSpaceDN w:val="0"/>
              <w:adjustRightInd w:val="0"/>
              <w:spacing w:after="0" w:line="240" w:lineRule="auto"/>
              <w:rPr>
                <w:rFonts w:ascii="MyriadPro-Light" w:eastAsia="Calibri" w:hAnsi="MyriadPro-Light" w:cs="MyriadPro-Light"/>
                <w:sz w:val="18"/>
                <w:szCs w:val="24"/>
                <w:lang w:eastAsia="en-AU"/>
              </w:rPr>
            </w:pPr>
            <w:r w:rsidRPr="005D634D">
              <w:rPr>
                <w:rFonts w:ascii="MyriadPro-Light" w:eastAsia="Calibri" w:hAnsi="MyriadPro-Light" w:cs="MyriadPro-Light"/>
                <w:sz w:val="18"/>
                <w:szCs w:val="24"/>
                <w:lang w:eastAsia="en-AU"/>
              </w:rPr>
              <w:t>Patients with the inability to cognitively participate in their care should not be implanted. In partially impaired patients, implant may be acceptable if the primary caregiver is able to participate actively. Non</w:t>
            </w:r>
            <w:r w:rsidR="006B7EE2">
              <w:rPr>
                <w:rFonts w:ascii="MyriadPro-Light" w:eastAsia="Calibri" w:hAnsi="MyriadPro-Light" w:cs="MyriadPro-Light"/>
                <w:sz w:val="18"/>
                <w:szCs w:val="24"/>
                <w:lang w:eastAsia="en-AU"/>
              </w:rPr>
              <w:t>-rechargeable</w:t>
            </w:r>
            <w:r w:rsidRPr="005D634D">
              <w:rPr>
                <w:rFonts w:ascii="MyriadPro-Light" w:eastAsia="Calibri" w:hAnsi="MyriadPro-Light" w:cs="MyriadPro-Light"/>
                <w:sz w:val="18"/>
                <w:szCs w:val="24"/>
                <w:lang w:eastAsia="en-AU"/>
              </w:rPr>
              <w:t xml:space="preserve"> batteries should be considered in this second group of patients</w:t>
            </w:r>
            <w:r w:rsidR="00127A85" w:rsidRPr="005D634D">
              <w:rPr>
                <w:rFonts w:ascii="MyriadPro-Light" w:eastAsia="Calibri" w:hAnsi="MyriadPro-Light" w:cs="MyriadPro-Light"/>
                <w:sz w:val="18"/>
                <w:szCs w:val="24"/>
                <w:lang w:eastAsia="en-AU"/>
              </w:rPr>
              <w:t>.</w:t>
            </w:r>
          </w:p>
        </w:tc>
      </w:tr>
    </w:tbl>
    <w:p w14:paraId="50FC09C0" w14:textId="4923A015" w:rsidR="00EF2039" w:rsidRDefault="00EF2039" w:rsidP="00EF2039">
      <w:pPr>
        <w:pStyle w:val="111Tablefootnoteslast-nostick8pt"/>
        <w:rPr>
          <w:rFonts w:eastAsia="Batang"/>
          <w:lang w:eastAsia="en-AU"/>
        </w:rPr>
      </w:pPr>
      <w:r>
        <w:rPr>
          <w:rFonts w:eastAsia="Batang"/>
          <w:lang w:eastAsia="en-AU"/>
        </w:rPr>
        <w:t xml:space="preserve">Abbreviations: </w:t>
      </w:r>
      <w:r w:rsidR="00CB74E8">
        <w:rPr>
          <w:rFonts w:eastAsia="Batang"/>
          <w:lang w:eastAsia="en-AU"/>
        </w:rPr>
        <w:t xml:space="preserve">DRGS, dorsal root ganglion stimulation; </w:t>
      </w:r>
      <w:r w:rsidR="00583172">
        <w:rPr>
          <w:rFonts w:eastAsia="Batang"/>
          <w:lang w:eastAsia="en-AU"/>
        </w:rPr>
        <w:t xml:space="preserve">NACC, </w:t>
      </w:r>
      <w:r w:rsidR="00583172">
        <w:t>Neuromodulation Appropriateness Consensus Committee/ the Neurostimulation Appropriateness Consensus Committee;</w:t>
      </w:r>
      <w:r w:rsidR="00583172">
        <w:rPr>
          <w:rFonts w:eastAsia="Batang"/>
          <w:lang w:eastAsia="en-AU"/>
        </w:rPr>
        <w:t xml:space="preserve"> </w:t>
      </w:r>
      <w:r w:rsidR="00CB74E8">
        <w:rPr>
          <w:rFonts w:eastAsia="Batang"/>
          <w:lang w:eastAsia="en-AU"/>
        </w:rPr>
        <w:t>PNS, peripheral nerve stimulation; SCS, spinal cord stimulation</w:t>
      </w:r>
      <w:r w:rsidR="001B00A1">
        <w:rPr>
          <w:rFonts w:eastAsia="Batang"/>
          <w:lang w:eastAsia="en-AU"/>
        </w:rPr>
        <w:t>.</w:t>
      </w:r>
    </w:p>
    <w:p w14:paraId="0F6D9389" w14:textId="1656C236" w:rsidR="001467B2" w:rsidRDefault="00E8019D" w:rsidP="00E8019D">
      <w:pPr>
        <w:pStyle w:val="Heading2"/>
        <w:rPr>
          <w:rFonts w:eastAsia="Batang"/>
          <w:lang w:eastAsia="en-AU"/>
        </w:rPr>
      </w:pPr>
      <w:bookmarkStart w:id="128" w:name="_Ref134028353"/>
      <w:bookmarkStart w:id="129" w:name="_Ref134033096"/>
      <w:bookmarkStart w:id="130" w:name="_Ref134204369"/>
      <w:bookmarkStart w:id="131" w:name="_Toc165634685"/>
      <w:r>
        <w:rPr>
          <w:rFonts w:eastAsia="Batang"/>
          <w:lang w:eastAsia="en-AU"/>
        </w:rPr>
        <w:t>Management pathways</w:t>
      </w:r>
      <w:bookmarkEnd w:id="128"/>
      <w:bookmarkEnd w:id="129"/>
      <w:bookmarkEnd w:id="130"/>
      <w:bookmarkEnd w:id="131"/>
    </w:p>
    <w:p w14:paraId="2F13974C" w14:textId="69F8C603" w:rsidR="001D24FB" w:rsidRDefault="00F73375" w:rsidP="003045B2">
      <w:pPr>
        <w:pStyle w:val="BodyText"/>
        <w:rPr>
          <w:rFonts w:eastAsia="Batang"/>
          <w:lang w:eastAsia="en-AU"/>
        </w:rPr>
      </w:pPr>
      <w:r>
        <w:rPr>
          <w:rFonts w:eastAsia="Batang"/>
          <w:lang w:eastAsia="en-AU"/>
        </w:rPr>
        <w:t>Four</w:t>
      </w:r>
      <w:r w:rsidR="001D24FB">
        <w:rPr>
          <w:rFonts w:eastAsia="Batang"/>
          <w:lang w:eastAsia="en-AU"/>
        </w:rPr>
        <w:t xml:space="preserve"> publications have </w:t>
      </w:r>
      <w:r w:rsidR="006D51F8">
        <w:rPr>
          <w:rFonts w:eastAsia="Batang"/>
          <w:lang w:eastAsia="en-AU"/>
        </w:rPr>
        <w:t>provide</w:t>
      </w:r>
      <w:r w:rsidR="00C8650B">
        <w:rPr>
          <w:rFonts w:eastAsia="Batang"/>
          <w:lang w:eastAsia="en-AU"/>
        </w:rPr>
        <w:t xml:space="preserve">d recommendations on the place of SCS in the chronic pain clinical management pathway. </w:t>
      </w:r>
      <w:r w:rsidR="00D32E35">
        <w:rPr>
          <w:rFonts w:eastAsia="Batang"/>
          <w:lang w:eastAsia="en-AU"/>
        </w:rPr>
        <w:t>The NACC</w:t>
      </w:r>
      <w:r w:rsidR="00006072">
        <w:rPr>
          <w:rFonts w:eastAsia="Batang"/>
          <w:lang w:eastAsia="en-AU"/>
        </w:rPr>
        <w:t xml:space="preserve"> recommended that SCS should be considered early in the course of the disease process and that </w:t>
      </w:r>
      <w:r w:rsidR="000D4D96">
        <w:rPr>
          <w:rFonts w:eastAsia="Batang"/>
          <w:lang w:eastAsia="en-AU"/>
        </w:rPr>
        <w:t xml:space="preserve">clinical assessment prior to SCS implantation should include </w:t>
      </w:r>
      <w:r w:rsidR="008106BD">
        <w:rPr>
          <w:rFonts w:eastAsia="Batang"/>
          <w:lang w:eastAsia="en-AU"/>
        </w:rPr>
        <w:t>“a psychological assessment to address any concerning psychiatric comorbidities</w:t>
      </w:r>
      <w:r w:rsidR="00C800B5">
        <w:rPr>
          <w:rFonts w:eastAsia="Batang"/>
          <w:lang w:eastAsia="en-AU"/>
        </w:rPr>
        <w:t xml:space="preserve">” (Deer </w:t>
      </w:r>
      <w:r w:rsidR="00264B22">
        <w:rPr>
          <w:rFonts w:eastAsia="Batang"/>
          <w:lang w:eastAsia="en-AU"/>
        </w:rPr>
        <w:t>et al.</w:t>
      </w:r>
      <w:r w:rsidR="00C800B5">
        <w:rPr>
          <w:rFonts w:eastAsia="Batang"/>
          <w:lang w:eastAsia="en-AU"/>
        </w:rPr>
        <w:t xml:space="preserve"> 2014) and “an assessment </w:t>
      </w:r>
      <w:r w:rsidR="00EC30A0">
        <w:rPr>
          <w:rFonts w:eastAsia="Batang"/>
          <w:lang w:eastAsia="en-AU"/>
        </w:rPr>
        <w:t xml:space="preserve">by a </w:t>
      </w:r>
      <w:r w:rsidR="00EC30A0" w:rsidRPr="00EC30A0">
        <w:rPr>
          <w:rFonts w:eastAsia="Batang"/>
          <w:lang w:eastAsia="en-AU"/>
        </w:rPr>
        <w:t>multidisciplinary team experienced in chronic pain assessment and management of people with spinal cord stimulation devices, including experience in the provision of ongoing monitoring and support of the person assessed</w:t>
      </w:r>
      <w:r w:rsidR="00EC30A0">
        <w:rPr>
          <w:rFonts w:eastAsia="Batang"/>
          <w:lang w:eastAsia="en-AU"/>
        </w:rPr>
        <w:t>” (NICE 2008).</w:t>
      </w:r>
      <w:r w:rsidR="0084353D" w:rsidRPr="0084353D">
        <w:rPr>
          <w:rFonts w:eastAsia="Batang"/>
          <w:lang w:eastAsia="en-AU"/>
        </w:rPr>
        <w:t xml:space="preserve"> </w:t>
      </w:r>
      <w:r w:rsidR="0084353D">
        <w:rPr>
          <w:rFonts w:eastAsia="Batang"/>
          <w:lang w:eastAsia="en-AU"/>
        </w:rPr>
        <w:t xml:space="preserve">Contrary to the recommendations from the NACC (Deer </w:t>
      </w:r>
      <w:r w:rsidR="006C730A">
        <w:rPr>
          <w:rFonts w:eastAsia="Batang"/>
          <w:lang w:eastAsia="en-AU"/>
        </w:rPr>
        <w:t xml:space="preserve">et al. </w:t>
      </w:r>
      <w:r w:rsidR="0084353D">
        <w:rPr>
          <w:rFonts w:eastAsia="Batang"/>
          <w:lang w:eastAsia="en-AU"/>
        </w:rPr>
        <w:t>2</w:t>
      </w:r>
      <w:r w:rsidR="00074D7E">
        <w:rPr>
          <w:rFonts w:eastAsia="Batang"/>
          <w:lang w:eastAsia="en-AU"/>
        </w:rPr>
        <w:t xml:space="preserve">014), </w:t>
      </w:r>
      <w:r w:rsidR="0084353D">
        <w:rPr>
          <w:rFonts w:eastAsia="Batang"/>
          <w:lang w:eastAsia="en-AU"/>
        </w:rPr>
        <w:t xml:space="preserve">Bates (2019) produced a clinical algorithm </w:t>
      </w:r>
      <w:r w:rsidR="00074D7E">
        <w:rPr>
          <w:rFonts w:eastAsia="Batang"/>
          <w:lang w:eastAsia="en-AU"/>
        </w:rPr>
        <w:t>pathway that placed SCS as a fourth line</w:t>
      </w:r>
      <w:r w:rsidR="00F26571">
        <w:rPr>
          <w:rFonts w:eastAsia="Batang"/>
          <w:lang w:eastAsia="en-AU"/>
        </w:rPr>
        <w:t xml:space="preserve"> </w:t>
      </w:r>
      <w:r w:rsidR="00DA11D7">
        <w:rPr>
          <w:rFonts w:eastAsia="Batang"/>
          <w:lang w:eastAsia="en-AU"/>
        </w:rPr>
        <w:t>treatment for</w:t>
      </w:r>
      <w:r w:rsidR="00F26571">
        <w:rPr>
          <w:rFonts w:eastAsia="Batang"/>
          <w:lang w:eastAsia="en-AU"/>
        </w:rPr>
        <w:t xml:space="preserve"> </w:t>
      </w:r>
      <w:r w:rsidR="00DA11D7">
        <w:rPr>
          <w:rFonts w:eastAsia="Batang"/>
          <w:lang w:eastAsia="en-AU"/>
        </w:rPr>
        <w:t>neuropathic</w:t>
      </w:r>
      <w:r w:rsidR="00F26571">
        <w:rPr>
          <w:rFonts w:eastAsia="Batang"/>
          <w:lang w:eastAsia="en-AU"/>
        </w:rPr>
        <w:t xml:space="preserve"> pain</w:t>
      </w:r>
      <w:r w:rsidR="00DA11D7">
        <w:rPr>
          <w:rFonts w:eastAsia="Batang"/>
          <w:lang w:eastAsia="en-AU"/>
        </w:rPr>
        <w:t xml:space="preserve"> following</w:t>
      </w:r>
      <w:r w:rsidR="005400BA">
        <w:rPr>
          <w:rFonts w:eastAsia="Batang"/>
          <w:lang w:eastAsia="en-AU"/>
        </w:rPr>
        <w:t xml:space="preserve"> inadequate response to first</w:t>
      </w:r>
      <w:r w:rsidR="00DE24EF">
        <w:rPr>
          <w:rFonts w:eastAsia="Batang"/>
          <w:lang w:eastAsia="en-AU"/>
        </w:rPr>
        <w:t xml:space="preserve"> (tricyclic antidepressants, </w:t>
      </w:r>
      <w:r w:rsidR="0080231B">
        <w:rPr>
          <w:rFonts w:eastAsia="Batang"/>
          <w:lang w:eastAsia="en-AU"/>
        </w:rPr>
        <w:t>serotonin and nore</w:t>
      </w:r>
      <w:r w:rsidR="00540105">
        <w:rPr>
          <w:rFonts w:eastAsia="Batang"/>
          <w:lang w:eastAsia="en-AU"/>
        </w:rPr>
        <w:t xml:space="preserve">pinephrine reuptake inhibitors, </w:t>
      </w:r>
      <w:proofErr w:type="spellStart"/>
      <w:r w:rsidR="00540105">
        <w:rPr>
          <w:rFonts w:eastAsia="Batang"/>
          <w:lang w:eastAsia="en-AU"/>
        </w:rPr>
        <w:t>gabapentanoids</w:t>
      </w:r>
      <w:proofErr w:type="spellEnd"/>
      <w:r w:rsidR="00540105">
        <w:rPr>
          <w:rFonts w:eastAsia="Batang"/>
          <w:lang w:eastAsia="en-AU"/>
        </w:rPr>
        <w:t>, and topicals)</w:t>
      </w:r>
      <w:r w:rsidR="005400BA">
        <w:rPr>
          <w:rFonts w:eastAsia="Batang"/>
          <w:lang w:eastAsia="en-AU"/>
        </w:rPr>
        <w:t>, second</w:t>
      </w:r>
      <w:r w:rsidR="00540105">
        <w:rPr>
          <w:rFonts w:eastAsia="Batang"/>
          <w:lang w:eastAsia="en-AU"/>
        </w:rPr>
        <w:t xml:space="preserve"> </w:t>
      </w:r>
      <w:r w:rsidR="00180219">
        <w:rPr>
          <w:rFonts w:eastAsia="Batang"/>
          <w:lang w:eastAsia="en-AU"/>
        </w:rPr>
        <w:t>(tramadol and combination first line therapies)</w:t>
      </w:r>
      <w:r w:rsidR="005400BA">
        <w:rPr>
          <w:rFonts w:eastAsia="Batang"/>
          <w:lang w:eastAsia="en-AU"/>
        </w:rPr>
        <w:t>, and third line therapies</w:t>
      </w:r>
      <w:r w:rsidR="00180219">
        <w:rPr>
          <w:rFonts w:eastAsia="Batang"/>
          <w:lang w:eastAsia="en-AU"/>
        </w:rPr>
        <w:t xml:space="preserve"> (</w:t>
      </w:r>
      <w:r w:rsidR="00BC2928">
        <w:rPr>
          <w:rFonts w:eastAsia="Batang"/>
          <w:lang w:eastAsia="en-AU"/>
        </w:rPr>
        <w:t>serotonin-specific reuptake inh</w:t>
      </w:r>
      <w:r w:rsidR="001416C5">
        <w:rPr>
          <w:rFonts w:eastAsia="Batang"/>
          <w:lang w:eastAsia="en-AU"/>
        </w:rPr>
        <w:t>ibitors/anticonvulsants/NMDA antagonists and interventional therapies such as epidural injection)</w:t>
      </w:r>
      <w:r w:rsidR="005400BA">
        <w:rPr>
          <w:rFonts w:eastAsia="Batang"/>
          <w:lang w:eastAsia="en-AU"/>
        </w:rPr>
        <w:t xml:space="preserve"> </w:t>
      </w:r>
      <w:r w:rsidR="0090208A">
        <w:rPr>
          <w:rFonts w:eastAsia="Batang"/>
          <w:lang w:eastAsia="en-AU"/>
        </w:rPr>
        <w:t>and 50% pain relief after a trial stimulation.</w:t>
      </w:r>
    </w:p>
    <w:p w14:paraId="5F79DFF9" w14:textId="1945970C" w:rsidR="00E8019D" w:rsidRDefault="00B42AD1" w:rsidP="00E8019D">
      <w:pPr>
        <w:pStyle w:val="Heading3"/>
        <w:rPr>
          <w:rFonts w:eastAsia="Batang"/>
          <w:lang w:eastAsia="en-AU"/>
        </w:rPr>
      </w:pPr>
      <w:bookmarkStart w:id="132" w:name="_Ref134023667"/>
      <w:bookmarkStart w:id="133" w:name="_Ref134024977"/>
      <w:bookmarkStart w:id="134" w:name="_Ref134028449"/>
      <w:bookmarkStart w:id="135" w:name="_Toc165634686"/>
      <w:r>
        <w:rPr>
          <w:rFonts w:eastAsia="Batang"/>
          <w:lang w:eastAsia="en-AU"/>
        </w:rPr>
        <w:t>Types of spinal cord stimulation</w:t>
      </w:r>
      <w:bookmarkEnd w:id="132"/>
      <w:bookmarkEnd w:id="133"/>
      <w:bookmarkEnd w:id="134"/>
      <w:bookmarkEnd w:id="135"/>
    </w:p>
    <w:p w14:paraId="1BA253C9" w14:textId="791E193A" w:rsidR="0093404D" w:rsidRDefault="00871FD2" w:rsidP="00B42AD1">
      <w:pPr>
        <w:pStyle w:val="BodyText"/>
        <w:rPr>
          <w:rFonts w:eastAsia="Batang"/>
          <w:lang w:eastAsia="en-AU"/>
        </w:rPr>
      </w:pPr>
      <w:r w:rsidRPr="00871FD2">
        <w:rPr>
          <w:rFonts w:eastAsia="Batang"/>
          <w:lang w:eastAsia="en-AU"/>
        </w:rPr>
        <w:t>Two</w:t>
      </w:r>
      <w:r w:rsidR="00B42AD1">
        <w:rPr>
          <w:rFonts w:eastAsia="Batang"/>
          <w:lang w:eastAsia="en-AU"/>
        </w:rPr>
        <w:t xml:space="preserve"> publications </w:t>
      </w:r>
      <w:r w:rsidR="00913F16">
        <w:rPr>
          <w:rFonts w:eastAsia="Batang"/>
          <w:lang w:eastAsia="en-AU"/>
        </w:rPr>
        <w:t xml:space="preserve">provided recommendations on </w:t>
      </w:r>
      <w:r w:rsidR="00397475">
        <w:rPr>
          <w:rFonts w:eastAsia="Batang"/>
          <w:lang w:eastAsia="en-AU"/>
        </w:rPr>
        <w:t xml:space="preserve">criteria for </w:t>
      </w:r>
      <w:r w:rsidR="009F0A90">
        <w:rPr>
          <w:rFonts w:eastAsia="Batang"/>
          <w:lang w:eastAsia="en-AU"/>
        </w:rPr>
        <w:t>selecting conventional, high</w:t>
      </w:r>
      <w:r w:rsidR="00572B21">
        <w:rPr>
          <w:rFonts w:eastAsia="Batang"/>
          <w:lang w:eastAsia="en-AU"/>
        </w:rPr>
        <w:t>-</w:t>
      </w:r>
      <w:r w:rsidR="009F0A90">
        <w:rPr>
          <w:rFonts w:eastAsia="Batang"/>
          <w:lang w:eastAsia="en-AU"/>
        </w:rPr>
        <w:t xml:space="preserve">frequency or burst </w:t>
      </w:r>
      <w:r w:rsidR="00A32D1D">
        <w:rPr>
          <w:rFonts w:eastAsia="Batang"/>
          <w:lang w:eastAsia="en-AU"/>
        </w:rPr>
        <w:t>SCS device</w:t>
      </w:r>
      <w:r w:rsidR="007A2A78">
        <w:rPr>
          <w:rFonts w:eastAsia="Batang"/>
          <w:lang w:eastAsia="en-AU"/>
        </w:rPr>
        <w:t>s</w:t>
      </w:r>
      <w:r w:rsidR="009F0A90">
        <w:rPr>
          <w:rFonts w:eastAsia="Batang"/>
          <w:lang w:eastAsia="en-AU"/>
        </w:rPr>
        <w:t xml:space="preserve">. </w:t>
      </w:r>
      <w:r w:rsidR="00647572">
        <w:rPr>
          <w:rFonts w:eastAsia="Batang"/>
          <w:lang w:eastAsia="en-AU"/>
        </w:rPr>
        <w:t>T</w:t>
      </w:r>
      <w:r w:rsidR="00B956B2">
        <w:rPr>
          <w:rFonts w:eastAsia="Batang"/>
          <w:lang w:eastAsia="en-AU"/>
        </w:rPr>
        <w:t>he NACC (</w:t>
      </w:r>
      <w:r>
        <w:rPr>
          <w:rFonts w:eastAsia="Batang"/>
          <w:lang w:eastAsia="en-AU"/>
        </w:rPr>
        <w:t>Deer</w:t>
      </w:r>
      <w:r w:rsidR="00360776">
        <w:rPr>
          <w:rFonts w:eastAsia="Batang"/>
          <w:lang w:eastAsia="en-AU"/>
        </w:rPr>
        <w:t xml:space="preserve"> </w:t>
      </w:r>
      <w:r w:rsidR="00785999">
        <w:rPr>
          <w:rFonts w:eastAsia="Batang"/>
          <w:lang w:eastAsia="en-AU"/>
        </w:rPr>
        <w:t>et al.</w:t>
      </w:r>
      <w:r w:rsidR="00360776">
        <w:rPr>
          <w:rFonts w:eastAsia="Batang"/>
          <w:lang w:eastAsia="en-AU"/>
        </w:rPr>
        <w:t xml:space="preserve"> 2014</w:t>
      </w:r>
      <w:r w:rsidR="00B956B2">
        <w:rPr>
          <w:rFonts w:eastAsia="Batang"/>
          <w:lang w:eastAsia="en-AU"/>
        </w:rPr>
        <w:t>)</w:t>
      </w:r>
      <w:r w:rsidR="00360776">
        <w:rPr>
          <w:rFonts w:eastAsia="Batang"/>
          <w:lang w:eastAsia="en-AU"/>
        </w:rPr>
        <w:t xml:space="preserve"> recommends</w:t>
      </w:r>
      <w:r w:rsidR="009D7B08">
        <w:rPr>
          <w:rFonts w:eastAsia="Batang"/>
          <w:lang w:eastAsia="en-AU"/>
        </w:rPr>
        <w:t xml:space="preserve"> that conventional SCS or DRGS </w:t>
      </w:r>
      <w:r w:rsidR="00401CF6">
        <w:rPr>
          <w:rFonts w:eastAsia="Batang"/>
          <w:lang w:eastAsia="en-AU"/>
        </w:rPr>
        <w:t xml:space="preserve">should be selected in patients with pain that is predominantly </w:t>
      </w:r>
      <w:r w:rsidR="00E56025">
        <w:rPr>
          <w:rFonts w:eastAsia="Batang"/>
          <w:lang w:eastAsia="en-AU"/>
        </w:rPr>
        <w:t xml:space="preserve">radicular, while high-frequency SCS or burst SCS may be appropriate </w:t>
      </w:r>
      <w:r w:rsidR="00680E76">
        <w:rPr>
          <w:rFonts w:eastAsia="Batang"/>
          <w:lang w:eastAsia="en-AU"/>
        </w:rPr>
        <w:t xml:space="preserve">for patients with axial back pain and tonic stimulation resistance. </w:t>
      </w:r>
      <w:r w:rsidR="0093404D">
        <w:rPr>
          <w:rFonts w:eastAsia="Batang"/>
          <w:lang w:eastAsia="en-AU"/>
        </w:rPr>
        <w:t xml:space="preserve">It is also recommended that DRGS is “superior to standard tonic SCS for unilateral focal pain caused by CRPS I and II in the lower extremity” (Deer </w:t>
      </w:r>
      <w:r w:rsidR="00E96E2C">
        <w:rPr>
          <w:rFonts w:eastAsia="Batang"/>
          <w:lang w:eastAsia="en-AU"/>
        </w:rPr>
        <w:t>et al.</w:t>
      </w:r>
      <w:r w:rsidR="0093404D">
        <w:rPr>
          <w:rFonts w:eastAsia="Batang"/>
          <w:lang w:eastAsia="en-AU"/>
        </w:rPr>
        <w:t xml:space="preserve"> 2019).</w:t>
      </w:r>
    </w:p>
    <w:p w14:paraId="035025D3" w14:textId="12BAAFB9" w:rsidR="009E2577" w:rsidRDefault="006F5208" w:rsidP="00B42AD1">
      <w:pPr>
        <w:pStyle w:val="BodyText"/>
        <w:rPr>
          <w:rFonts w:eastAsia="Batang"/>
          <w:lang w:eastAsia="en-AU"/>
        </w:rPr>
      </w:pPr>
      <w:r>
        <w:rPr>
          <w:rFonts w:eastAsia="Batang"/>
          <w:lang w:eastAsia="en-AU"/>
        </w:rPr>
        <w:t>NICE</w:t>
      </w:r>
      <w:r w:rsidR="00DF75E2">
        <w:rPr>
          <w:rFonts w:eastAsia="Batang"/>
          <w:lang w:eastAsia="en-AU"/>
        </w:rPr>
        <w:t xml:space="preserve"> ha</w:t>
      </w:r>
      <w:r>
        <w:rPr>
          <w:rFonts w:eastAsia="Batang"/>
          <w:lang w:eastAsia="en-AU"/>
        </w:rPr>
        <w:t>s</w:t>
      </w:r>
      <w:r w:rsidR="00DF75E2">
        <w:rPr>
          <w:rFonts w:eastAsia="Batang"/>
          <w:lang w:eastAsia="en-AU"/>
        </w:rPr>
        <w:t xml:space="preserve"> </w:t>
      </w:r>
      <w:r w:rsidR="0007460A">
        <w:rPr>
          <w:rFonts w:eastAsia="Batang"/>
          <w:lang w:eastAsia="en-AU"/>
        </w:rPr>
        <w:t xml:space="preserve">released </w:t>
      </w:r>
      <w:r w:rsidR="00B01B67">
        <w:rPr>
          <w:rFonts w:eastAsia="Batang"/>
          <w:lang w:eastAsia="en-AU"/>
        </w:rPr>
        <w:t>‘</w:t>
      </w:r>
      <w:r w:rsidR="0007460A">
        <w:rPr>
          <w:rFonts w:eastAsia="Batang"/>
          <w:lang w:eastAsia="en-AU"/>
        </w:rPr>
        <w:t>medical technologies guidance</w:t>
      </w:r>
      <w:r w:rsidR="00B01B67">
        <w:rPr>
          <w:rFonts w:eastAsia="Batang"/>
          <w:lang w:eastAsia="en-AU"/>
        </w:rPr>
        <w:t>’</w:t>
      </w:r>
      <w:r w:rsidR="002C68C0">
        <w:rPr>
          <w:rFonts w:eastAsia="Batang"/>
          <w:lang w:eastAsia="en-AU"/>
        </w:rPr>
        <w:t xml:space="preserve"> (MTG)</w:t>
      </w:r>
      <w:r w:rsidR="0007460A">
        <w:rPr>
          <w:rFonts w:eastAsia="Batang"/>
          <w:lang w:eastAsia="en-AU"/>
        </w:rPr>
        <w:t xml:space="preserve"> on the Senza SCS system</w:t>
      </w:r>
      <w:r w:rsidR="00D70FB2">
        <w:rPr>
          <w:rFonts w:eastAsia="Batang"/>
          <w:lang w:eastAsia="en-AU"/>
        </w:rPr>
        <w:t xml:space="preserve"> (Nevro) </w:t>
      </w:r>
      <w:r>
        <w:rPr>
          <w:rFonts w:eastAsia="Batang"/>
          <w:lang w:eastAsia="en-AU"/>
        </w:rPr>
        <w:t xml:space="preserve">that provides recommendations </w:t>
      </w:r>
      <w:r w:rsidR="00AF5F9E">
        <w:rPr>
          <w:rFonts w:eastAsia="Batang"/>
          <w:lang w:eastAsia="en-AU"/>
        </w:rPr>
        <w:t>for delivering high-frequency (HF10)</w:t>
      </w:r>
      <w:r w:rsidR="00BF6B8B">
        <w:rPr>
          <w:rFonts w:eastAsia="Batang"/>
          <w:lang w:eastAsia="en-AU"/>
        </w:rPr>
        <w:t xml:space="preserve"> therapy to patients with chronic </w:t>
      </w:r>
      <w:r w:rsidR="00763144">
        <w:rPr>
          <w:rFonts w:eastAsia="Batang"/>
          <w:lang w:eastAsia="en-AU"/>
        </w:rPr>
        <w:t xml:space="preserve">neuropathic </w:t>
      </w:r>
      <w:r w:rsidR="007C3166">
        <w:rPr>
          <w:rFonts w:eastAsia="Batang"/>
          <w:lang w:eastAsia="en-AU"/>
        </w:rPr>
        <w:t>back or leg pain after FBSS</w:t>
      </w:r>
      <w:r w:rsidR="00763144">
        <w:rPr>
          <w:rFonts w:eastAsia="Batang"/>
          <w:lang w:eastAsia="en-AU"/>
        </w:rPr>
        <w:t xml:space="preserve">. </w:t>
      </w:r>
      <w:r w:rsidR="002C68C0">
        <w:rPr>
          <w:rFonts w:eastAsia="Batang"/>
          <w:lang w:eastAsia="en-AU"/>
        </w:rPr>
        <w:t>The MTG advi</w:t>
      </w:r>
      <w:r w:rsidR="00BB75F3">
        <w:rPr>
          <w:rFonts w:eastAsia="Batang"/>
          <w:lang w:eastAsia="en-AU"/>
        </w:rPr>
        <w:t xml:space="preserve">ses that </w:t>
      </w:r>
      <w:r w:rsidR="0091548D">
        <w:rPr>
          <w:rFonts w:eastAsia="Batang"/>
          <w:lang w:eastAsia="en-AU"/>
        </w:rPr>
        <w:t xml:space="preserve">the Senza HF10 system </w:t>
      </w:r>
      <w:r w:rsidR="00B01B67">
        <w:rPr>
          <w:rFonts w:eastAsia="Batang"/>
          <w:lang w:eastAsia="en-AU"/>
        </w:rPr>
        <w:t xml:space="preserve">“is at least as effective </w:t>
      </w:r>
      <w:r w:rsidR="003268A8">
        <w:rPr>
          <w:rFonts w:eastAsia="Batang"/>
          <w:lang w:eastAsia="en-AU"/>
        </w:rPr>
        <w:t>as low</w:t>
      </w:r>
      <w:r w:rsidR="00A62433">
        <w:rPr>
          <w:rFonts w:eastAsia="Batang"/>
          <w:lang w:eastAsia="en-AU"/>
        </w:rPr>
        <w:t>-</w:t>
      </w:r>
      <w:r w:rsidR="003268A8">
        <w:rPr>
          <w:rFonts w:eastAsia="Batang"/>
          <w:lang w:eastAsia="en-AU"/>
        </w:rPr>
        <w:t>frequency SCS in reducing pain and functional disability</w:t>
      </w:r>
      <w:r w:rsidR="00850959">
        <w:rPr>
          <w:rFonts w:eastAsia="Batang"/>
          <w:lang w:eastAsia="en-AU"/>
        </w:rPr>
        <w:t xml:space="preserve">” </w:t>
      </w:r>
      <w:r w:rsidR="006F46EC">
        <w:rPr>
          <w:rFonts w:eastAsia="Batang"/>
          <w:lang w:eastAsia="en-AU"/>
        </w:rPr>
        <w:t xml:space="preserve">(based on evidence from </w:t>
      </w:r>
      <w:r w:rsidR="0033324D">
        <w:rPr>
          <w:rFonts w:eastAsia="Batang"/>
          <w:lang w:eastAsia="en-AU"/>
        </w:rPr>
        <w:t>10 studies, including 2 RCTs</w:t>
      </w:r>
      <w:r w:rsidR="006F46EC">
        <w:rPr>
          <w:rFonts w:eastAsia="Batang"/>
          <w:lang w:eastAsia="en-AU"/>
        </w:rPr>
        <w:t xml:space="preserve">) </w:t>
      </w:r>
      <w:r w:rsidR="00850959">
        <w:rPr>
          <w:rFonts w:eastAsia="Batang"/>
          <w:lang w:eastAsia="en-AU"/>
        </w:rPr>
        <w:t xml:space="preserve">and </w:t>
      </w:r>
      <w:r w:rsidR="00A20FC4">
        <w:rPr>
          <w:rFonts w:eastAsia="Batang"/>
          <w:lang w:eastAsia="en-AU"/>
        </w:rPr>
        <w:t>does not cause paraesthesia.</w:t>
      </w:r>
      <w:r w:rsidR="00406C43">
        <w:rPr>
          <w:rFonts w:eastAsia="Batang"/>
          <w:lang w:eastAsia="en-AU"/>
        </w:rPr>
        <w:t xml:space="preserve"> </w:t>
      </w:r>
      <w:r w:rsidR="00781F91">
        <w:rPr>
          <w:rFonts w:eastAsia="Batang"/>
          <w:lang w:eastAsia="en-AU"/>
        </w:rPr>
        <w:t xml:space="preserve">In order for patients to be eligible for the device, </w:t>
      </w:r>
      <w:r w:rsidR="00FE576E">
        <w:rPr>
          <w:rFonts w:eastAsia="Batang"/>
          <w:lang w:eastAsia="en-AU"/>
        </w:rPr>
        <w:t>patients must have failure of CMM prior to implantation (NICE 2019).</w:t>
      </w:r>
    </w:p>
    <w:p w14:paraId="2C9205BF" w14:textId="478A4005" w:rsidR="00AA1DE4" w:rsidRDefault="009F0A90" w:rsidP="00B42AD1">
      <w:pPr>
        <w:pStyle w:val="BodyText"/>
        <w:rPr>
          <w:rFonts w:eastAsia="Batang"/>
          <w:lang w:eastAsia="en-AU"/>
        </w:rPr>
      </w:pPr>
      <w:r>
        <w:rPr>
          <w:rFonts w:eastAsia="Batang"/>
          <w:lang w:eastAsia="en-AU"/>
        </w:rPr>
        <w:t>NICE</w:t>
      </w:r>
      <w:r w:rsidR="00680E76">
        <w:rPr>
          <w:rFonts w:eastAsia="Batang"/>
          <w:lang w:eastAsia="en-AU"/>
        </w:rPr>
        <w:t xml:space="preserve"> </w:t>
      </w:r>
      <w:r w:rsidR="00AA1DE4">
        <w:rPr>
          <w:rFonts w:eastAsia="Batang"/>
          <w:lang w:eastAsia="en-AU"/>
        </w:rPr>
        <w:t xml:space="preserve">have </w:t>
      </w:r>
      <w:r w:rsidR="00A843FB">
        <w:rPr>
          <w:rFonts w:eastAsia="Batang"/>
          <w:lang w:eastAsia="en-AU"/>
        </w:rPr>
        <w:t xml:space="preserve">also </w:t>
      </w:r>
      <w:r>
        <w:rPr>
          <w:rFonts w:eastAsia="Batang"/>
          <w:lang w:eastAsia="en-AU"/>
        </w:rPr>
        <w:t>released a number of ‘</w:t>
      </w:r>
      <w:proofErr w:type="spellStart"/>
      <w:r>
        <w:rPr>
          <w:rFonts w:eastAsia="Batang"/>
          <w:lang w:eastAsia="en-AU"/>
        </w:rPr>
        <w:t>medtech</w:t>
      </w:r>
      <w:proofErr w:type="spellEnd"/>
      <w:r>
        <w:rPr>
          <w:rFonts w:eastAsia="Batang"/>
          <w:lang w:eastAsia="en-AU"/>
        </w:rPr>
        <w:t xml:space="preserve"> innovation briefings’</w:t>
      </w:r>
      <w:r w:rsidR="002F22AD">
        <w:rPr>
          <w:rFonts w:eastAsia="Batang"/>
          <w:lang w:eastAsia="en-AU"/>
        </w:rPr>
        <w:t xml:space="preserve"> (MIB)</w:t>
      </w:r>
      <w:r>
        <w:rPr>
          <w:rFonts w:eastAsia="Batang"/>
          <w:lang w:eastAsia="en-AU"/>
        </w:rPr>
        <w:t xml:space="preserve"> </w:t>
      </w:r>
      <w:r w:rsidR="0039232C">
        <w:rPr>
          <w:rFonts w:eastAsia="Batang"/>
          <w:lang w:eastAsia="en-AU"/>
        </w:rPr>
        <w:t xml:space="preserve">that </w:t>
      </w:r>
      <w:r w:rsidR="00B06A6B">
        <w:rPr>
          <w:rFonts w:eastAsia="Batang"/>
          <w:lang w:eastAsia="en-AU"/>
        </w:rPr>
        <w:t xml:space="preserve">have </w:t>
      </w:r>
      <w:r w:rsidR="00B601D0">
        <w:rPr>
          <w:rFonts w:eastAsia="Batang"/>
          <w:lang w:eastAsia="en-AU"/>
        </w:rPr>
        <w:t>evaluate</w:t>
      </w:r>
      <w:r w:rsidR="00B06A6B">
        <w:rPr>
          <w:rFonts w:eastAsia="Batang"/>
          <w:lang w:eastAsia="en-AU"/>
        </w:rPr>
        <w:t xml:space="preserve">d </w:t>
      </w:r>
      <w:r w:rsidR="00B601D0">
        <w:rPr>
          <w:rFonts w:eastAsia="Batang"/>
          <w:lang w:eastAsia="en-AU"/>
        </w:rPr>
        <w:t>individual SCS systems</w:t>
      </w:r>
      <w:r w:rsidR="00C748B1">
        <w:rPr>
          <w:rFonts w:eastAsia="Batang"/>
          <w:lang w:eastAsia="en-AU"/>
        </w:rPr>
        <w:t xml:space="preserve">. </w:t>
      </w:r>
      <w:r w:rsidR="00AA1DE4">
        <w:rPr>
          <w:rFonts w:eastAsia="Batang"/>
          <w:lang w:eastAsia="en-AU"/>
        </w:rPr>
        <w:t xml:space="preserve">The </w:t>
      </w:r>
      <w:r w:rsidR="00D407EF">
        <w:rPr>
          <w:rFonts w:eastAsia="Batang"/>
          <w:lang w:eastAsia="en-AU"/>
        </w:rPr>
        <w:t>guidance</w:t>
      </w:r>
      <w:r w:rsidR="00AA1DE4">
        <w:rPr>
          <w:rFonts w:eastAsia="Batang"/>
          <w:lang w:eastAsia="en-AU"/>
        </w:rPr>
        <w:t xml:space="preserve"> from these </w:t>
      </w:r>
      <w:r w:rsidR="0039232C">
        <w:rPr>
          <w:rFonts w:eastAsia="Batang"/>
          <w:lang w:eastAsia="en-AU"/>
        </w:rPr>
        <w:t>briefing</w:t>
      </w:r>
      <w:r w:rsidR="00AF326D">
        <w:rPr>
          <w:rFonts w:eastAsia="Batang"/>
          <w:lang w:eastAsia="en-AU"/>
        </w:rPr>
        <w:t>s</w:t>
      </w:r>
      <w:r w:rsidR="0039232C">
        <w:rPr>
          <w:rFonts w:eastAsia="Batang"/>
          <w:lang w:eastAsia="en-AU"/>
        </w:rPr>
        <w:t xml:space="preserve"> </w:t>
      </w:r>
      <w:r w:rsidR="00B91163">
        <w:rPr>
          <w:rFonts w:eastAsia="Batang"/>
          <w:lang w:eastAsia="en-AU"/>
        </w:rPr>
        <w:t>is</w:t>
      </w:r>
      <w:r w:rsidR="00AA1DE4">
        <w:rPr>
          <w:rFonts w:eastAsia="Batang"/>
          <w:lang w:eastAsia="en-AU"/>
        </w:rPr>
        <w:t xml:space="preserve"> tabulated in </w:t>
      </w:r>
      <w:r w:rsidR="009C3427">
        <w:rPr>
          <w:rFonts w:eastAsia="Batang"/>
          <w:lang w:eastAsia="en-AU"/>
        </w:rPr>
        <w:fldChar w:fldCharType="begin"/>
      </w:r>
      <w:r w:rsidR="009C3427">
        <w:rPr>
          <w:rFonts w:eastAsia="Batang"/>
          <w:lang w:eastAsia="en-AU"/>
        </w:rPr>
        <w:instrText xml:space="preserve"> REF _Ref133941913 \h </w:instrText>
      </w:r>
      <w:r w:rsidR="009C3427">
        <w:rPr>
          <w:rFonts w:eastAsia="Batang"/>
          <w:lang w:eastAsia="en-AU"/>
        </w:rPr>
      </w:r>
      <w:r w:rsidR="009C3427">
        <w:rPr>
          <w:rFonts w:eastAsia="Batang"/>
          <w:lang w:eastAsia="en-AU"/>
        </w:rPr>
        <w:fldChar w:fldCharType="separate"/>
      </w:r>
      <w:r w:rsidR="00CE6ACA">
        <w:t xml:space="preserve">Table </w:t>
      </w:r>
      <w:r w:rsidR="00CE6ACA">
        <w:rPr>
          <w:noProof/>
        </w:rPr>
        <w:t>26</w:t>
      </w:r>
      <w:r w:rsidR="009C3427">
        <w:rPr>
          <w:rFonts w:eastAsia="Batang"/>
          <w:lang w:eastAsia="en-AU"/>
        </w:rPr>
        <w:fldChar w:fldCharType="end"/>
      </w:r>
      <w:r w:rsidR="00AA1DE4">
        <w:rPr>
          <w:rFonts w:eastAsia="Batang"/>
          <w:lang w:eastAsia="en-AU"/>
        </w:rPr>
        <w:t xml:space="preserve">. </w:t>
      </w:r>
    </w:p>
    <w:p w14:paraId="3DE16CB3" w14:textId="649EBF41" w:rsidR="00EF426A" w:rsidRDefault="00CE00F7" w:rsidP="00CE00F7">
      <w:pPr>
        <w:pStyle w:val="Caption"/>
        <w:rPr>
          <w:rFonts w:eastAsia="Batang"/>
          <w:lang w:eastAsia="en-AU"/>
        </w:rPr>
      </w:pPr>
      <w:bookmarkStart w:id="136" w:name="_Ref133941913"/>
      <w:r>
        <w:lastRenderedPageBreak/>
        <w:t xml:space="preserve">Table </w:t>
      </w:r>
      <w:r>
        <w:fldChar w:fldCharType="begin"/>
      </w:r>
      <w:r>
        <w:instrText>SEQ Table \* ARABIC</w:instrText>
      </w:r>
      <w:r>
        <w:fldChar w:fldCharType="separate"/>
      </w:r>
      <w:r w:rsidR="00CE6ACA">
        <w:rPr>
          <w:noProof/>
        </w:rPr>
        <w:t>26</w:t>
      </w:r>
      <w:r>
        <w:fldChar w:fldCharType="end"/>
      </w:r>
      <w:bookmarkEnd w:id="136"/>
      <w:r>
        <w:tab/>
        <w:t xml:space="preserve">NICE </w:t>
      </w:r>
      <w:proofErr w:type="spellStart"/>
      <w:r w:rsidR="009C3427">
        <w:t>medtech</w:t>
      </w:r>
      <w:proofErr w:type="spellEnd"/>
      <w:r w:rsidR="009C3427">
        <w:t xml:space="preserve"> innovation briefings for SCS systems</w:t>
      </w:r>
    </w:p>
    <w:tbl>
      <w:tblPr>
        <w:tblStyle w:val="TableGrid"/>
        <w:tblW w:w="0" w:type="auto"/>
        <w:tblLook w:val="04A0" w:firstRow="1" w:lastRow="0" w:firstColumn="1" w:lastColumn="0" w:noHBand="0" w:noVBand="1"/>
        <w:tblCaption w:val="NICE medtech innovation briefings for SCS systems"/>
        <w:tblDescription w:val="Table showing the the title and NICE conclusions of NICE medtech innovation briefings of SCS systems."/>
      </w:tblPr>
      <w:tblGrid>
        <w:gridCol w:w="993"/>
        <w:gridCol w:w="3402"/>
        <w:gridCol w:w="5243"/>
      </w:tblGrid>
      <w:tr w:rsidR="00EB6E39" w14:paraId="1AC357C4" w14:textId="77777777" w:rsidTr="00B43FF7">
        <w:trPr>
          <w:cnfStyle w:val="100000000000" w:firstRow="1" w:lastRow="0" w:firstColumn="0" w:lastColumn="0" w:oddVBand="0" w:evenVBand="0" w:oddHBand="0" w:evenHBand="0" w:firstRowFirstColumn="0" w:firstRowLastColumn="0" w:lastRowFirstColumn="0" w:lastRowLastColumn="0"/>
        </w:trPr>
        <w:tc>
          <w:tcPr>
            <w:tcW w:w="993" w:type="dxa"/>
          </w:tcPr>
          <w:p w14:paraId="699A9B11" w14:textId="09ABEA7C" w:rsidR="00EB6E39" w:rsidRPr="00A008DB" w:rsidRDefault="002F22AD" w:rsidP="00EB6E39">
            <w:pPr>
              <w:pStyle w:val="011TableHeading8pt"/>
              <w:rPr>
                <w:rFonts w:eastAsia="Batang"/>
                <w:sz w:val="18"/>
                <w:szCs w:val="24"/>
                <w:lang w:eastAsia="en-AU"/>
              </w:rPr>
            </w:pPr>
            <w:r w:rsidRPr="00A008DB">
              <w:rPr>
                <w:rFonts w:eastAsia="Batang"/>
                <w:sz w:val="18"/>
                <w:szCs w:val="24"/>
                <w:lang w:eastAsia="en-AU"/>
              </w:rPr>
              <w:t>MIB</w:t>
            </w:r>
          </w:p>
        </w:tc>
        <w:tc>
          <w:tcPr>
            <w:tcW w:w="3402" w:type="dxa"/>
          </w:tcPr>
          <w:p w14:paraId="6B3BBA08" w14:textId="6AEB5C91" w:rsidR="00EB6E39" w:rsidRPr="00A008DB" w:rsidRDefault="00F36277" w:rsidP="00EB6E39">
            <w:pPr>
              <w:pStyle w:val="011TableHeading8pt"/>
              <w:rPr>
                <w:rFonts w:eastAsia="Batang"/>
                <w:sz w:val="18"/>
                <w:szCs w:val="24"/>
                <w:lang w:eastAsia="en-AU"/>
              </w:rPr>
            </w:pPr>
            <w:r w:rsidRPr="00A008DB">
              <w:rPr>
                <w:rFonts w:eastAsia="Batang"/>
                <w:sz w:val="18"/>
                <w:szCs w:val="24"/>
                <w:lang w:eastAsia="en-AU"/>
              </w:rPr>
              <w:t>Title</w:t>
            </w:r>
          </w:p>
        </w:tc>
        <w:tc>
          <w:tcPr>
            <w:tcW w:w="5243" w:type="dxa"/>
          </w:tcPr>
          <w:p w14:paraId="6D5CC375" w14:textId="01456AFC" w:rsidR="00EB6E39" w:rsidRPr="00A008DB" w:rsidRDefault="00B54E63" w:rsidP="00EB6E39">
            <w:pPr>
              <w:pStyle w:val="011TableHeading8pt"/>
              <w:rPr>
                <w:rFonts w:eastAsia="Batang"/>
                <w:sz w:val="18"/>
                <w:szCs w:val="24"/>
                <w:lang w:eastAsia="en-AU"/>
              </w:rPr>
            </w:pPr>
            <w:r w:rsidRPr="00A008DB">
              <w:rPr>
                <w:rFonts w:eastAsia="Batang"/>
                <w:sz w:val="18"/>
                <w:szCs w:val="24"/>
                <w:lang w:eastAsia="en-AU"/>
              </w:rPr>
              <w:t>NICE c</w:t>
            </w:r>
            <w:r w:rsidR="00F36277" w:rsidRPr="00A008DB">
              <w:rPr>
                <w:rFonts w:eastAsia="Batang"/>
                <w:sz w:val="18"/>
                <w:szCs w:val="24"/>
                <w:lang w:eastAsia="en-AU"/>
              </w:rPr>
              <w:t>onclusions</w:t>
            </w:r>
          </w:p>
        </w:tc>
      </w:tr>
      <w:tr w:rsidR="00EB6E39" w14:paraId="232A678F" w14:textId="77777777" w:rsidTr="00B43FF7">
        <w:tc>
          <w:tcPr>
            <w:tcW w:w="993" w:type="dxa"/>
          </w:tcPr>
          <w:p w14:paraId="530AC235" w14:textId="0364B7D3" w:rsidR="00EB6E39" w:rsidRPr="00A008DB" w:rsidRDefault="009B6A87" w:rsidP="00EB6E39">
            <w:pPr>
              <w:pStyle w:val="051Tabletext228pt"/>
              <w:rPr>
                <w:rFonts w:eastAsia="Batang"/>
                <w:sz w:val="18"/>
                <w:szCs w:val="24"/>
                <w:lang w:eastAsia="en-AU"/>
              </w:rPr>
            </w:pPr>
            <w:r w:rsidRPr="00A008DB">
              <w:rPr>
                <w:rFonts w:eastAsia="Batang"/>
                <w:sz w:val="18"/>
                <w:szCs w:val="24"/>
                <w:lang w:eastAsia="en-AU"/>
              </w:rPr>
              <w:t xml:space="preserve">NICE </w:t>
            </w:r>
            <w:r w:rsidR="00235665" w:rsidRPr="00A008DB">
              <w:rPr>
                <w:rFonts w:eastAsia="Batang"/>
                <w:sz w:val="18"/>
                <w:szCs w:val="24"/>
                <w:lang w:eastAsia="en-AU"/>
              </w:rPr>
              <w:t>2022</w:t>
            </w:r>
            <w:r w:rsidR="00235665" w:rsidRPr="00A008DB">
              <w:rPr>
                <w:rFonts w:eastAsia="Batang"/>
                <w:sz w:val="18"/>
                <w:szCs w:val="24"/>
                <w:lang w:eastAsia="en-AU"/>
              </w:rPr>
              <w:br/>
              <w:t>MIB305</w:t>
            </w:r>
          </w:p>
        </w:tc>
        <w:tc>
          <w:tcPr>
            <w:tcW w:w="3402" w:type="dxa"/>
          </w:tcPr>
          <w:p w14:paraId="5EC95A72" w14:textId="774FFFA0" w:rsidR="00EB6E39" w:rsidRPr="00A008DB" w:rsidRDefault="00AA4A84" w:rsidP="00EB6E39">
            <w:pPr>
              <w:pStyle w:val="051Tabletext228pt"/>
              <w:rPr>
                <w:rFonts w:eastAsia="Batang"/>
                <w:sz w:val="18"/>
                <w:szCs w:val="24"/>
                <w:lang w:eastAsia="en-AU"/>
              </w:rPr>
            </w:pPr>
            <w:r w:rsidRPr="00A008DB">
              <w:rPr>
                <w:rFonts w:eastAsia="Batang"/>
                <w:sz w:val="18"/>
                <w:szCs w:val="24"/>
                <w:lang w:eastAsia="en-AU"/>
              </w:rPr>
              <w:t>Differential target multiplexed spinal cord stimulation for chronic lower back and leg pain</w:t>
            </w:r>
          </w:p>
        </w:tc>
        <w:tc>
          <w:tcPr>
            <w:tcW w:w="5243" w:type="dxa"/>
          </w:tcPr>
          <w:p w14:paraId="6D9FB688" w14:textId="326BC53C" w:rsidR="00EB6E39" w:rsidRPr="00A008DB" w:rsidRDefault="00D37856" w:rsidP="00B43FF7">
            <w:pPr>
              <w:pStyle w:val="051Tabletext228pt"/>
              <w:rPr>
                <w:rFonts w:eastAsia="Batang"/>
                <w:sz w:val="18"/>
                <w:szCs w:val="24"/>
                <w:lang w:eastAsia="en-AU"/>
              </w:rPr>
            </w:pPr>
            <w:r w:rsidRPr="00A008DB">
              <w:rPr>
                <w:rFonts w:eastAsia="Batang"/>
                <w:sz w:val="18"/>
                <w:szCs w:val="24"/>
                <w:lang w:eastAsia="en-AU"/>
              </w:rPr>
              <w:t xml:space="preserve">The intended place in therapy would be as an alternative to traditional </w:t>
            </w:r>
            <w:r w:rsidR="00670897" w:rsidRPr="00A008DB">
              <w:rPr>
                <w:rFonts w:eastAsia="Batang"/>
                <w:sz w:val="18"/>
                <w:szCs w:val="24"/>
                <w:lang w:eastAsia="en-AU"/>
              </w:rPr>
              <w:t>SCS</w:t>
            </w:r>
            <w:r w:rsidRPr="00A008DB">
              <w:rPr>
                <w:rFonts w:eastAsia="Batang"/>
                <w:sz w:val="18"/>
                <w:szCs w:val="24"/>
                <w:lang w:eastAsia="en-AU"/>
              </w:rPr>
              <w:t xml:space="preserve"> in adults with chronic, intractable, lower back and leg pain.</w:t>
            </w:r>
            <w:r w:rsidRPr="00A008DB">
              <w:rPr>
                <w:rFonts w:eastAsia="Batang"/>
                <w:sz w:val="18"/>
                <w:szCs w:val="24"/>
                <w:lang w:eastAsia="en-AU"/>
              </w:rPr>
              <w:br/>
            </w:r>
            <w:r w:rsidR="00B43FF7" w:rsidRPr="00A008DB">
              <w:rPr>
                <w:rFonts w:eastAsia="Batang"/>
                <w:sz w:val="18"/>
                <w:szCs w:val="24"/>
                <w:lang w:eastAsia="en-AU"/>
              </w:rPr>
              <w:t xml:space="preserve">Experts advised that DTM SCS is a minor innovative variation of traditional </w:t>
            </w:r>
            <w:r w:rsidR="00F70DB4" w:rsidRPr="00A008DB">
              <w:rPr>
                <w:rFonts w:eastAsia="Batang"/>
                <w:sz w:val="18"/>
                <w:szCs w:val="24"/>
                <w:lang w:eastAsia="en-AU"/>
              </w:rPr>
              <w:t>SCS</w:t>
            </w:r>
            <w:r w:rsidR="00B43FF7" w:rsidRPr="00A008DB">
              <w:rPr>
                <w:rFonts w:eastAsia="Batang"/>
                <w:sz w:val="18"/>
                <w:szCs w:val="24"/>
                <w:lang w:eastAsia="en-AU"/>
              </w:rPr>
              <w:t>, which could however, provide pain relief and improvements in quality of life to people. They also noted that few patients with chronic intractable pain currently receive</w:t>
            </w:r>
            <w:r w:rsidR="006834F1" w:rsidRPr="00A008DB">
              <w:rPr>
                <w:rFonts w:eastAsia="Batang"/>
                <w:sz w:val="18"/>
                <w:szCs w:val="24"/>
                <w:lang w:eastAsia="en-AU"/>
              </w:rPr>
              <w:t xml:space="preserve"> </w:t>
            </w:r>
            <w:r w:rsidR="008A5272" w:rsidRPr="00A008DB">
              <w:rPr>
                <w:rFonts w:eastAsia="Batang"/>
                <w:sz w:val="18"/>
                <w:szCs w:val="24"/>
                <w:lang w:eastAsia="en-AU"/>
              </w:rPr>
              <w:t>SCS</w:t>
            </w:r>
            <w:r w:rsidR="00B43FF7" w:rsidRPr="00A008DB">
              <w:rPr>
                <w:rFonts w:eastAsia="Batang"/>
                <w:sz w:val="18"/>
                <w:szCs w:val="24"/>
                <w:lang w:eastAsia="en-AU"/>
              </w:rPr>
              <w:t>.</w:t>
            </w:r>
          </w:p>
        </w:tc>
      </w:tr>
      <w:tr w:rsidR="00EB6E39" w14:paraId="07C8D405" w14:textId="77777777" w:rsidTr="00B43FF7">
        <w:tc>
          <w:tcPr>
            <w:tcW w:w="993" w:type="dxa"/>
          </w:tcPr>
          <w:p w14:paraId="2CD39F02" w14:textId="337C14B8" w:rsidR="00EB6E39" w:rsidRPr="00A008DB" w:rsidRDefault="00144BB1" w:rsidP="00EB6E39">
            <w:pPr>
              <w:pStyle w:val="051Tabletext228pt"/>
              <w:rPr>
                <w:rFonts w:eastAsia="Batang"/>
                <w:sz w:val="18"/>
                <w:szCs w:val="24"/>
                <w:lang w:eastAsia="en-AU"/>
              </w:rPr>
            </w:pPr>
            <w:r w:rsidRPr="00A008DB">
              <w:rPr>
                <w:rFonts w:eastAsia="Batang"/>
                <w:sz w:val="18"/>
                <w:szCs w:val="24"/>
                <w:lang w:eastAsia="en-AU"/>
              </w:rPr>
              <w:t>NICE 202</w:t>
            </w:r>
            <w:r w:rsidR="00192F26" w:rsidRPr="00A008DB">
              <w:rPr>
                <w:rFonts w:eastAsia="Batang"/>
                <w:sz w:val="18"/>
                <w:szCs w:val="24"/>
                <w:lang w:eastAsia="en-AU"/>
              </w:rPr>
              <w:t>0</w:t>
            </w:r>
            <w:r w:rsidRPr="00A008DB">
              <w:rPr>
                <w:rFonts w:eastAsia="Batang"/>
                <w:sz w:val="18"/>
                <w:szCs w:val="24"/>
                <w:lang w:eastAsia="en-AU"/>
              </w:rPr>
              <w:br/>
            </w:r>
            <w:r w:rsidR="00192F26" w:rsidRPr="00A008DB">
              <w:rPr>
                <w:rFonts w:eastAsia="Batang"/>
                <w:sz w:val="18"/>
                <w:szCs w:val="24"/>
                <w:lang w:eastAsia="en-AU"/>
              </w:rPr>
              <w:t>MIB</w:t>
            </w:r>
            <w:r w:rsidR="00C32D47" w:rsidRPr="00A008DB">
              <w:rPr>
                <w:rFonts w:eastAsia="Batang"/>
                <w:sz w:val="18"/>
                <w:szCs w:val="24"/>
                <w:lang w:eastAsia="en-AU"/>
              </w:rPr>
              <w:t>238</w:t>
            </w:r>
          </w:p>
        </w:tc>
        <w:tc>
          <w:tcPr>
            <w:tcW w:w="3402" w:type="dxa"/>
          </w:tcPr>
          <w:p w14:paraId="4D87E332" w14:textId="31EF474E" w:rsidR="00EB6E39" w:rsidRPr="00A008DB" w:rsidRDefault="00D90B7C" w:rsidP="00EB6E39">
            <w:pPr>
              <w:pStyle w:val="051Tabletext228pt"/>
              <w:rPr>
                <w:rFonts w:eastAsia="Batang"/>
                <w:sz w:val="18"/>
                <w:szCs w:val="24"/>
                <w:lang w:eastAsia="en-AU"/>
              </w:rPr>
            </w:pPr>
            <w:r w:rsidRPr="00A008DB">
              <w:rPr>
                <w:rFonts w:eastAsia="Batang"/>
                <w:sz w:val="18"/>
                <w:szCs w:val="24"/>
                <w:lang w:eastAsia="en-AU"/>
              </w:rPr>
              <w:t>Evoke Spinal Cord Stimulator for managing chronic neuropathic or ischaemic pain</w:t>
            </w:r>
          </w:p>
        </w:tc>
        <w:tc>
          <w:tcPr>
            <w:tcW w:w="5243" w:type="dxa"/>
          </w:tcPr>
          <w:p w14:paraId="7123DC56" w14:textId="27C9F72F" w:rsidR="00EB6E39" w:rsidRPr="00A008DB" w:rsidRDefault="00E42DBC" w:rsidP="00EB6E39">
            <w:pPr>
              <w:pStyle w:val="051Tabletext228pt"/>
              <w:rPr>
                <w:rFonts w:eastAsia="Batang"/>
                <w:sz w:val="18"/>
                <w:szCs w:val="24"/>
                <w:lang w:eastAsia="en-AU"/>
              </w:rPr>
            </w:pPr>
            <w:r w:rsidRPr="00A008DB">
              <w:rPr>
                <w:rFonts w:eastAsia="Batang"/>
                <w:sz w:val="18"/>
                <w:szCs w:val="24"/>
                <w:lang w:eastAsia="en-AU"/>
              </w:rPr>
              <w:t xml:space="preserve">The intended place in therapy would be as a replacement or alternative to current open-loop (fixed-output) </w:t>
            </w:r>
            <w:r w:rsidR="00D1155C" w:rsidRPr="00A008DB">
              <w:rPr>
                <w:rFonts w:eastAsia="Batang"/>
                <w:sz w:val="18"/>
                <w:szCs w:val="24"/>
                <w:lang w:eastAsia="en-AU"/>
              </w:rPr>
              <w:t>SCS</w:t>
            </w:r>
            <w:r w:rsidRPr="00A008DB">
              <w:rPr>
                <w:rFonts w:eastAsia="Batang"/>
                <w:sz w:val="18"/>
                <w:szCs w:val="24"/>
                <w:lang w:eastAsia="en-AU"/>
              </w:rPr>
              <w:t xml:space="preserve"> therapy in people with leg and back pain.</w:t>
            </w:r>
            <w:r w:rsidRPr="00A008DB">
              <w:rPr>
                <w:rFonts w:eastAsia="Batang"/>
                <w:sz w:val="18"/>
                <w:szCs w:val="24"/>
                <w:lang w:eastAsia="en-AU"/>
              </w:rPr>
              <w:br/>
            </w:r>
            <w:r w:rsidR="00EF426A" w:rsidRPr="00A008DB">
              <w:rPr>
                <w:rFonts w:eastAsia="Batang"/>
                <w:sz w:val="18"/>
                <w:szCs w:val="24"/>
                <w:lang w:eastAsia="en-AU"/>
              </w:rPr>
              <w:t xml:space="preserve">Evoke is more effective than open-loop </w:t>
            </w:r>
            <w:r w:rsidR="001C7A3E" w:rsidRPr="00A008DB">
              <w:rPr>
                <w:rFonts w:eastAsia="Batang"/>
                <w:sz w:val="18"/>
                <w:szCs w:val="24"/>
                <w:lang w:eastAsia="en-AU"/>
              </w:rPr>
              <w:t>SCS</w:t>
            </w:r>
            <w:r w:rsidR="00EF426A" w:rsidRPr="00A008DB">
              <w:rPr>
                <w:rFonts w:eastAsia="Batang"/>
                <w:sz w:val="18"/>
                <w:szCs w:val="24"/>
                <w:lang w:eastAsia="en-AU"/>
              </w:rPr>
              <w:t xml:space="preserve"> in people with intractable back and leg pain</w:t>
            </w:r>
            <w:r w:rsidR="001C7A3E" w:rsidRPr="00A008DB">
              <w:rPr>
                <w:rFonts w:eastAsia="Batang"/>
                <w:sz w:val="18"/>
                <w:szCs w:val="24"/>
                <w:lang w:eastAsia="en-AU"/>
              </w:rPr>
              <w:t>.</w:t>
            </w:r>
          </w:p>
        </w:tc>
      </w:tr>
    </w:tbl>
    <w:p w14:paraId="13A4521B" w14:textId="488C5B5A" w:rsidR="00357BC9" w:rsidRDefault="00E818CC" w:rsidP="00E818CC">
      <w:pPr>
        <w:pStyle w:val="111Tablefootnoteslast-nostick8pt"/>
        <w:rPr>
          <w:rFonts w:eastAsia="Batang"/>
          <w:lang w:eastAsia="en-AU"/>
        </w:rPr>
      </w:pPr>
      <w:r>
        <w:rPr>
          <w:rFonts w:eastAsia="Batang"/>
          <w:lang w:eastAsia="en-AU"/>
        </w:rPr>
        <w:t xml:space="preserve">Abbreviations: DTM, differential target multiplexed; </w:t>
      </w:r>
      <w:r w:rsidR="004D1DC6">
        <w:rPr>
          <w:rFonts w:eastAsia="Batang"/>
          <w:lang w:eastAsia="en-AU"/>
        </w:rPr>
        <w:t xml:space="preserve">NICE, National Institute for Health and Care Excellence; </w:t>
      </w:r>
      <w:r>
        <w:rPr>
          <w:rFonts w:eastAsia="Batang"/>
          <w:lang w:eastAsia="en-AU"/>
        </w:rPr>
        <w:t>SCS, spinal cord stimulation</w:t>
      </w:r>
    </w:p>
    <w:p w14:paraId="63804921" w14:textId="1DFF7739" w:rsidR="00C80AB3" w:rsidRDefault="00C80AB3" w:rsidP="00C80AB3">
      <w:pPr>
        <w:pStyle w:val="Heading3"/>
        <w:rPr>
          <w:rFonts w:eastAsia="Batang"/>
          <w:lang w:eastAsia="en-AU"/>
        </w:rPr>
      </w:pPr>
      <w:bookmarkStart w:id="137" w:name="_Ref134020307"/>
      <w:bookmarkStart w:id="138" w:name="_Toc165634687"/>
      <w:r>
        <w:rPr>
          <w:rFonts w:eastAsia="Batang"/>
          <w:lang w:eastAsia="en-AU"/>
        </w:rPr>
        <w:t>Trial</w:t>
      </w:r>
      <w:r w:rsidR="0070342C">
        <w:rPr>
          <w:rFonts w:eastAsia="Batang"/>
          <w:lang w:eastAsia="en-AU"/>
        </w:rPr>
        <w:t xml:space="preserve"> stimulation</w:t>
      </w:r>
      <w:bookmarkEnd w:id="137"/>
      <w:bookmarkEnd w:id="138"/>
    </w:p>
    <w:p w14:paraId="3BED7719" w14:textId="4E3E51B7" w:rsidR="00AA1DE4" w:rsidRDefault="008920E1" w:rsidP="00C80AB3">
      <w:pPr>
        <w:pStyle w:val="BodyText"/>
        <w:rPr>
          <w:rFonts w:eastAsia="Batang"/>
          <w:lang w:eastAsia="en-AU"/>
        </w:rPr>
      </w:pPr>
      <w:r>
        <w:rPr>
          <w:rFonts w:eastAsia="Batang"/>
          <w:lang w:eastAsia="en-AU"/>
        </w:rPr>
        <w:t xml:space="preserve">There is consensus between the </w:t>
      </w:r>
      <w:r w:rsidR="00962D19">
        <w:rPr>
          <w:rFonts w:eastAsia="Batang"/>
          <w:lang w:eastAsia="en-AU"/>
        </w:rPr>
        <w:t>four</w:t>
      </w:r>
      <w:r>
        <w:rPr>
          <w:rFonts w:eastAsia="Batang"/>
          <w:lang w:eastAsia="en-AU"/>
        </w:rPr>
        <w:t xml:space="preserve"> publications that a trial stimulation is recommended </w:t>
      </w:r>
      <w:r w:rsidR="00D76188">
        <w:rPr>
          <w:rFonts w:eastAsia="Batang"/>
          <w:lang w:eastAsia="en-AU"/>
        </w:rPr>
        <w:t>prior to permanent implantation of an SCS device.</w:t>
      </w:r>
      <w:r w:rsidR="00B956B2">
        <w:rPr>
          <w:rFonts w:eastAsia="Batang"/>
          <w:lang w:eastAsia="en-AU"/>
        </w:rPr>
        <w:t xml:space="preserve"> The NACC</w:t>
      </w:r>
      <w:r w:rsidR="00D76188">
        <w:rPr>
          <w:rFonts w:eastAsia="Batang"/>
          <w:lang w:eastAsia="en-AU"/>
        </w:rPr>
        <w:t xml:space="preserve"> </w:t>
      </w:r>
      <w:r w:rsidR="000C32B5">
        <w:rPr>
          <w:rFonts w:eastAsia="Batang"/>
          <w:lang w:eastAsia="en-AU"/>
        </w:rPr>
        <w:t>also recommends a “</w:t>
      </w:r>
      <w:proofErr w:type="spellStart"/>
      <w:r w:rsidR="000750CD">
        <w:rPr>
          <w:rFonts w:eastAsia="Batang"/>
          <w:lang w:eastAsia="en-AU"/>
        </w:rPr>
        <w:t>trial</w:t>
      </w:r>
      <w:r w:rsidR="00640495">
        <w:rPr>
          <w:rFonts w:eastAsia="Batang"/>
          <w:lang w:eastAsia="en-AU"/>
        </w:rPr>
        <w:t>ing</w:t>
      </w:r>
      <w:proofErr w:type="spellEnd"/>
      <w:r w:rsidR="000C32B5">
        <w:rPr>
          <w:rFonts w:eastAsia="Batang"/>
          <w:lang w:eastAsia="en-AU"/>
        </w:rPr>
        <w:t xml:space="preserve"> methodology” </w:t>
      </w:r>
      <w:r w:rsidR="0088295B">
        <w:rPr>
          <w:rFonts w:eastAsia="Batang"/>
          <w:lang w:eastAsia="en-AU"/>
        </w:rPr>
        <w:t xml:space="preserve">for DRGS </w:t>
      </w:r>
      <w:r w:rsidR="009E1F9C">
        <w:rPr>
          <w:rFonts w:eastAsia="Batang"/>
          <w:lang w:eastAsia="en-AU"/>
        </w:rPr>
        <w:t>in</w:t>
      </w:r>
      <w:r w:rsidR="0088295B">
        <w:rPr>
          <w:rFonts w:eastAsia="Batang"/>
          <w:lang w:eastAsia="en-AU"/>
        </w:rPr>
        <w:t xml:space="preserve"> </w:t>
      </w:r>
      <w:r w:rsidR="009E1F9C">
        <w:rPr>
          <w:rFonts w:eastAsia="Batang"/>
          <w:lang w:eastAsia="en-AU"/>
        </w:rPr>
        <w:t>“</w:t>
      </w:r>
      <w:r w:rsidR="0088295B">
        <w:rPr>
          <w:rFonts w:eastAsia="Batang"/>
          <w:lang w:eastAsia="en-AU"/>
        </w:rPr>
        <w:t xml:space="preserve">painful areas with coverage of </w:t>
      </w:r>
      <w:r w:rsidR="009E1F9C">
        <w:rPr>
          <w:rFonts w:eastAsia="Batang"/>
          <w:lang w:eastAsia="en-AU"/>
        </w:rPr>
        <w:t>bilateral complaints bilaterally”</w:t>
      </w:r>
      <w:r w:rsidR="009B459A" w:rsidRPr="009B459A">
        <w:rPr>
          <w:rFonts w:eastAsia="Batang"/>
          <w:lang w:eastAsia="en-AU"/>
        </w:rPr>
        <w:t xml:space="preserve"> </w:t>
      </w:r>
      <w:r w:rsidR="009B459A">
        <w:rPr>
          <w:rFonts w:eastAsia="Batang"/>
          <w:lang w:eastAsia="en-AU"/>
        </w:rPr>
        <w:t xml:space="preserve">(Deer </w:t>
      </w:r>
      <w:r w:rsidR="00AE18C1">
        <w:rPr>
          <w:rFonts w:eastAsia="Batang"/>
          <w:lang w:eastAsia="en-AU"/>
        </w:rPr>
        <w:t xml:space="preserve">et al. </w:t>
      </w:r>
      <w:r w:rsidR="009B459A">
        <w:rPr>
          <w:rFonts w:eastAsia="Batang"/>
          <w:lang w:eastAsia="en-AU"/>
        </w:rPr>
        <w:t>2019)</w:t>
      </w:r>
      <w:r w:rsidR="004E0562">
        <w:rPr>
          <w:rFonts w:eastAsia="Batang"/>
          <w:lang w:eastAsia="en-AU"/>
        </w:rPr>
        <w:t xml:space="preserve">, and for </w:t>
      </w:r>
      <w:r w:rsidR="004704A3">
        <w:rPr>
          <w:rFonts w:eastAsia="Batang"/>
          <w:lang w:eastAsia="en-AU"/>
        </w:rPr>
        <w:t xml:space="preserve">cervical SCS in patients with cervical radicular pain with or without cervical axial neck pain and without clear surgical pathology (Deer </w:t>
      </w:r>
      <w:r w:rsidR="00AC4FB5">
        <w:rPr>
          <w:rFonts w:eastAsia="Batang"/>
          <w:lang w:eastAsia="en-AU"/>
        </w:rPr>
        <w:t xml:space="preserve">et al. </w:t>
      </w:r>
      <w:r w:rsidR="004704A3">
        <w:rPr>
          <w:rFonts w:eastAsia="Batang"/>
          <w:lang w:eastAsia="en-AU"/>
        </w:rPr>
        <w:t>202</w:t>
      </w:r>
      <w:r w:rsidR="006609BF">
        <w:rPr>
          <w:rFonts w:eastAsia="Batang"/>
          <w:lang w:eastAsia="en-AU"/>
        </w:rPr>
        <w:t>2</w:t>
      </w:r>
      <w:r w:rsidR="004704A3">
        <w:rPr>
          <w:rFonts w:eastAsia="Batang"/>
          <w:lang w:eastAsia="en-AU"/>
        </w:rPr>
        <w:t>)</w:t>
      </w:r>
      <w:r w:rsidR="009E1F9C">
        <w:rPr>
          <w:rFonts w:eastAsia="Batang"/>
          <w:lang w:eastAsia="en-AU"/>
        </w:rPr>
        <w:t xml:space="preserve">. </w:t>
      </w:r>
      <w:r w:rsidR="00D91275">
        <w:rPr>
          <w:rFonts w:eastAsia="Batang"/>
          <w:lang w:eastAsia="en-AU"/>
        </w:rPr>
        <w:t>A trial stimulation is recommended to take place within</w:t>
      </w:r>
      <w:r w:rsidR="003104D2">
        <w:rPr>
          <w:rFonts w:eastAsia="Batang"/>
          <w:lang w:eastAsia="en-AU"/>
        </w:rPr>
        <w:t xml:space="preserve"> the first two years of chronic pain and a successful trial is defined as “the patient having had at least 50% pain relief</w:t>
      </w:r>
      <w:r w:rsidR="004F74C9">
        <w:rPr>
          <w:rFonts w:eastAsia="Batang"/>
          <w:lang w:eastAsia="en-AU"/>
        </w:rPr>
        <w:t xml:space="preserve">” (Deer </w:t>
      </w:r>
      <w:r w:rsidR="005941A6">
        <w:rPr>
          <w:rFonts w:eastAsia="Batang"/>
          <w:lang w:eastAsia="en-AU"/>
        </w:rPr>
        <w:t xml:space="preserve">et al. </w:t>
      </w:r>
      <w:r w:rsidR="004F74C9">
        <w:rPr>
          <w:rFonts w:eastAsia="Batang"/>
          <w:lang w:eastAsia="en-AU"/>
        </w:rPr>
        <w:t>2014). This is</w:t>
      </w:r>
      <w:r w:rsidR="003A4F44">
        <w:rPr>
          <w:rFonts w:eastAsia="Batang"/>
          <w:lang w:eastAsia="en-AU"/>
        </w:rPr>
        <w:t xml:space="preserve"> supported by NICE (2008)</w:t>
      </w:r>
      <w:r w:rsidR="005941A6">
        <w:rPr>
          <w:rFonts w:eastAsia="Batang"/>
          <w:lang w:eastAsia="en-AU"/>
        </w:rPr>
        <w:t>,</w:t>
      </w:r>
      <w:r w:rsidR="003A4F44">
        <w:rPr>
          <w:rFonts w:eastAsia="Batang"/>
          <w:lang w:eastAsia="en-AU"/>
        </w:rPr>
        <w:t xml:space="preserve"> which recommends </w:t>
      </w:r>
      <w:r w:rsidR="00E72AEA">
        <w:rPr>
          <w:rFonts w:eastAsia="Batang"/>
          <w:lang w:eastAsia="en-AU"/>
        </w:rPr>
        <w:t>that implantation “should follow only after a successful trial of stimulation</w:t>
      </w:r>
      <w:r w:rsidR="0013214E">
        <w:rPr>
          <w:rFonts w:eastAsia="Batang"/>
          <w:lang w:eastAsia="en-AU"/>
        </w:rPr>
        <w:t>”.</w:t>
      </w:r>
    </w:p>
    <w:p w14:paraId="5952C38B" w14:textId="4B9378FC" w:rsidR="00725250" w:rsidRDefault="00E2452D" w:rsidP="00C80AB3">
      <w:pPr>
        <w:pStyle w:val="BodyText"/>
        <w:rPr>
          <w:rFonts w:eastAsia="Batang"/>
          <w:lang w:eastAsia="en-AU"/>
        </w:rPr>
      </w:pPr>
      <w:r>
        <w:rPr>
          <w:rFonts w:eastAsia="Batang"/>
          <w:lang w:eastAsia="en-AU"/>
        </w:rPr>
        <w:t xml:space="preserve">Regulatory advice </w:t>
      </w:r>
      <w:r w:rsidR="000452F3">
        <w:rPr>
          <w:rFonts w:eastAsia="Batang"/>
          <w:lang w:eastAsia="en-AU"/>
        </w:rPr>
        <w:t>published by the</w:t>
      </w:r>
      <w:r>
        <w:rPr>
          <w:rFonts w:eastAsia="Batang"/>
          <w:lang w:eastAsia="en-AU"/>
        </w:rPr>
        <w:t xml:space="preserve"> U.S Food and Drug Administration (FDA) (2020) </w:t>
      </w:r>
      <w:r w:rsidR="00725250">
        <w:rPr>
          <w:rFonts w:eastAsia="Batang"/>
          <w:lang w:eastAsia="en-AU"/>
        </w:rPr>
        <w:t>recommends that:</w:t>
      </w:r>
    </w:p>
    <w:p w14:paraId="65BA0D20" w14:textId="69C15E73" w:rsidR="000452F3" w:rsidRDefault="0070342C" w:rsidP="00C66C59">
      <w:pPr>
        <w:pStyle w:val="Bulletpoint"/>
        <w:spacing w:after="0"/>
        <w:ind w:left="734"/>
        <w:rPr>
          <w:rFonts w:eastAsia="Batang"/>
          <w:lang w:eastAsia="en-AU"/>
        </w:rPr>
      </w:pPr>
      <w:r>
        <w:rPr>
          <w:rFonts w:eastAsia="Batang"/>
          <w:lang w:eastAsia="en-AU"/>
        </w:rPr>
        <w:t xml:space="preserve">Permanent SCS should only be implanted in patients who have undergone and </w:t>
      </w:r>
      <w:r w:rsidR="00CA4C6D">
        <w:rPr>
          <w:rFonts w:eastAsia="Batang"/>
          <w:lang w:eastAsia="en-AU"/>
        </w:rPr>
        <w:t>passed a stimulation trial.</w:t>
      </w:r>
    </w:p>
    <w:p w14:paraId="5C6E2B48" w14:textId="7E2CAA7D" w:rsidR="00CA4C6D" w:rsidRDefault="00CA4C6D" w:rsidP="00C66C59">
      <w:pPr>
        <w:pStyle w:val="Bulletpoint"/>
        <w:spacing w:after="0"/>
        <w:ind w:left="734"/>
        <w:rPr>
          <w:rFonts w:eastAsia="Batang"/>
          <w:lang w:eastAsia="en-AU"/>
        </w:rPr>
      </w:pPr>
      <w:r>
        <w:rPr>
          <w:rFonts w:eastAsia="Batang"/>
          <w:lang w:eastAsia="en-AU"/>
        </w:rPr>
        <w:t xml:space="preserve">Health care providers typically perform a stimulation trial on a patient for </w:t>
      </w:r>
      <w:r w:rsidR="00BA4623">
        <w:rPr>
          <w:rFonts w:eastAsia="Batang"/>
          <w:lang w:eastAsia="en-AU"/>
        </w:rPr>
        <w:t>3-7 days</w:t>
      </w:r>
      <w:r w:rsidR="000750CD">
        <w:rPr>
          <w:rFonts w:eastAsia="Batang"/>
          <w:lang w:eastAsia="en-AU"/>
        </w:rPr>
        <w:t>.</w:t>
      </w:r>
    </w:p>
    <w:p w14:paraId="07AE0D91" w14:textId="2A28E708" w:rsidR="00BA4623" w:rsidRPr="00BA4623" w:rsidRDefault="00BA4623" w:rsidP="00BA4623">
      <w:pPr>
        <w:pStyle w:val="Bulletpoint"/>
        <w:rPr>
          <w:rFonts w:eastAsia="Batang"/>
          <w:lang w:eastAsia="en-AU"/>
        </w:rPr>
      </w:pPr>
      <w:r>
        <w:rPr>
          <w:rFonts w:eastAsia="Batang"/>
          <w:lang w:eastAsia="en-AU"/>
        </w:rPr>
        <w:t xml:space="preserve">Similar to </w:t>
      </w:r>
      <w:r w:rsidR="006E4C89">
        <w:rPr>
          <w:rFonts w:eastAsia="Batang"/>
          <w:lang w:eastAsia="en-AU"/>
        </w:rPr>
        <w:t xml:space="preserve">NACC </w:t>
      </w:r>
      <w:r w:rsidR="00D31AE0">
        <w:rPr>
          <w:rFonts w:eastAsia="Batang"/>
          <w:lang w:eastAsia="en-AU"/>
        </w:rPr>
        <w:t xml:space="preserve">advice </w:t>
      </w:r>
      <w:r w:rsidR="006E4C89">
        <w:rPr>
          <w:rFonts w:eastAsia="Batang"/>
          <w:lang w:eastAsia="en-AU"/>
        </w:rPr>
        <w:t>(</w:t>
      </w:r>
      <w:r>
        <w:rPr>
          <w:rFonts w:eastAsia="Batang"/>
          <w:lang w:eastAsia="en-AU"/>
        </w:rPr>
        <w:t xml:space="preserve">Deer </w:t>
      </w:r>
      <w:r w:rsidR="00593796">
        <w:rPr>
          <w:rFonts w:eastAsia="Batang"/>
          <w:lang w:eastAsia="en-AU"/>
        </w:rPr>
        <w:t xml:space="preserve">et al. </w:t>
      </w:r>
      <w:r>
        <w:rPr>
          <w:rFonts w:eastAsia="Batang"/>
          <w:lang w:eastAsia="en-AU"/>
        </w:rPr>
        <w:t>2014</w:t>
      </w:r>
      <w:r w:rsidR="00593796">
        <w:rPr>
          <w:rFonts w:eastAsia="Batang"/>
          <w:lang w:eastAsia="en-AU"/>
        </w:rPr>
        <w:t>)</w:t>
      </w:r>
      <w:r>
        <w:rPr>
          <w:rFonts w:eastAsia="Batang"/>
          <w:lang w:eastAsia="en-AU"/>
        </w:rPr>
        <w:t xml:space="preserve">, </w:t>
      </w:r>
      <w:r w:rsidR="000750CD">
        <w:rPr>
          <w:rFonts w:eastAsia="Batang"/>
          <w:lang w:eastAsia="en-AU"/>
        </w:rPr>
        <w:t>success is usually defined by a 50% reduction in pain symptoms.</w:t>
      </w:r>
    </w:p>
    <w:p w14:paraId="4D175E32" w14:textId="4353EEA9" w:rsidR="00482560" w:rsidRDefault="009E5D59" w:rsidP="00482560">
      <w:pPr>
        <w:pStyle w:val="Heading1"/>
      </w:pPr>
      <w:bookmarkStart w:id="139" w:name="_Toc165634688"/>
      <w:r>
        <w:lastRenderedPageBreak/>
        <w:t>Summary of f</w:t>
      </w:r>
      <w:r w:rsidR="001E17DA">
        <w:t xml:space="preserve">indings and </w:t>
      </w:r>
      <w:r w:rsidR="00273344">
        <w:t>c</w:t>
      </w:r>
      <w:r w:rsidR="00DA5303">
        <w:t>o</w:t>
      </w:r>
      <w:r w:rsidR="00273344">
        <w:t>nsiderations</w:t>
      </w:r>
      <w:r w:rsidR="00482560">
        <w:t xml:space="preserve"> for </w:t>
      </w:r>
      <w:r w:rsidR="002F7650">
        <w:t>MDHTAC</w:t>
      </w:r>
      <w:bookmarkEnd w:id="139"/>
    </w:p>
    <w:p w14:paraId="4168793A" w14:textId="60082D84" w:rsidR="001E17DA" w:rsidRDefault="002417EC" w:rsidP="001E17DA">
      <w:pPr>
        <w:pStyle w:val="Heading2"/>
      </w:pPr>
      <w:bookmarkStart w:id="140" w:name="_Toc165634689"/>
      <w:r>
        <w:t>Comparative clinical effectiveness</w:t>
      </w:r>
      <w:bookmarkEnd w:id="140"/>
    </w:p>
    <w:p w14:paraId="4F9E3E09" w14:textId="6F18EC90" w:rsidR="005F62DB" w:rsidRDefault="005F62DB" w:rsidP="005F62DB">
      <w:pPr>
        <w:pStyle w:val="BodyText"/>
      </w:pPr>
      <w:r>
        <w:t>The findings relating to the comparative clinical effectiveness of SCS</w:t>
      </w:r>
      <w:r w:rsidR="004C5F8F">
        <w:t xml:space="preserve"> are based </w:t>
      </w:r>
      <w:r w:rsidR="002C064F">
        <w:t>on</w:t>
      </w:r>
      <w:r w:rsidR="00ED6680">
        <w:t xml:space="preserve"> three </w:t>
      </w:r>
      <w:r w:rsidR="006C058E">
        <w:t>SRs</w:t>
      </w:r>
      <w:r w:rsidR="00ED6680">
        <w:t xml:space="preserve">, supplemented by studies provided by sponsors and stakeholders. The </w:t>
      </w:r>
      <w:r w:rsidR="00BA6DFB">
        <w:t>SR</w:t>
      </w:r>
      <w:r w:rsidR="0026084A">
        <w:t>s are:</w:t>
      </w:r>
    </w:p>
    <w:p w14:paraId="2928C623" w14:textId="06E2AAD0" w:rsidR="0026084A" w:rsidRDefault="0026084A" w:rsidP="00A26096">
      <w:pPr>
        <w:pStyle w:val="BodyText"/>
        <w:numPr>
          <w:ilvl w:val="0"/>
          <w:numId w:val="13"/>
        </w:numPr>
      </w:pPr>
      <w:r>
        <w:t>Traeger (2023)</w:t>
      </w:r>
      <w:r w:rsidR="00033167">
        <w:t xml:space="preserve"> Cochrane review</w:t>
      </w:r>
      <w:r w:rsidR="00D33A15">
        <w:t>: assessment of SCS in people with low back pain</w:t>
      </w:r>
    </w:p>
    <w:p w14:paraId="2D2F4B97" w14:textId="3E4EBD1E" w:rsidR="00D33A15" w:rsidRDefault="00D33A15" w:rsidP="00A26096">
      <w:pPr>
        <w:pStyle w:val="BodyText"/>
        <w:numPr>
          <w:ilvl w:val="0"/>
          <w:numId w:val="13"/>
        </w:numPr>
      </w:pPr>
      <w:r>
        <w:t>O’Connell (2021)</w:t>
      </w:r>
      <w:r w:rsidR="00033167">
        <w:t xml:space="preserve"> Cochrane review</w:t>
      </w:r>
      <w:r>
        <w:t>: assessment of</w:t>
      </w:r>
      <w:r w:rsidR="00F32DA5">
        <w:t xml:space="preserve"> SCS in people with chronic pain</w:t>
      </w:r>
    </w:p>
    <w:p w14:paraId="106827AE" w14:textId="2B4357E7" w:rsidR="005E090B" w:rsidRDefault="005E090B" w:rsidP="00A26096">
      <w:pPr>
        <w:pStyle w:val="BodyText"/>
        <w:numPr>
          <w:ilvl w:val="0"/>
          <w:numId w:val="13"/>
        </w:numPr>
      </w:pPr>
      <w:r>
        <w:t>NICE (2008)</w:t>
      </w:r>
      <w:r w:rsidR="005B5E72">
        <w:t>: assessment of SCS in ischaemic pain</w:t>
      </w:r>
      <w:r w:rsidR="00DB48F4">
        <w:t>.</w:t>
      </w:r>
    </w:p>
    <w:p w14:paraId="5514194E" w14:textId="36284EF5" w:rsidR="00647B70" w:rsidRDefault="00933364" w:rsidP="00B35E4F">
      <w:pPr>
        <w:pStyle w:val="BodyText"/>
      </w:pPr>
      <w:r>
        <w:t>The evidence from the Traeger (2023) and O’Connell (2021) reviews are overlapping and were supplemented with additional studies from sponsors and stakeholders</w:t>
      </w:r>
      <w:r w:rsidR="003C04D6">
        <w:t>,</w:t>
      </w:r>
      <w:r w:rsidR="00291050">
        <w:t xml:space="preserve"> and </w:t>
      </w:r>
      <w:r w:rsidR="00647B70">
        <w:t>the findings of all are considered together in this section</w:t>
      </w:r>
      <w:r>
        <w:t xml:space="preserve">. </w:t>
      </w:r>
    </w:p>
    <w:p w14:paraId="10A82382" w14:textId="703DBCFA" w:rsidR="0054335D" w:rsidRDefault="00933364" w:rsidP="00B35E4F">
      <w:pPr>
        <w:pStyle w:val="BodyText"/>
      </w:pPr>
      <w:r>
        <w:t>The</w:t>
      </w:r>
      <w:r w:rsidR="00677154">
        <w:t xml:space="preserve"> NICE review was included to address an evidence gap </w:t>
      </w:r>
      <w:r w:rsidR="007A30E7">
        <w:t>(</w:t>
      </w:r>
      <w:r w:rsidR="00291050">
        <w:t>given the inclusion of patients with refractory angina in the MBS item descriptors</w:t>
      </w:r>
      <w:r w:rsidR="007A30E7">
        <w:t>)</w:t>
      </w:r>
      <w:r w:rsidR="00291050">
        <w:t xml:space="preserve"> and is considered separately. </w:t>
      </w:r>
    </w:p>
    <w:p w14:paraId="19A9871E" w14:textId="5479EFB5" w:rsidR="00E41C35" w:rsidRDefault="00AE7BC8" w:rsidP="00591109">
      <w:pPr>
        <w:pStyle w:val="Heading3"/>
      </w:pPr>
      <w:bookmarkStart w:id="141" w:name="_Toc165634690"/>
      <w:r>
        <w:t xml:space="preserve">Spinal cord stimulation </w:t>
      </w:r>
      <w:r w:rsidR="00D7155D">
        <w:t xml:space="preserve">in people with chronic </w:t>
      </w:r>
      <w:r w:rsidR="0064117D">
        <w:t>(non-isch</w:t>
      </w:r>
      <w:r w:rsidR="00620AEF">
        <w:t>aemic</w:t>
      </w:r>
      <w:r w:rsidR="0064117D">
        <w:t>, non-cancer)</w:t>
      </w:r>
      <w:r w:rsidR="00D7155D">
        <w:t xml:space="preserve"> pain</w:t>
      </w:r>
      <w:bookmarkEnd w:id="141"/>
    </w:p>
    <w:p w14:paraId="5D462C3C" w14:textId="0E50762E" w:rsidR="000624A8" w:rsidRDefault="00F51575" w:rsidP="00DD260A">
      <w:pPr>
        <w:pStyle w:val="Heading4"/>
      </w:pPr>
      <w:r>
        <w:t>Cochrane systematic reviews</w:t>
      </w:r>
    </w:p>
    <w:p w14:paraId="08FB973E" w14:textId="2A384B6C" w:rsidR="001103A2" w:rsidRPr="001103A2" w:rsidRDefault="001103A2" w:rsidP="001103A2">
      <w:pPr>
        <w:pStyle w:val="BodyText"/>
      </w:pPr>
      <w:r>
        <w:t xml:space="preserve">Two Cochrane </w:t>
      </w:r>
      <w:r w:rsidR="009855B0">
        <w:t>SRs</w:t>
      </w:r>
      <w:r>
        <w:t xml:space="preserve"> considering the effectiveness of SCS were </w:t>
      </w:r>
      <w:r w:rsidR="00FB6D27">
        <w:t xml:space="preserve">recently published and provide the most recent and comprehensive summary of the available evidence. </w:t>
      </w:r>
      <w:r w:rsidR="0072439D">
        <w:t>T</w:t>
      </w:r>
      <w:r w:rsidR="00FB6D27">
        <w:t xml:space="preserve">he two reviews have substantial overlap </w:t>
      </w:r>
      <w:r w:rsidR="0072439D">
        <w:t xml:space="preserve">in methodology and </w:t>
      </w:r>
      <w:r w:rsidR="0032492E">
        <w:t xml:space="preserve">include </w:t>
      </w:r>
      <w:r w:rsidR="00FC5784">
        <w:t>eight</w:t>
      </w:r>
      <w:r w:rsidR="0032492E">
        <w:t xml:space="preserve"> of the same studies. </w:t>
      </w:r>
    </w:p>
    <w:p w14:paraId="79D93A3E" w14:textId="4EF60BEC" w:rsidR="000624A8" w:rsidRPr="000624A8" w:rsidRDefault="00BD330C" w:rsidP="000624A8">
      <w:pPr>
        <w:pStyle w:val="Heading5"/>
      </w:pPr>
      <w:r>
        <w:t xml:space="preserve">Summary of </w:t>
      </w:r>
      <w:r w:rsidR="0045275D">
        <w:t>Traeger</w:t>
      </w:r>
      <w:r w:rsidR="00D7155D">
        <w:t xml:space="preserve"> </w:t>
      </w:r>
      <w:r w:rsidR="0045275D">
        <w:t>2023</w:t>
      </w:r>
    </w:p>
    <w:p w14:paraId="107F2EDA" w14:textId="034A952D" w:rsidR="00D7155D" w:rsidRPr="00D7155D" w:rsidRDefault="00D7155D" w:rsidP="00D7155D">
      <w:pPr>
        <w:pStyle w:val="BodyText"/>
      </w:pPr>
      <w:r>
        <w:t>The findings by outcome and follow-up time</w:t>
      </w:r>
      <w:r w:rsidR="00C52E81">
        <w:t xml:space="preserve"> (medium and long</w:t>
      </w:r>
      <w:r w:rsidR="0009380F">
        <w:t xml:space="preserve"> </w:t>
      </w:r>
      <w:r w:rsidR="00C52E81">
        <w:t>term only)</w:t>
      </w:r>
      <w:r>
        <w:t xml:space="preserve"> for SCS compared to either </w:t>
      </w:r>
      <w:r w:rsidR="001760DF">
        <w:t xml:space="preserve">placebo (sham stimulation) or </w:t>
      </w:r>
      <w:r w:rsidR="006D3655">
        <w:t xml:space="preserve">as an addition to </w:t>
      </w:r>
      <w:r w:rsidR="001760DF">
        <w:t xml:space="preserve">medical management </w:t>
      </w:r>
      <w:r w:rsidR="00416AA6">
        <w:t xml:space="preserve">for the treatment of low back pain </w:t>
      </w:r>
      <w:r w:rsidR="00637140">
        <w:t xml:space="preserve">are summarised in </w:t>
      </w:r>
      <w:r w:rsidR="0059280A">
        <w:fldChar w:fldCharType="begin"/>
      </w:r>
      <w:r w:rsidR="0059280A">
        <w:instrText xml:space="preserve"> REF _Ref134786735 \h </w:instrText>
      </w:r>
      <w:r w:rsidR="0059280A">
        <w:fldChar w:fldCharType="separate"/>
      </w:r>
      <w:r w:rsidR="00CE6ACA">
        <w:t xml:space="preserve">Table </w:t>
      </w:r>
      <w:r w:rsidR="00CE6ACA">
        <w:rPr>
          <w:noProof/>
        </w:rPr>
        <w:t>27</w:t>
      </w:r>
      <w:r w:rsidR="0059280A">
        <w:fldChar w:fldCharType="end"/>
      </w:r>
      <w:r w:rsidR="0063069C">
        <w:t>.</w:t>
      </w:r>
      <w:r w:rsidR="007F4277">
        <w:t xml:space="preserve"> </w:t>
      </w:r>
      <w:r w:rsidR="0063069C">
        <w:t xml:space="preserve">The summary </w:t>
      </w:r>
      <w:r w:rsidR="007F4277">
        <w:t>includ</w:t>
      </w:r>
      <w:r w:rsidR="0063069C">
        <w:t>es</w:t>
      </w:r>
      <w:r w:rsidR="007F4277">
        <w:t xml:space="preserve"> the number of RCTs</w:t>
      </w:r>
      <w:r w:rsidR="001B2BDB">
        <w:t xml:space="preserve"> and participants</w:t>
      </w:r>
      <w:r w:rsidR="002F0C03">
        <w:t>,</w:t>
      </w:r>
      <w:r w:rsidR="001B2BDB">
        <w:t xml:space="preserve"> and the author’s assessment of the quality of the evidence. </w:t>
      </w:r>
    </w:p>
    <w:p w14:paraId="69509CAC" w14:textId="422F1029" w:rsidR="00951A08" w:rsidRPr="008741BD" w:rsidRDefault="00951A08" w:rsidP="00951A08">
      <w:pPr>
        <w:pStyle w:val="Caption"/>
        <w:rPr>
          <w:lang w:val="en-US"/>
        </w:rPr>
      </w:pPr>
      <w:bookmarkStart w:id="142" w:name="_Ref134786735"/>
      <w:r>
        <w:t xml:space="preserve">Table </w:t>
      </w:r>
      <w:r>
        <w:fldChar w:fldCharType="begin"/>
      </w:r>
      <w:r>
        <w:instrText>SEQ Table \* ARABIC</w:instrText>
      </w:r>
      <w:r>
        <w:fldChar w:fldCharType="separate"/>
      </w:r>
      <w:r w:rsidR="00CE6ACA">
        <w:rPr>
          <w:noProof/>
        </w:rPr>
        <w:t>27</w:t>
      </w:r>
      <w:r>
        <w:fldChar w:fldCharType="end"/>
      </w:r>
      <w:bookmarkEnd w:id="142"/>
      <w:r>
        <w:tab/>
        <w:t xml:space="preserve">Summary of findings in </w:t>
      </w:r>
      <w:r w:rsidR="0026084A">
        <w:t>Traeger</w:t>
      </w:r>
      <w:r>
        <w:t xml:space="preserve"> (2023) at medium</w:t>
      </w:r>
      <w:r w:rsidR="00F409E0">
        <w:t>-</w:t>
      </w:r>
      <w:r>
        <w:t xml:space="preserve"> </w:t>
      </w:r>
      <w:r w:rsidR="00A62C2C">
        <w:t>(M)</w:t>
      </w:r>
      <w:r>
        <w:t xml:space="preserve"> and long</w:t>
      </w:r>
      <w:r w:rsidR="00F409E0">
        <w:t>-</w:t>
      </w:r>
      <w:r>
        <w:t xml:space="preserve"> </w:t>
      </w:r>
      <w:r w:rsidR="00A62C2C">
        <w:t>(L)</w:t>
      </w:r>
      <w:r>
        <w:t xml:space="preserve"> term follow</w:t>
      </w:r>
      <w:r w:rsidR="006541C2">
        <w:t>-</w:t>
      </w:r>
      <w:r>
        <w:t>up</w:t>
      </w:r>
    </w:p>
    <w:tbl>
      <w:tblPr>
        <w:tblStyle w:val="TableGrid"/>
        <w:tblW w:w="9867" w:type="dxa"/>
        <w:tblLayout w:type="fixed"/>
        <w:tblLook w:val="04A0" w:firstRow="1" w:lastRow="0" w:firstColumn="1" w:lastColumn="0" w:noHBand="0" w:noVBand="1"/>
        <w:tblCaption w:val="Summary of findings in Traeger (2023) at medium and long term follow-up"/>
        <w:tblDescription w:val="Table showing the no. of RCTs, population, quality of evidence, statistical significance, and clinical importance for each of the outcomes reported for SCS versus placebo (sham) and SCS plus medical management versus medical management alone at medium and long term follow up"/>
      </w:tblPr>
      <w:tblGrid>
        <w:gridCol w:w="2544"/>
        <w:gridCol w:w="1284"/>
        <w:gridCol w:w="137"/>
        <w:gridCol w:w="236"/>
        <w:gridCol w:w="1469"/>
        <w:gridCol w:w="672"/>
        <w:gridCol w:w="283"/>
        <w:gridCol w:w="1172"/>
        <w:gridCol w:w="535"/>
        <w:gridCol w:w="1307"/>
        <w:gridCol w:w="228"/>
      </w:tblGrid>
      <w:tr w:rsidR="009170BE" w:rsidRPr="00B05C77" w14:paraId="7321EE26" w14:textId="77777777" w:rsidTr="00990E04">
        <w:trPr>
          <w:gridAfter w:val="1"/>
          <w:cnfStyle w:val="100000000000" w:firstRow="1" w:lastRow="0" w:firstColumn="0" w:lastColumn="0" w:oddVBand="0" w:evenVBand="0" w:oddHBand="0" w:evenHBand="0" w:firstRowFirstColumn="0" w:firstRowLastColumn="0" w:lastRowFirstColumn="0" w:lastRowLastColumn="0"/>
          <w:wAfter w:w="228" w:type="dxa"/>
        </w:trPr>
        <w:tc>
          <w:tcPr>
            <w:tcW w:w="2544" w:type="dxa"/>
          </w:tcPr>
          <w:p w14:paraId="54976280" w14:textId="77777777" w:rsidR="00951A08" w:rsidRPr="00B05C77" w:rsidRDefault="00951A08" w:rsidP="00DD3EE1">
            <w:pPr>
              <w:pStyle w:val="011TableHeading10pt"/>
              <w:rPr>
                <w:sz w:val="18"/>
                <w:szCs w:val="18"/>
              </w:rPr>
            </w:pPr>
            <w:r w:rsidRPr="00B05C77">
              <w:rPr>
                <w:sz w:val="18"/>
                <w:szCs w:val="18"/>
              </w:rPr>
              <w:t>Outcomes</w:t>
            </w:r>
          </w:p>
        </w:tc>
        <w:tc>
          <w:tcPr>
            <w:tcW w:w="1284" w:type="dxa"/>
          </w:tcPr>
          <w:p w14:paraId="4EAAB78B" w14:textId="535C8235" w:rsidR="00951A08" w:rsidRPr="00B05C77" w:rsidRDefault="00951A08" w:rsidP="00DD3EE1">
            <w:pPr>
              <w:pStyle w:val="011TableHeading10pt"/>
              <w:rPr>
                <w:sz w:val="18"/>
                <w:szCs w:val="18"/>
              </w:rPr>
            </w:pPr>
            <w:r w:rsidRPr="00B05C77">
              <w:rPr>
                <w:sz w:val="18"/>
                <w:szCs w:val="18"/>
              </w:rPr>
              <w:t xml:space="preserve">No. RCTs; </w:t>
            </w:r>
            <w:r w:rsidR="007F7995">
              <w:rPr>
                <w:sz w:val="18"/>
                <w:szCs w:val="18"/>
              </w:rPr>
              <w:t>N</w:t>
            </w:r>
          </w:p>
        </w:tc>
        <w:tc>
          <w:tcPr>
            <w:tcW w:w="1842" w:type="dxa"/>
            <w:gridSpan w:val="3"/>
          </w:tcPr>
          <w:p w14:paraId="065030AF" w14:textId="77777777" w:rsidR="00951A08" w:rsidRPr="00B05C77" w:rsidRDefault="00951A08" w:rsidP="00DD3EE1">
            <w:pPr>
              <w:pStyle w:val="011TableHeading10pt"/>
              <w:rPr>
                <w:sz w:val="18"/>
                <w:szCs w:val="18"/>
              </w:rPr>
            </w:pPr>
            <w:r w:rsidRPr="00B05C77">
              <w:rPr>
                <w:sz w:val="18"/>
                <w:szCs w:val="18"/>
              </w:rPr>
              <w:t>Quality of evidence</w:t>
            </w:r>
          </w:p>
        </w:tc>
        <w:tc>
          <w:tcPr>
            <w:tcW w:w="2127" w:type="dxa"/>
            <w:gridSpan w:val="3"/>
          </w:tcPr>
          <w:p w14:paraId="4D684D3D" w14:textId="77777777" w:rsidR="00951A08" w:rsidRPr="00B05C77" w:rsidRDefault="00951A08" w:rsidP="00DD3EE1">
            <w:pPr>
              <w:pStyle w:val="011TableHeading10pt"/>
              <w:rPr>
                <w:sz w:val="18"/>
                <w:szCs w:val="18"/>
              </w:rPr>
            </w:pPr>
            <w:r w:rsidRPr="00B05C77">
              <w:rPr>
                <w:sz w:val="18"/>
                <w:szCs w:val="18"/>
              </w:rPr>
              <w:t>Statistical significance</w:t>
            </w:r>
          </w:p>
        </w:tc>
        <w:tc>
          <w:tcPr>
            <w:tcW w:w="1842" w:type="dxa"/>
            <w:gridSpan w:val="2"/>
          </w:tcPr>
          <w:p w14:paraId="356808AF" w14:textId="6254DBE9" w:rsidR="00951A08" w:rsidRPr="00A008DB" w:rsidRDefault="00951A08" w:rsidP="00DD3EE1">
            <w:pPr>
              <w:pStyle w:val="011TableHeading10pt"/>
              <w:rPr>
                <w:sz w:val="18"/>
                <w:szCs w:val="18"/>
                <w:vertAlign w:val="superscript"/>
              </w:rPr>
            </w:pPr>
            <w:r w:rsidRPr="00B05C77">
              <w:rPr>
                <w:sz w:val="18"/>
                <w:szCs w:val="18"/>
              </w:rPr>
              <w:t xml:space="preserve">Clinical </w:t>
            </w:r>
            <w:proofErr w:type="spellStart"/>
            <w:r w:rsidRPr="00B05C77">
              <w:rPr>
                <w:sz w:val="18"/>
                <w:szCs w:val="18"/>
              </w:rPr>
              <w:t>importance</w:t>
            </w:r>
            <w:r w:rsidR="006C45DC">
              <w:rPr>
                <w:sz w:val="18"/>
                <w:szCs w:val="18"/>
                <w:vertAlign w:val="superscript"/>
              </w:rPr>
              <w:t>a</w:t>
            </w:r>
            <w:proofErr w:type="spellEnd"/>
          </w:p>
        </w:tc>
      </w:tr>
      <w:tr w:rsidR="00990E04" w:rsidRPr="00B05C77" w14:paraId="0D1101D5" w14:textId="77777777" w:rsidTr="00990E04">
        <w:trPr>
          <w:gridAfter w:val="1"/>
          <w:wAfter w:w="228" w:type="dxa"/>
        </w:trPr>
        <w:tc>
          <w:tcPr>
            <w:tcW w:w="3965" w:type="dxa"/>
            <w:gridSpan w:val="3"/>
            <w:tcBorders>
              <w:bottom w:val="single" w:sz="4" w:space="0" w:color="auto"/>
            </w:tcBorders>
            <w:shd w:val="clear" w:color="auto" w:fill="E7E6E6" w:themeFill="background2"/>
          </w:tcPr>
          <w:p w14:paraId="77BA1A11" w14:textId="7E08E76B" w:rsidR="00951A08" w:rsidRPr="00B05C77" w:rsidRDefault="00951A08" w:rsidP="00DD3EE1">
            <w:pPr>
              <w:pStyle w:val="051Tabletext228pt"/>
              <w:rPr>
                <w:b/>
                <w:sz w:val="18"/>
                <w:szCs w:val="18"/>
                <w:vertAlign w:val="superscript"/>
              </w:rPr>
            </w:pPr>
            <w:r w:rsidRPr="00B05C77">
              <w:rPr>
                <w:b/>
                <w:sz w:val="18"/>
                <w:szCs w:val="18"/>
              </w:rPr>
              <w:t>SCS versus placebo</w:t>
            </w:r>
            <w:r w:rsidR="00F7516D">
              <w:rPr>
                <w:b/>
                <w:sz w:val="18"/>
                <w:szCs w:val="18"/>
              </w:rPr>
              <w:t>(</w:t>
            </w:r>
            <w:r w:rsidR="00582FD7">
              <w:rPr>
                <w:b/>
                <w:sz w:val="18"/>
                <w:szCs w:val="18"/>
              </w:rPr>
              <w:t>sham</w:t>
            </w:r>
            <w:r w:rsidR="00F7516D">
              <w:rPr>
                <w:b/>
                <w:sz w:val="18"/>
                <w:szCs w:val="18"/>
              </w:rPr>
              <w:t>)</w:t>
            </w:r>
          </w:p>
        </w:tc>
        <w:tc>
          <w:tcPr>
            <w:tcW w:w="236" w:type="dxa"/>
            <w:tcBorders>
              <w:bottom w:val="single" w:sz="4" w:space="0" w:color="auto"/>
            </w:tcBorders>
            <w:shd w:val="clear" w:color="auto" w:fill="E7E6E6" w:themeFill="background2"/>
          </w:tcPr>
          <w:p w14:paraId="3986FE87" w14:textId="77777777" w:rsidR="00951A08" w:rsidRPr="00B05C77" w:rsidRDefault="00951A08" w:rsidP="00DD3EE1">
            <w:pPr>
              <w:pStyle w:val="051Tabletext228pt"/>
              <w:rPr>
                <w:sz w:val="18"/>
                <w:szCs w:val="18"/>
              </w:rPr>
            </w:pPr>
          </w:p>
        </w:tc>
        <w:tc>
          <w:tcPr>
            <w:tcW w:w="1469" w:type="dxa"/>
            <w:tcBorders>
              <w:bottom w:val="single" w:sz="4" w:space="0" w:color="auto"/>
            </w:tcBorders>
            <w:shd w:val="clear" w:color="auto" w:fill="E7E6E6" w:themeFill="background2"/>
          </w:tcPr>
          <w:p w14:paraId="0ADF60BB" w14:textId="77777777" w:rsidR="00951A08" w:rsidRPr="00B05C77" w:rsidRDefault="00951A08" w:rsidP="00DD3EE1">
            <w:pPr>
              <w:pStyle w:val="051Tabletext228pt"/>
              <w:rPr>
                <w:sz w:val="18"/>
                <w:szCs w:val="18"/>
              </w:rPr>
            </w:pPr>
          </w:p>
        </w:tc>
        <w:tc>
          <w:tcPr>
            <w:tcW w:w="2127" w:type="dxa"/>
            <w:gridSpan w:val="3"/>
            <w:tcBorders>
              <w:bottom w:val="single" w:sz="4" w:space="0" w:color="auto"/>
            </w:tcBorders>
            <w:shd w:val="clear" w:color="auto" w:fill="E7E6E6" w:themeFill="background2"/>
          </w:tcPr>
          <w:p w14:paraId="368E97B0" w14:textId="77777777" w:rsidR="00951A08" w:rsidRPr="00B05C77" w:rsidRDefault="00951A08" w:rsidP="00DD3EE1">
            <w:pPr>
              <w:pStyle w:val="051Tabletext228pt"/>
              <w:rPr>
                <w:sz w:val="18"/>
                <w:szCs w:val="18"/>
              </w:rPr>
            </w:pPr>
          </w:p>
        </w:tc>
        <w:tc>
          <w:tcPr>
            <w:tcW w:w="1842" w:type="dxa"/>
            <w:gridSpan w:val="2"/>
            <w:tcBorders>
              <w:bottom w:val="single" w:sz="4" w:space="0" w:color="auto"/>
            </w:tcBorders>
            <w:shd w:val="clear" w:color="auto" w:fill="E7E6E6" w:themeFill="background2"/>
          </w:tcPr>
          <w:p w14:paraId="175E05CB" w14:textId="77777777" w:rsidR="00951A08" w:rsidRPr="00B05C77" w:rsidRDefault="00951A08" w:rsidP="00DD3EE1">
            <w:pPr>
              <w:pStyle w:val="051Tabletext228pt"/>
              <w:rPr>
                <w:sz w:val="18"/>
                <w:szCs w:val="18"/>
              </w:rPr>
            </w:pPr>
          </w:p>
        </w:tc>
      </w:tr>
      <w:tr w:rsidR="00951A08" w:rsidRPr="00B05C77" w14:paraId="6B52321B" w14:textId="77777777" w:rsidTr="00990E04">
        <w:trPr>
          <w:gridAfter w:val="1"/>
          <w:wAfter w:w="228" w:type="dxa"/>
        </w:trPr>
        <w:tc>
          <w:tcPr>
            <w:tcW w:w="2544" w:type="dxa"/>
            <w:tcBorders>
              <w:bottom w:val="dotted" w:sz="4" w:space="0" w:color="auto"/>
            </w:tcBorders>
          </w:tcPr>
          <w:p w14:paraId="60800DFC" w14:textId="77777777" w:rsidR="00951A08" w:rsidRPr="004B1A23" w:rsidRDefault="00951A08" w:rsidP="00DD3EE1">
            <w:pPr>
              <w:pStyle w:val="051Tabletext2210pt"/>
              <w:rPr>
                <w:b/>
                <w:sz w:val="18"/>
                <w:szCs w:val="18"/>
              </w:rPr>
            </w:pPr>
            <w:r w:rsidRPr="004B1A23">
              <w:rPr>
                <w:b/>
                <w:sz w:val="18"/>
                <w:szCs w:val="18"/>
              </w:rPr>
              <w:t>Pain intensity</w:t>
            </w:r>
          </w:p>
        </w:tc>
        <w:tc>
          <w:tcPr>
            <w:tcW w:w="1284" w:type="dxa"/>
            <w:tcBorders>
              <w:bottom w:val="dotted" w:sz="4" w:space="0" w:color="auto"/>
            </w:tcBorders>
          </w:tcPr>
          <w:p w14:paraId="2BA572EF" w14:textId="77777777" w:rsidR="00951A08" w:rsidRPr="00B05C77" w:rsidRDefault="00951A08" w:rsidP="00DD3EE1">
            <w:pPr>
              <w:pStyle w:val="051Tabletext2210pt"/>
              <w:rPr>
                <w:sz w:val="18"/>
                <w:szCs w:val="18"/>
              </w:rPr>
            </w:pPr>
          </w:p>
        </w:tc>
        <w:tc>
          <w:tcPr>
            <w:tcW w:w="1842" w:type="dxa"/>
            <w:gridSpan w:val="3"/>
            <w:tcBorders>
              <w:bottom w:val="dotted" w:sz="4" w:space="0" w:color="auto"/>
            </w:tcBorders>
          </w:tcPr>
          <w:p w14:paraId="0537145E" w14:textId="77777777" w:rsidR="00951A08" w:rsidRPr="00B05C77" w:rsidRDefault="00951A08" w:rsidP="00DD3EE1">
            <w:pPr>
              <w:pStyle w:val="051Tabletext2210pt"/>
              <w:rPr>
                <w:sz w:val="18"/>
                <w:szCs w:val="18"/>
              </w:rPr>
            </w:pPr>
          </w:p>
        </w:tc>
        <w:tc>
          <w:tcPr>
            <w:tcW w:w="2127" w:type="dxa"/>
            <w:gridSpan w:val="3"/>
            <w:tcBorders>
              <w:bottom w:val="dotted" w:sz="4" w:space="0" w:color="auto"/>
            </w:tcBorders>
          </w:tcPr>
          <w:p w14:paraId="2D150FF3" w14:textId="77777777" w:rsidR="00951A08" w:rsidRPr="00B05C77" w:rsidRDefault="00951A08" w:rsidP="00DD3EE1">
            <w:pPr>
              <w:pStyle w:val="051Tabletext2210pt"/>
              <w:rPr>
                <w:sz w:val="18"/>
                <w:szCs w:val="18"/>
              </w:rPr>
            </w:pPr>
          </w:p>
        </w:tc>
        <w:tc>
          <w:tcPr>
            <w:tcW w:w="1842" w:type="dxa"/>
            <w:gridSpan w:val="2"/>
            <w:tcBorders>
              <w:bottom w:val="dotted" w:sz="4" w:space="0" w:color="auto"/>
            </w:tcBorders>
          </w:tcPr>
          <w:p w14:paraId="1C11A0CA" w14:textId="77777777" w:rsidR="00951A08" w:rsidRPr="00B05C77" w:rsidRDefault="00951A08" w:rsidP="00DD3EE1">
            <w:pPr>
              <w:pStyle w:val="051Tabletext2210pt"/>
              <w:rPr>
                <w:sz w:val="18"/>
                <w:szCs w:val="18"/>
              </w:rPr>
            </w:pPr>
          </w:p>
        </w:tc>
      </w:tr>
      <w:tr w:rsidR="009170BE" w:rsidRPr="00B05C77" w14:paraId="22480127" w14:textId="77777777" w:rsidTr="00990E04">
        <w:trPr>
          <w:gridAfter w:val="1"/>
          <w:wAfter w:w="228" w:type="dxa"/>
        </w:trPr>
        <w:tc>
          <w:tcPr>
            <w:tcW w:w="2544" w:type="dxa"/>
            <w:tcBorders>
              <w:top w:val="dotted" w:sz="4" w:space="0" w:color="auto"/>
              <w:bottom w:val="dotted" w:sz="4" w:space="0" w:color="auto"/>
            </w:tcBorders>
          </w:tcPr>
          <w:p w14:paraId="4B593603" w14:textId="77777777" w:rsidR="00951A08" w:rsidRPr="00B05C77" w:rsidRDefault="00951A08" w:rsidP="00194409">
            <w:pPr>
              <w:pStyle w:val="051Tabletext2210pt"/>
              <w:ind w:left="157"/>
              <w:rPr>
                <w:sz w:val="18"/>
                <w:szCs w:val="18"/>
              </w:rPr>
            </w:pPr>
            <w:r w:rsidRPr="00B05C77">
              <w:rPr>
                <w:sz w:val="18"/>
                <w:szCs w:val="18"/>
              </w:rPr>
              <w:t>Low back pain</w:t>
            </w:r>
          </w:p>
        </w:tc>
        <w:tc>
          <w:tcPr>
            <w:tcW w:w="1284" w:type="dxa"/>
            <w:tcBorders>
              <w:top w:val="dotted" w:sz="4" w:space="0" w:color="auto"/>
              <w:bottom w:val="dotted" w:sz="4" w:space="0" w:color="auto"/>
            </w:tcBorders>
          </w:tcPr>
          <w:p w14:paraId="3879E2D6" w14:textId="77777777" w:rsidR="00951A08" w:rsidRPr="00B05C77" w:rsidRDefault="00951A08" w:rsidP="00DD3EE1">
            <w:pPr>
              <w:pStyle w:val="051Tabletext2210pt"/>
              <w:rPr>
                <w:sz w:val="18"/>
                <w:szCs w:val="18"/>
              </w:rPr>
            </w:pPr>
            <w:r w:rsidRPr="00B05C77">
              <w:rPr>
                <w:sz w:val="18"/>
                <w:szCs w:val="18"/>
              </w:rPr>
              <w:t>1; N=50 (M)</w:t>
            </w:r>
          </w:p>
        </w:tc>
        <w:tc>
          <w:tcPr>
            <w:tcW w:w="1842" w:type="dxa"/>
            <w:gridSpan w:val="3"/>
            <w:tcBorders>
              <w:top w:val="dotted" w:sz="4" w:space="0" w:color="auto"/>
              <w:bottom w:val="dotted" w:sz="4" w:space="0" w:color="auto"/>
            </w:tcBorders>
            <w:shd w:val="clear" w:color="auto" w:fill="D9E2F3" w:themeFill="accent1" w:themeFillTint="33"/>
          </w:tcPr>
          <w:p w14:paraId="37000C1A" w14:textId="77777777" w:rsidR="00951A08" w:rsidRPr="00B05C77" w:rsidRDefault="00951A08" w:rsidP="00DD3EE1">
            <w:pPr>
              <w:pStyle w:val="051Tabletext2210pt"/>
              <w:rPr>
                <w:sz w:val="18"/>
                <w:szCs w:val="18"/>
              </w:rPr>
            </w:pPr>
            <w:r w:rsidRPr="00B05C77">
              <w:rPr>
                <w:sz w:val="18"/>
                <w:szCs w:val="18"/>
              </w:rPr>
              <w:t>moderate</w:t>
            </w:r>
          </w:p>
        </w:tc>
        <w:tc>
          <w:tcPr>
            <w:tcW w:w="2127" w:type="dxa"/>
            <w:gridSpan w:val="3"/>
            <w:tcBorders>
              <w:top w:val="dotted" w:sz="4" w:space="0" w:color="auto"/>
              <w:bottom w:val="dotted" w:sz="4" w:space="0" w:color="auto"/>
            </w:tcBorders>
            <w:shd w:val="clear" w:color="auto" w:fill="FFFFFF" w:themeFill="background1"/>
          </w:tcPr>
          <w:p w14:paraId="17DD0B8D" w14:textId="77777777" w:rsidR="00951A08" w:rsidRPr="00B05C77" w:rsidRDefault="00951A08" w:rsidP="00DD3EE1">
            <w:pPr>
              <w:pStyle w:val="051Tabletext2210pt"/>
              <w:rPr>
                <w:sz w:val="18"/>
                <w:szCs w:val="18"/>
              </w:rPr>
            </w:pPr>
            <w:r w:rsidRPr="00B05C77">
              <w:rPr>
                <w:sz w:val="18"/>
                <w:szCs w:val="18"/>
              </w:rPr>
              <w:t>No effect</w:t>
            </w:r>
          </w:p>
        </w:tc>
        <w:tc>
          <w:tcPr>
            <w:tcW w:w="1842" w:type="dxa"/>
            <w:gridSpan w:val="2"/>
            <w:tcBorders>
              <w:top w:val="dotted" w:sz="4" w:space="0" w:color="auto"/>
              <w:bottom w:val="dotted" w:sz="4" w:space="0" w:color="auto"/>
            </w:tcBorders>
          </w:tcPr>
          <w:p w14:paraId="1610EC5A" w14:textId="77777777" w:rsidR="00951A08" w:rsidRPr="00B05C77" w:rsidRDefault="00951A08" w:rsidP="00DD3EE1">
            <w:pPr>
              <w:pStyle w:val="051Tabletext2210pt"/>
              <w:rPr>
                <w:sz w:val="18"/>
                <w:szCs w:val="18"/>
              </w:rPr>
            </w:pPr>
            <w:r w:rsidRPr="00B05C77">
              <w:rPr>
                <w:sz w:val="18"/>
                <w:szCs w:val="18"/>
              </w:rPr>
              <w:t xml:space="preserve">No difference </w:t>
            </w:r>
          </w:p>
        </w:tc>
      </w:tr>
      <w:tr w:rsidR="009170BE" w:rsidRPr="00B05C77" w14:paraId="564B03CA" w14:textId="77777777" w:rsidTr="00990E04">
        <w:trPr>
          <w:gridAfter w:val="1"/>
          <w:wAfter w:w="228" w:type="dxa"/>
        </w:trPr>
        <w:tc>
          <w:tcPr>
            <w:tcW w:w="2544" w:type="dxa"/>
            <w:tcBorders>
              <w:top w:val="dotted" w:sz="4" w:space="0" w:color="auto"/>
              <w:bottom w:val="single" w:sz="4" w:space="0" w:color="auto"/>
            </w:tcBorders>
          </w:tcPr>
          <w:p w14:paraId="3F610172" w14:textId="77777777" w:rsidR="00951A08" w:rsidRPr="00B05C77" w:rsidRDefault="00951A08" w:rsidP="00194409">
            <w:pPr>
              <w:pStyle w:val="051Tabletext2210pt"/>
              <w:ind w:left="157"/>
              <w:rPr>
                <w:sz w:val="18"/>
                <w:szCs w:val="18"/>
              </w:rPr>
            </w:pPr>
            <w:r w:rsidRPr="00B05C77">
              <w:rPr>
                <w:sz w:val="18"/>
                <w:szCs w:val="18"/>
              </w:rPr>
              <w:t>Leg pain</w:t>
            </w:r>
          </w:p>
        </w:tc>
        <w:tc>
          <w:tcPr>
            <w:tcW w:w="1284" w:type="dxa"/>
            <w:tcBorders>
              <w:top w:val="dotted" w:sz="4" w:space="0" w:color="auto"/>
              <w:bottom w:val="single" w:sz="4" w:space="0" w:color="auto"/>
            </w:tcBorders>
          </w:tcPr>
          <w:p w14:paraId="078148CF" w14:textId="77777777" w:rsidR="00951A08" w:rsidRPr="00B05C77" w:rsidRDefault="00951A08" w:rsidP="00DD3EE1">
            <w:pPr>
              <w:pStyle w:val="051Tabletext2210pt"/>
              <w:rPr>
                <w:i/>
                <w:sz w:val="18"/>
                <w:szCs w:val="18"/>
              </w:rPr>
            </w:pPr>
            <w:r w:rsidRPr="00B05C77">
              <w:rPr>
                <w:sz w:val="18"/>
                <w:szCs w:val="18"/>
              </w:rPr>
              <w:t>1; N=50 (M)</w:t>
            </w:r>
          </w:p>
        </w:tc>
        <w:tc>
          <w:tcPr>
            <w:tcW w:w="1842" w:type="dxa"/>
            <w:gridSpan w:val="3"/>
            <w:tcBorders>
              <w:top w:val="dotted" w:sz="4" w:space="0" w:color="auto"/>
              <w:bottom w:val="single" w:sz="4" w:space="0" w:color="auto"/>
            </w:tcBorders>
            <w:shd w:val="clear" w:color="auto" w:fill="D9E2F3" w:themeFill="accent1" w:themeFillTint="33"/>
          </w:tcPr>
          <w:p w14:paraId="05D2F13D" w14:textId="77777777" w:rsidR="00951A08" w:rsidRPr="00B05C77" w:rsidRDefault="00951A08" w:rsidP="00DD3EE1">
            <w:pPr>
              <w:pStyle w:val="051Tabletext2210pt"/>
              <w:rPr>
                <w:sz w:val="18"/>
                <w:szCs w:val="18"/>
              </w:rPr>
            </w:pPr>
            <w:r w:rsidRPr="00B05C77">
              <w:rPr>
                <w:sz w:val="18"/>
                <w:szCs w:val="18"/>
              </w:rPr>
              <w:t>moderate</w:t>
            </w:r>
          </w:p>
        </w:tc>
        <w:tc>
          <w:tcPr>
            <w:tcW w:w="2127" w:type="dxa"/>
            <w:gridSpan w:val="3"/>
            <w:tcBorders>
              <w:top w:val="dotted" w:sz="4" w:space="0" w:color="auto"/>
              <w:bottom w:val="single" w:sz="4" w:space="0" w:color="auto"/>
            </w:tcBorders>
          </w:tcPr>
          <w:p w14:paraId="087D61F1" w14:textId="77777777" w:rsidR="00951A08" w:rsidRPr="00B05C77" w:rsidRDefault="00951A08" w:rsidP="00DD3EE1">
            <w:pPr>
              <w:pStyle w:val="051Tabletext2210pt"/>
              <w:rPr>
                <w:sz w:val="18"/>
                <w:szCs w:val="18"/>
              </w:rPr>
            </w:pPr>
            <w:r w:rsidRPr="00B05C77">
              <w:rPr>
                <w:sz w:val="18"/>
                <w:szCs w:val="18"/>
              </w:rPr>
              <w:t>No effect</w:t>
            </w:r>
          </w:p>
        </w:tc>
        <w:tc>
          <w:tcPr>
            <w:tcW w:w="1842" w:type="dxa"/>
            <w:gridSpan w:val="2"/>
            <w:tcBorders>
              <w:top w:val="dotted" w:sz="4" w:space="0" w:color="auto"/>
              <w:bottom w:val="single" w:sz="4" w:space="0" w:color="auto"/>
            </w:tcBorders>
          </w:tcPr>
          <w:p w14:paraId="4D23178B" w14:textId="77777777" w:rsidR="00951A08" w:rsidRPr="00B05C77" w:rsidRDefault="00951A08" w:rsidP="00DD3EE1">
            <w:pPr>
              <w:pStyle w:val="051Tabletext2210pt"/>
              <w:rPr>
                <w:sz w:val="18"/>
                <w:szCs w:val="18"/>
              </w:rPr>
            </w:pPr>
            <w:r w:rsidRPr="00B05C77">
              <w:rPr>
                <w:sz w:val="18"/>
                <w:szCs w:val="18"/>
              </w:rPr>
              <w:t xml:space="preserve">No difference </w:t>
            </w:r>
          </w:p>
        </w:tc>
      </w:tr>
      <w:tr w:rsidR="009170BE" w:rsidRPr="00B05C77" w14:paraId="5E6B4636" w14:textId="77777777" w:rsidTr="00990E04">
        <w:trPr>
          <w:gridAfter w:val="1"/>
          <w:wAfter w:w="228" w:type="dxa"/>
        </w:trPr>
        <w:tc>
          <w:tcPr>
            <w:tcW w:w="2544" w:type="dxa"/>
            <w:tcBorders>
              <w:bottom w:val="dotted" w:sz="4" w:space="0" w:color="auto"/>
            </w:tcBorders>
          </w:tcPr>
          <w:p w14:paraId="16DD437D" w14:textId="77777777" w:rsidR="00951A08" w:rsidRPr="007F7995" w:rsidRDefault="00951A08" w:rsidP="00DD3EE1">
            <w:pPr>
              <w:pStyle w:val="051Tabletext2210pt"/>
              <w:rPr>
                <w:b/>
                <w:bCs/>
                <w:sz w:val="18"/>
                <w:szCs w:val="18"/>
              </w:rPr>
            </w:pPr>
            <w:r w:rsidRPr="007F7995">
              <w:rPr>
                <w:b/>
                <w:bCs/>
                <w:sz w:val="18"/>
                <w:szCs w:val="18"/>
              </w:rPr>
              <w:t>Function</w:t>
            </w:r>
          </w:p>
        </w:tc>
        <w:tc>
          <w:tcPr>
            <w:tcW w:w="1284" w:type="dxa"/>
            <w:tcBorders>
              <w:bottom w:val="dotted" w:sz="4" w:space="0" w:color="auto"/>
            </w:tcBorders>
          </w:tcPr>
          <w:p w14:paraId="4172C37D" w14:textId="77777777" w:rsidR="00951A08" w:rsidRPr="00B05C77" w:rsidRDefault="00951A08" w:rsidP="00DD3EE1">
            <w:pPr>
              <w:pStyle w:val="051Tabletext2210pt"/>
              <w:rPr>
                <w:sz w:val="18"/>
                <w:szCs w:val="18"/>
              </w:rPr>
            </w:pPr>
            <w:r w:rsidRPr="00B05C77">
              <w:rPr>
                <w:sz w:val="18"/>
                <w:szCs w:val="18"/>
              </w:rPr>
              <w:t>1; N=50 (M)</w:t>
            </w:r>
          </w:p>
        </w:tc>
        <w:tc>
          <w:tcPr>
            <w:tcW w:w="1842" w:type="dxa"/>
            <w:gridSpan w:val="3"/>
            <w:tcBorders>
              <w:bottom w:val="dotted" w:sz="4" w:space="0" w:color="auto"/>
            </w:tcBorders>
            <w:shd w:val="clear" w:color="auto" w:fill="D9E2F3" w:themeFill="accent1" w:themeFillTint="33"/>
          </w:tcPr>
          <w:p w14:paraId="6AC26B46" w14:textId="77777777" w:rsidR="00951A08" w:rsidRPr="00B05C77" w:rsidRDefault="00951A08" w:rsidP="00DD3EE1">
            <w:pPr>
              <w:pStyle w:val="051Tabletext2210pt"/>
              <w:rPr>
                <w:sz w:val="18"/>
                <w:szCs w:val="18"/>
              </w:rPr>
            </w:pPr>
            <w:r w:rsidRPr="00B05C77">
              <w:rPr>
                <w:sz w:val="18"/>
                <w:szCs w:val="18"/>
              </w:rPr>
              <w:t>moderate</w:t>
            </w:r>
          </w:p>
        </w:tc>
        <w:tc>
          <w:tcPr>
            <w:tcW w:w="2127" w:type="dxa"/>
            <w:gridSpan w:val="3"/>
            <w:tcBorders>
              <w:bottom w:val="dotted" w:sz="4" w:space="0" w:color="auto"/>
            </w:tcBorders>
          </w:tcPr>
          <w:p w14:paraId="3F9A469A" w14:textId="77777777" w:rsidR="00951A08" w:rsidRPr="00B05C77" w:rsidRDefault="00951A08" w:rsidP="00DD3EE1">
            <w:pPr>
              <w:pStyle w:val="051Tabletext2210pt"/>
              <w:rPr>
                <w:sz w:val="18"/>
                <w:szCs w:val="18"/>
              </w:rPr>
            </w:pPr>
            <w:r w:rsidRPr="00B05C77">
              <w:rPr>
                <w:sz w:val="18"/>
                <w:szCs w:val="18"/>
              </w:rPr>
              <w:t>No effect</w:t>
            </w:r>
          </w:p>
        </w:tc>
        <w:tc>
          <w:tcPr>
            <w:tcW w:w="1842" w:type="dxa"/>
            <w:gridSpan w:val="2"/>
            <w:tcBorders>
              <w:bottom w:val="dotted" w:sz="4" w:space="0" w:color="auto"/>
            </w:tcBorders>
          </w:tcPr>
          <w:p w14:paraId="1C936A8C" w14:textId="77777777" w:rsidR="00951A08" w:rsidRPr="00B05C77" w:rsidRDefault="00951A08" w:rsidP="00DD3EE1">
            <w:pPr>
              <w:pStyle w:val="051Tabletext2210pt"/>
              <w:rPr>
                <w:sz w:val="18"/>
                <w:szCs w:val="18"/>
              </w:rPr>
            </w:pPr>
            <w:r w:rsidRPr="00B05C77">
              <w:rPr>
                <w:sz w:val="18"/>
                <w:szCs w:val="18"/>
              </w:rPr>
              <w:t>No difference</w:t>
            </w:r>
          </w:p>
        </w:tc>
      </w:tr>
      <w:tr w:rsidR="009170BE" w:rsidRPr="00B05C77" w14:paraId="03E9CDC0" w14:textId="77777777" w:rsidTr="00990E04">
        <w:trPr>
          <w:gridAfter w:val="1"/>
          <w:wAfter w:w="228" w:type="dxa"/>
        </w:trPr>
        <w:tc>
          <w:tcPr>
            <w:tcW w:w="2544" w:type="dxa"/>
            <w:tcBorders>
              <w:bottom w:val="dotted" w:sz="4" w:space="0" w:color="auto"/>
            </w:tcBorders>
          </w:tcPr>
          <w:p w14:paraId="54717F26" w14:textId="77777777" w:rsidR="00951A08" w:rsidRPr="007F7995" w:rsidRDefault="00951A08" w:rsidP="00DD3EE1">
            <w:pPr>
              <w:pStyle w:val="051Tabletext2210pt"/>
              <w:rPr>
                <w:b/>
                <w:bCs/>
                <w:sz w:val="18"/>
                <w:szCs w:val="18"/>
              </w:rPr>
            </w:pPr>
            <w:proofErr w:type="spellStart"/>
            <w:r w:rsidRPr="007F7995">
              <w:rPr>
                <w:b/>
                <w:bCs/>
                <w:sz w:val="18"/>
                <w:szCs w:val="18"/>
              </w:rPr>
              <w:t>HRQoL</w:t>
            </w:r>
            <w:proofErr w:type="spellEnd"/>
          </w:p>
        </w:tc>
        <w:tc>
          <w:tcPr>
            <w:tcW w:w="1284" w:type="dxa"/>
            <w:tcBorders>
              <w:bottom w:val="dotted" w:sz="4" w:space="0" w:color="auto"/>
            </w:tcBorders>
          </w:tcPr>
          <w:p w14:paraId="2127C679" w14:textId="77777777" w:rsidR="00951A08" w:rsidRPr="00B05C77" w:rsidRDefault="00951A08" w:rsidP="00DD3EE1">
            <w:pPr>
              <w:pStyle w:val="051Tabletext2210pt"/>
              <w:rPr>
                <w:sz w:val="18"/>
                <w:szCs w:val="18"/>
              </w:rPr>
            </w:pPr>
            <w:r w:rsidRPr="00B05C77">
              <w:rPr>
                <w:sz w:val="18"/>
                <w:szCs w:val="18"/>
              </w:rPr>
              <w:t>1; N=50 (M)</w:t>
            </w:r>
          </w:p>
        </w:tc>
        <w:tc>
          <w:tcPr>
            <w:tcW w:w="1842" w:type="dxa"/>
            <w:gridSpan w:val="3"/>
            <w:tcBorders>
              <w:bottom w:val="dotted" w:sz="4" w:space="0" w:color="auto"/>
            </w:tcBorders>
            <w:shd w:val="clear" w:color="auto" w:fill="D9E2F3" w:themeFill="accent1" w:themeFillTint="33"/>
          </w:tcPr>
          <w:p w14:paraId="0DF5D87E" w14:textId="77777777" w:rsidR="00951A08" w:rsidRPr="00B05C77" w:rsidRDefault="00951A08" w:rsidP="00DD3EE1">
            <w:pPr>
              <w:pStyle w:val="051Tabletext2210pt"/>
              <w:rPr>
                <w:sz w:val="18"/>
                <w:szCs w:val="18"/>
              </w:rPr>
            </w:pPr>
            <w:r w:rsidRPr="00B05C77">
              <w:rPr>
                <w:sz w:val="18"/>
                <w:szCs w:val="18"/>
              </w:rPr>
              <w:t>moderate</w:t>
            </w:r>
          </w:p>
        </w:tc>
        <w:tc>
          <w:tcPr>
            <w:tcW w:w="2127" w:type="dxa"/>
            <w:gridSpan w:val="3"/>
            <w:tcBorders>
              <w:bottom w:val="dotted" w:sz="4" w:space="0" w:color="auto"/>
            </w:tcBorders>
          </w:tcPr>
          <w:p w14:paraId="2B7F06A8" w14:textId="77777777" w:rsidR="00951A08" w:rsidRPr="00B05C77" w:rsidRDefault="00951A08" w:rsidP="00DD3EE1">
            <w:pPr>
              <w:pStyle w:val="051Tabletext2210pt"/>
              <w:rPr>
                <w:sz w:val="18"/>
                <w:szCs w:val="18"/>
              </w:rPr>
            </w:pPr>
            <w:r w:rsidRPr="00B05C77">
              <w:rPr>
                <w:sz w:val="18"/>
                <w:szCs w:val="18"/>
              </w:rPr>
              <w:t>No effect</w:t>
            </w:r>
          </w:p>
        </w:tc>
        <w:tc>
          <w:tcPr>
            <w:tcW w:w="1842" w:type="dxa"/>
            <w:gridSpan w:val="2"/>
            <w:tcBorders>
              <w:bottom w:val="dotted" w:sz="4" w:space="0" w:color="auto"/>
            </w:tcBorders>
          </w:tcPr>
          <w:p w14:paraId="432F2D4D" w14:textId="77777777" w:rsidR="00951A08" w:rsidRPr="00B05C77" w:rsidRDefault="00951A08" w:rsidP="00DD3EE1">
            <w:pPr>
              <w:pStyle w:val="051Tabletext2210pt"/>
              <w:rPr>
                <w:sz w:val="18"/>
                <w:szCs w:val="18"/>
              </w:rPr>
            </w:pPr>
            <w:r w:rsidRPr="00B05C77">
              <w:rPr>
                <w:sz w:val="18"/>
                <w:szCs w:val="18"/>
              </w:rPr>
              <w:t xml:space="preserve">No difference </w:t>
            </w:r>
          </w:p>
        </w:tc>
      </w:tr>
      <w:tr w:rsidR="00990E04" w:rsidRPr="00B05C77" w14:paraId="77711B76" w14:textId="77777777" w:rsidTr="00990E04">
        <w:tc>
          <w:tcPr>
            <w:tcW w:w="5670" w:type="dxa"/>
            <w:gridSpan w:val="5"/>
            <w:tcBorders>
              <w:bottom w:val="single" w:sz="4" w:space="0" w:color="auto"/>
            </w:tcBorders>
            <w:shd w:val="clear" w:color="auto" w:fill="E7E6E6" w:themeFill="background2"/>
          </w:tcPr>
          <w:p w14:paraId="3B86EC02" w14:textId="77777777" w:rsidR="00951A08" w:rsidRPr="00B05C77" w:rsidRDefault="00951A08" w:rsidP="00DD3EE1">
            <w:pPr>
              <w:pStyle w:val="051Tabletext228pt"/>
              <w:rPr>
                <w:b/>
                <w:sz w:val="18"/>
                <w:szCs w:val="18"/>
              </w:rPr>
            </w:pPr>
            <w:r w:rsidRPr="00B05C77">
              <w:rPr>
                <w:b/>
                <w:sz w:val="18"/>
                <w:szCs w:val="18"/>
              </w:rPr>
              <w:t>SCS + MM versus MM alone</w:t>
            </w:r>
          </w:p>
        </w:tc>
        <w:tc>
          <w:tcPr>
            <w:tcW w:w="672" w:type="dxa"/>
            <w:tcBorders>
              <w:bottom w:val="single" w:sz="4" w:space="0" w:color="auto"/>
            </w:tcBorders>
            <w:shd w:val="clear" w:color="auto" w:fill="E7E6E6" w:themeFill="background2"/>
          </w:tcPr>
          <w:p w14:paraId="4218D77A" w14:textId="77777777" w:rsidR="00951A08" w:rsidRPr="00B05C77" w:rsidRDefault="00951A08" w:rsidP="00DD3EE1">
            <w:pPr>
              <w:pStyle w:val="051Tabletext228pt"/>
              <w:rPr>
                <w:b/>
                <w:sz w:val="18"/>
                <w:szCs w:val="18"/>
              </w:rPr>
            </w:pPr>
          </w:p>
        </w:tc>
        <w:tc>
          <w:tcPr>
            <w:tcW w:w="283" w:type="dxa"/>
            <w:tcBorders>
              <w:bottom w:val="single" w:sz="4" w:space="0" w:color="auto"/>
            </w:tcBorders>
            <w:shd w:val="clear" w:color="auto" w:fill="E7E6E6" w:themeFill="background2"/>
          </w:tcPr>
          <w:p w14:paraId="4E0F397D" w14:textId="77777777" w:rsidR="00951A08" w:rsidRPr="00B05C77" w:rsidRDefault="00951A08" w:rsidP="00DD3EE1">
            <w:pPr>
              <w:pStyle w:val="051Tabletext228pt"/>
              <w:rPr>
                <w:sz w:val="18"/>
                <w:szCs w:val="18"/>
              </w:rPr>
            </w:pPr>
          </w:p>
        </w:tc>
        <w:tc>
          <w:tcPr>
            <w:tcW w:w="1707" w:type="dxa"/>
            <w:gridSpan w:val="2"/>
            <w:tcBorders>
              <w:bottom w:val="single" w:sz="4" w:space="0" w:color="auto"/>
            </w:tcBorders>
            <w:shd w:val="clear" w:color="auto" w:fill="E7E6E6" w:themeFill="background2"/>
          </w:tcPr>
          <w:p w14:paraId="391D45E7" w14:textId="77777777" w:rsidR="00951A08" w:rsidRPr="00B05C77" w:rsidRDefault="00951A08" w:rsidP="00DD3EE1">
            <w:pPr>
              <w:pStyle w:val="051Tabletext228pt"/>
              <w:rPr>
                <w:sz w:val="18"/>
                <w:szCs w:val="18"/>
              </w:rPr>
            </w:pPr>
          </w:p>
        </w:tc>
        <w:tc>
          <w:tcPr>
            <w:tcW w:w="1535" w:type="dxa"/>
            <w:gridSpan w:val="2"/>
            <w:tcBorders>
              <w:bottom w:val="single" w:sz="4" w:space="0" w:color="auto"/>
            </w:tcBorders>
            <w:shd w:val="clear" w:color="auto" w:fill="E7E6E6" w:themeFill="background2"/>
          </w:tcPr>
          <w:p w14:paraId="330F926D" w14:textId="77777777" w:rsidR="00951A08" w:rsidRPr="00B05C77" w:rsidRDefault="00951A08" w:rsidP="00DD3EE1">
            <w:pPr>
              <w:pStyle w:val="051Tabletext228pt"/>
              <w:rPr>
                <w:sz w:val="18"/>
                <w:szCs w:val="18"/>
              </w:rPr>
            </w:pPr>
          </w:p>
        </w:tc>
      </w:tr>
      <w:tr w:rsidR="00951A08" w:rsidRPr="00B05C77" w14:paraId="051EE8EC" w14:textId="77777777" w:rsidTr="00990E04">
        <w:trPr>
          <w:gridAfter w:val="1"/>
          <w:wAfter w:w="228" w:type="dxa"/>
        </w:trPr>
        <w:tc>
          <w:tcPr>
            <w:tcW w:w="2544" w:type="dxa"/>
            <w:tcBorders>
              <w:bottom w:val="dotted" w:sz="4" w:space="0" w:color="auto"/>
            </w:tcBorders>
          </w:tcPr>
          <w:p w14:paraId="49378317" w14:textId="77777777" w:rsidR="00951A08" w:rsidRPr="00DE4C5A" w:rsidRDefault="00951A08" w:rsidP="00DD3EE1">
            <w:pPr>
              <w:pStyle w:val="051Tabletext2210pt"/>
              <w:rPr>
                <w:b/>
                <w:sz w:val="18"/>
                <w:szCs w:val="18"/>
              </w:rPr>
            </w:pPr>
            <w:r w:rsidRPr="00DE4C5A">
              <w:rPr>
                <w:b/>
                <w:sz w:val="18"/>
                <w:szCs w:val="18"/>
              </w:rPr>
              <w:t>Pain intensity</w:t>
            </w:r>
          </w:p>
        </w:tc>
        <w:tc>
          <w:tcPr>
            <w:tcW w:w="1284" w:type="dxa"/>
            <w:tcBorders>
              <w:bottom w:val="dotted" w:sz="4" w:space="0" w:color="auto"/>
            </w:tcBorders>
          </w:tcPr>
          <w:p w14:paraId="71ACE1B1" w14:textId="77777777" w:rsidR="00951A08" w:rsidRPr="00B05C77" w:rsidRDefault="00951A08" w:rsidP="00DD3EE1">
            <w:pPr>
              <w:pStyle w:val="051Tabletext2210pt"/>
              <w:rPr>
                <w:sz w:val="18"/>
                <w:szCs w:val="18"/>
              </w:rPr>
            </w:pPr>
          </w:p>
        </w:tc>
        <w:tc>
          <w:tcPr>
            <w:tcW w:w="1842" w:type="dxa"/>
            <w:gridSpan w:val="3"/>
            <w:tcBorders>
              <w:bottom w:val="dotted" w:sz="4" w:space="0" w:color="auto"/>
            </w:tcBorders>
          </w:tcPr>
          <w:p w14:paraId="105B496D" w14:textId="77777777" w:rsidR="00951A08" w:rsidRPr="00B05C77" w:rsidRDefault="00951A08" w:rsidP="00DD3EE1">
            <w:pPr>
              <w:pStyle w:val="051Tabletext2210pt"/>
              <w:rPr>
                <w:sz w:val="18"/>
                <w:szCs w:val="18"/>
              </w:rPr>
            </w:pPr>
          </w:p>
        </w:tc>
        <w:tc>
          <w:tcPr>
            <w:tcW w:w="2127" w:type="dxa"/>
            <w:gridSpan w:val="3"/>
            <w:tcBorders>
              <w:bottom w:val="dotted" w:sz="4" w:space="0" w:color="auto"/>
            </w:tcBorders>
          </w:tcPr>
          <w:p w14:paraId="191C9379" w14:textId="77777777" w:rsidR="00951A08" w:rsidRPr="00B05C77" w:rsidRDefault="00951A08" w:rsidP="00DD3EE1">
            <w:pPr>
              <w:pStyle w:val="051Tabletext2210pt"/>
              <w:rPr>
                <w:sz w:val="18"/>
                <w:szCs w:val="18"/>
              </w:rPr>
            </w:pPr>
          </w:p>
        </w:tc>
        <w:tc>
          <w:tcPr>
            <w:tcW w:w="1842" w:type="dxa"/>
            <w:gridSpan w:val="2"/>
            <w:tcBorders>
              <w:bottom w:val="dotted" w:sz="4" w:space="0" w:color="auto"/>
            </w:tcBorders>
          </w:tcPr>
          <w:p w14:paraId="78523742" w14:textId="77777777" w:rsidR="00951A08" w:rsidRPr="00B05C77" w:rsidRDefault="00951A08" w:rsidP="00DD3EE1">
            <w:pPr>
              <w:pStyle w:val="051Tabletext2210pt"/>
              <w:rPr>
                <w:sz w:val="18"/>
                <w:szCs w:val="18"/>
              </w:rPr>
            </w:pPr>
          </w:p>
        </w:tc>
      </w:tr>
      <w:tr w:rsidR="0010678D" w:rsidRPr="00B05C77" w14:paraId="25020ABA" w14:textId="77777777" w:rsidTr="00990E04">
        <w:trPr>
          <w:gridAfter w:val="1"/>
          <w:wAfter w:w="228" w:type="dxa"/>
        </w:trPr>
        <w:tc>
          <w:tcPr>
            <w:tcW w:w="2544" w:type="dxa"/>
            <w:tcBorders>
              <w:top w:val="dotted" w:sz="4" w:space="0" w:color="auto"/>
              <w:bottom w:val="dotted" w:sz="4" w:space="0" w:color="auto"/>
            </w:tcBorders>
          </w:tcPr>
          <w:p w14:paraId="0DDA68A6" w14:textId="77777777" w:rsidR="00951A08" w:rsidRPr="00B05C77" w:rsidRDefault="00951A08" w:rsidP="00194409">
            <w:pPr>
              <w:pStyle w:val="051Tabletext2210pt"/>
              <w:ind w:left="157"/>
              <w:rPr>
                <w:sz w:val="18"/>
                <w:szCs w:val="18"/>
              </w:rPr>
            </w:pPr>
            <w:r w:rsidRPr="00B05C77">
              <w:rPr>
                <w:sz w:val="18"/>
                <w:szCs w:val="18"/>
              </w:rPr>
              <w:t>Low back pain</w:t>
            </w:r>
          </w:p>
        </w:tc>
        <w:tc>
          <w:tcPr>
            <w:tcW w:w="1284" w:type="dxa"/>
            <w:tcBorders>
              <w:top w:val="dotted" w:sz="4" w:space="0" w:color="auto"/>
              <w:bottom w:val="dotted" w:sz="4" w:space="0" w:color="auto"/>
            </w:tcBorders>
          </w:tcPr>
          <w:p w14:paraId="0EED63A7" w14:textId="77777777" w:rsidR="00951A08" w:rsidRPr="00B05C77" w:rsidRDefault="00951A08" w:rsidP="00DD3EE1">
            <w:pPr>
              <w:pStyle w:val="051Tabletext2210pt"/>
              <w:rPr>
                <w:sz w:val="18"/>
                <w:szCs w:val="18"/>
              </w:rPr>
            </w:pPr>
            <w:r w:rsidRPr="00B05C77">
              <w:rPr>
                <w:sz w:val="18"/>
                <w:szCs w:val="18"/>
              </w:rPr>
              <w:t>3; N=430 (M)</w:t>
            </w:r>
          </w:p>
        </w:tc>
        <w:tc>
          <w:tcPr>
            <w:tcW w:w="1842" w:type="dxa"/>
            <w:gridSpan w:val="3"/>
            <w:tcBorders>
              <w:top w:val="dotted" w:sz="4" w:space="0" w:color="auto"/>
              <w:bottom w:val="dotted" w:sz="4" w:space="0" w:color="auto"/>
            </w:tcBorders>
            <w:shd w:val="clear" w:color="auto" w:fill="F4B083" w:themeFill="accent2" w:themeFillTint="99"/>
          </w:tcPr>
          <w:p w14:paraId="4414ABC0" w14:textId="77777777" w:rsidR="00951A08" w:rsidRPr="00B05C77" w:rsidRDefault="00951A08" w:rsidP="00DD3EE1">
            <w:pPr>
              <w:pStyle w:val="051Tabletext2210pt"/>
              <w:rPr>
                <w:sz w:val="18"/>
                <w:szCs w:val="18"/>
              </w:rPr>
            </w:pPr>
            <w:r w:rsidRPr="00B05C77">
              <w:rPr>
                <w:sz w:val="18"/>
                <w:szCs w:val="18"/>
              </w:rPr>
              <w:t>very low</w:t>
            </w:r>
          </w:p>
        </w:tc>
        <w:tc>
          <w:tcPr>
            <w:tcW w:w="2127" w:type="dxa"/>
            <w:gridSpan w:val="3"/>
            <w:tcBorders>
              <w:top w:val="dotted" w:sz="4" w:space="0" w:color="auto"/>
              <w:bottom w:val="dotted" w:sz="4" w:space="0" w:color="auto"/>
            </w:tcBorders>
            <w:shd w:val="clear" w:color="auto" w:fill="auto"/>
          </w:tcPr>
          <w:p w14:paraId="680DB36C" w14:textId="77777777" w:rsidR="00951A08" w:rsidRPr="00B05C77" w:rsidRDefault="00951A08" w:rsidP="00DD3EE1">
            <w:pPr>
              <w:pStyle w:val="051Tabletext2210pt"/>
              <w:rPr>
                <w:sz w:val="18"/>
                <w:szCs w:val="18"/>
              </w:rPr>
            </w:pPr>
            <w:r w:rsidRPr="00B05C77">
              <w:rPr>
                <w:sz w:val="18"/>
                <w:szCs w:val="18"/>
              </w:rPr>
              <w:t>No effect</w:t>
            </w:r>
          </w:p>
        </w:tc>
        <w:tc>
          <w:tcPr>
            <w:tcW w:w="1842" w:type="dxa"/>
            <w:gridSpan w:val="2"/>
            <w:tcBorders>
              <w:top w:val="dotted" w:sz="4" w:space="0" w:color="auto"/>
              <w:bottom w:val="dotted" w:sz="4" w:space="0" w:color="auto"/>
            </w:tcBorders>
            <w:shd w:val="clear" w:color="auto" w:fill="E2EFD9" w:themeFill="accent6" w:themeFillTint="33"/>
          </w:tcPr>
          <w:p w14:paraId="70A92BCB" w14:textId="77777777" w:rsidR="00951A08" w:rsidRPr="00B05C77" w:rsidRDefault="00951A08" w:rsidP="00DD3EE1">
            <w:pPr>
              <w:pStyle w:val="051Tabletext2210pt"/>
              <w:rPr>
                <w:sz w:val="18"/>
                <w:szCs w:val="18"/>
              </w:rPr>
            </w:pPr>
            <w:r w:rsidRPr="00B05C77">
              <w:rPr>
                <w:sz w:val="18"/>
                <w:szCs w:val="18"/>
              </w:rPr>
              <w:t>Favours SCS</w:t>
            </w:r>
          </w:p>
        </w:tc>
      </w:tr>
      <w:tr w:rsidR="0010678D" w:rsidRPr="00B05C77" w14:paraId="54EC4983" w14:textId="77777777" w:rsidTr="00990E04">
        <w:trPr>
          <w:gridAfter w:val="1"/>
          <w:wAfter w:w="228" w:type="dxa"/>
        </w:trPr>
        <w:tc>
          <w:tcPr>
            <w:tcW w:w="2544" w:type="dxa"/>
            <w:tcBorders>
              <w:top w:val="dotted" w:sz="4" w:space="0" w:color="auto"/>
              <w:bottom w:val="dotted" w:sz="4" w:space="0" w:color="auto"/>
            </w:tcBorders>
          </w:tcPr>
          <w:p w14:paraId="5A623E56" w14:textId="77777777" w:rsidR="00951A08" w:rsidRPr="00B05C77" w:rsidRDefault="00951A08" w:rsidP="00194409">
            <w:pPr>
              <w:pStyle w:val="051Tabletext2210pt"/>
              <w:ind w:left="157"/>
              <w:rPr>
                <w:sz w:val="18"/>
                <w:szCs w:val="18"/>
              </w:rPr>
            </w:pPr>
            <w:r w:rsidRPr="00B05C77">
              <w:rPr>
                <w:sz w:val="18"/>
                <w:szCs w:val="18"/>
              </w:rPr>
              <w:t>Leg pain</w:t>
            </w:r>
          </w:p>
        </w:tc>
        <w:tc>
          <w:tcPr>
            <w:tcW w:w="1284" w:type="dxa"/>
            <w:tcBorders>
              <w:top w:val="dotted" w:sz="4" w:space="0" w:color="auto"/>
              <w:bottom w:val="dotted" w:sz="4" w:space="0" w:color="auto"/>
            </w:tcBorders>
          </w:tcPr>
          <w:p w14:paraId="05FE4F00" w14:textId="77777777" w:rsidR="00951A08" w:rsidRPr="00B05C77" w:rsidRDefault="00951A08" w:rsidP="00DD3EE1">
            <w:pPr>
              <w:pStyle w:val="051Tabletext2210pt"/>
              <w:rPr>
                <w:sz w:val="18"/>
                <w:szCs w:val="18"/>
              </w:rPr>
            </w:pPr>
            <w:r w:rsidRPr="00B05C77">
              <w:rPr>
                <w:sz w:val="18"/>
                <w:szCs w:val="18"/>
              </w:rPr>
              <w:t>2; N=290 (M)</w:t>
            </w:r>
          </w:p>
        </w:tc>
        <w:tc>
          <w:tcPr>
            <w:tcW w:w="1842" w:type="dxa"/>
            <w:gridSpan w:val="3"/>
            <w:tcBorders>
              <w:top w:val="dotted" w:sz="4" w:space="0" w:color="auto"/>
              <w:bottom w:val="dotted" w:sz="4" w:space="0" w:color="auto"/>
            </w:tcBorders>
            <w:shd w:val="clear" w:color="auto" w:fill="F4B083" w:themeFill="accent2" w:themeFillTint="99"/>
          </w:tcPr>
          <w:p w14:paraId="082959BE" w14:textId="77777777" w:rsidR="00951A08" w:rsidRPr="00B05C77" w:rsidRDefault="00951A08" w:rsidP="00DD3EE1">
            <w:pPr>
              <w:pStyle w:val="051Tabletext2210pt"/>
              <w:rPr>
                <w:sz w:val="18"/>
                <w:szCs w:val="18"/>
              </w:rPr>
            </w:pPr>
            <w:r w:rsidRPr="00B05C77">
              <w:rPr>
                <w:sz w:val="18"/>
                <w:szCs w:val="18"/>
              </w:rPr>
              <w:t>very low</w:t>
            </w:r>
          </w:p>
        </w:tc>
        <w:tc>
          <w:tcPr>
            <w:tcW w:w="2127" w:type="dxa"/>
            <w:gridSpan w:val="3"/>
            <w:tcBorders>
              <w:top w:val="dotted" w:sz="4" w:space="0" w:color="auto"/>
              <w:bottom w:val="dotted" w:sz="4" w:space="0" w:color="auto"/>
            </w:tcBorders>
            <w:shd w:val="clear" w:color="auto" w:fill="E2EFD9" w:themeFill="accent6" w:themeFillTint="33"/>
          </w:tcPr>
          <w:p w14:paraId="35647DFB" w14:textId="77777777" w:rsidR="00951A08" w:rsidRPr="00B05C77" w:rsidRDefault="00951A08" w:rsidP="00DD3EE1">
            <w:pPr>
              <w:pStyle w:val="051Tabletext2210pt"/>
              <w:rPr>
                <w:sz w:val="18"/>
                <w:szCs w:val="18"/>
              </w:rPr>
            </w:pPr>
            <w:r w:rsidRPr="00B05C77">
              <w:rPr>
                <w:sz w:val="18"/>
                <w:szCs w:val="18"/>
              </w:rPr>
              <w:t>Favours SCS</w:t>
            </w:r>
          </w:p>
        </w:tc>
        <w:tc>
          <w:tcPr>
            <w:tcW w:w="1842" w:type="dxa"/>
            <w:gridSpan w:val="2"/>
            <w:tcBorders>
              <w:top w:val="dotted" w:sz="4" w:space="0" w:color="auto"/>
              <w:bottom w:val="dotted" w:sz="4" w:space="0" w:color="auto"/>
            </w:tcBorders>
            <w:shd w:val="clear" w:color="auto" w:fill="E2EFD9" w:themeFill="accent6" w:themeFillTint="33"/>
          </w:tcPr>
          <w:p w14:paraId="6B41C33F" w14:textId="77777777" w:rsidR="00951A08" w:rsidRPr="00B05C77" w:rsidRDefault="00951A08" w:rsidP="00DD3EE1">
            <w:pPr>
              <w:pStyle w:val="051Tabletext2210pt"/>
              <w:rPr>
                <w:sz w:val="18"/>
                <w:szCs w:val="18"/>
              </w:rPr>
            </w:pPr>
            <w:r w:rsidRPr="00B05C77">
              <w:rPr>
                <w:sz w:val="18"/>
                <w:szCs w:val="18"/>
              </w:rPr>
              <w:t>Favours SCS</w:t>
            </w:r>
          </w:p>
        </w:tc>
      </w:tr>
      <w:tr w:rsidR="00990E04" w:rsidRPr="00B05C77" w14:paraId="6CC28B3D" w14:textId="77777777" w:rsidTr="00990E04">
        <w:trPr>
          <w:gridAfter w:val="1"/>
          <w:wAfter w:w="228" w:type="dxa"/>
        </w:trPr>
        <w:tc>
          <w:tcPr>
            <w:tcW w:w="2544" w:type="dxa"/>
            <w:tcBorders>
              <w:top w:val="dotted" w:sz="4" w:space="0" w:color="auto"/>
              <w:bottom w:val="nil"/>
            </w:tcBorders>
          </w:tcPr>
          <w:p w14:paraId="07CD09B9" w14:textId="77777777" w:rsidR="00951A08" w:rsidRPr="00B05C77" w:rsidRDefault="00951A08" w:rsidP="00194409">
            <w:pPr>
              <w:pStyle w:val="051Tabletext2210pt"/>
              <w:ind w:left="157"/>
              <w:rPr>
                <w:sz w:val="18"/>
                <w:szCs w:val="18"/>
              </w:rPr>
            </w:pPr>
            <w:r w:rsidRPr="00194409">
              <w:rPr>
                <w:sz w:val="18"/>
                <w:szCs w:val="18"/>
              </w:rPr>
              <w:t>≥</w:t>
            </w:r>
            <w:r w:rsidRPr="00B05C77">
              <w:rPr>
                <w:sz w:val="18"/>
                <w:szCs w:val="18"/>
              </w:rPr>
              <w:t>50% better</w:t>
            </w:r>
          </w:p>
        </w:tc>
        <w:tc>
          <w:tcPr>
            <w:tcW w:w="1284" w:type="dxa"/>
            <w:tcBorders>
              <w:top w:val="dotted" w:sz="4" w:space="0" w:color="auto"/>
              <w:bottom w:val="nil"/>
            </w:tcBorders>
          </w:tcPr>
          <w:p w14:paraId="5FFABD98" w14:textId="77777777" w:rsidR="00951A08" w:rsidRPr="00B05C77" w:rsidRDefault="00951A08" w:rsidP="00DD3EE1">
            <w:pPr>
              <w:pStyle w:val="051Tabletext2210pt"/>
              <w:rPr>
                <w:sz w:val="18"/>
                <w:szCs w:val="18"/>
              </w:rPr>
            </w:pPr>
            <w:r w:rsidRPr="00B05C77">
              <w:rPr>
                <w:sz w:val="18"/>
                <w:szCs w:val="18"/>
              </w:rPr>
              <w:t>3; N=430 (M)</w:t>
            </w:r>
          </w:p>
        </w:tc>
        <w:tc>
          <w:tcPr>
            <w:tcW w:w="1842" w:type="dxa"/>
            <w:gridSpan w:val="3"/>
            <w:tcBorders>
              <w:top w:val="dotted" w:sz="4" w:space="0" w:color="auto"/>
              <w:bottom w:val="nil"/>
            </w:tcBorders>
            <w:shd w:val="clear" w:color="auto" w:fill="F4B083" w:themeFill="accent2" w:themeFillTint="99"/>
          </w:tcPr>
          <w:p w14:paraId="314863AF" w14:textId="77777777" w:rsidR="00951A08" w:rsidRPr="00B05C77" w:rsidRDefault="00951A08" w:rsidP="00DD3EE1">
            <w:pPr>
              <w:pStyle w:val="051Tabletext2210pt"/>
              <w:rPr>
                <w:sz w:val="18"/>
                <w:szCs w:val="18"/>
              </w:rPr>
            </w:pPr>
            <w:r w:rsidRPr="00B05C77">
              <w:rPr>
                <w:sz w:val="18"/>
                <w:szCs w:val="18"/>
              </w:rPr>
              <w:t>very low</w:t>
            </w:r>
          </w:p>
        </w:tc>
        <w:tc>
          <w:tcPr>
            <w:tcW w:w="2127" w:type="dxa"/>
            <w:gridSpan w:val="3"/>
            <w:tcBorders>
              <w:top w:val="dotted" w:sz="4" w:space="0" w:color="auto"/>
              <w:bottom w:val="nil"/>
            </w:tcBorders>
            <w:shd w:val="clear" w:color="auto" w:fill="E2EFD9" w:themeFill="accent6" w:themeFillTint="33"/>
          </w:tcPr>
          <w:p w14:paraId="412506E4" w14:textId="77777777" w:rsidR="00951A08" w:rsidRPr="00B05C77" w:rsidRDefault="00951A08" w:rsidP="00DD3EE1">
            <w:pPr>
              <w:pStyle w:val="051Tabletext2210pt"/>
              <w:rPr>
                <w:sz w:val="18"/>
                <w:szCs w:val="18"/>
              </w:rPr>
            </w:pPr>
            <w:r w:rsidRPr="00B05C77">
              <w:rPr>
                <w:sz w:val="18"/>
                <w:szCs w:val="18"/>
              </w:rPr>
              <w:t>Favours SCS</w:t>
            </w:r>
          </w:p>
        </w:tc>
        <w:tc>
          <w:tcPr>
            <w:tcW w:w="1842" w:type="dxa"/>
            <w:gridSpan w:val="2"/>
            <w:tcBorders>
              <w:top w:val="dotted" w:sz="4" w:space="0" w:color="auto"/>
              <w:bottom w:val="nil"/>
            </w:tcBorders>
            <w:shd w:val="clear" w:color="auto" w:fill="E2EFD9" w:themeFill="accent6" w:themeFillTint="33"/>
          </w:tcPr>
          <w:p w14:paraId="44863C42" w14:textId="77777777" w:rsidR="00951A08" w:rsidRPr="00B05C77" w:rsidRDefault="00951A08" w:rsidP="00DD3EE1">
            <w:pPr>
              <w:pStyle w:val="051Tabletext2210pt"/>
              <w:rPr>
                <w:sz w:val="18"/>
                <w:szCs w:val="18"/>
              </w:rPr>
            </w:pPr>
            <w:r w:rsidRPr="00B05C77">
              <w:rPr>
                <w:sz w:val="18"/>
                <w:szCs w:val="18"/>
              </w:rPr>
              <w:t>Favours SCS</w:t>
            </w:r>
          </w:p>
        </w:tc>
      </w:tr>
      <w:tr w:rsidR="00990E04" w:rsidRPr="00B05C77" w14:paraId="1B1F220E" w14:textId="77777777" w:rsidTr="00990E04">
        <w:trPr>
          <w:gridAfter w:val="1"/>
          <w:wAfter w:w="228" w:type="dxa"/>
        </w:trPr>
        <w:tc>
          <w:tcPr>
            <w:tcW w:w="2544" w:type="dxa"/>
            <w:tcBorders>
              <w:top w:val="nil"/>
              <w:bottom w:val="single" w:sz="4" w:space="0" w:color="auto"/>
            </w:tcBorders>
          </w:tcPr>
          <w:p w14:paraId="7E648623" w14:textId="77777777" w:rsidR="00951A08" w:rsidRPr="00194409" w:rsidRDefault="00951A08" w:rsidP="00194409">
            <w:pPr>
              <w:pStyle w:val="051Tabletext2210pt"/>
              <w:ind w:left="157"/>
              <w:rPr>
                <w:sz w:val="18"/>
                <w:szCs w:val="18"/>
              </w:rPr>
            </w:pPr>
          </w:p>
        </w:tc>
        <w:tc>
          <w:tcPr>
            <w:tcW w:w="1284" w:type="dxa"/>
            <w:tcBorders>
              <w:top w:val="nil"/>
              <w:bottom w:val="single" w:sz="4" w:space="0" w:color="auto"/>
            </w:tcBorders>
          </w:tcPr>
          <w:p w14:paraId="717AEAF7" w14:textId="77777777" w:rsidR="00951A08" w:rsidRPr="00B05C77" w:rsidRDefault="00951A08" w:rsidP="00DD3EE1">
            <w:pPr>
              <w:pStyle w:val="051Tabletext2210pt"/>
              <w:rPr>
                <w:sz w:val="18"/>
                <w:szCs w:val="18"/>
              </w:rPr>
            </w:pPr>
            <w:r w:rsidRPr="00B05C77">
              <w:rPr>
                <w:sz w:val="18"/>
                <w:szCs w:val="18"/>
              </w:rPr>
              <w:t>1; N=100 (L)</w:t>
            </w:r>
          </w:p>
        </w:tc>
        <w:tc>
          <w:tcPr>
            <w:tcW w:w="1842" w:type="dxa"/>
            <w:gridSpan w:val="3"/>
            <w:tcBorders>
              <w:top w:val="nil"/>
              <w:bottom w:val="single" w:sz="4" w:space="0" w:color="auto"/>
            </w:tcBorders>
            <w:shd w:val="clear" w:color="auto" w:fill="F4B083" w:themeFill="accent2" w:themeFillTint="99"/>
          </w:tcPr>
          <w:p w14:paraId="1395087C" w14:textId="77777777" w:rsidR="00951A08" w:rsidRPr="00B05C77" w:rsidRDefault="00951A08" w:rsidP="00DD3EE1">
            <w:pPr>
              <w:pStyle w:val="051Tabletext2210pt"/>
              <w:rPr>
                <w:sz w:val="18"/>
                <w:szCs w:val="18"/>
              </w:rPr>
            </w:pPr>
            <w:r w:rsidRPr="00B05C77">
              <w:rPr>
                <w:sz w:val="18"/>
                <w:szCs w:val="18"/>
              </w:rPr>
              <w:t>very low</w:t>
            </w:r>
          </w:p>
        </w:tc>
        <w:tc>
          <w:tcPr>
            <w:tcW w:w="2127" w:type="dxa"/>
            <w:gridSpan w:val="3"/>
            <w:tcBorders>
              <w:top w:val="nil"/>
              <w:bottom w:val="single" w:sz="4" w:space="0" w:color="auto"/>
            </w:tcBorders>
            <w:shd w:val="clear" w:color="auto" w:fill="E2EFD9" w:themeFill="accent6" w:themeFillTint="33"/>
          </w:tcPr>
          <w:p w14:paraId="57732F2C" w14:textId="77777777" w:rsidR="00951A08" w:rsidRPr="00B05C77" w:rsidRDefault="00951A08" w:rsidP="00DD3EE1">
            <w:pPr>
              <w:pStyle w:val="051Tabletext2210pt"/>
              <w:rPr>
                <w:sz w:val="18"/>
                <w:szCs w:val="18"/>
              </w:rPr>
            </w:pPr>
            <w:r w:rsidRPr="00B05C77">
              <w:rPr>
                <w:sz w:val="18"/>
                <w:szCs w:val="18"/>
              </w:rPr>
              <w:t>Favours SCS</w:t>
            </w:r>
          </w:p>
        </w:tc>
        <w:tc>
          <w:tcPr>
            <w:tcW w:w="1842" w:type="dxa"/>
            <w:gridSpan w:val="2"/>
            <w:tcBorders>
              <w:top w:val="nil"/>
              <w:bottom w:val="single" w:sz="4" w:space="0" w:color="auto"/>
            </w:tcBorders>
            <w:shd w:val="clear" w:color="auto" w:fill="E2EFD9" w:themeFill="accent6" w:themeFillTint="33"/>
          </w:tcPr>
          <w:p w14:paraId="78E598AD" w14:textId="77777777" w:rsidR="00951A08" w:rsidRPr="00B05C77" w:rsidRDefault="00951A08" w:rsidP="00DD3EE1">
            <w:pPr>
              <w:pStyle w:val="051Tabletext2210pt"/>
              <w:rPr>
                <w:sz w:val="18"/>
                <w:szCs w:val="18"/>
              </w:rPr>
            </w:pPr>
            <w:r w:rsidRPr="00B05C77">
              <w:rPr>
                <w:sz w:val="18"/>
                <w:szCs w:val="18"/>
              </w:rPr>
              <w:t>Favours SCS</w:t>
            </w:r>
          </w:p>
        </w:tc>
      </w:tr>
      <w:tr w:rsidR="00990E04" w:rsidRPr="00B05C77" w14:paraId="48E1733E" w14:textId="77777777" w:rsidTr="00990E04">
        <w:trPr>
          <w:gridAfter w:val="1"/>
          <w:wAfter w:w="228" w:type="dxa"/>
        </w:trPr>
        <w:tc>
          <w:tcPr>
            <w:tcW w:w="2544" w:type="dxa"/>
            <w:tcBorders>
              <w:top w:val="single" w:sz="4" w:space="0" w:color="auto"/>
              <w:bottom w:val="dotted" w:sz="4" w:space="0" w:color="auto"/>
            </w:tcBorders>
          </w:tcPr>
          <w:p w14:paraId="146A3AA5" w14:textId="77777777" w:rsidR="00951A08" w:rsidRPr="007F7995" w:rsidRDefault="00951A08" w:rsidP="00DD3EE1">
            <w:pPr>
              <w:pStyle w:val="051Tabletext2210pt"/>
              <w:rPr>
                <w:b/>
                <w:bCs/>
                <w:sz w:val="18"/>
                <w:szCs w:val="18"/>
              </w:rPr>
            </w:pPr>
            <w:r w:rsidRPr="007F7995">
              <w:rPr>
                <w:b/>
                <w:bCs/>
                <w:sz w:val="18"/>
                <w:szCs w:val="18"/>
              </w:rPr>
              <w:lastRenderedPageBreak/>
              <w:t>Function</w:t>
            </w:r>
          </w:p>
        </w:tc>
        <w:tc>
          <w:tcPr>
            <w:tcW w:w="1284" w:type="dxa"/>
            <w:tcBorders>
              <w:top w:val="single" w:sz="4" w:space="0" w:color="auto"/>
              <w:bottom w:val="dotted" w:sz="4" w:space="0" w:color="auto"/>
            </w:tcBorders>
          </w:tcPr>
          <w:p w14:paraId="4A589153" w14:textId="77777777" w:rsidR="00951A08" w:rsidRPr="00B05C77" w:rsidRDefault="00951A08" w:rsidP="00DD3EE1">
            <w:pPr>
              <w:pStyle w:val="051Tabletext2210pt"/>
              <w:rPr>
                <w:sz w:val="18"/>
                <w:szCs w:val="18"/>
              </w:rPr>
            </w:pPr>
            <w:r w:rsidRPr="00B05C77">
              <w:rPr>
                <w:sz w:val="18"/>
                <w:szCs w:val="18"/>
              </w:rPr>
              <w:t>3; N=430 (M)</w:t>
            </w:r>
          </w:p>
        </w:tc>
        <w:tc>
          <w:tcPr>
            <w:tcW w:w="1842" w:type="dxa"/>
            <w:gridSpan w:val="3"/>
            <w:tcBorders>
              <w:top w:val="single" w:sz="4" w:space="0" w:color="auto"/>
              <w:bottom w:val="dotted" w:sz="4" w:space="0" w:color="auto"/>
            </w:tcBorders>
            <w:shd w:val="clear" w:color="auto" w:fill="FFE599" w:themeFill="accent4" w:themeFillTint="66"/>
          </w:tcPr>
          <w:p w14:paraId="42CBFEA2" w14:textId="77777777" w:rsidR="00951A08" w:rsidRPr="00B05C77" w:rsidRDefault="00951A08" w:rsidP="00DD3EE1">
            <w:pPr>
              <w:pStyle w:val="051Tabletext2210pt"/>
              <w:rPr>
                <w:sz w:val="18"/>
                <w:szCs w:val="18"/>
              </w:rPr>
            </w:pPr>
            <w:r w:rsidRPr="00B05C77">
              <w:rPr>
                <w:sz w:val="18"/>
                <w:szCs w:val="18"/>
              </w:rPr>
              <w:t>low</w:t>
            </w:r>
          </w:p>
        </w:tc>
        <w:tc>
          <w:tcPr>
            <w:tcW w:w="2127" w:type="dxa"/>
            <w:gridSpan w:val="3"/>
            <w:tcBorders>
              <w:top w:val="single" w:sz="4" w:space="0" w:color="auto"/>
              <w:bottom w:val="dotted" w:sz="4" w:space="0" w:color="auto"/>
            </w:tcBorders>
            <w:shd w:val="clear" w:color="auto" w:fill="E2EFD9" w:themeFill="accent6" w:themeFillTint="33"/>
          </w:tcPr>
          <w:p w14:paraId="26F472C2" w14:textId="77777777" w:rsidR="00951A08" w:rsidRPr="00B05C77" w:rsidRDefault="00951A08" w:rsidP="00DD3EE1">
            <w:pPr>
              <w:pStyle w:val="051Tabletext2210pt"/>
              <w:rPr>
                <w:sz w:val="18"/>
                <w:szCs w:val="18"/>
              </w:rPr>
            </w:pPr>
            <w:r w:rsidRPr="00B05C77">
              <w:rPr>
                <w:sz w:val="18"/>
                <w:szCs w:val="18"/>
              </w:rPr>
              <w:t>Favours SCS</w:t>
            </w:r>
          </w:p>
        </w:tc>
        <w:tc>
          <w:tcPr>
            <w:tcW w:w="1842" w:type="dxa"/>
            <w:gridSpan w:val="2"/>
            <w:tcBorders>
              <w:top w:val="single" w:sz="4" w:space="0" w:color="auto"/>
              <w:bottom w:val="dotted" w:sz="4" w:space="0" w:color="auto"/>
            </w:tcBorders>
            <w:shd w:val="clear" w:color="auto" w:fill="E2EFD9" w:themeFill="accent6" w:themeFillTint="33"/>
          </w:tcPr>
          <w:p w14:paraId="0AE33128" w14:textId="77777777" w:rsidR="00951A08" w:rsidRPr="00B05C77" w:rsidRDefault="00951A08" w:rsidP="00DD3EE1">
            <w:pPr>
              <w:pStyle w:val="051Tabletext2210pt"/>
              <w:rPr>
                <w:sz w:val="18"/>
                <w:szCs w:val="18"/>
              </w:rPr>
            </w:pPr>
            <w:r w:rsidRPr="00B05C77">
              <w:rPr>
                <w:sz w:val="18"/>
                <w:szCs w:val="18"/>
              </w:rPr>
              <w:t>Favours SCS</w:t>
            </w:r>
          </w:p>
        </w:tc>
      </w:tr>
      <w:tr w:rsidR="0010678D" w:rsidRPr="00B05C77" w14:paraId="195A3732" w14:textId="77777777" w:rsidTr="00990E04">
        <w:trPr>
          <w:gridAfter w:val="1"/>
          <w:wAfter w:w="228" w:type="dxa"/>
        </w:trPr>
        <w:tc>
          <w:tcPr>
            <w:tcW w:w="2544" w:type="dxa"/>
            <w:tcBorders>
              <w:bottom w:val="dotted" w:sz="4" w:space="0" w:color="auto"/>
            </w:tcBorders>
          </w:tcPr>
          <w:p w14:paraId="0C0EF5B5" w14:textId="77777777" w:rsidR="00951A08" w:rsidRPr="007F7995" w:rsidRDefault="00951A08" w:rsidP="00DD3EE1">
            <w:pPr>
              <w:pStyle w:val="051Tabletext2210pt"/>
              <w:rPr>
                <w:b/>
                <w:bCs/>
                <w:sz w:val="18"/>
                <w:szCs w:val="18"/>
              </w:rPr>
            </w:pPr>
            <w:proofErr w:type="spellStart"/>
            <w:r w:rsidRPr="007F7995">
              <w:rPr>
                <w:b/>
                <w:bCs/>
                <w:sz w:val="18"/>
                <w:szCs w:val="18"/>
              </w:rPr>
              <w:t>HRQoL</w:t>
            </w:r>
            <w:proofErr w:type="spellEnd"/>
          </w:p>
        </w:tc>
        <w:tc>
          <w:tcPr>
            <w:tcW w:w="1284" w:type="dxa"/>
            <w:tcBorders>
              <w:bottom w:val="dotted" w:sz="4" w:space="0" w:color="auto"/>
            </w:tcBorders>
          </w:tcPr>
          <w:p w14:paraId="34F4CE9C" w14:textId="77777777" w:rsidR="00951A08" w:rsidRPr="00B05C77" w:rsidRDefault="00951A08" w:rsidP="00DD3EE1">
            <w:pPr>
              <w:pStyle w:val="051Tabletext2210pt"/>
              <w:rPr>
                <w:sz w:val="18"/>
                <w:szCs w:val="18"/>
              </w:rPr>
            </w:pPr>
            <w:r w:rsidRPr="00B05C77">
              <w:rPr>
                <w:sz w:val="18"/>
                <w:szCs w:val="18"/>
              </w:rPr>
              <w:t>2; N=289 (M)</w:t>
            </w:r>
          </w:p>
        </w:tc>
        <w:tc>
          <w:tcPr>
            <w:tcW w:w="1842" w:type="dxa"/>
            <w:gridSpan w:val="3"/>
            <w:tcBorders>
              <w:bottom w:val="dotted" w:sz="4" w:space="0" w:color="auto"/>
            </w:tcBorders>
            <w:shd w:val="clear" w:color="auto" w:fill="F4B083" w:themeFill="accent2" w:themeFillTint="99"/>
          </w:tcPr>
          <w:p w14:paraId="2EA716CE" w14:textId="77777777" w:rsidR="00951A08" w:rsidRPr="00B05C77" w:rsidRDefault="00951A08" w:rsidP="00DD3EE1">
            <w:pPr>
              <w:pStyle w:val="051Tabletext2210pt"/>
              <w:rPr>
                <w:sz w:val="18"/>
                <w:szCs w:val="18"/>
              </w:rPr>
            </w:pPr>
            <w:r w:rsidRPr="00B05C77">
              <w:rPr>
                <w:sz w:val="18"/>
                <w:szCs w:val="18"/>
              </w:rPr>
              <w:t>very low</w:t>
            </w:r>
          </w:p>
        </w:tc>
        <w:tc>
          <w:tcPr>
            <w:tcW w:w="2127" w:type="dxa"/>
            <w:gridSpan w:val="3"/>
            <w:tcBorders>
              <w:bottom w:val="dotted" w:sz="4" w:space="0" w:color="auto"/>
            </w:tcBorders>
            <w:shd w:val="clear" w:color="auto" w:fill="auto"/>
          </w:tcPr>
          <w:p w14:paraId="5B22B866" w14:textId="6F11054C" w:rsidR="00951A08" w:rsidRPr="00B05C77" w:rsidRDefault="00951A08" w:rsidP="00DD3EE1">
            <w:pPr>
              <w:pStyle w:val="051Tabletext2210pt"/>
              <w:rPr>
                <w:sz w:val="18"/>
                <w:szCs w:val="18"/>
              </w:rPr>
            </w:pPr>
            <w:r w:rsidRPr="00B05C77">
              <w:rPr>
                <w:sz w:val="18"/>
                <w:szCs w:val="18"/>
              </w:rPr>
              <w:t>No effect</w:t>
            </w:r>
          </w:p>
        </w:tc>
        <w:tc>
          <w:tcPr>
            <w:tcW w:w="1842" w:type="dxa"/>
            <w:gridSpan w:val="2"/>
            <w:tcBorders>
              <w:bottom w:val="dotted" w:sz="4" w:space="0" w:color="auto"/>
            </w:tcBorders>
            <w:shd w:val="clear" w:color="auto" w:fill="FFFFFF" w:themeFill="background1"/>
          </w:tcPr>
          <w:p w14:paraId="5E08F98B" w14:textId="77777777" w:rsidR="00951A08" w:rsidRPr="00B05C77" w:rsidRDefault="00951A08" w:rsidP="00DD3EE1">
            <w:pPr>
              <w:pStyle w:val="051Tabletext2210pt"/>
              <w:rPr>
                <w:sz w:val="18"/>
                <w:szCs w:val="18"/>
              </w:rPr>
            </w:pPr>
            <w:r w:rsidRPr="00B05C77">
              <w:rPr>
                <w:sz w:val="18"/>
                <w:szCs w:val="18"/>
              </w:rPr>
              <w:t>NR</w:t>
            </w:r>
          </w:p>
        </w:tc>
      </w:tr>
      <w:tr w:rsidR="009170BE" w:rsidRPr="00B05C77" w14:paraId="1CC5AE78" w14:textId="77777777" w:rsidTr="00990E04">
        <w:trPr>
          <w:gridAfter w:val="1"/>
          <w:wAfter w:w="228" w:type="dxa"/>
        </w:trPr>
        <w:tc>
          <w:tcPr>
            <w:tcW w:w="2544" w:type="dxa"/>
            <w:tcBorders>
              <w:top w:val="single" w:sz="4" w:space="0" w:color="auto"/>
              <w:bottom w:val="dotted" w:sz="4" w:space="0" w:color="auto"/>
            </w:tcBorders>
          </w:tcPr>
          <w:p w14:paraId="350429A5" w14:textId="77777777" w:rsidR="00951A08" w:rsidRPr="00DE4C5A" w:rsidRDefault="00951A08" w:rsidP="00DD3EE1">
            <w:pPr>
              <w:pStyle w:val="051Tabletext2210pt"/>
              <w:rPr>
                <w:b/>
                <w:sz w:val="18"/>
                <w:szCs w:val="18"/>
              </w:rPr>
            </w:pPr>
            <w:r w:rsidRPr="00DE4C5A">
              <w:rPr>
                <w:b/>
                <w:sz w:val="18"/>
                <w:szCs w:val="18"/>
              </w:rPr>
              <w:t>Harms</w:t>
            </w:r>
          </w:p>
        </w:tc>
        <w:tc>
          <w:tcPr>
            <w:tcW w:w="1284" w:type="dxa"/>
            <w:tcBorders>
              <w:top w:val="single" w:sz="4" w:space="0" w:color="auto"/>
              <w:bottom w:val="dotted" w:sz="4" w:space="0" w:color="auto"/>
            </w:tcBorders>
          </w:tcPr>
          <w:p w14:paraId="7BBE666B" w14:textId="77777777" w:rsidR="00951A08" w:rsidRPr="00B05C77" w:rsidRDefault="00951A08" w:rsidP="00DD3EE1">
            <w:pPr>
              <w:pStyle w:val="051Tabletext2210pt"/>
              <w:rPr>
                <w:sz w:val="18"/>
                <w:szCs w:val="18"/>
              </w:rPr>
            </w:pPr>
          </w:p>
        </w:tc>
        <w:tc>
          <w:tcPr>
            <w:tcW w:w="1842" w:type="dxa"/>
            <w:gridSpan w:val="3"/>
            <w:tcBorders>
              <w:top w:val="single" w:sz="4" w:space="0" w:color="auto"/>
              <w:bottom w:val="dotted" w:sz="4" w:space="0" w:color="auto"/>
            </w:tcBorders>
            <w:shd w:val="clear" w:color="auto" w:fill="FFFFFF" w:themeFill="background1"/>
          </w:tcPr>
          <w:p w14:paraId="526C2203" w14:textId="77777777" w:rsidR="00951A08" w:rsidRPr="00B05C77" w:rsidRDefault="00951A08" w:rsidP="00DD3EE1">
            <w:pPr>
              <w:pStyle w:val="051Tabletext2210pt"/>
              <w:rPr>
                <w:sz w:val="18"/>
                <w:szCs w:val="18"/>
              </w:rPr>
            </w:pPr>
          </w:p>
        </w:tc>
        <w:tc>
          <w:tcPr>
            <w:tcW w:w="2127" w:type="dxa"/>
            <w:gridSpan w:val="3"/>
            <w:tcBorders>
              <w:top w:val="single" w:sz="4" w:space="0" w:color="auto"/>
              <w:bottom w:val="dotted" w:sz="4" w:space="0" w:color="auto"/>
            </w:tcBorders>
          </w:tcPr>
          <w:p w14:paraId="1961B2C5" w14:textId="77777777" w:rsidR="00951A08" w:rsidRPr="00B05C77" w:rsidRDefault="00951A08" w:rsidP="00DD3EE1">
            <w:pPr>
              <w:pStyle w:val="051Tabletext2210pt"/>
              <w:rPr>
                <w:sz w:val="18"/>
                <w:szCs w:val="18"/>
              </w:rPr>
            </w:pPr>
          </w:p>
        </w:tc>
        <w:tc>
          <w:tcPr>
            <w:tcW w:w="1842" w:type="dxa"/>
            <w:gridSpan w:val="2"/>
            <w:tcBorders>
              <w:top w:val="single" w:sz="4" w:space="0" w:color="auto"/>
              <w:bottom w:val="dotted" w:sz="4" w:space="0" w:color="auto"/>
            </w:tcBorders>
          </w:tcPr>
          <w:p w14:paraId="5413F5B3" w14:textId="77777777" w:rsidR="00951A08" w:rsidRPr="00B05C77" w:rsidRDefault="00951A08" w:rsidP="00DD3EE1">
            <w:pPr>
              <w:pStyle w:val="051Tabletext2210pt"/>
              <w:rPr>
                <w:sz w:val="18"/>
                <w:szCs w:val="18"/>
              </w:rPr>
            </w:pPr>
          </w:p>
        </w:tc>
      </w:tr>
      <w:tr w:rsidR="009170BE" w:rsidRPr="00B05C77" w14:paraId="2D61642A" w14:textId="77777777" w:rsidTr="00990E04">
        <w:trPr>
          <w:gridAfter w:val="1"/>
          <w:wAfter w:w="228" w:type="dxa"/>
        </w:trPr>
        <w:tc>
          <w:tcPr>
            <w:tcW w:w="2544" w:type="dxa"/>
            <w:tcBorders>
              <w:top w:val="dotted" w:sz="4" w:space="0" w:color="auto"/>
              <w:bottom w:val="dotted" w:sz="4" w:space="0" w:color="auto"/>
            </w:tcBorders>
          </w:tcPr>
          <w:p w14:paraId="66C2EE49" w14:textId="0A5D7F71" w:rsidR="00951A08" w:rsidRPr="00194409" w:rsidRDefault="005B64EB" w:rsidP="00194409">
            <w:pPr>
              <w:pStyle w:val="051Tabletext2210pt"/>
              <w:ind w:left="157"/>
              <w:rPr>
                <w:sz w:val="18"/>
                <w:szCs w:val="18"/>
              </w:rPr>
            </w:pPr>
            <w:r>
              <w:rPr>
                <w:sz w:val="18"/>
                <w:szCs w:val="18"/>
              </w:rPr>
              <w:t>A</w:t>
            </w:r>
            <w:r w:rsidRPr="00B05C77">
              <w:rPr>
                <w:sz w:val="18"/>
                <w:szCs w:val="18"/>
              </w:rPr>
              <w:t>Es</w:t>
            </w:r>
          </w:p>
        </w:tc>
        <w:tc>
          <w:tcPr>
            <w:tcW w:w="1284" w:type="dxa"/>
            <w:tcBorders>
              <w:top w:val="dotted" w:sz="4" w:space="0" w:color="auto"/>
              <w:bottom w:val="dotted" w:sz="4" w:space="0" w:color="auto"/>
            </w:tcBorders>
          </w:tcPr>
          <w:p w14:paraId="5F3C454D" w14:textId="77777777" w:rsidR="00951A08" w:rsidRPr="00B05C77" w:rsidRDefault="00951A08" w:rsidP="00DD3EE1">
            <w:pPr>
              <w:pStyle w:val="051Tabletext2210pt"/>
              <w:rPr>
                <w:sz w:val="18"/>
                <w:szCs w:val="18"/>
              </w:rPr>
            </w:pPr>
            <w:r w:rsidRPr="00B05C77">
              <w:rPr>
                <w:sz w:val="18"/>
                <w:szCs w:val="18"/>
              </w:rPr>
              <w:t>2; N=336 (M)</w:t>
            </w:r>
          </w:p>
        </w:tc>
        <w:tc>
          <w:tcPr>
            <w:tcW w:w="1842" w:type="dxa"/>
            <w:gridSpan w:val="3"/>
            <w:tcBorders>
              <w:top w:val="dotted" w:sz="4" w:space="0" w:color="auto"/>
              <w:bottom w:val="dotted" w:sz="4" w:space="0" w:color="auto"/>
            </w:tcBorders>
            <w:shd w:val="clear" w:color="auto" w:fill="F4B083" w:themeFill="accent2" w:themeFillTint="99"/>
          </w:tcPr>
          <w:p w14:paraId="263B928F" w14:textId="77777777" w:rsidR="00951A08" w:rsidRPr="00B05C77" w:rsidRDefault="00951A08" w:rsidP="00DD3EE1">
            <w:pPr>
              <w:pStyle w:val="051Tabletext2210pt"/>
              <w:rPr>
                <w:sz w:val="18"/>
                <w:szCs w:val="18"/>
              </w:rPr>
            </w:pPr>
            <w:r w:rsidRPr="00B05C77">
              <w:rPr>
                <w:sz w:val="18"/>
                <w:szCs w:val="18"/>
              </w:rPr>
              <w:t>very low</w:t>
            </w:r>
          </w:p>
        </w:tc>
        <w:tc>
          <w:tcPr>
            <w:tcW w:w="2127" w:type="dxa"/>
            <w:gridSpan w:val="3"/>
            <w:tcBorders>
              <w:top w:val="dotted" w:sz="4" w:space="0" w:color="auto"/>
              <w:bottom w:val="dotted" w:sz="4" w:space="0" w:color="auto"/>
            </w:tcBorders>
            <w:shd w:val="clear" w:color="auto" w:fill="E2EFD9" w:themeFill="accent6" w:themeFillTint="33"/>
          </w:tcPr>
          <w:p w14:paraId="56724DE4" w14:textId="77777777" w:rsidR="00951A08" w:rsidRPr="00B05C77" w:rsidRDefault="00951A08" w:rsidP="00DD3EE1">
            <w:pPr>
              <w:pStyle w:val="051Tabletext2210pt"/>
              <w:rPr>
                <w:color w:val="385623" w:themeColor="accent6" w:themeShade="80"/>
                <w:sz w:val="18"/>
                <w:szCs w:val="18"/>
              </w:rPr>
            </w:pPr>
            <w:r w:rsidRPr="00B05C77">
              <w:rPr>
                <w:sz w:val="18"/>
                <w:szCs w:val="18"/>
              </w:rPr>
              <w:t>Favours SCS</w:t>
            </w:r>
          </w:p>
        </w:tc>
        <w:tc>
          <w:tcPr>
            <w:tcW w:w="1842" w:type="dxa"/>
            <w:gridSpan w:val="2"/>
            <w:tcBorders>
              <w:top w:val="dotted" w:sz="4" w:space="0" w:color="auto"/>
              <w:bottom w:val="dotted" w:sz="4" w:space="0" w:color="auto"/>
            </w:tcBorders>
          </w:tcPr>
          <w:p w14:paraId="7A230AC7" w14:textId="77777777" w:rsidR="00951A08" w:rsidRPr="00B05C77" w:rsidRDefault="00951A08" w:rsidP="00DD3EE1">
            <w:pPr>
              <w:pStyle w:val="051Tabletext2210pt"/>
              <w:rPr>
                <w:sz w:val="18"/>
                <w:szCs w:val="18"/>
              </w:rPr>
            </w:pPr>
            <w:r w:rsidRPr="00B05C77">
              <w:rPr>
                <w:sz w:val="18"/>
                <w:szCs w:val="18"/>
              </w:rPr>
              <w:t>NR</w:t>
            </w:r>
          </w:p>
        </w:tc>
      </w:tr>
      <w:tr w:rsidR="009170BE" w:rsidRPr="00B05C77" w14:paraId="7BB9F9B2" w14:textId="77777777" w:rsidTr="00990E04">
        <w:trPr>
          <w:gridAfter w:val="1"/>
          <w:wAfter w:w="228" w:type="dxa"/>
        </w:trPr>
        <w:tc>
          <w:tcPr>
            <w:tcW w:w="2544" w:type="dxa"/>
            <w:tcBorders>
              <w:top w:val="dotted" w:sz="4" w:space="0" w:color="auto"/>
              <w:bottom w:val="nil"/>
            </w:tcBorders>
          </w:tcPr>
          <w:p w14:paraId="0C4C5A14" w14:textId="77777777" w:rsidR="00951A08" w:rsidRPr="00B05C77" w:rsidRDefault="00951A08" w:rsidP="00194409">
            <w:pPr>
              <w:pStyle w:val="051Tabletext2210pt"/>
              <w:ind w:left="157"/>
              <w:rPr>
                <w:sz w:val="18"/>
                <w:szCs w:val="18"/>
              </w:rPr>
            </w:pPr>
            <w:r w:rsidRPr="00B05C77">
              <w:rPr>
                <w:sz w:val="18"/>
                <w:szCs w:val="18"/>
              </w:rPr>
              <w:t>SAEs</w:t>
            </w:r>
          </w:p>
        </w:tc>
        <w:tc>
          <w:tcPr>
            <w:tcW w:w="1284" w:type="dxa"/>
            <w:tcBorders>
              <w:top w:val="dotted" w:sz="4" w:space="0" w:color="auto"/>
              <w:bottom w:val="nil"/>
            </w:tcBorders>
          </w:tcPr>
          <w:p w14:paraId="68287B4B" w14:textId="77777777" w:rsidR="00951A08" w:rsidRPr="00B05C77" w:rsidRDefault="00951A08" w:rsidP="00DD3EE1">
            <w:pPr>
              <w:pStyle w:val="051Tabletext2210pt"/>
              <w:rPr>
                <w:sz w:val="18"/>
                <w:szCs w:val="18"/>
              </w:rPr>
            </w:pPr>
            <w:r w:rsidRPr="00B05C77">
              <w:rPr>
                <w:sz w:val="18"/>
                <w:szCs w:val="18"/>
              </w:rPr>
              <w:t>1; N=140 (M)</w:t>
            </w:r>
          </w:p>
        </w:tc>
        <w:tc>
          <w:tcPr>
            <w:tcW w:w="1842" w:type="dxa"/>
            <w:gridSpan w:val="3"/>
            <w:tcBorders>
              <w:top w:val="dotted" w:sz="4" w:space="0" w:color="auto"/>
              <w:bottom w:val="nil"/>
            </w:tcBorders>
            <w:shd w:val="clear" w:color="auto" w:fill="FFE599" w:themeFill="accent4" w:themeFillTint="66"/>
          </w:tcPr>
          <w:p w14:paraId="740ED7C4" w14:textId="77777777" w:rsidR="00951A08" w:rsidRPr="00B05C77" w:rsidRDefault="00951A08" w:rsidP="00DD3EE1">
            <w:pPr>
              <w:pStyle w:val="051Tabletext2210pt"/>
              <w:rPr>
                <w:sz w:val="18"/>
                <w:szCs w:val="18"/>
              </w:rPr>
            </w:pPr>
            <w:r w:rsidRPr="00B05C77">
              <w:rPr>
                <w:sz w:val="18"/>
                <w:szCs w:val="18"/>
              </w:rPr>
              <w:t>low</w:t>
            </w:r>
          </w:p>
        </w:tc>
        <w:tc>
          <w:tcPr>
            <w:tcW w:w="2127" w:type="dxa"/>
            <w:gridSpan w:val="3"/>
            <w:tcBorders>
              <w:top w:val="dotted" w:sz="4" w:space="0" w:color="auto"/>
              <w:bottom w:val="nil"/>
            </w:tcBorders>
          </w:tcPr>
          <w:p w14:paraId="78786D24" w14:textId="77777777" w:rsidR="00951A08" w:rsidRPr="00B05C77" w:rsidRDefault="00951A08" w:rsidP="00DD3EE1">
            <w:pPr>
              <w:pStyle w:val="051Tabletext2210pt"/>
              <w:rPr>
                <w:sz w:val="18"/>
                <w:szCs w:val="18"/>
              </w:rPr>
            </w:pPr>
            <w:r w:rsidRPr="00B05C77">
              <w:rPr>
                <w:sz w:val="18"/>
                <w:szCs w:val="18"/>
              </w:rPr>
              <w:t>No effect</w:t>
            </w:r>
          </w:p>
        </w:tc>
        <w:tc>
          <w:tcPr>
            <w:tcW w:w="1842" w:type="dxa"/>
            <w:gridSpan w:val="2"/>
            <w:tcBorders>
              <w:top w:val="dotted" w:sz="4" w:space="0" w:color="auto"/>
              <w:bottom w:val="nil"/>
            </w:tcBorders>
          </w:tcPr>
          <w:p w14:paraId="3EFFF07E" w14:textId="77777777" w:rsidR="00951A08" w:rsidRPr="00B05C77" w:rsidRDefault="00951A08" w:rsidP="00DD3EE1">
            <w:pPr>
              <w:pStyle w:val="051Tabletext2210pt"/>
              <w:rPr>
                <w:sz w:val="18"/>
                <w:szCs w:val="18"/>
              </w:rPr>
            </w:pPr>
            <w:r w:rsidRPr="00B05C77">
              <w:rPr>
                <w:sz w:val="18"/>
                <w:szCs w:val="18"/>
              </w:rPr>
              <w:t>NR</w:t>
            </w:r>
          </w:p>
        </w:tc>
      </w:tr>
      <w:tr w:rsidR="009170BE" w:rsidRPr="00B05C77" w14:paraId="457D4639" w14:textId="77777777" w:rsidTr="00990E04">
        <w:trPr>
          <w:gridAfter w:val="1"/>
          <w:wAfter w:w="228" w:type="dxa"/>
        </w:trPr>
        <w:tc>
          <w:tcPr>
            <w:tcW w:w="2544" w:type="dxa"/>
            <w:tcBorders>
              <w:top w:val="single" w:sz="4" w:space="0" w:color="auto"/>
              <w:bottom w:val="dotted" w:sz="4" w:space="0" w:color="auto"/>
            </w:tcBorders>
          </w:tcPr>
          <w:p w14:paraId="28AD1F65" w14:textId="571D08FA" w:rsidR="00951A08" w:rsidRPr="00DE4C5A" w:rsidRDefault="00324426" w:rsidP="00DD3EE1">
            <w:pPr>
              <w:pStyle w:val="051Tabletext2210pt"/>
              <w:rPr>
                <w:b/>
                <w:sz w:val="18"/>
                <w:szCs w:val="18"/>
              </w:rPr>
            </w:pPr>
            <w:r>
              <w:rPr>
                <w:b/>
                <w:sz w:val="18"/>
                <w:szCs w:val="18"/>
              </w:rPr>
              <w:t>Secondary</w:t>
            </w:r>
            <w:r w:rsidR="00951A08" w:rsidRPr="00DE4C5A">
              <w:rPr>
                <w:b/>
                <w:sz w:val="18"/>
                <w:szCs w:val="18"/>
              </w:rPr>
              <w:t xml:space="preserve"> outcomes</w:t>
            </w:r>
          </w:p>
        </w:tc>
        <w:tc>
          <w:tcPr>
            <w:tcW w:w="1284" w:type="dxa"/>
            <w:tcBorders>
              <w:top w:val="single" w:sz="4" w:space="0" w:color="auto"/>
              <w:bottom w:val="dotted" w:sz="4" w:space="0" w:color="auto"/>
            </w:tcBorders>
          </w:tcPr>
          <w:p w14:paraId="149A37BE" w14:textId="77777777" w:rsidR="00951A08" w:rsidRPr="00B05C77" w:rsidRDefault="00951A08" w:rsidP="00DD3EE1">
            <w:pPr>
              <w:pStyle w:val="051Tabletext2210pt"/>
              <w:rPr>
                <w:sz w:val="18"/>
                <w:szCs w:val="18"/>
              </w:rPr>
            </w:pPr>
          </w:p>
        </w:tc>
        <w:tc>
          <w:tcPr>
            <w:tcW w:w="1842" w:type="dxa"/>
            <w:gridSpan w:val="3"/>
            <w:tcBorders>
              <w:top w:val="single" w:sz="4" w:space="0" w:color="auto"/>
              <w:bottom w:val="dotted" w:sz="4" w:space="0" w:color="auto"/>
            </w:tcBorders>
            <w:shd w:val="clear" w:color="auto" w:fill="FFFFFF" w:themeFill="background1"/>
          </w:tcPr>
          <w:p w14:paraId="7B592386" w14:textId="77777777" w:rsidR="00951A08" w:rsidRPr="00B05C77" w:rsidRDefault="00951A08" w:rsidP="00DD3EE1">
            <w:pPr>
              <w:pStyle w:val="051Tabletext2210pt"/>
              <w:rPr>
                <w:sz w:val="18"/>
                <w:szCs w:val="18"/>
              </w:rPr>
            </w:pPr>
          </w:p>
        </w:tc>
        <w:tc>
          <w:tcPr>
            <w:tcW w:w="2127" w:type="dxa"/>
            <w:gridSpan w:val="3"/>
            <w:tcBorders>
              <w:top w:val="single" w:sz="4" w:space="0" w:color="auto"/>
              <w:bottom w:val="dotted" w:sz="4" w:space="0" w:color="auto"/>
            </w:tcBorders>
          </w:tcPr>
          <w:p w14:paraId="25B4D207" w14:textId="77777777" w:rsidR="00951A08" w:rsidRPr="00B05C77" w:rsidRDefault="00951A08" w:rsidP="00DD3EE1">
            <w:pPr>
              <w:pStyle w:val="051Tabletext2210pt"/>
              <w:rPr>
                <w:sz w:val="18"/>
                <w:szCs w:val="18"/>
              </w:rPr>
            </w:pPr>
          </w:p>
        </w:tc>
        <w:tc>
          <w:tcPr>
            <w:tcW w:w="1842" w:type="dxa"/>
            <w:gridSpan w:val="2"/>
            <w:tcBorders>
              <w:top w:val="single" w:sz="4" w:space="0" w:color="auto"/>
              <w:bottom w:val="dotted" w:sz="4" w:space="0" w:color="auto"/>
            </w:tcBorders>
          </w:tcPr>
          <w:p w14:paraId="24EA243F" w14:textId="77777777" w:rsidR="00951A08" w:rsidRPr="00B05C77" w:rsidRDefault="00951A08" w:rsidP="00DD3EE1">
            <w:pPr>
              <w:pStyle w:val="051Tabletext2210pt"/>
              <w:rPr>
                <w:sz w:val="18"/>
                <w:szCs w:val="18"/>
              </w:rPr>
            </w:pPr>
          </w:p>
        </w:tc>
      </w:tr>
      <w:tr w:rsidR="0010678D" w:rsidRPr="00B05C77" w14:paraId="0FC19663" w14:textId="77777777" w:rsidTr="00990E04">
        <w:trPr>
          <w:gridAfter w:val="1"/>
          <w:wAfter w:w="228" w:type="dxa"/>
        </w:trPr>
        <w:tc>
          <w:tcPr>
            <w:tcW w:w="2544" w:type="dxa"/>
            <w:tcBorders>
              <w:top w:val="dotted" w:sz="4" w:space="0" w:color="auto"/>
              <w:bottom w:val="dotted" w:sz="4" w:space="0" w:color="auto"/>
            </w:tcBorders>
          </w:tcPr>
          <w:p w14:paraId="71FBE187" w14:textId="77777777" w:rsidR="00951A08" w:rsidRPr="00B05C77" w:rsidRDefault="00951A08" w:rsidP="00194409">
            <w:pPr>
              <w:pStyle w:val="051Tabletext2210pt"/>
              <w:ind w:left="157"/>
              <w:rPr>
                <w:sz w:val="18"/>
                <w:szCs w:val="18"/>
              </w:rPr>
            </w:pPr>
            <w:r w:rsidRPr="00B05C77">
              <w:rPr>
                <w:sz w:val="18"/>
                <w:szCs w:val="18"/>
              </w:rPr>
              <w:t>Opioid use</w:t>
            </w:r>
          </w:p>
        </w:tc>
        <w:tc>
          <w:tcPr>
            <w:tcW w:w="1284" w:type="dxa"/>
            <w:tcBorders>
              <w:top w:val="dotted" w:sz="4" w:space="0" w:color="auto"/>
              <w:bottom w:val="dotted" w:sz="4" w:space="0" w:color="auto"/>
            </w:tcBorders>
          </w:tcPr>
          <w:p w14:paraId="6707FCAA" w14:textId="77777777" w:rsidR="00951A08" w:rsidRPr="00B05C77" w:rsidRDefault="00951A08" w:rsidP="00DD3EE1">
            <w:pPr>
              <w:pStyle w:val="051Tabletext2210pt"/>
              <w:rPr>
                <w:sz w:val="18"/>
                <w:szCs w:val="18"/>
              </w:rPr>
            </w:pPr>
            <w:r w:rsidRPr="00B05C77">
              <w:rPr>
                <w:sz w:val="18"/>
                <w:szCs w:val="18"/>
              </w:rPr>
              <w:t>2; N=290 (M)</w:t>
            </w:r>
          </w:p>
        </w:tc>
        <w:tc>
          <w:tcPr>
            <w:tcW w:w="1842" w:type="dxa"/>
            <w:gridSpan w:val="3"/>
            <w:tcBorders>
              <w:top w:val="dotted" w:sz="4" w:space="0" w:color="auto"/>
              <w:bottom w:val="dotted" w:sz="4" w:space="0" w:color="auto"/>
            </w:tcBorders>
            <w:shd w:val="clear" w:color="auto" w:fill="FFE599" w:themeFill="accent4" w:themeFillTint="66"/>
          </w:tcPr>
          <w:p w14:paraId="3874F314" w14:textId="77777777" w:rsidR="00951A08" w:rsidRPr="00B05C77" w:rsidRDefault="00951A08" w:rsidP="00DD3EE1">
            <w:pPr>
              <w:pStyle w:val="051Tabletext2210pt"/>
              <w:rPr>
                <w:sz w:val="18"/>
                <w:szCs w:val="18"/>
              </w:rPr>
            </w:pPr>
            <w:r w:rsidRPr="00B05C77">
              <w:rPr>
                <w:sz w:val="18"/>
                <w:szCs w:val="18"/>
              </w:rPr>
              <w:t xml:space="preserve">low </w:t>
            </w:r>
          </w:p>
        </w:tc>
        <w:tc>
          <w:tcPr>
            <w:tcW w:w="2127" w:type="dxa"/>
            <w:gridSpan w:val="3"/>
            <w:tcBorders>
              <w:top w:val="dotted" w:sz="4" w:space="0" w:color="auto"/>
              <w:bottom w:val="dotted" w:sz="4" w:space="0" w:color="auto"/>
            </w:tcBorders>
            <w:shd w:val="clear" w:color="auto" w:fill="E2EFD9" w:themeFill="accent6" w:themeFillTint="33"/>
          </w:tcPr>
          <w:p w14:paraId="799E20A0" w14:textId="77777777" w:rsidR="00951A08" w:rsidRPr="00B05C77" w:rsidRDefault="00951A08" w:rsidP="00DD3EE1">
            <w:pPr>
              <w:pStyle w:val="051Tabletext2210pt"/>
              <w:rPr>
                <w:color w:val="385623" w:themeColor="accent6" w:themeShade="80"/>
                <w:sz w:val="18"/>
                <w:szCs w:val="18"/>
              </w:rPr>
            </w:pPr>
            <w:r w:rsidRPr="00B05C77">
              <w:rPr>
                <w:sz w:val="18"/>
                <w:szCs w:val="18"/>
              </w:rPr>
              <w:t>Favours SCS</w:t>
            </w:r>
          </w:p>
        </w:tc>
        <w:tc>
          <w:tcPr>
            <w:tcW w:w="1842" w:type="dxa"/>
            <w:gridSpan w:val="2"/>
            <w:tcBorders>
              <w:top w:val="dotted" w:sz="4" w:space="0" w:color="auto"/>
              <w:bottom w:val="dotted" w:sz="4" w:space="0" w:color="auto"/>
            </w:tcBorders>
          </w:tcPr>
          <w:p w14:paraId="42569C93" w14:textId="77777777" w:rsidR="00951A08" w:rsidRPr="00B05C77" w:rsidRDefault="00951A08" w:rsidP="00DD3EE1">
            <w:pPr>
              <w:pStyle w:val="051Tabletext2210pt"/>
              <w:rPr>
                <w:sz w:val="18"/>
                <w:szCs w:val="18"/>
              </w:rPr>
            </w:pPr>
            <w:r w:rsidRPr="00B05C77">
              <w:rPr>
                <w:sz w:val="18"/>
                <w:szCs w:val="18"/>
              </w:rPr>
              <w:t>NR</w:t>
            </w:r>
          </w:p>
        </w:tc>
      </w:tr>
      <w:tr w:rsidR="00990E04" w:rsidRPr="00B05C77" w14:paraId="6995C624" w14:textId="77777777" w:rsidTr="00990E04">
        <w:trPr>
          <w:gridAfter w:val="1"/>
          <w:wAfter w:w="228" w:type="dxa"/>
        </w:trPr>
        <w:tc>
          <w:tcPr>
            <w:tcW w:w="2544" w:type="dxa"/>
            <w:tcBorders>
              <w:top w:val="dotted" w:sz="4" w:space="0" w:color="auto"/>
              <w:bottom w:val="single" w:sz="4" w:space="0" w:color="auto"/>
            </w:tcBorders>
          </w:tcPr>
          <w:p w14:paraId="10B3056C" w14:textId="77777777" w:rsidR="00951A08" w:rsidRPr="00B05C77" w:rsidRDefault="00951A08" w:rsidP="00194409">
            <w:pPr>
              <w:pStyle w:val="051Tabletext2210pt"/>
              <w:ind w:left="157"/>
              <w:rPr>
                <w:sz w:val="18"/>
                <w:szCs w:val="18"/>
              </w:rPr>
            </w:pPr>
            <w:r w:rsidRPr="00B05C77">
              <w:rPr>
                <w:sz w:val="18"/>
                <w:szCs w:val="18"/>
              </w:rPr>
              <w:t>Daily MMEs</w:t>
            </w:r>
          </w:p>
        </w:tc>
        <w:tc>
          <w:tcPr>
            <w:tcW w:w="1284" w:type="dxa"/>
            <w:tcBorders>
              <w:top w:val="dotted" w:sz="4" w:space="0" w:color="auto"/>
              <w:bottom w:val="single" w:sz="4" w:space="0" w:color="auto"/>
            </w:tcBorders>
          </w:tcPr>
          <w:p w14:paraId="3EE3AF37" w14:textId="77777777" w:rsidR="00951A08" w:rsidRPr="00B05C77" w:rsidRDefault="00951A08" w:rsidP="00DD3EE1">
            <w:pPr>
              <w:pStyle w:val="051Tabletext2210pt"/>
              <w:rPr>
                <w:sz w:val="18"/>
                <w:szCs w:val="18"/>
              </w:rPr>
            </w:pPr>
            <w:r w:rsidRPr="00B05C77">
              <w:rPr>
                <w:sz w:val="18"/>
                <w:szCs w:val="18"/>
              </w:rPr>
              <w:t>3; N=430 (M)</w:t>
            </w:r>
          </w:p>
        </w:tc>
        <w:tc>
          <w:tcPr>
            <w:tcW w:w="1842" w:type="dxa"/>
            <w:gridSpan w:val="3"/>
            <w:tcBorders>
              <w:top w:val="dotted" w:sz="4" w:space="0" w:color="auto"/>
              <w:bottom w:val="single" w:sz="4" w:space="0" w:color="auto"/>
            </w:tcBorders>
            <w:shd w:val="clear" w:color="auto" w:fill="FFE599" w:themeFill="accent4" w:themeFillTint="66"/>
          </w:tcPr>
          <w:p w14:paraId="3FC5A68D" w14:textId="77777777" w:rsidR="00951A08" w:rsidRPr="00B05C77" w:rsidRDefault="00951A08" w:rsidP="00DD3EE1">
            <w:pPr>
              <w:pStyle w:val="051Tabletext2210pt"/>
              <w:rPr>
                <w:sz w:val="18"/>
                <w:szCs w:val="18"/>
              </w:rPr>
            </w:pPr>
            <w:r w:rsidRPr="00B05C77">
              <w:rPr>
                <w:sz w:val="18"/>
                <w:szCs w:val="18"/>
              </w:rPr>
              <w:t xml:space="preserve">low </w:t>
            </w:r>
          </w:p>
        </w:tc>
        <w:tc>
          <w:tcPr>
            <w:tcW w:w="2127" w:type="dxa"/>
            <w:gridSpan w:val="3"/>
            <w:tcBorders>
              <w:top w:val="dotted" w:sz="4" w:space="0" w:color="auto"/>
              <w:bottom w:val="single" w:sz="4" w:space="0" w:color="auto"/>
            </w:tcBorders>
            <w:shd w:val="clear" w:color="auto" w:fill="FFFFFF" w:themeFill="background1"/>
          </w:tcPr>
          <w:p w14:paraId="1C933356" w14:textId="77777777" w:rsidR="00951A08" w:rsidRPr="00B05C77" w:rsidRDefault="00951A08" w:rsidP="00DD3EE1">
            <w:pPr>
              <w:pStyle w:val="051Tabletext2210pt"/>
              <w:rPr>
                <w:color w:val="385623" w:themeColor="accent6" w:themeShade="80"/>
                <w:sz w:val="18"/>
                <w:szCs w:val="18"/>
              </w:rPr>
            </w:pPr>
            <w:r w:rsidRPr="00B05C77">
              <w:rPr>
                <w:sz w:val="18"/>
                <w:szCs w:val="18"/>
              </w:rPr>
              <w:t>No effect</w:t>
            </w:r>
          </w:p>
        </w:tc>
        <w:tc>
          <w:tcPr>
            <w:tcW w:w="1842" w:type="dxa"/>
            <w:gridSpan w:val="2"/>
            <w:tcBorders>
              <w:top w:val="dotted" w:sz="4" w:space="0" w:color="auto"/>
              <w:bottom w:val="single" w:sz="4" w:space="0" w:color="auto"/>
            </w:tcBorders>
          </w:tcPr>
          <w:p w14:paraId="562521FD" w14:textId="77777777" w:rsidR="00951A08" w:rsidRPr="00B05C77" w:rsidRDefault="00951A08" w:rsidP="00DD3EE1">
            <w:pPr>
              <w:pStyle w:val="051Tabletext2210pt"/>
              <w:rPr>
                <w:sz w:val="18"/>
                <w:szCs w:val="18"/>
              </w:rPr>
            </w:pPr>
            <w:r w:rsidRPr="00B05C77">
              <w:rPr>
                <w:sz w:val="18"/>
                <w:szCs w:val="18"/>
              </w:rPr>
              <w:t>NR</w:t>
            </w:r>
          </w:p>
        </w:tc>
      </w:tr>
    </w:tbl>
    <w:p w14:paraId="31DF4E1D" w14:textId="02704762" w:rsidR="00951A08" w:rsidRDefault="00951A08" w:rsidP="00951A08">
      <w:pPr>
        <w:pStyle w:val="101Tablefootnotes8pt"/>
      </w:pPr>
      <w:r>
        <w:t>Source: based on data from Traeger (2023)</w:t>
      </w:r>
      <w:r w:rsidR="00D75060">
        <w:t xml:space="preserve"> Cochrane review</w:t>
      </w:r>
    </w:p>
    <w:p w14:paraId="5EC46BC0" w14:textId="7B2F1BB9" w:rsidR="00951A08" w:rsidRDefault="00951A08" w:rsidP="00951A08">
      <w:pPr>
        <w:pStyle w:val="101Tablefootnotes8pt"/>
      </w:pPr>
      <w:r w:rsidRPr="00D05DB6">
        <w:t xml:space="preserve">Abbreviations: AE, adverse event; </w:t>
      </w:r>
      <w:proofErr w:type="spellStart"/>
      <w:r>
        <w:t>HRQoL</w:t>
      </w:r>
      <w:proofErr w:type="spellEnd"/>
      <w:r>
        <w:t>, health-related quality of life; MM, medical management; MMEs, morphine milligram equivalents; N, population; NR, not reported; RCT, randomi</w:t>
      </w:r>
      <w:r w:rsidR="004F23F7">
        <w:t>s</w:t>
      </w:r>
      <w:r>
        <w:t>ed controlled trial; SAE, se</w:t>
      </w:r>
      <w:r w:rsidR="00D72F22">
        <w:t>rious</w:t>
      </w:r>
      <w:r>
        <w:t xml:space="preserve"> adverse event; SCS, spinal cord stimulat</w:t>
      </w:r>
      <w:r w:rsidR="002704B7">
        <w:t>ion</w:t>
      </w:r>
      <w:r>
        <w:br/>
      </w:r>
      <w:r w:rsidR="006C45DC">
        <w:rPr>
          <w:b/>
          <w:bCs/>
        </w:rPr>
        <w:t xml:space="preserve">a </w:t>
      </w:r>
      <w:r w:rsidR="006C45DC">
        <w:t xml:space="preserve">Clinical importance is defined by a predetermined threshold of </w:t>
      </w:r>
      <w:r w:rsidR="006C45DC">
        <w:rPr>
          <w:rFonts w:cs="Calibri"/>
        </w:rPr>
        <w:t>≥</w:t>
      </w:r>
      <w:r w:rsidR="006C45DC">
        <w:t>10 points for pain intensity (derived from O’Connell 2021) and function (derived from Hara 2022).</w:t>
      </w:r>
    </w:p>
    <w:p w14:paraId="30668DF3" w14:textId="52F496D4" w:rsidR="00951A08" w:rsidRDefault="00951A08" w:rsidP="00951A08">
      <w:pPr>
        <w:pStyle w:val="111Tablefootnoteslast-nostick8pt"/>
      </w:pPr>
      <w:r>
        <w:t xml:space="preserve">Key: orange = very low quality evidence; yellow = low quality evidence; blue = moderate quality evidence; green = </w:t>
      </w:r>
      <w:proofErr w:type="spellStart"/>
      <w:r>
        <w:t>favours</w:t>
      </w:r>
      <w:proofErr w:type="spellEnd"/>
      <w:r>
        <w:t xml:space="preserve"> intervention.</w:t>
      </w:r>
      <w:r w:rsidR="0049475C">
        <w:br/>
        <w:t xml:space="preserve">(M) = </w:t>
      </w:r>
      <w:r w:rsidR="00323D61">
        <w:t>medium</w:t>
      </w:r>
      <w:r w:rsidR="0096433C">
        <w:t>-</w:t>
      </w:r>
      <w:r w:rsidR="00323D61">
        <w:t xml:space="preserve">term outcomes </w:t>
      </w:r>
      <w:r w:rsidR="000D645A">
        <w:rPr>
          <w:rFonts w:cs="Calibri"/>
        </w:rPr>
        <w:t>≥</w:t>
      </w:r>
      <w:r w:rsidR="000D645A">
        <w:t xml:space="preserve"> 3 months to &lt;12 months</w:t>
      </w:r>
      <w:r w:rsidR="005E071F">
        <w:t xml:space="preserve">; (L) = </w:t>
      </w:r>
      <w:r w:rsidR="00323D61">
        <w:t>long</w:t>
      </w:r>
      <w:r w:rsidR="000216DC">
        <w:t>-</w:t>
      </w:r>
      <w:r w:rsidR="00323D61">
        <w:t xml:space="preserve">term outcomes </w:t>
      </w:r>
      <w:r w:rsidR="005E071F" w:rsidRPr="005E071F">
        <w:t>≥ 12 months</w:t>
      </w:r>
      <w:r w:rsidR="008B41C5">
        <w:t>.</w:t>
      </w:r>
    </w:p>
    <w:p w14:paraId="3E0E36D1" w14:textId="0A86237C" w:rsidR="00FE2F66" w:rsidRDefault="00BD330C" w:rsidP="000624A8">
      <w:pPr>
        <w:pStyle w:val="Heading5"/>
      </w:pPr>
      <w:r>
        <w:t xml:space="preserve">Summary of </w:t>
      </w:r>
      <w:r w:rsidR="001E793F">
        <w:t>O’Connell, 2021</w:t>
      </w:r>
    </w:p>
    <w:p w14:paraId="4A851382" w14:textId="1A601D7A" w:rsidR="001E793F" w:rsidRPr="001E793F" w:rsidRDefault="001E793F" w:rsidP="001E793F">
      <w:pPr>
        <w:pStyle w:val="BodyText"/>
      </w:pPr>
      <w:r>
        <w:t xml:space="preserve">The findings by outcome and follow-up time </w:t>
      </w:r>
      <w:r w:rsidR="00C64072">
        <w:t>(medium and long</w:t>
      </w:r>
      <w:r w:rsidR="0009380F">
        <w:t xml:space="preserve"> </w:t>
      </w:r>
      <w:r w:rsidR="00C64072">
        <w:t xml:space="preserve">term only) </w:t>
      </w:r>
      <w:r>
        <w:t xml:space="preserve">for SCS </w:t>
      </w:r>
      <w:r w:rsidR="0053562D">
        <w:t>in addition</w:t>
      </w:r>
      <w:r>
        <w:t xml:space="preserve"> </w:t>
      </w:r>
      <w:r w:rsidR="00234062">
        <w:t xml:space="preserve">to </w:t>
      </w:r>
      <w:r>
        <w:t xml:space="preserve">medical management </w:t>
      </w:r>
      <w:r w:rsidR="002505AF">
        <w:t xml:space="preserve">for the treatment of </w:t>
      </w:r>
      <w:r w:rsidR="00A7136E">
        <w:t xml:space="preserve">chronic pain </w:t>
      </w:r>
      <w:r>
        <w:t>are summarised in</w:t>
      </w:r>
      <w:r w:rsidR="00C52E81">
        <w:t xml:space="preserve"> </w:t>
      </w:r>
      <w:r w:rsidR="00C52E81">
        <w:fldChar w:fldCharType="begin"/>
      </w:r>
      <w:r w:rsidR="00C52E81">
        <w:instrText xml:space="preserve"> REF _Ref134713063 \h </w:instrText>
      </w:r>
      <w:r w:rsidR="00C52E81">
        <w:fldChar w:fldCharType="separate"/>
      </w:r>
      <w:r w:rsidR="00CE6ACA">
        <w:t xml:space="preserve">Table </w:t>
      </w:r>
      <w:r w:rsidR="00CE6ACA">
        <w:rPr>
          <w:noProof/>
        </w:rPr>
        <w:t>28</w:t>
      </w:r>
      <w:r w:rsidR="00C52E81">
        <w:fldChar w:fldCharType="end"/>
      </w:r>
      <w:r w:rsidR="00F20B1B">
        <w:t>. The summary</w:t>
      </w:r>
      <w:r w:rsidR="00C64072">
        <w:t xml:space="preserve"> includ</w:t>
      </w:r>
      <w:r w:rsidR="00F20B1B">
        <w:t>es</w:t>
      </w:r>
      <w:r w:rsidR="00C64072">
        <w:t xml:space="preserve"> the number of RCTs and participants</w:t>
      </w:r>
      <w:r w:rsidR="00F20B1B">
        <w:t>,</w:t>
      </w:r>
      <w:r w:rsidR="00C64072">
        <w:t xml:space="preserve"> and the author’s assessment of the quality of the evidence. No outcomes with medium</w:t>
      </w:r>
      <w:r w:rsidR="00240413">
        <w:t>-term</w:t>
      </w:r>
      <w:r w:rsidR="00C64072">
        <w:t xml:space="preserve"> or greater follow-up were identified for studies of SCS </w:t>
      </w:r>
      <w:r w:rsidR="00621E23">
        <w:t>compared to placebo.</w:t>
      </w:r>
    </w:p>
    <w:p w14:paraId="18D1207A" w14:textId="3B8933C5" w:rsidR="005030B4" w:rsidRPr="002E3013" w:rsidRDefault="005030B4" w:rsidP="005030B4">
      <w:pPr>
        <w:pStyle w:val="Caption"/>
        <w:rPr>
          <w:b w:val="0"/>
        </w:rPr>
      </w:pPr>
      <w:bookmarkStart w:id="143" w:name="_Ref134713063"/>
      <w:r>
        <w:t xml:space="preserve">Table </w:t>
      </w:r>
      <w:r>
        <w:fldChar w:fldCharType="begin"/>
      </w:r>
      <w:r>
        <w:instrText>SEQ Table \* ARABIC</w:instrText>
      </w:r>
      <w:r>
        <w:fldChar w:fldCharType="separate"/>
      </w:r>
      <w:r w:rsidR="00CE6ACA">
        <w:rPr>
          <w:noProof/>
        </w:rPr>
        <w:t>28</w:t>
      </w:r>
      <w:r>
        <w:fldChar w:fldCharType="end"/>
      </w:r>
      <w:bookmarkEnd w:id="143"/>
      <w:r>
        <w:tab/>
        <w:t>Summary of finding</w:t>
      </w:r>
      <w:r w:rsidR="00236021">
        <w:t>s</w:t>
      </w:r>
      <w:r>
        <w:t xml:space="preserve"> in O’Connell (2021) at medium</w:t>
      </w:r>
      <w:r w:rsidR="00F409E0">
        <w:t>-</w:t>
      </w:r>
      <w:r>
        <w:t xml:space="preserve"> </w:t>
      </w:r>
      <w:r w:rsidR="00A26A29">
        <w:t>(M)</w:t>
      </w:r>
      <w:r>
        <w:t xml:space="preserve"> and long</w:t>
      </w:r>
      <w:r w:rsidR="00F409E0">
        <w:t>-</w:t>
      </w:r>
      <w:r>
        <w:t xml:space="preserve"> </w:t>
      </w:r>
      <w:r w:rsidR="00A26A29">
        <w:t>(L)</w:t>
      </w:r>
      <w:r>
        <w:t xml:space="preserve"> term follow</w:t>
      </w:r>
      <w:r w:rsidR="006541C2">
        <w:t>-</w:t>
      </w:r>
      <w:r>
        <w:t>up</w:t>
      </w:r>
    </w:p>
    <w:tbl>
      <w:tblPr>
        <w:tblStyle w:val="TableGrid"/>
        <w:tblW w:w="9732" w:type="dxa"/>
        <w:tblLayout w:type="fixed"/>
        <w:tblLook w:val="04A0" w:firstRow="1" w:lastRow="0" w:firstColumn="1" w:lastColumn="0" w:noHBand="0" w:noVBand="1"/>
        <w:tblCaption w:val="Summary of findings in O'Connell (2021) at medium and long term follow-up"/>
        <w:tblDescription w:val="Table showing the no. of RCTs, population, quality of evidence, statistical significance, and clinical importance for each of the outcomes reported for SCS versus placebo (sham) and SCS plus other intervention (medical management or physical therapy) versus other intervention alone at medium and long term follow up"/>
      </w:tblPr>
      <w:tblGrid>
        <w:gridCol w:w="2977"/>
        <w:gridCol w:w="851"/>
        <w:gridCol w:w="425"/>
        <w:gridCol w:w="1701"/>
        <w:gridCol w:w="1559"/>
        <w:gridCol w:w="425"/>
        <w:gridCol w:w="236"/>
        <w:gridCol w:w="236"/>
        <w:gridCol w:w="1228"/>
        <w:gridCol w:w="94"/>
      </w:tblGrid>
      <w:tr w:rsidR="00F64671" w14:paraId="00319792" w14:textId="77777777" w:rsidTr="001F5E83">
        <w:trPr>
          <w:gridAfter w:val="1"/>
          <w:cnfStyle w:val="100000000000" w:firstRow="1" w:lastRow="0" w:firstColumn="0" w:lastColumn="0" w:oddVBand="0" w:evenVBand="0" w:oddHBand="0" w:evenHBand="0" w:firstRowFirstColumn="0" w:firstRowLastColumn="0" w:lastRowFirstColumn="0" w:lastRowLastColumn="0"/>
          <w:wAfter w:w="94" w:type="dxa"/>
        </w:trPr>
        <w:tc>
          <w:tcPr>
            <w:tcW w:w="2977" w:type="dxa"/>
          </w:tcPr>
          <w:p w14:paraId="29D7A4A4" w14:textId="77777777" w:rsidR="005030B4" w:rsidRPr="001A1058" w:rsidRDefault="005030B4" w:rsidP="005030B4">
            <w:pPr>
              <w:pStyle w:val="011TableHeading10pt"/>
              <w:rPr>
                <w:sz w:val="18"/>
                <w:szCs w:val="18"/>
              </w:rPr>
            </w:pPr>
            <w:r w:rsidRPr="001A1058">
              <w:rPr>
                <w:sz w:val="18"/>
                <w:szCs w:val="18"/>
              </w:rPr>
              <w:t>Outcomes</w:t>
            </w:r>
          </w:p>
        </w:tc>
        <w:tc>
          <w:tcPr>
            <w:tcW w:w="1276" w:type="dxa"/>
            <w:gridSpan w:val="2"/>
          </w:tcPr>
          <w:p w14:paraId="50D3E385" w14:textId="0CA2B39E" w:rsidR="005030B4" w:rsidRPr="001A1058" w:rsidRDefault="005030B4" w:rsidP="005030B4">
            <w:pPr>
              <w:pStyle w:val="011TableHeading10pt"/>
              <w:rPr>
                <w:sz w:val="18"/>
                <w:szCs w:val="18"/>
              </w:rPr>
            </w:pPr>
            <w:r w:rsidRPr="001A1058">
              <w:rPr>
                <w:sz w:val="18"/>
                <w:szCs w:val="18"/>
              </w:rPr>
              <w:t>No. RCTs; N</w:t>
            </w:r>
          </w:p>
        </w:tc>
        <w:tc>
          <w:tcPr>
            <w:tcW w:w="1701" w:type="dxa"/>
          </w:tcPr>
          <w:p w14:paraId="6BCC4B24" w14:textId="77777777" w:rsidR="005030B4" w:rsidRPr="001A1058" w:rsidRDefault="005030B4" w:rsidP="005030B4">
            <w:pPr>
              <w:pStyle w:val="011TableHeading10pt"/>
              <w:rPr>
                <w:sz w:val="18"/>
                <w:szCs w:val="18"/>
              </w:rPr>
            </w:pPr>
            <w:r w:rsidRPr="001A1058">
              <w:rPr>
                <w:sz w:val="18"/>
                <w:szCs w:val="18"/>
              </w:rPr>
              <w:t>Quality of evidence</w:t>
            </w:r>
          </w:p>
        </w:tc>
        <w:tc>
          <w:tcPr>
            <w:tcW w:w="1984" w:type="dxa"/>
            <w:gridSpan w:val="2"/>
          </w:tcPr>
          <w:p w14:paraId="176B9E84" w14:textId="77777777" w:rsidR="005030B4" w:rsidRPr="001A1058" w:rsidRDefault="005030B4" w:rsidP="005030B4">
            <w:pPr>
              <w:pStyle w:val="011TableHeading10pt"/>
              <w:rPr>
                <w:sz w:val="18"/>
                <w:szCs w:val="18"/>
              </w:rPr>
            </w:pPr>
            <w:r w:rsidRPr="001A1058">
              <w:rPr>
                <w:sz w:val="18"/>
                <w:szCs w:val="18"/>
              </w:rPr>
              <w:t>Statistical significance</w:t>
            </w:r>
          </w:p>
        </w:tc>
        <w:tc>
          <w:tcPr>
            <w:tcW w:w="1700" w:type="dxa"/>
            <w:gridSpan w:val="3"/>
          </w:tcPr>
          <w:p w14:paraId="16ACD9F0" w14:textId="6A08921C" w:rsidR="005030B4" w:rsidRPr="00440FAC" w:rsidRDefault="005030B4" w:rsidP="005030B4">
            <w:pPr>
              <w:pStyle w:val="011TableHeading10pt"/>
              <w:rPr>
                <w:sz w:val="18"/>
                <w:szCs w:val="18"/>
                <w:vertAlign w:val="superscript"/>
              </w:rPr>
            </w:pPr>
            <w:r w:rsidRPr="001A1058">
              <w:rPr>
                <w:sz w:val="18"/>
                <w:szCs w:val="18"/>
              </w:rPr>
              <w:t xml:space="preserve">Clinical </w:t>
            </w:r>
            <w:proofErr w:type="spellStart"/>
            <w:r w:rsidRPr="001A1058">
              <w:rPr>
                <w:sz w:val="18"/>
                <w:szCs w:val="18"/>
              </w:rPr>
              <w:t>importance</w:t>
            </w:r>
            <w:r w:rsidR="006C45DC">
              <w:rPr>
                <w:sz w:val="18"/>
                <w:szCs w:val="18"/>
                <w:vertAlign w:val="superscript"/>
              </w:rPr>
              <w:t>a</w:t>
            </w:r>
            <w:proofErr w:type="spellEnd"/>
          </w:p>
        </w:tc>
      </w:tr>
      <w:tr w:rsidR="006128AA" w:rsidRPr="005030B4" w14:paraId="3B630A02" w14:textId="77777777" w:rsidTr="001F5E83">
        <w:trPr>
          <w:gridAfter w:val="1"/>
          <w:wAfter w:w="94" w:type="dxa"/>
        </w:trPr>
        <w:tc>
          <w:tcPr>
            <w:tcW w:w="2977" w:type="dxa"/>
            <w:tcBorders>
              <w:bottom w:val="single" w:sz="4" w:space="0" w:color="auto"/>
            </w:tcBorders>
            <w:shd w:val="clear" w:color="auto" w:fill="E7E6E6" w:themeFill="background2"/>
          </w:tcPr>
          <w:p w14:paraId="0990652E" w14:textId="77777D25" w:rsidR="005030B4" w:rsidRPr="005030B4" w:rsidRDefault="00621E23" w:rsidP="005030B4">
            <w:pPr>
              <w:pStyle w:val="031Tablesubheading8pt"/>
              <w:rPr>
                <w:sz w:val="18"/>
                <w:szCs w:val="18"/>
                <w:vertAlign w:val="superscript"/>
              </w:rPr>
            </w:pPr>
            <w:r>
              <w:rPr>
                <w:sz w:val="18"/>
                <w:szCs w:val="18"/>
              </w:rPr>
              <w:t>SCS</w:t>
            </w:r>
            <w:r w:rsidR="005030B4" w:rsidRPr="005030B4">
              <w:rPr>
                <w:sz w:val="18"/>
                <w:szCs w:val="18"/>
              </w:rPr>
              <w:t xml:space="preserve"> versus placebo (sham)</w:t>
            </w:r>
          </w:p>
        </w:tc>
        <w:tc>
          <w:tcPr>
            <w:tcW w:w="1276" w:type="dxa"/>
            <w:gridSpan w:val="2"/>
            <w:tcBorders>
              <w:bottom w:val="single" w:sz="4" w:space="0" w:color="auto"/>
            </w:tcBorders>
            <w:shd w:val="clear" w:color="auto" w:fill="E7E6E6" w:themeFill="background2"/>
          </w:tcPr>
          <w:p w14:paraId="03863E7A" w14:textId="77777777" w:rsidR="005030B4" w:rsidRPr="005030B4" w:rsidRDefault="005030B4" w:rsidP="005030B4">
            <w:pPr>
              <w:pStyle w:val="031Tablesubheading8pt"/>
              <w:rPr>
                <w:sz w:val="18"/>
                <w:szCs w:val="18"/>
              </w:rPr>
            </w:pPr>
          </w:p>
        </w:tc>
        <w:tc>
          <w:tcPr>
            <w:tcW w:w="1701" w:type="dxa"/>
            <w:tcBorders>
              <w:bottom w:val="single" w:sz="4" w:space="0" w:color="auto"/>
            </w:tcBorders>
            <w:shd w:val="clear" w:color="auto" w:fill="E7E6E6" w:themeFill="background2"/>
          </w:tcPr>
          <w:p w14:paraId="501788FB" w14:textId="77777777" w:rsidR="005030B4" w:rsidRPr="005030B4" w:rsidRDefault="005030B4" w:rsidP="005030B4">
            <w:pPr>
              <w:pStyle w:val="031Tablesubheading8pt"/>
              <w:rPr>
                <w:sz w:val="18"/>
                <w:szCs w:val="18"/>
              </w:rPr>
            </w:pPr>
          </w:p>
        </w:tc>
        <w:tc>
          <w:tcPr>
            <w:tcW w:w="1984" w:type="dxa"/>
            <w:gridSpan w:val="2"/>
            <w:tcBorders>
              <w:bottom w:val="single" w:sz="4" w:space="0" w:color="auto"/>
            </w:tcBorders>
            <w:shd w:val="clear" w:color="auto" w:fill="E7E6E6" w:themeFill="background2"/>
          </w:tcPr>
          <w:p w14:paraId="31EED862" w14:textId="77777777" w:rsidR="005030B4" w:rsidRPr="005030B4" w:rsidRDefault="005030B4" w:rsidP="005030B4">
            <w:pPr>
              <w:pStyle w:val="031Tablesubheading8pt"/>
              <w:rPr>
                <w:sz w:val="18"/>
                <w:szCs w:val="18"/>
              </w:rPr>
            </w:pPr>
          </w:p>
        </w:tc>
        <w:tc>
          <w:tcPr>
            <w:tcW w:w="1700" w:type="dxa"/>
            <w:gridSpan w:val="3"/>
            <w:tcBorders>
              <w:bottom w:val="single" w:sz="4" w:space="0" w:color="auto"/>
            </w:tcBorders>
            <w:shd w:val="clear" w:color="auto" w:fill="E7E6E6" w:themeFill="background2"/>
          </w:tcPr>
          <w:p w14:paraId="32EFFA53" w14:textId="77777777" w:rsidR="005030B4" w:rsidRPr="005030B4" w:rsidRDefault="005030B4" w:rsidP="005030B4">
            <w:pPr>
              <w:pStyle w:val="031Tablesubheading8pt"/>
              <w:rPr>
                <w:sz w:val="18"/>
                <w:szCs w:val="18"/>
              </w:rPr>
            </w:pPr>
          </w:p>
        </w:tc>
      </w:tr>
      <w:tr w:rsidR="006128AA" w:rsidRPr="006128AA" w14:paraId="2252FC32" w14:textId="77777777" w:rsidTr="001F5E83">
        <w:trPr>
          <w:gridAfter w:val="1"/>
          <w:wAfter w:w="94" w:type="dxa"/>
        </w:trPr>
        <w:tc>
          <w:tcPr>
            <w:tcW w:w="3828" w:type="dxa"/>
            <w:gridSpan w:val="2"/>
            <w:tcBorders>
              <w:bottom w:val="single" w:sz="4" w:space="0" w:color="auto"/>
            </w:tcBorders>
            <w:shd w:val="clear" w:color="auto" w:fill="auto"/>
          </w:tcPr>
          <w:p w14:paraId="6250211B" w14:textId="09C37059" w:rsidR="006128AA" w:rsidRPr="006128AA" w:rsidRDefault="006128AA" w:rsidP="005030B4">
            <w:pPr>
              <w:pStyle w:val="031Tablesubheading8pt"/>
              <w:rPr>
                <w:b w:val="0"/>
                <w:bCs/>
                <w:sz w:val="18"/>
                <w:szCs w:val="18"/>
              </w:rPr>
            </w:pPr>
            <w:r w:rsidRPr="006128AA">
              <w:rPr>
                <w:b w:val="0"/>
                <w:bCs/>
                <w:i/>
                <w:color w:val="808080" w:themeColor="background1" w:themeShade="80"/>
                <w:sz w:val="18"/>
                <w:szCs w:val="18"/>
              </w:rPr>
              <w:t>no evidence at medium or long</w:t>
            </w:r>
            <w:r w:rsidR="000216DC">
              <w:rPr>
                <w:b w:val="0"/>
                <w:bCs/>
                <w:i/>
                <w:color w:val="808080" w:themeColor="background1" w:themeShade="80"/>
                <w:sz w:val="18"/>
                <w:szCs w:val="18"/>
              </w:rPr>
              <w:t>-</w:t>
            </w:r>
            <w:r w:rsidRPr="006128AA">
              <w:rPr>
                <w:b w:val="0"/>
                <w:bCs/>
                <w:i/>
                <w:color w:val="808080" w:themeColor="background1" w:themeShade="80"/>
                <w:sz w:val="18"/>
                <w:szCs w:val="18"/>
              </w:rPr>
              <w:t>term follow</w:t>
            </w:r>
            <w:r w:rsidR="006541C2">
              <w:rPr>
                <w:b w:val="0"/>
                <w:bCs/>
                <w:i/>
                <w:color w:val="808080" w:themeColor="background1" w:themeShade="80"/>
                <w:sz w:val="18"/>
                <w:szCs w:val="18"/>
              </w:rPr>
              <w:t>-</w:t>
            </w:r>
            <w:r w:rsidRPr="006128AA">
              <w:rPr>
                <w:b w:val="0"/>
                <w:bCs/>
                <w:i/>
                <w:color w:val="808080" w:themeColor="background1" w:themeShade="80"/>
                <w:sz w:val="18"/>
                <w:szCs w:val="18"/>
              </w:rPr>
              <w:t>up</w:t>
            </w:r>
          </w:p>
        </w:tc>
        <w:tc>
          <w:tcPr>
            <w:tcW w:w="425" w:type="dxa"/>
            <w:tcBorders>
              <w:bottom w:val="single" w:sz="4" w:space="0" w:color="auto"/>
            </w:tcBorders>
            <w:shd w:val="clear" w:color="auto" w:fill="auto"/>
          </w:tcPr>
          <w:p w14:paraId="37130497" w14:textId="77777777" w:rsidR="006128AA" w:rsidRPr="006128AA" w:rsidRDefault="006128AA" w:rsidP="005030B4">
            <w:pPr>
              <w:pStyle w:val="031Tablesubheading8pt"/>
              <w:rPr>
                <w:b w:val="0"/>
                <w:bCs/>
                <w:sz w:val="18"/>
                <w:szCs w:val="18"/>
              </w:rPr>
            </w:pPr>
          </w:p>
        </w:tc>
        <w:tc>
          <w:tcPr>
            <w:tcW w:w="1701" w:type="dxa"/>
            <w:tcBorders>
              <w:bottom w:val="single" w:sz="4" w:space="0" w:color="auto"/>
            </w:tcBorders>
            <w:shd w:val="clear" w:color="auto" w:fill="auto"/>
          </w:tcPr>
          <w:p w14:paraId="6FA3F164" w14:textId="77777777" w:rsidR="006128AA" w:rsidRPr="006128AA" w:rsidRDefault="006128AA" w:rsidP="005030B4">
            <w:pPr>
              <w:pStyle w:val="031Tablesubheading8pt"/>
              <w:rPr>
                <w:b w:val="0"/>
                <w:bCs/>
                <w:sz w:val="18"/>
                <w:szCs w:val="18"/>
              </w:rPr>
            </w:pPr>
          </w:p>
        </w:tc>
        <w:tc>
          <w:tcPr>
            <w:tcW w:w="1984" w:type="dxa"/>
            <w:gridSpan w:val="2"/>
            <w:tcBorders>
              <w:bottom w:val="single" w:sz="4" w:space="0" w:color="auto"/>
            </w:tcBorders>
            <w:shd w:val="clear" w:color="auto" w:fill="auto"/>
          </w:tcPr>
          <w:p w14:paraId="7F706FAD" w14:textId="77777777" w:rsidR="006128AA" w:rsidRPr="006128AA" w:rsidRDefault="006128AA" w:rsidP="005030B4">
            <w:pPr>
              <w:pStyle w:val="031Tablesubheading8pt"/>
              <w:rPr>
                <w:b w:val="0"/>
                <w:bCs/>
                <w:sz w:val="18"/>
                <w:szCs w:val="18"/>
              </w:rPr>
            </w:pPr>
          </w:p>
        </w:tc>
        <w:tc>
          <w:tcPr>
            <w:tcW w:w="1700" w:type="dxa"/>
            <w:gridSpan w:val="3"/>
            <w:tcBorders>
              <w:bottom w:val="single" w:sz="4" w:space="0" w:color="auto"/>
            </w:tcBorders>
            <w:shd w:val="clear" w:color="auto" w:fill="auto"/>
          </w:tcPr>
          <w:p w14:paraId="177944D9" w14:textId="77777777" w:rsidR="006128AA" w:rsidRPr="006128AA" w:rsidRDefault="006128AA" w:rsidP="005030B4">
            <w:pPr>
              <w:pStyle w:val="031Tablesubheading8pt"/>
              <w:rPr>
                <w:b w:val="0"/>
                <w:bCs/>
                <w:sz w:val="18"/>
                <w:szCs w:val="18"/>
              </w:rPr>
            </w:pPr>
          </w:p>
        </w:tc>
      </w:tr>
      <w:tr w:rsidR="005030B4" w:rsidRPr="005030B4" w14:paraId="4761B5B8" w14:textId="77777777" w:rsidTr="001F5E83">
        <w:tc>
          <w:tcPr>
            <w:tcW w:w="7513" w:type="dxa"/>
            <w:gridSpan w:val="5"/>
            <w:tcBorders>
              <w:bottom w:val="single" w:sz="4" w:space="0" w:color="auto"/>
            </w:tcBorders>
            <w:shd w:val="clear" w:color="auto" w:fill="E7E6E6" w:themeFill="background2"/>
          </w:tcPr>
          <w:p w14:paraId="1D02BDB3" w14:textId="77777777" w:rsidR="005030B4" w:rsidRPr="005030B4" w:rsidRDefault="005030B4" w:rsidP="005030B4">
            <w:pPr>
              <w:pStyle w:val="031Tablesubheading8pt"/>
              <w:rPr>
                <w:sz w:val="18"/>
                <w:szCs w:val="18"/>
              </w:rPr>
            </w:pPr>
            <w:r w:rsidRPr="005030B4">
              <w:rPr>
                <w:sz w:val="18"/>
                <w:szCs w:val="18"/>
              </w:rPr>
              <w:t>SCS + other intervention (MM or physical therapy) versus other intervention alone</w:t>
            </w:r>
          </w:p>
        </w:tc>
        <w:tc>
          <w:tcPr>
            <w:tcW w:w="425" w:type="dxa"/>
            <w:tcBorders>
              <w:bottom w:val="single" w:sz="4" w:space="0" w:color="auto"/>
            </w:tcBorders>
            <w:shd w:val="clear" w:color="auto" w:fill="E7E6E6" w:themeFill="background2"/>
          </w:tcPr>
          <w:p w14:paraId="0D343FB1" w14:textId="77777777" w:rsidR="005030B4" w:rsidRPr="005030B4" w:rsidRDefault="005030B4" w:rsidP="005030B4">
            <w:pPr>
              <w:pStyle w:val="031Tablesubheading8pt"/>
              <w:rPr>
                <w:sz w:val="18"/>
                <w:szCs w:val="18"/>
              </w:rPr>
            </w:pPr>
          </w:p>
        </w:tc>
        <w:tc>
          <w:tcPr>
            <w:tcW w:w="236" w:type="dxa"/>
            <w:tcBorders>
              <w:bottom w:val="single" w:sz="4" w:space="0" w:color="auto"/>
            </w:tcBorders>
            <w:shd w:val="clear" w:color="auto" w:fill="E7E6E6" w:themeFill="background2"/>
          </w:tcPr>
          <w:p w14:paraId="287C1D9A" w14:textId="77777777" w:rsidR="005030B4" w:rsidRPr="005030B4" w:rsidRDefault="005030B4" w:rsidP="005030B4">
            <w:pPr>
              <w:pStyle w:val="031Tablesubheading8pt"/>
              <w:rPr>
                <w:sz w:val="18"/>
                <w:szCs w:val="18"/>
              </w:rPr>
            </w:pPr>
          </w:p>
        </w:tc>
        <w:tc>
          <w:tcPr>
            <w:tcW w:w="236" w:type="dxa"/>
            <w:tcBorders>
              <w:bottom w:val="single" w:sz="4" w:space="0" w:color="auto"/>
            </w:tcBorders>
            <w:shd w:val="clear" w:color="auto" w:fill="E7E6E6" w:themeFill="background2"/>
          </w:tcPr>
          <w:p w14:paraId="3C886E8B" w14:textId="77777777" w:rsidR="005030B4" w:rsidRPr="005030B4" w:rsidRDefault="005030B4" w:rsidP="005030B4">
            <w:pPr>
              <w:pStyle w:val="031Tablesubheading8pt"/>
              <w:rPr>
                <w:sz w:val="18"/>
                <w:szCs w:val="18"/>
              </w:rPr>
            </w:pPr>
          </w:p>
        </w:tc>
        <w:tc>
          <w:tcPr>
            <w:tcW w:w="1322" w:type="dxa"/>
            <w:gridSpan w:val="2"/>
            <w:tcBorders>
              <w:bottom w:val="single" w:sz="4" w:space="0" w:color="auto"/>
            </w:tcBorders>
            <w:shd w:val="clear" w:color="auto" w:fill="E7E6E6" w:themeFill="background2"/>
          </w:tcPr>
          <w:p w14:paraId="59059CEA" w14:textId="77777777" w:rsidR="005030B4" w:rsidRPr="005030B4" w:rsidRDefault="005030B4" w:rsidP="005030B4">
            <w:pPr>
              <w:pStyle w:val="031Tablesubheading8pt"/>
              <w:rPr>
                <w:sz w:val="18"/>
                <w:szCs w:val="18"/>
              </w:rPr>
            </w:pPr>
          </w:p>
        </w:tc>
      </w:tr>
      <w:tr w:rsidR="00050B7E" w14:paraId="4F0D5339" w14:textId="77777777" w:rsidTr="001F5E83">
        <w:trPr>
          <w:gridAfter w:val="1"/>
          <w:wAfter w:w="94" w:type="dxa"/>
        </w:trPr>
        <w:tc>
          <w:tcPr>
            <w:tcW w:w="2977" w:type="dxa"/>
            <w:tcBorders>
              <w:bottom w:val="dotted" w:sz="4" w:space="0" w:color="auto"/>
            </w:tcBorders>
          </w:tcPr>
          <w:p w14:paraId="0A851F3A" w14:textId="77777777" w:rsidR="005030B4" w:rsidRPr="001A1058" w:rsidRDefault="005030B4" w:rsidP="001A1058">
            <w:pPr>
              <w:pStyle w:val="051Tabletext2210pt"/>
              <w:keepNext/>
              <w:rPr>
                <w:b/>
                <w:sz w:val="18"/>
                <w:szCs w:val="18"/>
              </w:rPr>
            </w:pPr>
            <w:r w:rsidRPr="001A1058">
              <w:rPr>
                <w:b/>
                <w:sz w:val="18"/>
                <w:szCs w:val="18"/>
              </w:rPr>
              <w:t>Pain intensity</w:t>
            </w:r>
          </w:p>
        </w:tc>
        <w:tc>
          <w:tcPr>
            <w:tcW w:w="1276" w:type="dxa"/>
            <w:gridSpan w:val="2"/>
            <w:tcBorders>
              <w:bottom w:val="dotted" w:sz="4" w:space="0" w:color="auto"/>
            </w:tcBorders>
          </w:tcPr>
          <w:p w14:paraId="300B9D35" w14:textId="77777777" w:rsidR="005030B4" w:rsidRPr="001A1058" w:rsidRDefault="005030B4" w:rsidP="001A1058">
            <w:pPr>
              <w:pStyle w:val="051Tabletext2210pt"/>
              <w:keepNext/>
              <w:rPr>
                <w:sz w:val="18"/>
                <w:szCs w:val="18"/>
              </w:rPr>
            </w:pPr>
          </w:p>
        </w:tc>
        <w:tc>
          <w:tcPr>
            <w:tcW w:w="1701" w:type="dxa"/>
            <w:tcBorders>
              <w:bottom w:val="dotted" w:sz="4" w:space="0" w:color="auto"/>
            </w:tcBorders>
          </w:tcPr>
          <w:p w14:paraId="489AC961" w14:textId="77777777" w:rsidR="005030B4" w:rsidRPr="001A1058" w:rsidRDefault="005030B4" w:rsidP="001A1058">
            <w:pPr>
              <w:pStyle w:val="051Tabletext2210pt"/>
              <w:keepNext/>
              <w:rPr>
                <w:sz w:val="18"/>
                <w:szCs w:val="18"/>
              </w:rPr>
            </w:pPr>
          </w:p>
        </w:tc>
        <w:tc>
          <w:tcPr>
            <w:tcW w:w="1984" w:type="dxa"/>
            <w:gridSpan w:val="2"/>
            <w:tcBorders>
              <w:bottom w:val="dotted" w:sz="4" w:space="0" w:color="auto"/>
            </w:tcBorders>
          </w:tcPr>
          <w:p w14:paraId="752C60E2" w14:textId="77777777" w:rsidR="005030B4" w:rsidRPr="001A1058" w:rsidRDefault="005030B4" w:rsidP="001A1058">
            <w:pPr>
              <w:pStyle w:val="051Tabletext2210pt"/>
              <w:keepNext/>
              <w:rPr>
                <w:sz w:val="18"/>
                <w:szCs w:val="18"/>
              </w:rPr>
            </w:pPr>
          </w:p>
        </w:tc>
        <w:tc>
          <w:tcPr>
            <w:tcW w:w="1700" w:type="dxa"/>
            <w:gridSpan w:val="3"/>
            <w:tcBorders>
              <w:bottom w:val="dotted" w:sz="4" w:space="0" w:color="auto"/>
            </w:tcBorders>
          </w:tcPr>
          <w:p w14:paraId="428DA55A" w14:textId="77777777" w:rsidR="005030B4" w:rsidRPr="001A1058" w:rsidRDefault="005030B4" w:rsidP="001A1058">
            <w:pPr>
              <w:pStyle w:val="051Tabletext2210pt"/>
              <w:keepNext/>
              <w:rPr>
                <w:sz w:val="18"/>
                <w:szCs w:val="18"/>
              </w:rPr>
            </w:pPr>
          </w:p>
        </w:tc>
      </w:tr>
      <w:tr w:rsidR="006128AA" w14:paraId="05106CB9" w14:textId="77777777" w:rsidTr="001F5E83">
        <w:trPr>
          <w:gridAfter w:val="1"/>
          <w:wAfter w:w="94" w:type="dxa"/>
        </w:trPr>
        <w:tc>
          <w:tcPr>
            <w:tcW w:w="2977" w:type="dxa"/>
            <w:tcBorders>
              <w:top w:val="dotted" w:sz="4" w:space="0" w:color="auto"/>
              <w:bottom w:val="nil"/>
            </w:tcBorders>
          </w:tcPr>
          <w:p w14:paraId="4D3E9044" w14:textId="77777777" w:rsidR="005030B4" w:rsidRPr="001A1058" w:rsidRDefault="005030B4" w:rsidP="005B42AB">
            <w:pPr>
              <w:pStyle w:val="051Tabletext2210pt"/>
              <w:keepNext/>
              <w:ind w:left="157"/>
              <w:rPr>
                <w:sz w:val="18"/>
                <w:szCs w:val="18"/>
              </w:rPr>
            </w:pPr>
            <w:r w:rsidRPr="001A1058">
              <w:rPr>
                <w:sz w:val="18"/>
                <w:szCs w:val="18"/>
              </w:rPr>
              <w:t>Continuous outcomes (VAS 0-100)</w:t>
            </w:r>
          </w:p>
        </w:tc>
        <w:tc>
          <w:tcPr>
            <w:tcW w:w="1276" w:type="dxa"/>
            <w:gridSpan w:val="2"/>
            <w:tcBorders>
              <w:top w:val="dotted" w:sz="4" w:space="0" w:color="auto"/>
              <w:bottom w:val="nil"/>
            </w:tcBorders>
          </w:tcPr>
          <w:p w14:paraId="74316361" w14:textId="77777777" w:rsidR="005030B4" w:rsidRPr="001A1058" w:rsidRDefault="005030B4" w:rsidP="001A1058">
            <w:pPr>
              <w:pStyle w:val="051Tabletext2210pt"/>
              <w:keepNext/>
              <w:rPr>
                <w:sz w:val="18"/>
                <w:szCs w:val="18"/>
              </w:rPr>
            </w:pPr>
            <w:r w:rsidRPr="001A1058">
              <w:rPr>
                <w:sz w:val="18"/>
                <w:szCs w:val="18"/>
              </w:rPr>
              <w:t>5; N=634 (M)</w:t>
            </w:r>
          </w:p>
        </w:tc>
        <w:tc>
          <w:tcPr>
            <w:tcW w:w="1701" w:type="dxa"/>
            <w:tcBorders>
              <w:top w:val="dotted" w:sz="4" w:space="0" w:color="auto"/>
              <w:bottom w:val="nil"/>
            </w:tcBorders>
            <w:shd w:val="clear" w:color="auto" w:fill="F4B083" w:themeFill="accent2" w:themeFillTint="99"/>
          </w:tcPr>
          <w:p w14:paraId="25BE88E9" w14:textId="77777777" w:rsidR="005030B4" w:rsidRPr="001A1058" w:rsidRDefault="005030B4" w:rsidP="001A1058">
            <w:pPr>
              <w:pStyle w:val="051Tabletext2210pt"/>
              <w:keepNext/>
              <w:rPr>
                <w:sz w:val="18"/>
                <w:szCs w:val="18"/>
              </w:rPr>
            </w:pPr>
            <w:r w:rsidRPr="001A1058">
              <w:rPr>
                <w:sz w:val="18"/>
                <w:szCs w:val="18"/>
              </w:rPr>
              <w:t>low</w:t>
            </w:r>
          </w:p>
        </w:tc>
        <w:tc>
          <w:tcPr>
            <w:tcW w:w="1984" w:type="dxa"/>
            <w:gridSpan w:val="2"/>
            <w:tcBorders>
              <w:top w:val="dotted" w:sz="4" w:space="0" w:color="auto"/>
              <w:bottom w:val="nil"/>
            </w:tcBorders>
            <w:shd w:val="clear" w:color="auto" w:fill="E2EFD9" w:themeFill="accent6" w:themeFillTint="33"/>
          </w:tcPr>
          <w:p w14:paraId="1997121D" w14:textId="5B82AE40" w:rsidR="005030B4" w:rsidRPr="001A1058" w:rsidRDefault="005030B4" w:rsidP="001A1058">
            <w:pPr>
              <w:pStyle w:val="051Tabletext2210pt"/>
              <w:keepNext/>
              <w:rPr>
                <w:sz w:val="18"/>
                <w:szCs w:val="18"/>
              </w:rPr>
            </w:pPr>
            <w:r w:rsidRPr="001A1058">
              <w:rPr>
                <w:sz w:val="18"/>
                <w:szCs w:val="18"/>
              </w:rPr>
              <w:t>Favours SCS</w:t>
            </w:r>
          </w:p>
        </w:tc>
        <w:tc>
          <w:tcPr>
            <w:tcW w:w="1700" w:type="dxa"/>
            <w:gridSpan w:val="3"/>
            <w:tcBorders>
              <w:top w:val="dotted" w:sz="4" w:space="0" w:color="auto"/>
              <w:bottom w:val="nil"/>
            </w:tcBorders>
            <w:shd w:val="clear" w:color="auto" w:fill="E2EFD9" w:themeFill="accent6" w:themeFillTint="33"/>
          </w:tcPr>
          <w:p w14:paraId="539E903E" w14:textId="3F63C5F6" w:rsidR="005030B4" w:rsidRPr="001A1058" w:rsidRDefault="005030B4" w:rsidP="001A1058">
            <w:pPr>
              <w:pStyle w:val="051Tabletext2210pt"/>
              <w:keepNext/>
              <w:rPr>
                <w:sz w:val="18"/>
                <w:szCs w:val="18"/>
              </w:rPr>
            </w:pPr>
            <w:r w:rsidRPr="001A1058">
              <w:rPr>
                <w:sz w:val="18"/>
                <w:szCs w:val="18"/>
              </w:rPr>
              <w:t>Favours SCS</w:t>
            </w:r>
          </w:p>
        </w:tc>
      </w:tr>
      <w:tr w:rsidR="006128AA" w14:paraId="0F066594" w14:textId="77777777" w:rsidTr="001F5E83">
        <w:trPr>
          <w:gridAfter w:val="1"/>
          <w:wAfter w:w="94" w:type="dxa"/>
        </w:trPr>
        <w:tc>
          <w:tcPr>
            <w:tcW w:w="2977" w:type="dxa"/>
            <w:tcBorders>
              <w:top w:val="nil"/>
              <w:bottom w:val="nil"/>
            </w:tcBorders>
          </w:tcPr>
          <w:p w14:paraId="6227B2A5" w14:textId="77777777" w:rsidR="005030B4" w:rsidRPr="001A1058" w:rsidRDefault="005030B4" w:rsidP="005B42AB">
            <w:pPr>
              <w:pStyle w:val="051Tabletext2210pt"/>
              <w:ind w:left="157"/>
              <w:rPr>
                <w:sz w:val="18"/>
                <w:szCs w:val="18"/>
              </w:rPr>
            </w:pPr>
            <w:r w:rsidRPr="001A1058">
              <w:rPr>
                <w:i/>
                <w:sz w:val="18"/>
                <w:szCs w:val="18"/>
              </w:rPr>
              <w:t>mean difference</w:t>
            </w:r>
          </w:p>
        </w:tc>
        <w:tc>
          <w:tcPr>
            <w:tcW w:w="1276" w:type="dxa"/>
            <w:gridSpan w:val="2"/>
            <w:tcBorders>
              <w:top w:val="nil"/>
              <w:bottom w:val="nil"/>
            </w:tcBorders>
          </w:tcPr>
          <w:p w14:paraId="27FD620C" w14:textId="77777777" w:rsidR="005030B4" w:rsidRPr="001A1058" w:rsidRDefault="005030B4" w:rsidP="005030B4">
            <w:pPr>
              <w:pStyle w:val="051Tabletext2210pt"/>
              <w:rPr>
                <w:sz w:val="18"/>
                <w:szCs w:val="18"/>
              </w:rPr>
            </w:pPr>
            <w:r w:rsidRPr="001A1058">
              <w:rPr>
                <w:sz w:val="18"/>
                <w:szCs w:val="18"/>
              </w:rPr>
              <w:t>1; N=44 (L)</w:t>
            </w:r>
          </w:p>
        </w:tc>
        <w:tc>
          <w:tcPr>
            <w:tcW w:w="1701" w:type="dxa"/>
            <w:tcBorders>
              <w:top w:val="nil"/>
              <w:bottom w:val="nil"/>
            </w:tcBorders>
            <w:shd w:val="clear" w:color="auto" w:fill="FFE599" w:themeFill="accent4" w:themeFillTint="66"/>
          </w:tcPr>
          <w:p w14:paraId="3EA734BC" w14:textId="77777777" w:rsidR="005030B4" w:rsidRPr="001A1058" w:rsidRDefault="005030B4" w:rsidP="005030B4">
            <w:pPr>
              <w:pStyle w:val="051Tabletext2210pt"/>
              <w:rPr>
                <w:sz w:val="18"/>
                <w:szCs w:val="18"/>
              </w:rPr>
            </w:pPr>
            <w:r w:rsidRPr="001A1058">
              <w:rPr>
                <w:sz w:val="18"/>
                <w:szCs w:val="18"/>
              </w:rPr>
              <w:t>very low</w:t>
            </w:r>
          </w:p>
        </w:tc>
        <w:tc>
          <w:tcPr>
            <w:tcW w:w="1984" w:type="dxa"/>
            <w:gridSpan w:val="2"/>
            <w:tcBorders>
              <w:top w:val="nil"/>
              <w:bottom w:val="nil"/>
            </w:tcBorders>
            <w:shd w:val="clear" w:color="auto" w:fill="FFFFFF" w:themeFill="background1"/>
          </w:tcPr>
          <w:p w14:paraId="2F9EE9FD" w14:textId="77777777" w:rsidR="005030B4" w:rsidRPr="001A1058" w:rsidRDefault="005030B4" w:rsidP="005030B4">
            <w:pPr>
              <w:pStyle w:val="051Tabletext2210pt"/>
              <w:rPr>
                <w:sz w:val="18"/>
                <w:szCs w:val="18"/>
              </w:rPr>
            </w:pPr>
            <w:r w:rsidRPr="001A1058">
              <w:rPr>
                <w:sz w:val="18"/>
                <w:szCs w:val="18"/>
              </w:rPr>
              <w:t>No effect</w:t>
            </w:r>
          </w:p>
        </w:tc>
        <w:tc>
          <w:tcPr>
            <w:tcW w:w="1700" w:type="dxa"/>
            <w:gridSpan w:val="3"/>
            <w:tcBorders>
              <w:top w:val="nil"/>
              <w:bottom w:val="nil"/>
            </w:tcBorders>
            <w:shd w:val="clear" w:color="auto" w:fill="FFFFFF" w:themeFill="background1"/>
          </w:tcPr>
          <w:p w14:paraId="7E8352A4" w14:textId="77777777" w:rsidR="005030B4" w:rsidRPr="001A1058" w:rsidRDefault="005030B4" w:rsidP="005030B4">
            <w:pPr>
              <w:pStyle w:val="051Tabletext2210pt"/>
              <w:rPr>
                <w:sz w:val="18"/>
                <w:szCs w:val="18"/>
              </w:rPr>
            </w:pPr>
            <w:r w:rsidRPr="001A1058">
              <w:rPr>
                <w:sz w:val="18"/>
                <w:szCs w:val="18"/>
              </w:rPr>
              <w:t>No difference</w:t>
            </w:r>
          </w:p>
        </w:tc>
      </w:tr>
      <w:tr w:rsidR="006128AA" w14:paraId="34D32010" w14:textId="77777777" w:rsidTr="001F5E83">
        <w:trPr>
          <w:gridAfter w:val="1"/>
          <w:wAfter w:w="94" w:type="dxa"/>
        </w:trPr>
        <w:tc>
          <w:tcPr>
            <w:tcW w:w="2977" w:type="dxa"/>
            <w:tcBorders>
              <w:top w:val="dotted" w:sz="4" w:space="0" w:color="auto"/>
              <w:bottom w:val="nil"/>
            </w:tcBorders>
          </w:tcPr>
          <w:p w14:paraId="037385F5" w14:textId="77777777" w:rsidR="005030B4" w:rsidRPr="001A1058" w:rsidRDefault="005030B4" w:rsidP="005B42AB">
            <w:pPr>
              <w:pStyle w:val="051Tabletext2210pt"/>
              <w:ind w:left="157"/>
              <w:rPr>
                <w:sz w:val="18"/>
                <w:szCs w:val="18"/>
              </w:rPr>
            </w:pPr>
            <w:r w:rsidRPr="001A1058">
              <w:rPr>
                <w:sz w:val="18"/>
                <w:szCs w:val="18"/>
              </w:rPr>
              <w:t xml:space="preserve">Proportion with </w:t>
            </w:r>
            <w:r w:rsidRPr="001A1058">
              <w:rPr>
                <w:rFonts w:cs="Calibri"/>
                <w:sz w:val="18"/>
                <w:szCs w:val="18"/>
              </w:rPr>
              <w:t>≥</w:t>
            </w:r>
            <w:r w:rsidRPr="001A1058">
              <w:rPr>
                <w:sz w:val="18"/>
                <w:szCs w:val="18"/>
              </w:rPr>
              <w:t>50% pain relief</w:t>
            </w:r>
          </w:p>
        </w:tc>
        <w:tc>
          <w:tcPr>
            <w:tcW w:w="1276" w:type="dxa"/>
            <w:gridSpan w:val="2"/>
            <w:tcBorders>
              <w:top w:val="dotted" w:sz="4" w:space="0" w:color="auto"/>
              <w:bottom w:val="nil"/>
            </w:tcBorders>
          </w:tcPr>
          <w:p w14:paraId="01E6BB69" w14:textId="77777777" w:rsidR="005030B4" w:rsidRPr="001A1058" w:rsidRDefault="005030B4" w:rsidP="005030B4">
            <w:pPr>
              <w:pStyle w:val="051Tabletext2210pt"/>
              <w:rPr>
                <w:sz w:val="18"/>
                <w:szCs w:val="18"/>
              </w:rPr>
            </w:pPr>
            <w:r w:rsidRPr="001A1058">
              <w:rPr>
                <w:sz w:val="18"/>
                <w:szCs w:val="18"/>
              </w:rPr>
              <w:t>5; N=597 (M)</w:t>
            </w:r>
          </w:p>
        </w:tc>
        <w:tc>
          <w:tcPr>
            <w:tcW w:w="1701" w:type="dxa"/>
            <w:tcBorders>
              <w:top w:val="dotted" w:sz="4" w:space="0" w:color="auto"/>
              <w:bottom w:val="nil"/>
            </w:tcBorders>
            <w:shd w:val="clear" w:color="auto" w:fill="F4B083" w:themeFill="accent2" w:themeFillTint="99"/>
          </w:tcPr>
          <w:p w14:paraId="0BB04F7D" w14:textId="77777777" w:rsidR="005030B4" w:rsidRPr="001A1058" w:rsidRDefault="005030B4" w:rsidP="005030B4">
            <w:pPr>
              <w:pStyle w:val="051Tabletext2210pt"/>
              <w:rPr>
                <w:sz w:val="18"/>
                <w:szCs w:val="18"/>
              </w:rPr>
            </w:pPr>
            <w:r w:rsidRPr="001A1058">
              <w:rPr>
                <w:sz w:val="18"/>
                <w:szCs w:val="18"/>
              </w:rPr>
              <w:t>low</w:t>
            </w:r>
          </w:p>
        </w:tc>
        <w:tc>
          <w:tcPr>
            <w:tcW w:w="1984" w:type="dxa"/>
            <w:gridSpan w:val="2"/>
            <w:tcBorders>
              <w:top w:val="dotted" w:sz="4" w:space="0" w:color="auto"/>
              <w:bottom w:val="nil"/>
            </w:tcBorders>
            <w:shd w:val="clear" w:color="auto" w:fill="E2EFD9" w:themeFill="accent6" w:themeFillTint="33"/>
          </w:tcPr>
          <w:p w14:paraId="05E62590" w14:textId="71AE39BE" w:rsidR="005030B4" w:rsidRPr="001A1058" w:rsidRDefault="005030B4" w:rsidP="005030B4">
            <w:pPr>
              <w:pStyle w:val="051Tabletext2210pt"/>
              <w:rPr>
                <w:sz w:val="18"/>
                <w:szCs w:val="18"/>
              </w:rPr>
            </w:pPr>
            <w:r w:rsidRPr="001A1058">
              <w:rPr>
                <w:sz w:val="18"/>
                <w:szCs w:val="18"/>
              </w:rPr>
              <w:t>Favours SCS</w:t>
            </w:r>
          </w:p>
        </w:tc>
        <w:tc>
          <w:tcPr>
            <w:tcW w:w="1700" w:type="dxa"/>
            <w:gridSpan w:val="3"/>
            <w:tcBorders>
              <w:top w:val="dotted" w:sz="4" w:space="0" w:color="auto"/>
              <w:bottom w:val="nil"/>
            </w:tcBorders>
            <w:shd w:val="clear" w:color="auto" w:fill="E2EFD9" w:themeFill="accent6" w:themeFillTint="33"/>
          </w:tcPr>
          <w:p w14:paraId="693BC3CB" w14:textId="77777777" w:rsidR="005030B4" w:rsidRPr="001A1058" w:rsidRDefault="005030B4" w:rsidP="005030B4">
            <w:pPr>
              <w:pStyle w:val="051Tabletext2210pt"/>
              <w:rPr>
                <w:sz w:val="18"/>
                <w:szCs w:val="18"/>
              </w:rPr>
            </w:pPr>
            <w:r w:rsidRPr="001A1058">
              <w:rPr>
                <w:sz w:val="18"/>
                <w:szCs w:val="18"/>
              </w:rPr>
              <w:t>Favours SCS</w:t>
            </w:r>
          </w:p>
        </w:tc>
      </w:tr>
      <w:tr w:rsidR="006128AA" w14:paraId="7287CA6B" w14:textId="77777777" w:rsidTr="001F5E83">
        <w:trPr>
          <w:gridAfter w:val="1"/>
          <w:wAfter w:w="94" w:type="dxa"/>
          <w:trHeight w:val="74"/>
        </w:trPr>
        <w:tc>
          <w:tcPr>
            <w:tcW w:w="2977" w:type="dxa"/>
            <w:tcBorders>
              <w:top w:val="nil"/>
              <w:bottom w:val="nil"/>
            </w:tcBorders>
          </w:tcPr>
          <w:p w14:paraId="2281C62E" w14:textId="77777777" w:rsidR="005030B4" w:rsidRPr="001A1058" w:rsidRDefault="005030B4" w:rsidP="005030B4">
            <w:pPr>
              <w:pStyle w:val="051Tabletext2210pt"/>
              <w:rPr>
                <w:sz w:val="18"/>
                <w:szCs w:val="18"/>
              </w:rPr>
            </w:pPr>
          </w:p>
        </w:tc>
        <w:tc>
          <w:tcPr>
            <w:tcW w:w="1276" w:type="dxa"/>
            <w:gridSpan w:val="2"/>
            <w:tcBorders>
              <w:top w:val="nil"/>
              <w:bottom w:val="nil"/>
            </w:tcBorders>
          </w:tcPr>
          <w:p w14:paraId="679C874F" w14:textId="77777777" w:rsidR="005030B4" w:rsidRPr="001A1058" w:rsidRDefault="005030B4" w:rsidP="005030B4">
            <w:pPr>
              <w:pStyle w:val="051Tabletext2210pt"/>
              <w:rPr>
                <w:sz w:val="18"/>
                <w:szCs w:val="18"/>
              </w:rPr>
            </w:pPr>
            <w:r w:rsidRPr="001A1058">
              <w:rPr>
                <w:sz w:val="18"/>
                <w:szCs w:val="18"/>
              </w:rPr>
              <w:t>1; N=87 (L)</w:t>
            </w:r>
          </w:p>
        </w:tc>
        <w:tc>
          <w:tcPr>
            <w:tcW w:w="1701" w:type="dxa"/>
            <w:tcBorders>
              <w:top w:val="nil"/>
              <w:bottom w:val="nil"/>
            </w:tcBorders>
            <w:shd w:val="clear" w:color="auto" w:fill="FFE599" w:themeFill="accent4" w:themeFillTint="66"/>
          </w:tcPr>
          <w:p w14:paraId="7AFFCF2B" w14:textId="77777777" w:rsidR="005030B4" w:rsidRPr="001A1058" w:rsidRDefault="005030B4" w:rsidP="005030B4">
            <w:pPr>
              <w:pStyle w:val="051Tabletext2210pt"/>
              <w:rPr>
                <w:sz w:val="18"/>
                <w:szCs w:val="18"/>
              </w:rPr>
            </w:pPr>
            <w:r w:rsidRPr="001A1058">
              <w:rPr>
                <w:sz w:val="18"/>
                <w:szCs w:val="18"/>
              </w:rPr>
              <w:t>very low</w:t>
            </w:r>
          </w:p>
        </w:tc>
        <w:tc>
          <w:tcPr>
            <w:tcW w:w="1984" w:type="dxa"/>
            <w:gridSpan w:val="2"/>
            <w:tcBorders>
              <w:top w:val="nil"/>
              <w:bottom w:val="nil"/>
            </w:tcBorders>
            <w:shd w:val="clear" w:color="auto" w:fill="E2EFD9" w:themeFill="accent6" w:themeFillTint="33"/>
          </w:tcPr>
          <w:p w14:paraId="42BB8CEC" w14:textId="43EA23E3" w:rsidR="005030B4" w:rsidRPr="001A1058" w:rsidRDefault="005030B4" w:rsidP="005030B4">
            <w:pPr>
              <w:pStyle w:val="051Tabletext2210pt"/>
              <w:rPr>
                <w:sz w:val="18"/>
                <w:szCs w:val="18"/>
              </w:rPr>
            </w:pPr>
            <w:r w:rsidRPr="001A1058">
              <w:rPr>
                <w:sz w:val="18"/>
                <w:szCs w:val="18"/>
              </w:rPr>
              <w:t>Favours SCS</w:t>
            </w:r>
          </w:p>
        </w:tc>
        <w:tc>
          <w:tcPr>
            <w:tcW w:w="1700" w:type="dxa"/>
            <w:gridSpan w:val="3"/>
            <w:tcBorders>
              <w:top w:val="nil"/>
              <w:bottom w:val="nil"/>
            </w:tcBorders>
            <w:shd w:val="clear" w:color="auto" w:fill="E2EFD9" w:themeFill="accent6" w:themeFillTint="33"/>
          </w:tcPr>
          <w:p w14:paraId="301A0D95" w14:textId="77777777" w:rsidR="005030B4" w:rsidRPr="001A1058" w:rsidRDefault="005030B4" w:rsidP="005030B4">
            <w:pPr>
              <w:pStyle w:val="051Tabletext2210pt"/>
              <w:rPr>
                <w:sz w:val="18"/>
                <w:szCs w:val="18"/>
              </w:rPr>
            </w:pPr>
            <w:r w:rsidRPr="001A1058">
              <w:rPr>
                <w:sz w:val="18"/>
                <w:szCs w:val="18"/>
              </w:rPr>
              <w:t>Favours SCS</w:t>
            </w:r>
          </w:p>
        </w:tc>
      </w:tr>
      <w:tr w:rsidR="00050B7E" w14:paraId="3E58F323" w14:textId="77777777" w:rsidTr="001F5E83">
        <w:trPr>
          <w:gridAfter w:val="1"/>
          <w:wAfter w:w="94" w:type="dxa"/>
        </w:trPr>
        <w:tc>
          <w:tcPr>
            <w:tcW w:w="2977" w:type="dxa"/>
            <w:tcBorders>
              <w:bottom w:val="dotted" w:sz="4" w:space="0" w:color="auto"/>
            </w:tcBorders>
          </w:tcPr>
          <w:p w14:paraId="5E6D5B0A" w14:textId="3E73C45C" w:rsidR="005030B4" w:rsidRPr="001A1058" w:rsidRDefault="005B64EB" w:rsidP="005030B4">
            <w:pPr>
              <w:pStyle w:val="051Tabletext2210pt"/>
              <w:rPr>
                <w:b/>
                <w:sz w:val="18"/>
                <w:szCs w:val="18"/>
              </w:rPr>
            </w:pPr>
            <w:r>
              <w:rPr>
                <w:b/>
                <w:sz w:val="18"/>
                <w:szCs w:val="18"/>
              </w:rPr>
              <w:t>A</w:t>
            </w:r>
            <w:r w:rsidRPr="001A1058">
              <w:rPr>
                <w:b/>
                <w:sz w:val="18"/>
                <w:szCs w:val="18"/>
              </w:rPr>
              <w:t>Es</w:t>
            </w:r>
          </w:p>
        </w:tc>
        <w:tc>
          <w:tcPr>
            <w:tcW w:w="1276" w:type="dxa"/>
            <w:gridSpan w:val="2"/>
            <w:tcBorders>
              <w:bottom w:val="dotted" w:sz="4" w:space="0" w:color="auto"/>
            </w:tcBorders>
          </w:tcPr>
          <w:p w14:paraId="244A6554" w14:textId="77777777" w:rsidR="005030B4" w:rsidRPr="001A1058" w:rsidRDefault="005030B4" w:rsidP="005030B4">
            <w:pPr>
              <w:pStyle w:val="051Tabletext2210pt"/>
              <w:rPr>
                <w:sz w:val="18"/>
                <w:szCs w:val="18"/>
              </w:rPr>
            </w:pPr>
          </w:p>
        </w:tc>
        <w:tc>
          <w:tcPr>
            <w:tcW w:w="1701" w:type="dxa"/>
            <w:tcBorders>
              <w:bottom w:val="dotted" w:sz="4" w:space="0" w:color="auto"/>
            </w:tcBorders>
          </w:tcPr>
          <w:p w14:paraId="551E010F" w14:textId="77777777" w:rsidR="005030B4" w:rsidRPr="001A1058" w:rsidRDefault="005030B4" w:rsidP="005030B4">
            <w:pPr>
              <w:pStyle w:val="051Tabletext2210pt"/>
              <w:rPr>
                <w:sz w:val="18"/>
                <w:szCs w:val="18"/>
              </w:rPr>
            </w:pPr>
          </w:p>
        </w:tc>
        <w:tc>
          <w:tcPr>
            <w:tcW w:w="1984" w:type="dxa"/>
            <w:gridSpan w:val="2"/>
            <w:tcBorders>
              <w:bottom w:val="dotted" w:sz="4" w:space="0" w:color="auto"/>
            </w:tcBorders>
          </w:tcPr>
          <w:p w14:paraId="7B1B8977" w14:textId="77777777" w:rsidR="005030B4" w:rsidRPr="001A1058" w:rsidRDefault="005030B4" w:rsidP="005030B4">
            <w:pPr>
              <w:pStyle w:val="051Tabletext2210pt"/>
              <w:rPr>
                <w:sz w:val="18"/>
                <w:szCs w:val="18"/>
              </w:rPr>
            </w:pPr>
          </w:p>
        </w:tc>
        <w:tc>
          <w:tcPr>
            <w:tcW w:w="1700" w:type="dxa"/>
            <w:gridSpan w:val="3"/>
            <w:tcBorders>
              <w:bottom w:val="dotted" w:sz="4" w:space="0" w:color="auto"/>
            </w:tcBorders>
          </w:tcPr>
          <w:p w14:paraId="6A75A572" w14:textId="77777777" w:rsidR="005030B4" w:rsidRPr="001A1058" w:rsidRDefault="005030B4" w:rsidP="005030B4">
            <w:pPr>
              <w:pStyle w:val="051Tabletext2210pt"/>
              <w:rPr>
                <w:sz w:val="18"/>
                <w:szCs w:val="18"/>
              </w:rPr>
            </w:pPr>
          </w:p>
        </w:tc>
      </w:tr>
      <w:tr w:rsidR="00F64671" w14:paraId="723435B7" w14:textId="77777777" w:rsidTr="001F5E83">
        <w:trPr>
          <w:gridAfter w:val="1"/>
          <w:wAfter w:w="94" w:type="dxa"/>
        </w:trPr>
        <w:tc>
          <w:tcPr>
            <w:tcW w:w="2977" w:type="dxa"/>
            <w:tcBorders>
              <w:top w:val="dotted" w:sz="4" w:space="0" w:color="auto"/>
              <w:bottom w:val="nil"/>
            </w:tcBorders>
          </w:tcPr>
          <w:p w14:paraId="75744EB1" w14:textId="77777777" w:rsidR="005030B4" w:rsidRPr="005B42AB" w:rsidRDefault="005030B4" w:rsidP="005B42AB">
            <w:pPr>
              <w:pStyle w:val="051Tabletext2210pt"/>
              <w:keepNext/>
              <w:ind w:left="158"/>
              <w:rPr>
                <w:sz w:val="18"/>
                <w:szCs w:val="18"/>
              </w:rPr>
            </w:pPr>
            <w:r w:rsidRPr="001A1058">
              <w:rPr>
                <w:sz w:val="18"/>
                <w:szCs w:val="18"/>
              </w:rPr>
              <w:t>Lead failure/displacement</w:t>
            </w:r>
          </w:p>
        </w:tc>
        <w:tc>
          <w:tcPr>
            <w:tcW w:w="1276" w:type="dxa"/>
            <w:gridSpan w:val="2"/>
            <w:tcBorders>
              <w:top w:val="dotted" w:sz="4" w:space="0" w:color="auto"/>
              <w:bottom w:val="nil"/>
            </w:tcBorders>
          </w:tcPr>
          <w:p w14:paraId="09FBD95C" w14:textId="77777777" w:rsidR="005030B4" w:rsidRPr="001A1058" w:rsidRDefault="005030B4" w:rsidP="005030B4">
            <w:pPr>
              <w:pStyle w:val="051Tabletext2210pt"/>
              <w:rPr>
                <w:sz w:val="18"/>
                <w:szCs w:val="18"/>
              </w:rPr>
            </w:pPr>
            <w:r w:rsidRPr="001A1058">
              <w:rPr>
                <w:sz w:val="18"/>
                <w:szCs w:val="18"/>
              </w:rPr>
              <w:t>3; N=330 (M)</w:t>
            </w:r>
          </w:p>
        </w:tc>
        <w:tc>
          <w:tcPr>
            <w:tcW w:w="1701" w:type="dxa"/>
            <w:tcBorders>
              <w:top w:val="dotted" w:sz="4" w:space="0" w:color="auto"/>
              <w:bottom w:val="nil"/>
            </w:tcBorders>
            <w:shd w:val="clear" w:color="auto" w:fill="F4B083" w:themeFill="accent2" w:themeFillTint="99"/>
          </w:tcPr>
          <w:p w14:paraId="1DCE580B" w14:textId="77777777" w:rsidR="005030B4" w:rsidRPr="001A1058" w:rsidRDefault="005030B4" w:rsidP="005030B4">
            <w:pPr>
              <w:pStyle w:val="051Tabletext2210pt"/>
              <w:rPr>
                <w:sz w:val="18"/>
                <w:szCs w:val="18"/>
              </w:rPr>
            </w:pPr>
            <w:r w:rsidRPr="001A1058">
              <w:rPr>
                <w:sz w:val="18"/>
                <w:szCs w:val="18"/>
              </w:rPr>
              <w:t>very low</w:t>
            </w:r>
          </w:p>
        </w:tc>
        <w:tc>
          <w:tcPr>
            <w:tcW w:w="1984" w:type="dxa"/>
            <w:gridSpan w:val="2"/>
            <w:tcBorders>
              <w:top w:val="dotted" w:sz="4" w:space="0" w:color="auto"/>
              <w:bottom w:val="nil"/>
            </w:tcBorders>
          </w:tcPr>
          <w:p w14:paraId="10146BA0" w14:textId="77777777" w:rsidR="005030B4" w:rsidRPr="001A1058" w:rsidRDefault="005030B4" w:rsidP="005030B4">
            <w:pPr>
              <w:pStyle w:val="051Tabletext2210pt"/>
              <w:rPr>
                <w:sz w:val="18"/>
                <w:szCs w:val="18"/>
              </w:rPr>
            </w:pPr>
            <w:r w:rsidRPr="001A1058">
              <w:rPr>
                <w:sz w:val="18"/>
                <w:szCs w:val="18"/>
              </w:rPr>
              <w:t>No effect</w:t>
            </w:r>
          </w:p>
        </w:tc>
        <w:tc>
          <w:tcPr>
            <w:tcW w:w="1700" w:type="dxa"/>
            <w:gridSpan w:val="3"/>
            <w:tcBorders>
              <w:top w:val="dotted" w:sz="4" w:space="0" w:color="auto"/>
              <w:bottom w:val="nil"/>
            </w:tcBorders>
          </w:tcPr>
          <w:p w14:paraId="7A71937E" w14:textId="77777777" w:rsidR="005030B4" w:rsidRPr="001A1058" w:rsidRDefault="005030B4" w:rsidP="005030B4">
            <w:pPr>
              <w:pStyle w:val="051Tabletext2210pt"/>
              <w:rPr>
                <w:sz w:val="18"/>
                <w:szCs w:val="18"/>
              </w:rPr>
            </w:pPr>
            <w:r w:rsidRPr="001A1058">
              <w:rPr>
                <w:sz w:val="18"/>
                <w:szCs w:val="18"/>
              </w:rPr>
              <w:t>NR</w:t>
            </w:r>
          </w:p>
        </w:tc>
      </w:tr>
      <w:tr w:rsidR="00CC4B86" w14:paraId="77B3BE25" w14:textId="77777777" w:rsidTr="001F5E83">
        <w:trPr>
          <w:gridAfter w:val="1"/>
          <w:wAfter w:w="94" w:type="dxa"/>
        </w:trPr>
        <w:tc>
          <w:tcPr>
            <w:tcW w:w="2977" w:type="dxa"/>
            <w:tcBorders>
              <w:top w:val="nil"/>
              <w:bottom w:val="dotted" w:sz="4" w:space="0" w:color="auto"/>
            </w:tcBorders>
          </w:tcPr>
          <w:p w14:paraId="57FDB1E1" w14:textId="77777777" w:rsidR="005030B4" w:rsidRPr="001A1058" w:rsidRDefault="005030B4" w:rsidP="005B42AB">
            <w:pPr>
              <w:pStyle w:val="051Tabletext2210pt"/>
              <w:ind w:left="158"/>
              <w:rPr>
                <w:sz w:val="18"/>
                <w:szCs w:val="18"/>
              </w:rPr>
            </w:pPr>
          </w:p>
        </w:tc>
        <w:tc>
          <w:tcPr>
            <w:tcW w:w="1276" w:type="dxa"/>
            <w:gridSpan w:val="2"/>
            <w:tcBorders>
              <w:top w:val="nil"/>
              <w:bottom w:val="dotted" w:sz="4" w:space="0" w:color="auto"/>
            </w:tcBorders>
          </w:tcPr>
          <w:p w14:paraId="3A9DDD14" w14:textId="77777777" w:rsidR="005030B4" w:rsidRPr="001A1058" w:rsidRDefault="005030B4" w:rsidP="005030B4">
            <w:pPr>
              <w:pStyle w:val="051Tabletext2210pt"/>
              <w:rPr>
                <w:sz w:val="18"/>
                <w:szCs w:val="18"/>
              </w:rPr>
            </w:pPr>
            <w:r w:rsidRPr="001A1058">
              <w:rPr>
                <w:sz w:val="18"/>
                <w:szCs w:val="18"/>
              </w:rPr>
              <w:t>1, N=44 (L)</w:t>
            </w:r>
          </w:p>
        </w:tc>
        <w:tc>
          <w:tcPr>
            <w:tcW w:w="1701" w:type="dxa"/>
            <w:tcBorders>
              <w:top w:val="nil"/>
              <w:bottom w:val="dotted" w:sz="4" w:space="0" w:color="auto"/>
            </w:tcBorders>
            <w:shd w:val="clear" w:color="auto" w:fill="F4B083" w:themeFill="accent2" w:themeFillTint="99"/>
          </w:tcPr>
          <w:p w14:paraId="55372806" w14:textId="77777777" w:rsidR="005030B4" w:rsidRPr="001A1058" w:rsidRDefault="005030B4" w:rsidP="005030B4">
            <w:pPr>
              <w:pStyle w:val="051Tabletext2210pt"/>
              <w:rPr>
                <w:sz w:val="18"/>
                <w:szCs w:val="18"/>
              </w:rPr>
            </w:pPr>
            <w:r w:rsidRPr="001A1058">
              <w:rPr>
                <w:sz w:val="18"/>
                <w:szCs w:val="18"/>
              </w:rPr>
              <w:t>very low</w:t>
            </w:r>
          </w:p>
        </w:tc>
        <w:tc>
          <w:tcPr>
            <w:tcW w:w="1984" w:type="dxa"/>
            <w:gridSpan w:val="2"/>
            <w:tcBorders>
              <w:top w:val="nil"/>
              <w:bottom w:val="dotted" w:sz="4" w:space="0" w:color="auto"/>
            </w:tcBorders>
            <w:shd w:val="clear" w:color="auto" w:fill="FFCDCD"/>
          </w:tcPr>
          <w:p w14:paraId="40074D44" w14:textId="07BA359A" w:rsidR="005030B4" w:rsidRPr="001A1058" w:rsidRDefault="005030B4" w:rsidP="005030B4">
            <w:pPr>
              <w:pStyle w:val="051Tabletext2210pt"/>
              <w:rPr>
                <w:sz w:val="18"/>
                <w:szCs w:val="18"/>
              </w:rPr>
            </w:pPr>
            <w:r w:rsidRPr="001A1058">
              <w:rPr>
                <w:sz w:val="18"/>
                <w:szCs w:val="18"/>
              </w:rPr>
              <w:t xml:space="preserve">Favours </w:t>
            </w:r>
            <w:r w:rsidR="003722C8" w:rsidRPr="001A1058">
              <w:rPr>
                <w:sz w:val="18"/>
                <w:szCs w:val="18"/>
              </w:rPr>
              <w:t>MM</w:t>
            </w:r>
          </w:p>
        </w:tc>
        <w:tc>
          <w:tcPr>
            <w:tcW w:w="1700" w:type="dxa"/>
            <w:gridSpan w:val="3"/>
            <w:tcBorders>
              <w:top w:val="nil"/>
              <w:bottom w:val="dotted" w:sz="4" w:space="0" w:color="auto"/>
            </w:tcBorders>
          </w:tcPr>
          <w:p w14:paraId="732BF06F" w14:textId="77777777" w:rsidR="005030B4" w:rsidRPr="001A1058" w:rsidRDefault="005030B4" w:rsidP="005030B4">
            <w:pPr>
              <w:pStyle w:val="051Tabletext2210pt"/>
              <w:rPr>
                <w:sz w:val="18"/>
                <w:szCs w:val="18"/>
              </w:rPr>
            </w:pPr>
            <w:r w:rsidRPr="001A1058">
              <w:rPr>
                <w:sz w:val="18"/>
                <w:szCs w:val="18"/>
              </w:rPr>
              <w:t>NR</w:t>
            </w:r>
          </w:p>
        </w:tc>
      </w:tr>
      <w:tr w:rsidR="00CC4B86" w14:paraId="7491178F" w14:textId="77777777" w:rsidTr="001F5E83">
        <w:trPr>
          <w:gridAfter w:val="1"/>
          <w:wAfter w:w="94" w:type="dxa"/>
        </w:trPr>
        <w:tc>
          <w:tcPr>
            <w:tcW w:w="2977" w:type="dxa"/>
            <w:tcBorders>
              <w:top w:val="dotted" w:sz="4" w:space="0" w:color="auto"/>
              <w:bottom w:val="dotted" w:sz="4" w:space="0" w:color="auto"/>
            </w:tcBorders>
          </w:tcPr>
          <w:p w14:paraId="459279F7" w14:textId="77777777" w:rsidR="005030B4" w:rsidRPr="005B42AB" w:rsidRDefault="005030B4" w:rsidP="005B42AB">
            <w:pPr>
              <w:pStyle w:val="051Tabletext2210pt"/>
              <w:ind w:left="158"/>
              <w:rPr>
                <w:sz w:val="18"/>
                <w:szCs w:val="18"/>
              </w:rPr>
            </w:pPr>
            <w:r w:rsidRPr="001A1058">
              <w:rPr>
                <w:sz w:val="18"/>
                <w:szCs w:val="18"/>
              </w:rPr>
              <w:t>Infection</w:t>
            </w:r>
          </w:p>
        </w:tc>
        <w:tc>
          <w:tcPr>
            <w:tcW w:w="1276" w:type="dxa"/>
            <w:gridSpan w:val="2"/>
            <w:tcBorders>
              <w:top w:val="dotted" w:sz="4" w:space="0" w:color="auto"/>
              <w:bottom w:val="dotted" w:sz="4" w:space="0" w:color="auto"/>
            </w:tcBorders>
          </w:tcPr>
          <w:p w14:paraId="1F5DE18F" w14:textId="77777777" w:rsidR="005030B4" w:rsidRPr="001A1058" w:rsidRDefault="005030B4" w:rsidP="005030B4">
            <w:pPr>
              <w:pStyle w:val="051Tabletext2210pt"/>
              <w:rPr>
                <w:sz w:val="18"/>
                <w:szCs w:val="18"/>
              </w:rPr>
            </w:pPr>
            <w:r w:rsidRPr="001A1058">
              <w:rPr>
                <w:sz w:val="18"/>
                <w:szCs w:val="18"/>
              </w:rPr>
              <w:t>4; N=548 (M)</w:t>
            </w:r>
          </w:p>
        </w:tc>
        <w:tc>
          <w:tcPr>
            <w:tcW w:w="1701" w:type="dxa"/>
            <w:tcBorders>
              <w:top w:val="dotted" w:sz="4" w:space="0" w:color="auto"/>
              <w:bottom w:val="dotted" w:sz="4" w:space="0" w:color="auto"/>
            </w:tcBorders>
            <w:shd w:val="clear" w:color="auto" w:fill="FFE599" w:themeFill="accent4" w:themeFillTint="66"/>
          </w:tcPr>
          <w:p w14:paraId="6FA2E2D8" w14:textId="77777777" w:rsidR="005030B4" w:rsidRPr="001A1058" w:rsidRDefault="005030B4" w:rsidP="005030B4">
            <w:pPr>
              <w:pStyle w:val="051Tabletext2210pt"/>
              <w:rPr>
                <w:sz w:val="18"/>
                <w:szCs w:val="18"/>
              </w:rPr>
            </w:pPr>
            <w:r w:rsidRPr="001A1058">
              <w:rPr>
                <w:sz w:val="18"/>
                <w:szCs w:val="18"/>
              </w:rPr>
              <w:t>low</w:t>
            </w:r>
          </w:p>
        </w:tc>
        <w:tc>
          <w:tcPr>
            <w:tcW w:w="1984" w:type="dxa"/>
            <w:gridSpan w:val="2"/>
            <w:tcBorders>
              <w:top w:val="dotted" w:sz="4" w:space="0" w:color="auto"/>
              <w:bottom w:val="dotted" w:sz="4" w:space="0" w:color="auto"/>
            </w:tcBorders>
            <w:shd w:val="clear" w:color="auto" w:fill="FFCDCD"/>
          </w:tcPr>
          <w:p w14:paraId="56E565A3" w14:textId="6D32768E" w:rsidR="005030B4" w:rsidRPr="001A1058" w:rsidRDefault="003722C8" w:rsidP="005030B4">
            <w:pPr>
              <w:pStyle w:val="051Tabletext2210pt"/>
              <w:rPr>
                <w:sz w:val="18"/>
                <w:szCs w:val="18"/>
              </w:rPr>
            </w:pPr>
            <w:r w:rsidRPr="001A1058">
              <w:rPr>
                <w:sz w:val="18"/>
                <w:szCs w:val="18"/>
              </w:rPr>
              <w:t>Favours MM</w:t>
            </w:r>
          </w:p>
        </w:tc>
        <w:tc>
          <w:tcPr>
            <w:tcW w:w="1700" w:type="dxa"/>
            <w:gridSpan w:val="3"/>
            <w:tcBorders>
              <w:top w:val="dotted" w:sz="4" w:space="0" w:color="auto"/>
              <w:bottom w:val="dotted" w:sz="4" w:space="0" w:color="auto"/>
            </w:tcBorders>
          </w:tcPr>
          <w:p w14:paraId="39791115" w14:textId="77777777" w:rsidR="005030B4" w:rsidRPr="001A1058" w:rsidRDefault="005030B4" w:rsidP="005030B4">
            <w:pPr>
              <w:pStyle w:val="051Tabletext2210pt"/>
              <w:rPr>
                <w:sz w:val="18"/>
                <w:szCs w:val="18"/>
              </w:rPr>
            </w:pPr>
            <w:r w:rsidRPr="001A1058">
              <w:rPr>
                <w:sz w:val="18"/>
                <w:szCs w:val="18"/>
              </w:rPr>
              <w:t>NR</w:t>
            </w:r>
          </w:p>
        </w:tc>
      </w:tr>
      <w:tr w:rsidR="00CC4B86" w14:paraId="22C99C85" w14:textId="77777777" w:rsidTr="001F5E83">
        <w:trPr>
          <w:gridAfter w:val="1"/>
          <w:wAfter w:w="94" w:type="dxa"/>
        </w:trPr>
        <w:tc>
          <w:tcPr>
            <w:tcW w:w="2977" w:type="dxa"/>
            <w:tcBorders>
              <w:top w:val="dotted" w:sz="4" w:space="0" w:color="auto"/>
              <w:bottom w:val="nil"/>
            </w:tcBorders>
          </w:tcPr>
          <w:p w14:paraId="7D41CD58" w14:textId="006EBBD2" w:rsidR="005030B4" w:rsidRPr="005B42AB" w:rsidRDefault="00C75FE3" w:rsidP="005B42AB">
            <w:pPr>
              <w:pStyle w:val="051Tabletext2210pt"/>
              <w:ind w:left="158"/>
              <w:rPr>
                <w:sz w:val="18"/>
                <w:szCs w:val="18"/>
              </w:rPr>
            </w:pPr>
            <w:r>
              <w:rPr>
                <w:sz w:val="18"/>
                <w:szCs w:val="18"/>
              </w:rPr>
              <w:t>R</w:t>
            </w:r>
            <w:r w:rsidR="005030B4" w:rsidRPr="001A1058">
              <w:rPr>
                <w:sz w:val="18"/>
                <w:szCs w:val="18"/>
              </w:rPr>
              <w:t>eoperation/reimplantation</w:t>
            </w:r>
          </w:p>
        </w:tc>
        <w:tc>
          <w:tcPr>
            <w:tcW w:w="1276" w:type="dxa"/>
            <w:gridSpan w:val="2"/>
            <w:tcBorders>
              <w:top w:val="dotted" w:sz="4" w:space="0" w:color="auto"/>
              <w:bottom w:val="nil"/>
            </w:tcBorders>
          </w:tcPr>
          <w:p w14:paraId="606FA7AC" w14:textId="77777777" w:rsidR="005030B4" w:rsidRPr="001A1058" w:rsidRDefault="005030B4" w:rsidP="005030B4">
            <w:pPr>
              <w:pStyle w:val="051Tabletext2210pt"/>
              <w:rPr>
                <w:sz w:val="18"/>
                <w:szCs w:val="18"/>
              </w:rPr>
            </w:pPr>
            <w:r w:rsidRPr="001A1058">
              <w:rPr>
                <w:sz w:val="18"/>
                <w:szCs w:val="18"/>
              </w:rPr>
              <w:t>4; N=548 (M)</w:t>
            </w:r>
          </w:p>
        </w:tc>
        <w:tc>
          <w:tcPr>
            <w:tcW w:w="1701" w:type="dxa"/>
            <w:tcBorders>
              <w:top w:val="dotted" w:sz="4" w:space="0" w:color="auto"/>
              <w:bottom w:val="nil"/>
            </w:tcBorders>
            <w:shd w:val="clear" w:color="auto" w:fill="F4B083" w:themeFill="accent2" w:themeFillTint="99"/>
          </w:tcPr>
          <w:p w14:paraId="36805152" w14:textId="77777777" w:rsidR="005030B4" w:rsidRPr="001A1058" w:rsidRDefault="005030B4" w:rsidP="005030B4">
            <w:pPr>
              <w:pStyle w:val="051Tabletext2210pt"/>
              <w:rPr>
                <w:sz w:val="18"/>
                <w:szCs w:val="18"/>
              </w:rPr>
            </w:pPr>
            <w:r w:rsidRPr="001A1058">
              <w:rPr>
                <w:sz w:val="18"/>
                <w:szCs w:val="18"/>
              </w:rPr>
              <w:t>very low</w:t>
            </w:r>
          </w:p>
        </w:tc>
        <w:tc>
          <w:tcPr>
            <w:tcW w:w="1984" w:type="dxa"/>
            <w:gridSpan w:val="2"/>
            <w:tcBorders>
              <w:top w:val="dotted" w:sz="4" w:space="0" w:color="auto"/>
              <w:bottom w:val="nil"/>
            </w:tcBorders>
            <w:shd w:val="clear" w:color="auto" w:fill="FFCDCD"/>
          </w:tcPr>
          <w:p w14:paraId="73BC767A" w14:textId="35066B01" w:rsidR="005030B4" w:rsidRPr="001A1058" w:rsidRDefault="003722C8" w:rsidP="005030B4">
            <w:pPr>
              <w:pStyle w:val="051Tabletext2210pt"/>
              <w:rPr>
                <w:sz w:val="18"/>
                <w:szCs w:val="18"/>
              </w:rPr>
            </w:pPr>
            <w:r w:rsidRPr="001A1058">
              <w:rPr>
                <w:sz w:val="18"/>
                <w:szCs w:val="18"/>
              </w:rPr>
              <w:t>Favours MM</w:t>
            </w:r>
          </w:p>
        </w:tc>
        <w:tc>
          <w:tcPr>
            <w:tcW w:w="1700" w:type="dxa"/>
            <w:gridSpan w:val="3"/>
            <w:tcBorders>
              <w:top w:val="dotted" w:sz="4" w:space="0" w:color="auto"/>
              <w:bottom w:val="nil"/>
            </w:tcBorders>
          </w:tcPr>
          <w:p w14:paraId="201A0F4C" w14:textId="77777777" w:rsidR="005030B4" w:rsidRPr="001A1058" w:rsidRDefault="005030B4" w:rsidP="005030B4">
            <w:pPr>
              <w:pStyle w:val="051Tabletext2210pt"/>
              <w:rPr>
                <w:sz w:val="18"/>
                <w:szCs w:val="18"/>
              </w:rPr>
            </w:pPr>
            <w:r w:rsidRPr="001A1058">
              <w:rPr>
                <w:sz w:val="18"/>
                <w:szCs w:val="18"/>
              </w:rPr>
              <w:t>NR</w:t>
            </w:r>
          </w:p>
        </w:tc>
      </w:tr>
      <w:tr w:rsidR="00CC4B86" w14:paraId="5D14EA42" w14:textId="77777777" w:rsidTr="001F5E83">
        <w:trPr>
          <w:gridAfter w:val="1"/>
          <w:wAfter w:w="94" w:type="dxa"/>
        </w:trPr>
        <w:tc>
          <w:tcPr>
            <w:tcW w:w="2977" w:type="dxa"/>
            <w:tcBorders>
              <w:top w:val="nil"/>
              <w:bottom w:val="dotted" w:sz="4" w:space="0" w:color="auto"/>
            </w:tcBorders>
          </w:tcPr>
          <w:p w14:paraId="2B865FDA" w14:textId="77777777" w:rsidR="005030B4" w:rsidRPr="001A1058" w:rsidRDefault="005030B4" w:rsidP="005B42AB">
            <w:pPr>
              <w:pStyle w:val="051Tabletext2210pt"/>
              <w:ind w:left="158"/>
              <w:rPr>
                <w:sz w:val="18"/>
                <w:szCs w:val="18"/>
              </w:rPr>
            </w:pPr>
          </w:p>
        </w:tc>
        <w:tc>
          <w:tcPr>
            <w:tcW w:w="1276" w:type="dxa"/>
            <w:gridSpan w:val="2"/>
            <w:tcBorders>
              <w:top w:val="nil"/>
              <w:bottom w:val="dotted" w:sz="4" w:space="0" w:color="auto"/>
            </w:tcBorders>
          </w:tcPr>
          <w:p w14:paraId="5D17F740" w14:textId="77777777" w:rsidR="005030B4" w:rsidRPr="001A1058" w:rsidRDefault="005030B4" w:rsidP="005030B4">
            <w:pPr>
              <w:pStyle w:val="051Tabletext2210pt"/>
              <w:rPr>
                <w:sz w:val="18"/>
                <w:szCs w:val="18"/>
              </w:rPr>
            </w:pPr>
            <w:r w:rsidRPr="001A1058">
              <w:rPr>
                <w:sz w:val="18"/>
                <w:szCs w:val="18"/>
              </w:rPr>
              <w:t>1; N=44 (L)</w:t>
            </w:r>
          </w:p>
        </w:tc>
        <w:tc>
          <w:tcPr>
            <w:tcW w:w="1701" w:type="dxa"/>
            <w:tcBorders>
              <w:top w:val="nil"/>
              <w:bottom w:val="dotted" w:sz="4" w:space="0" w:color="auto"/>
            </w:tcBorders>
            <w:shd w:val="clear" w:color="auto" w:fill="F4B083" w:themeFill="accent2" w:themeFillTint="99"/>
          </w:tcPr>
          <w:p w14:paraId="7B752FE8" w14:textId="77777777" w:rsidR="005030B4" w:rsidRPr="001A1058" w:rsidRDefault="005030B4" w:rsidP="005030B4">
            <w:pPr>
              <w:pStyle w:val="051Tabletext2210pt"/>
              <w:rPr>
                <w:sz w:val="18"/>
                <w:szCs w:val="18"/>
              </w:rPr>
            </w:pPr>
            <w:r w:rsidRPr="001A1058">
              <w:rPr>
                <w:sz w:val="18"/>
                <w:szCs w:val="18"/>
              </w:rPr>
              <w:t>very low</w:t>
            </w:r>
          </w:p>
        </w:tc>
        <w:tc>
          <w:tcPr>
            <w:tcW w:w="1984" w:type="dxa"/>
            <w:gridSpan w:val="2"/>
            <w:tcBorders>
              <w:top w:val="nil"/>
              <w:bottom w:val="dotted" w:sz="4" w:space="0" w:color="auto"/>
            </w:tcBorders>
            <w:shd w:val="clear" w:color="auto" w:fill="FFCDCD"/>
          </w:tcPr>
          <w:p w14:paraId="59BBD96E" w14:textId="318E69A5" w:rsidR="005030B4" w:rsidRPr="001A1058" w:rsidRDefault="003722C8" w:rsidP="005030B4">
            <w:pPr>
              <w:pStyle w:val="051Tabletext2210pt"/>
              <w:rPr>
                <w:sz w:val="18"/>
                <w:szCs w:val="18"/>
              </w:rPr>
            </w:pPr>
            <w:r w:rsidRPr="001A1058">
              <w:rPr>
                <w:sz w:val="18"/>
                <w:szCs w:val="18"/>
              </w:rPr>
              <w:t>Favours MM</w:t>
            </w:r>
          </w:p>
        </w:tc>
        <w:tc>
          <w:tcPr>
            <w:tcW w:w="1700" w:type="dxa"/>
            <w:gridSpan w:val="3"/>
            <w:tcBorders>
              <w:top w:val="nil"/>
              <w:bottom w:val="dotted" w:sz="4" w:space="0" w:color="auto"/>
            </w:tcBorders>
          </w:tcPr>
          <w:p w14:paraId="16913E6F" w14:textId="77777777" w:rsidR="005030B4" w:rsidRPr="001A1058" w:rsidRDefault="005030B4" w:rsidP="005030B4">
            <w:pPr>
              <w:pStyle w:val="051Tabletext2210pt"/>
              <w:rPr>
                <w:sz w:val="18"/>
                <w:szCs w:val="18"/>
              </w:rPr>
            </w:pPr>
            <w:r w:rsidRPr="001A1058">
              <w:rPr>
                <w:sz w:val="18"/>
                <w:szCs w:val="18"/>
              </w:rPr>
              <w:t>NR</w:t>
            </w:r>
          </w:p>
        </w:tc>
      </w:tr>
      <w:tr w:rsidR="00F64671" w14:paraId="7BDF56F6" w14:textId="77777777" w:rsidTr="001F5E83">
        <w:trPr>
          <w:gridAfter w:val="1"/>
          <w:wAfter w:w="94" w:type="dxa"/>
        </w:trPr>
        <w:tc>
          <w:tcPr>
            <w:tcW w:w="2977" w:type="dxa"/>
            <w:tcBorders>
              <w:top w:val="dotted" w:sz="4" w:space="0" w:color="auto"/>
              <w:bottom w:val="nil"/>
            </w:tcBorders>
          </w:tcPr>
          <w:p w14:paraId="066BE030" w14:textId="2172BAD6" w:rsidR="005030B4" w:rsidRPr="001A1058" w:rsidRDefault="005030B4" w:rsidP="005B42AB">
            <w:pPr>
              <w:pStyle w:val="051Tabletext2210pt"/>
              <w:ind w:left="158"/>
              <w:rPr>
                <w:sz w:val="18"/>
                <w:szCs w:val="18"/>
              </w:rPr>
            </w:pPr>
            <w:r w:rsidRPr="001A1058">
              <w:rPr>
                <w:sz w:val="18"/>
                <w:szCs w:val="18"/>
              </w:rPr>
              <w:t>Other</w:t>
            </w:r>
            <w:r w:rsidR="00F75721">
              <w:rPr>
                <w:sz w:val="18"/>
                <w:szCs w:val="18"/>
              </w:rPr>
              <w:t xml:space="preserve"> </w:t>
            </w:r>
            <w:r w:rsidR="005B64EB">
              <w:rPr>
                <w:sz w:val="18"/>
                <w:szCs w:val="18"/>
              </w:rPr>
              <w:t>AEs</w:t>
            </w:r>
          </w:p>
        </w:tc>
        <w:tc>
          <w:tcPr>
            <w:tcW w:w="1276" w:type="dxa"/>
            <w:gridSpan w:val="2"/>
            <w:tcBorders>
              <w:top w:val="dotted" w:sz="4" w:space="0" w:color="auto"/>
              <w:bottom w:val="nil"/>
            </w:tcBorders>
          </w:tcPr>
          <w:p w14:paraId="73844EBA" w14:textId="77777777" w:rsidR="005030B4" w:rsidRPr="001A1058" w:rsidRDefault="005030B4" w:rsidP="005030B4">
            <w:pPr>
              <w:pStyle w:val="051Tabletext2210pt"/>
              <w:rPr>
                <w:sz w:val="18"/>
                <w:szCs w:val="18"/>
              </w:rPr>
            </w:pPr>
            <w:r w:rsidRPr="001A1058">
              <w:rPr>
                <w:sz w:val="18"/>
                <w:szCs w:val="18"/>
              </w:rPr>
              <w:t>2; N=278 (M)</w:t>
            </w:r>
          </w:p>
        </w:tc>
        <w:tc>
          <w:tcPr>
            <w:tcW w:w="1701" w:type="dxa"/>
            <w:tcBorders>
              <w:top w:val="dotted" w:sz="4" w:space="0" w:color="auto"/>
              <w:bottom w:val="nil"/>
            </w:tcBorders>
            <w:shd w:val="clear" w:color="auto" w:fill="FFE599" w:themeFill="accent4" w:themeFillTint="66"/>
          </w:tcPr>
          <w:p w14:paraId="35CD25BD" w14:textId="77777777" w:rsidR="005030B4" w:rsidRPr="001A1058" w:rsidRDefault="005030B4" w:rsidP="005030B4">
            <w:pPr>
              <w:pStyle w:val="051Tabletext2210pt"/>
              <w:rPr>
                <w:sz w:val="18"/>
                <w:szCs w:val="18"/>
              </w:rPr>
            </w:pPr>
            <w:r w:rsidRPr="001A1058">
              <w:rPr>
                <w:sz w:val="18"/>
                <w:szCs w:val="18"/>
              </w:rPr>
              <w:t>low</w:t>
            </w:r>
          </w:p>
        </w:tc>
        <w:tc>
          <w:tcPr>
            <w:tcW w:w="1984" w:type="dxa"/>
            <w:gridSpan w:val="2"/>
            <w:tcBorders>
              <w:top w:val="dotted" w:sz="4" w:space="0" w:color="auto"/>
              <w:bottom w:val="nil"/>
            </w:tcBorders>
          </w:tcPr>
          <w:p w14:paraId="1A2D9A5B" w14:textId="77777777" w:rsidR="005030B4" w:rsidRPr="001A1058" w:rsidRDefault="005030B4" w:rsidP="005030B4">
            <w:pPr>
              <w:pStyle w:val="051Tabletext2210pt"/>
              <w:rPr>
                <w:sz w:val="18"/>
                <w:szCs w:val="18"/>
              </w:rPr>
            </w:pPr>
            <w:r w:rsidRPr="001A1058">
              <w:rPr>
                <w:sz w:val="18"/>
                <w:szCs w:val="18"/>
              </w:rPr>
              <w:t>No effect</w:t>
            </w:r>
          </w:p>
        </w:tc>
        <w:tc>
          <w:tcPr>
            <w:tcW w:w="1700" w:type="dxa"/>
            <w:gridSpan w:val="3"/>
            <w:tcBorders>
              <w:top w:val="dotted" w:sz="4" w:space="0" w:color="auto"/>
              <w:bottom w:val="nil"/>
            </w:tcBorders>
          </w:tcPr>
          <w:p w14:paraId="62874E9A" w14:textId="77777777" w:rsidR="005030B4" w:rsidRPr="001A1058" w:rsidRDefault="005030B4" w:rsidP="005030B4">
            <w:pPr>
              <w:pStyle w:val="051Tabletext2210pt"/>
              <w:rPr>
                <w:sz w:val="18"/>
                <w:szCs w:val="18"/>
              </w:rPr>
            </w:pPr>
            <w:r w:rsidRPr="001A1058">
              <w:rPr>
                <w:sz w:val="18"/>
                <w:szCs w:val="18"/>
              </w:rPr>
              <w:t>NR</w:t>
            </w:r>
          </w:p>
        </w:tc>
      </w:tr>
      <w:tr w:rsidR="00F64671" w14:paraId="3122CD28" w14:textId="77777777" w:rsidTr="001F5E83">
        <w:trPr>
          <w:gridAfter w:val="1"/>
          <w:wAfter w:w="94" w:type="dxa"/>
        </w:trPr>
        <w:tc>
          <w:tcPr>
            <w:tcW w:w="2977" w:type="dxa"/>
            <w:tcBorders>
              <w:top w:val="nil"/>
              <w:bottom w:val="single" w:sz="4" w:space="0" w:color="auto"/>
            </w:tcBorders>
          </w:tcPr>
          <w:p w14:paraId="42182696" w14:textId="77777777" w:rsidR="005030B4" w:rsidRPr="001A1058" w:rsidRDefault="005030B4" w:rsidP="005B42AB">
            <w:pPr>
              <w:pStyle w:val="051Tabletext2210pt"/>
              <w:ind w:left="158"/>
              <w:rPr>
                <w:sz w:val="18"/>
                <w:szCs w:val="18"/>
              </w:rPr>
            </w:pPr>
          </w:p>
        </w:tc>
        <w:tc>
          <w:tcPr>
            <w:tcW w:w="1276" w:type="dxa"/>
            <w:gridSpan w:val="2"/>
            <w:tcBorders>
              <w:top w:val="nil"/>
              <w:bottom w:val="single" w:sz="4" w:space="0" w:color="auto"/>
            </w:tcBorders>
          </w:tcPr>
          <w:p w14:paraId="338D0EDA" w14:textId="77777777" w:rsidR="005030B4" w:rsidRPr="001A1058" w:rsidRDefault="005030B4" w:rsidP="005030B4">
            <w:pPr>
              <w:pStyle w:val="051Tabletext2210pt"/>
              <w:rPr>
                <w:sz w:val="18"/>
                <w:szCs w:val="18"/>
              </w:rPr>
            </w:pPr>
            <w:r w:rsidRPr="001A1058">
              <w:rPr>
                <w:sz w:val="18"/>
                <w:szCs w:val="18"/>
              </w:rPr>
              <w:t>1; N=100 (L)</w:t>
            </w:r>
          </w:p>
        </w:tc>
        <w:tc>
          <w:tcPr>
            <w:tcW w:w="1701" w:type="dxa"/>
            <w:tcBorders>
              <w:top w:val="nil"/>
              <w:bottom w:val="single" w:sz="4" w:space="0" w:color="auto"/>
            </w:tcBorders>
            <w:shd w:val="clear" w:color="auto" w:fill="F4B083" w:themeFill="accent2" w:themeFillTint="99"/>
          </w:tcPr>
          <w:p w14:paraId="457F8A2D" w14:textId="77777777" w:rsidR="005030B4" w:rsidRPr="001A1058" w:rsidRDefault="005030B4" w:rsidP="005030B4">
            <w:pPr>
              <w:pStyle w:val="051Tabletext2210pt"/>
              <w:rPr>
                <w:sz w:val="18"/>
                <w:szCs w:val="18"/>
              </w:rPr>
            </w:pPr>
            <w:r w:rsidRPr="001A1058">
              <w:rPr>
                <w:sz w:val="18"/>
                <w:szCs w:val="18"/>
              </w:rPr>
              <w:t>very low</w:t>
            </w:r>
          </w:p>
        </w:tc>
        <w:tc>
          <w:tcPr>
            <w:tcW w:w="1984" w:type="dxa"/>
            <w:gridSpan w:val="2"/>
            <w:tcBorders>
              <w:top w:val="nil"/>
              <w:bottom w:val="single" w:sz="4" w:space="0" w:color="auto"/>
            </w:tcBorders>
          </w:tcPr>
          <w:p w14:paraId="48E4B70A" w14:textId="77777777" w:rsidR="005030B4" w:rsidRPr="001A1058" w:rsidRDefault="005030B4" w:rsidP="005030B4">
            <w:pPr>
              <w:pStyle w:val="051Tabletext2210pt"/>
              <w:rPr>
                <w:sz w:val="18"/>
                <w:szCs w:val="18"/>
              </w:rPr>
            </w:pPr>
            <w:r w:rsidRPr="001A1058">
              <w:rPr>
                <w:sz w:val="18"/>
                <w:szCs w:val="18"/>
              </w:rPr>
              <w:t>No effect</w:t>
            </w:r>
          </w:p>
        </w:tc>
        <w:tc>
          <w:tcPr>
            <w:tcW w:w="1700" w:type="dxa"/>
            <w:gridSpan w:val="3"/>
            <w:tcBorders>
              <w:top w:val="nil"/>
              <w:bottom w:val="single" w:sz="4" w:space="0" w:color="auto"/>
            </w:tcBorders>
          </w:tcPr>
          <w:p w14:paraId="094EDA8B" w14:textId="77777777" w:rsidR="005030B4" w:rsidRPr="001A1058" w:rsidRDefault="005030B4" w:rsidP="005030B4">
            <w:pPr>
              <w:pStyle w:val="051Tabletext2210pt"/>
              <w:rPr>
                <w:sz w:val="18"/>
                <w:szCs w:val="18"/>
              </w:rPr>
            </w:pPr>
            <w:r w:rsidRPr="001A1058">
              <w:rPr>
                <w:sz w:val="18"/>
                <w:szCs w:val="18"/>
              </w:rPr>
              <w:t>NR</w:t>
            </w:r>
          </w:p>
        </w:tc>
      </w:tr>
      <w:tr w:rsidR="00F64671" w14:paraId="4E6EA941" w14:textId="77777777" w:rsidTr="001F5E83">
        <w:trPr>
          <w:gridAfter w:val="1"/>
          <w:wAfter w:w="94" w:type="dxa"/>
        </w:trPr>
        <w:tc>
          <w:tcPr>
            <w:tcW w:w="2977" w:type="dxa"/>
            <w:tcBorders>
              <w:top w:val="single" w:sz="4" w:space="0" w:color="auto"/>
              <w:bottom w:val="dotted" w:sz="4" w:space="0" w:color="auto"/>
            </w:tcBorders>
          </w:tcPr>
          <w:p w14:paraId="1F253606" w14:textId="77777777" w:rsidR="005030B4" w:rsidRPr="001A1058" w:rsidRDefault="005030B4" w:rsidP="005030B4">
            <w:pPr>
              <w:pStyle w:val="051Tabletext2210pt"/>
              <w:rPr>
                <w:b/>
                <w:sz w:val="18"/>
                <w:szCs w:val="18"/>
              </w:rPr>
            </w:pPr>
            <w:r w:rsidRPr="001A1058">
              <w:rPr>
                <w:b/>
                <w:sz w:val="18"/>
                <w:szCs w:val="18"/>
              </w:rPr>
              <w:t>Secondary outcomes</w:t>
            </w:r>
          </w:p>
        </w:tc>
        <w:tc>
          <w:tcPr>
            <w:tcW w:w="1276" w:type="dxa"/>
            <w:gridSpan w:val="2"/>
            <w:tcBorders>
              <w:top w:val="single" w:sz="4" w:space="0" w:color="auto"/>
              <w:bottom w:val="dotted" w:sz="4" w:space="0" w:color="auto"/>
            </w:tcBorders>
          </w:tcPr>
          <w:p w14:paraId="71964A63" w14:textId="77777777" w:rsidR="005030B4" w:rsidRPr="001A1058" w:rsidRDefault="005030B4" w:rsidP="005030B4">
            <w:pPr>
              <w:pStyle w:val="051Tabletext2210pt"/>
              <w:rPr>
                <w:sz w:val="18"/>
                <w:szCs w:val="18"/>
              </w:rPr>
            </w:pPr>
          </w:p>
        </w:tc>
        <w:tc>
          <w:tcPr>
            <w:tcW w:w="1701" w:type="dxa"/>
            <w:tcBorders>
              <w:top w:val="single" w:sz="4" w:space="0" w:color="auto"/>
              <w:bottom w:val="dotted" w:sz="4" w:space="0" w:color="auto"/>
            </w:tcBorders>
            <w:shd w:val="clear" w:color="auto" w:fill="FFFFFF" w:themeFill="background1"/>
          </w:tcPr>
          <w:p w14:paraId="2DB09960" w14:textId="77777777" w:rsidR="005030B4" w:rsidRPr="001A1058" w:rsidRDefault="005030B4" w:rsidP="005030B4">
            <w:pPr>
              <w:pStyle w:val="051Tabletext2210pt"/>
              <w:rPr>
                <w:sz w:val="18"/>
                <w:szCs w:val="18"/>
              </w:rPr>
            </w:pPr>
          </w:p>
        </w:tc>
        <w:tc>
          <w:tcPr>
            <w:tcW w:w="1984" w:type="dxa"/>
            <w:gridSpan w:val="2"/>
            <w:tcBorders>
              <w:top w:val="single" w:sz="4" w:space="0" w:color="auto"/>
              <w:bottom w:val="dotted" w:sz="4" w:space="0" w:color="auto"/>
            </w:tcBorders>
          </w:tcPr>
          <w:p w14:paraId="6AF8B072" w14:textId="77777777" w:rsidR="005030B4" w:rsidRPr="001A1058" w:rsidRDefault="005030B4" w:rsidP="005030B4">
            <w:pPr>
              <w:pStyle w:val="051Tabletext2210pt"/>
              <w:rPr>
                <w:sz w:val="18"/>
                <w:szCs w:val="18"/>
              </w:rPr>
            </w:pPr>
          </w:p>
        </w:tc>
        <w:tc>
          <w:tcPr>
            <w:tcW w:w="1700" w:type="dxa"/>
            <w:gridSpan w:val="3"/>
            <w:tcBorders>
              <w:top w:val="single" w:sz="4" w:space="0" w:color="auto"/>
              <w:bottom w:val="dotted" w:sz="4" w:space="0" w:color="auto"/>
            </w:tcBorders>
          </w:tcPr>
          <w:p w14:paraId="6195E492" w14:textId="77777777" w:rsidR="005030B4" w:rsidRPr="001A1058" w:rsidRDefault="005030B4" w:rsidP="005030B4">
            <w:pPr>
              <w:pStyle w:val="051Tabletext2210pt"/>
              <w:rPr>
                <w:sz w:val="18"/>
                <w:szCs w:val="18"/>
              </w:rPr>
            </w:pPr>
          </w:p>
        </w:tc>
      </w:tr>
      <w:tr w:rsidR="00F64671" w14:paraId="6C230296" w14:textId="77777777" w:rsidTr="001F5E83">
        <w:trPr>
          <w:gridAfter w:val="1"/>
          <w:wAfter w:w="94" w:type="dxa"/>
        </w:trPr>
        <w:tc>
          <w:tcPr>
            <w:tcW w:w="2977" w:type="dxa"/>
            <w:tcBorders>
              <w:top w:val="dotted" w:sz="4" w:space="0" w:color="auto"/>
              <w:bottom w:val="dotted" w:sz="4" w:space="0" w:color="auto"/>
            </w:tcBorders>
          </w:tcPr>
          <w:p w14:paraId="065FF1E4" w14:textId="77777777" w:rsidR="00776C1B" w:rsidRPr="005B42AB" w:rsidRDefault="00776C1B" w:rsidP="005B42AB">
            <w:pPr>
              <w:pStyle w:val="051Tabletext2210pt"/>
              <w:ind w:left="158"/>
              <w:rPr>
                <w:sz w:val="18"/>
                <w:szCs w:val="18"/>
              </w:rPr>
            </w:pPr>
            <w:r w:rsidRPr="001A1058">
              <w:rPr>
                <w:sz w:val="18"/>
                <w:szCs w:val="18"/>
              </w:rPr>
              <w:t>Disability</w:t>
            </w:r>
          </w:p>
        </w:tc>
        <w:tc>
          <w:tcPr>
            <w:tcW w:w="1276" w:type="dxa"/>
            <w:gridSpan w:val="2"/>
            <w:tcBorders>
              <w:top w:val="dotted" w:sz="4" w:space="0" w:color="auto"/>
              <w:bottom w:val="dotted" w:sz="4" w:space="0" w:color="auto"/>
            </w:tcBorders>
          </w:tcPr>
          <w:p w14:paraId="29CF720D" w14:textId="77777777" w:rsidR="00776C1B" w:rsidRPr="001A1058" w:rsidRDefault="00776C1B" w:rsidP="00776C1B">
            <w:pPr>
              <w:pStyle w:val="051Tabletext2210pt"/>
              <w:rPr>
                <w:sz w:val="18"/>
                <w:szCs w:val="18"/>
              </w:rPr>
            </w:pPr>
            <w:r w:rsidRPr="001A1058">
              <w:rPr>
                <w:sz w:val="18"/>
                <w:szCs w:val="18"/>
              </w:rPr>
              <w:t>2; N=312 (M)</w:t>
            </w:r>
          </w:p>
        </w:tc>
        <w:tc>
          <w:tcPr>
            <w:tcW w:w="1701" w:type="dxa"/>
            <w:tcBorders>
              <w:top w:val="dotted" w:sz="4" w:space="0" w:color="auto"/>
              <w:bottom w:val="dotted" w:sz="4" w:space="0" w:color="auto"/>
            </w:tcBorders>
            <w:shd w:val="clear" w:color="auto" w:fill="F4B083" w:themeFill="accent2" w:themeFillTint="99"/>
          </w:tcPr>
          <w:p w14:paraId="1657155F" w14:textId="77777777" w:rsidR="00776C1B" w:rsidRPr="001A1058" w:rsidRDefault="00776C1B" w:rsidP="00776C1B">
            <w:pPr>
              <w:pStyle w:val="051Tabletext2210pt"/>
              <w:rPr>
                <w:sz w:val="18"/>
                <w:szCs w:val="18"/>
              </w:rPr>
            </w:pPr>
            <w:r w:rsidRPr="001A1058">
              <w:rPr>
                <w:sz w:val="18"/>
                <w:szCs w:val="18"/>
              </w:rPr>
              <w:t>very low</w:t>
            </w:r>
          </w:p>
        </w:tc>
        <w:tc>
          <w:tcPr>
            <w:tcW w:w="1984" w:type="dxa"/>
            <w:gridSpan w:val="2"/>
            <w:tcBorders>
              <w:top w:val="dotted" w:sz="4" w:space="0" w:color="auto"/>
              <w:bottom w:val="dotted" w:sz="4" w:space="0" w:color="auto"/>
            </w:tcBorders>
          </w:tcPr>
          <w:p w14:paraId="25DB9D47" w14:textId="77777777" w:rsidR="00776C1B" w:rsidRPr="001A1058" w:rsidRDefault="00776C1B" w:rsidP="00776C1B">
            <w:pPr>
              <w:pStyle w:val="051Tabletext2210pt"/>
              <w:rPr>
                <w:sz w:val="18"/>
                <w:szCs w:val="18"/>
              </w:rPr>
            </w:pPr>
            <w:r w:rsidRPr="001A1058">
              <w:rPr>
                <w:sz w:val="18"/>
                <w:szCs w:val="18"/>
              </w:rPr>
              <w:t>No effect</w:t>
            </w:r>
          </w:p>
        </w:tc>
        <w:tc>
          <w:tcPr>
            <w:tcW w:w="1700" w:type="dxa"/>
            <w:gridSpan w:val="3"/>
            <w:tcBorders>
              <w:top w:val="dotted" w:sz="4" w:space="0" w:color="auto"/>
              <w:bottom w:val="dotted" w:sz="4" w:space="0" w:color="auto"/>
            </w:tcBorders>
          </w:tcPr>
          <w:p w14:paraId="752D765F" w14:textId="02AE6A31" w:rsidR="00776C1B" w:rsidRPr="001A1058" w:rsidRDefault="00776C1B" w:rsidP="00776C1B">
            <w:pPr>
              <w:pStyle w:val="051Tabletext2210pt"/>
              <w:rPr>
                <w:sz w:val="18"/>
                <w:szCs w:val="18"/>
              </w:rPr>
            </w:pPr>
            <w:r w:rsidRPr="001A1058">
              <w:rPr>
                <w:sz w:val="18"/>
                <w:szCs w:val="18"/>
              </w:rPr>
              <w:t>No difference</w:t>
            </w:r>
          </w:p>
        </w:tc>
      </w:tr>
      <w:tr w:rsidR="00CC4B86" w14:paraId="74F5BCCE" w14:textId="77777777" w:rsidTr="001F5E83">
        <w:trPr>
          <w:gridAfter w:val="1"/>
          <w:wAfter w:w="94" w:type="dxa"/>
        </w:trPr>
        <w:tc>
          <w:tcPr>
            <w:tcW w:w="2977" w:type="dxa"/>
            <w:tcBorders>
              <w:top w:val="dotted" w:sz="4" w:space="0" w:color="auto"/>
              <w:bottom w:val="nil"/>
            </w:tcBorders>
          </w:tcPr>
          <w:p w14:paraId="162719E0" w14:textId="77777777" w:rsidR="00776C1B" w:rsidRPr="001A1058" w:rsidRDefault="00776C1B" w:rsidP="005B42AB">
            <w:pPr>
              <w:pStyle w:val="051Tabletext2210pt"/>
              <w:ind w:left="158"/>
              <w:rPr>
                <w:sz w:val="18"/>
                <w:szCs w:val="18"/>
              </w:rPr>
            </w:pPr>
            <w:proofErr w:type="spellStart"/>
            <w:r w:rsidRPr="001A1058">
              <w:rPr>
                <w:sz w:val="18"/>
                <w:szCs w:val="18"/>
              </w:rPr>
              <w:t>HRQoL</w:t>
            </w:r>
            <w:proofErr w:type="spellEnd"/>
          </w:p>
        </w:tc>
        <w:tc>
          <w:tcPr>
            <w:tcW w:w="1276" w:type="dxa"/>
            <w:gridSpan w:val="2"/>
            <w:tcBorders>
              <w:top w:val="dotted" w:sz="4" w:space="0" w:color="auto"/>
              <w:bottom w:val="nil"/>
            </w:tcBorders>
          </w:tcPr>
          <w:p w14:paraId="751850B5" w14:textId="77777777" w:rsidR="00776C1B" w:rsidRPr="001A1058" w:rsidRDefault="00776C1B" w:rsidP="00776C1B">
            <w:pPr>
              <w:pStyle w:val="051Tabletext2210pt"/>
              <w:rPr>
                <w:sz w:val="18"/>
                <w:szCs w:val="18"/>
              </w:rPr>
            </w:pPr>
            <w:r w:rsidRPr="001A1058">
              <w:rPr>
                <w:sz w:val="18"/>
                <w:szCs w:val="18"/>
              </w:rPr>
              <w:t>5; N=595 (M)</w:t>
            </w:r>
          </w:p>
        </w:tc>
        <w:tc>
          <w:tcPr>
            <w:tcW w:w="1701" w:type="dxa"/>
            <w:tcBorders>
              <w:top w:val="dotted" w:sz="4" w:space="0" w:color="auto"/>
              <w:bottom w:val="nil"/>
            </w:tcBorders>
            <w:shd w:val="clear" w:color="auto" w:fill="F4B083" w:themeFill="accent2" w:themeFillTint="99"/>
          </w:tcPr>
          <w:p w14:paraId="40DD21A5" w14:textId="77777777" w:rsidR="00776C1B" w:rsidRPr="001A1058" w:rsidRDefault="00776C1B" w:rsidP="00776C1B">
            <w:pPr>
              <w:pStyle w:val="051Tabletext2210pt"/>
              <w:rPr>
                <w:sz w:val="18"/>
                <w:szCs w:val="18"/>
              </w:rPr>
            </w:pPr>
            <w:r w:rsidRPr="001A1058">
              <w:rPr>
                <w:sz w:val="18"/>
                <w:szCs w:val="18"/>
              </w:rPr>
              <w:t>low</w:t>
            </w:r>
          </w:p>
        </w:tc>
        <w:tc>
          <w:tcPr>
            <w:tcW w:w="1984" w:type="dxa"/>
            <w:gridSpan w:val="2"/>
            <w:tcBorders>
              <w:top w:val="dotted" w:sz="4" w:space="0" w:color="auto"/>
              <w:bottom w:val="nil"/>
            </w:tcBorders>
            <w:shd w:val="clear" w:color="auto" w:fill="E2EFD9" w:themeFill="accent6" w:themeFillTint="33"/>
          </w:tcPr>
          <w:p w14:paraId="7E609460" w14:textId="77777777" w:rsidR="00776C1B" w:rsidRPr="001A1058" w:rsidRDefault="00776C1B" w:rsidP="00776C1B">
            <w:pPr>
              <w:pStyle w:val="051Tabletext2210pt"/>
              <w:rPr>
                <w:sz w:val="18"/>
                <w:szCs w:val="18"/>
              </w:rPr>
            </w:pPr>
            <w:r w:rsidRPr="001A1058">
              <w:rPr>
                <w:sz w:val="18"/>
                <w:szCs w:val="18"/>
              </w:rPr>
              <w:t>Effect in favour of SCS</w:t>
            </w:r>
          </w:p>
        </w:tc>
        <w:tc>
          <w:tcPr>
            <w:tcW w:w="1700" w:type="dxa"/>
            <w:gridSpan w:val="3"/>
            <w:tcBorders>
              <w:top w:val="dotted" w:sz="4" w:space="0" w:color="auto"/>
              <w:bottom w:val="nil"/>
            </w:tcBorders>
          </w:tcPr>
          <w:p w14:paraId="5A29141F" w14:textId="77777777" w:rsidR="00776C1B" w:rsidRPr="001A1058" w:rsidRDefault="00776C1B" w:rsidP="00776C1B">
            <w:pPr>
              <w:pStyle w:val="051Tabletext2210pt"/>
              <w:rPr>
                <w:sz w:val="18"/>
                <w:szCs w:val="18"/>
              </w:rPr>
            </w:pPr>
            <w:r w:rsidRPr="001A1058">
              <w:rPr>
                <w:sz w:val="18"/>
                <w:szCs w:val="18"/>
              </w:rPr>
              <w:t>NR</w:t>
            </w:r>
          </w:p>
        </w:tc>
      </w:tr>
      <w:tr w:rsidR="00F64671" w14:paraId="61D9AB54" w14:textId="77777777" w:rsidTr="001F5E83">
        <w:trPr>
          <w:gridAfter w:val="1"/>
          <w:wAfter w:w="94" w:type="dxa"/>
        </w:trPr>
        <w:tc>
          <w:tcPr>
            <w:tcW w:w="2977" w:type="dxa"/>
            <w:tcBorders>
              <w:top w:val="nil"/>
              <w:bottom w:val="nil"/>
            </w:tcBorders>
          </w:tcPr>
          <w:p w14:paraId="125918FC" w14:textId="77777777" w:rsidR="00776C1B" w:rsidRPr="001A1058" w:rsidRDefault="00776C1B" w:rsidP="005B42AB">
            <w:pPr>
              <w:pStyle w:val="051Tabletext2210pt"/>
              <w:ind w:left="158"/>
              <w:rPr>
                <w:sz w:val="18"/>
                <w:szCs w:val="18"/>
              </w:rPr>
            </w:pPr>
          </w:p>
        </w:tc>
        <w:tc>
          <w:tcPr>
            <w:tcW w:w="1276" w:type="dxa"/>
            <w:gridSpan w:val="2"/>
            <w:tcBorders>
              <w:top w:val="nil"/>
              <w:bottom w:val="nil"/>
            </w:tcBorders>
          </w:tcPr>
          <w:p w14:paraId="7F202F9E" w14:textId="77777777" w:rsidR="00776C1B" w:rsidRPr="001A1058" w:rsidRDefault="00776C1B" w:rsidP="00776C1B">
            <w:pPr>
              <w:pStyle w:val="051Tabletext2210pt"/>
              <w:rPr>
                <w:sz w:val="18"/>
                <w:szCs w:val="18"/>
              </w:rPr>
            </w:pPr>
            <w:r w:rsidRPr="001A1058">
              <w:rPr>
                <w:sz w:val="18"/>
                <w:szCs w:val="18"/>
              </w:rPr>
              <w:t>1; N=44 (L)</w:t>
            </w:r>
          </w:p>
        </w:tc>
        <w:tc>
          <w:tcPr>
            <w:tcW w:w="1701" w:type="dxa"/>
            <w:tcBorders>
              <w:top w:val="nil"/>
              <w:bottom w:val="nil"/>
            </w:tcBorders>
            <w:shd w:val="clear" w:color="auto" w:fill="FFE599" w:themeFill="accent4" w:themeFillTint="66"/>
          </w:tcPr>
          <w:p w14:paraId="10CFC9D2" w14:textId="77777777" w:rsidR="00776C1B" w:rsidRPr="001A1058" w:rsidRDefault="00776C1B" w:rsidP="00776C1B">
            <w:pPr>
              <w:pStyle w:val="051Tabletext2210pt"/>
              <w:rPr>
                <w:sz w:val="18"/>
                <w:szCs w:val="18"/>
              </w:rPr>
            </w:pPr>
            <w:r w:rsidRPr="001A1058">
              <w:rPr>
                <w:sz w:val="18"/>
                <w:szCs w:val="18"/>
              </w:rPr>
              <w:t>very low</w:t>
            </w:r>
          </w:p>
        </w:tc>
        <w:tc>
          <w:tcPr>
            <w:tcW w:w="1984" w:type="dxa"/>
            <w:gridSpan w:val="2"/>
            <w:tcBorders>
              <w:top w:val="nil"/>
              <w:bottom w:val="nil"/>
            </w:tcBorders>
          </w:tcPr>
          <w:p w14:paraId="0E7E35DD" w14:textId="77777777" w:rsidR="00776C1B" w:rsidRPr="001A1058" w:rsidRDefault="00776C1B" w:rsidP="00776C1B">
            <w:pPr>
              <w:pStyle w:val="051Tabletext2210pt"/>
              <w:rPr>
                <w:sz w:val="18"/>
                <w:szCs w:val="18"/>
              </w:rPr>
            </w:pPr>
            <w:r w:rsidRPr="001A1058">
              <w:rPr>
                <w:sz w:val="18"/>
                <w:szCs w:val="18"/>
              </w:rPr>
              <w:t>No effect</w:t>
            </w:r>
          </w:p>
        </w:tc>
        <w:tc>
          <w:tcPr>
            <w:tcW w:w="1700" w:type="dxa"/>
            <w:gridSpan w:val="3"/>
            <w:tcBorders>
              <w:top w:val="nil"/>
              <w:bottom w:val="nil"/>
            </w:tcBorders>
          </w:tcPr>
          <w:p w14:paraId="1AE51815" w14:textId="0388ABB0" w:rsidR="00776C1B" w:rsidRPr="001A1058" w:rsidRDefault="00776C1B" w:rsidP="00776C1B">
            <w:pPr>
              <w:pStyle w:val="051Tabletext2210pt"/>
              <w:rPr>
                <w:sz w:val="18"/>
                <w:szCs w:val="18"/>
              </w:rPr>
            </w:pPr>
            <w:r w:rsidRPr="001A1058">
              <w:rPr>
                <w:sz w:val="18"/>
                <w:szCs w:val="18"/>
              </w:rPr>
              <w:t>No difference</w:t>
            </w:r>
          </w:p>
        </w:tc>
      </w:tr>
      <w:tr w:rsidR="00F64671" w14:paraId="30AA2A25" w14:textId="77777777" w:rsidTr="001F5E83">
        <w:trPr>
          <w:gridAfter w:val="1"/>
          <w:wAfter w:w="94" w:type="dxa"/>
        </w:trPr>
        <w:tc>
          <w:tcPr>
            <w:tcW w:w="2977" w:type="dxa"/>
            <w:tcBorders>
              <w:top w:val="dotted" w:sz="4" w:space="0" w:color="auto"/>
              <w:bottom w:val="single" w:sz="4" w:space="0" w:color="auto"/>
            </w:tcBorders>
          </w:tcPr>
          <w:p w14:paraId="768E9D37" w14:textId="77777777" w:rsidR="00776C1B" w:rsidRPr="001A1058" w:rsidRDefault="00776C1B" w:rsidP="005B42AB">
            <w:pPr>
              <w:pStyle w:val="051Tabletext2210pt"/>
              <w:ind w:left="158"/>
              <w:rPr>
                <w:sz w:val="18"/>
                <w:szCs w:val="18"/>
              </w:rPr>
            </w:pPr>
            <w:r w:rsidRPr="001A1058">
              <w:rPr>
                <w:sz w:val="18"/>
                <w:szCs w:val="18"/>
              </w:rPr>
              <w:t>Medication use</w:t>
            </w:r>
          </w:p>
        </w:tc>
        <w:tc>
          <w:tcPr>
            <w:tcW w:w="1276" w:type="dxa"/>
            <w:gridSpan w:val="2"/>
            <w:tcBorders>
              <w:top w:val="dotted" w:sz="4" w:space="0" w:color="auto"/>
              <w:bottom w:val="single" w:sz="4" w:space="0" w:color="auto"/>
            </w:tcBorders>
          </w:tcPr>
          <w:p w14:paraId="58322FCE" w14:textId="77777777" w:rsidR="00776C1B" w:rsidRPr="001A1058" w:rsidRDefault="00776C1B" w:rsidP="00776C1B">
            <w:pPr>
              <w:pStyle w:val="051Tabletext2210pt"/>
              <w:rPr>
                <w:sz w:val="18"/>
                <w:szCs w:val="18"/>
              </w:rPr>
            </w:pPr>
            <w:r w:rsidRPr="001A1058">
              <w:rPr>
                <w:sz w:val="18"/>
                <w:szCs w:val="18"/>
              </w:rPr>
              <w:t>2; N=154 (M)</w:t>
            </w:r>
          </w:p>
        </w:tc>
        <w:tc>
          <w:tcPr>
            <w:tcW w:w="1701" w:type="dxa"/>
            <w:tcBorders>
              <w:top w:val="dotted" w:sz="4" w:space="0" w:color="auto"/>
              <w:bottom w:val="single" w:sz="4" w:space="0" w:color="auto"/>
            </w:tcBorders>
            <w:shd w:val="clear" w:color="auto" w:fill="FFE599" w:themeFill="accent4" w:themeFillTint="66"/>
          </w:tcPr>
          <w:p w14:paraId="1860D02C" w14:textId="5B41C2AF" w:rsidR="00776C1B" w:rsidRPr="001A1058" w:rsidRDefault="00213767" w:rsidP="00776C1B">
            <w:pPr>
              <w:pStyle w:val="051Tabletext2210pt"/>
              <w:rPr>
                <w:sz w:val="18"/>
                <w:szCs w:val="18"/>
                <w:vertAlign w:val="superscript"/>
              </w:rPr>
            </w:pPr>
            <w:proofErr w:type="spellStart"/>
            <w:r w:rsidRPr="001A1058">
              <w:rPr>
                <w:sz w:val="18"/>
                <w:szCs w:val="18"/>
              </w:rPr>
              <w:t>low</w:t>
            </w:r>
            <w:r>
              <w:rPr>
                <w:sz w:val="18"/>
                <w:szCs w:val="18"/>
                <w:vertAlign w:val="superscript"/>
              </w:rPr>
              <w:t>b</w:t>
            </w:r>
            <w:proofErr w:type="spellEnd"/>
          </w:p>
        </w:tc>
        <w:tc>
          <w:tcPr>
            <w:tcW w:w="1984" w:type="dxa"/>
            <w:gridSpan w:val="2"/>
            <w:tcBorders>
              <w:top w:val="dotted" w:sz="4" w:space="0" w:color="auto"/>
              <w:bottom w:val="single" w:sz="4" w:space="0" w:color="auto"/>
            </w:tcBorders>
          </w:tcPr>
          <w:p w14:paraId="551EF5C2" w14:textId="77777777" w:rsidR="00776C1B" w:rsidRPr="001A1058" w:rsidRDefault="00776C1B" w:rsidP="00776C1B">
            <w:pPr>
              <w:pStyle w:val="051Tabletext2210pt"/>
              <w:rPr>
                <w:sz w:val="18"/>
                <w:szCs w:val="18"/>
              </w:rPr>
            </w:pPr>
            <w:r w:rsidRPr="001A1058">
              <w:rPr>
                <w:sz w:val="18"/>
                <w:szCs w:val="18"/>
              </w:rPr>
              <w:t>No effect</w:t>
            </w:r>
          </w:p>
        </w:tc>
        <w:tc>
          <w:tcPr>
            <w:tcW w:w="1700" w:type="dxa"/>
            <w:gridSpan w:val="3"/>
            <w:tcBorders>
              <w:top w:val="dotted" w:sz="4" w:space="0" w:color="auto"/>
              <w:bottom w:val="single" w:sz="4" w:space="0" w:color="auto"/>
            </w:tcBorders>
          </w:tcPr>
          <w:p w14:paraId="1FC70226" w14:textId="09A03AC4" w:rsidR="00776C1B" w:rsidRPr="001A1058" w:rsidRDefault="00776C1B" w:rsidP="00776C1B">
            <w:pPr>
              <w:pStyle w:val="051Tabletext2210pt"/>
              <w:rPr>
                <w:sz w:val="18"/>
                <w:szCs w:val="18"/>
              </w:rPr>
            </w:pPr>
            <w:r w:rsidRPr="001A1058">
              <w:rPr>
                <w:sz w:val="18"/>
                <w:szCs w:val="18"/>
              </w:rPr>
              <w:t>No difference</w:t>
            </w:r>
          </w:p>
        </w:tc>
      </w:tr>
    </w:tbl>
    <w:p w14:paraId="51292DBB" w14:textId="5E8CCCDC" w:rsidR="00897F9B" w:rsidRDefault="00897F9B" w:rsidP="00897F9B">
      <w:pPr>
        <w:pStyle w:val="101Tablefootnotes8pt"/>
      </w:pPr>
      <w:r>
        <w:lastRenderedPageBreak/>
        <w:t>Source: based on data from O’Connell (2021)</w:t>
      </w:r>
      <w:r w:rsidR="00D75060">
        <w:t xml:space="preserve"> Cochrane review</w:t>
      </w:r>
    </w:p>
    <w:p w14:paraId="0F26396A" w14:textId="729F21C1" w:rsidR="006A583D" w:rsidRDefault="005030B4" w:rsidP="002A6A9E">
      <w:pPr>
        <w:pStyle w:val="111Tablefootnoteslast-nostick8pt"/>
        <w:spacing w:after="0"/>
      </w:pPr>
      <w:r w:rsidRPr="00D05DB6">
        <w:t xml:space="preserve">Abbreviations: AE, adverse event; </w:t>
      </w:r>
      <w:proofErr w:type="spellStart"/>
      <w:r>
        <w:t>HRQoL</w:t>
      </w:r>
      <w:proofErr w:type="spellEnd"/>
      <w:r>
        <w:t xml:space="preserve">, health-related quality of life; MM, medical </w:t>
      </w:r>
      <w:r w:rsidRPr="005A0614">
        <w:rPr>
          <w:rStyle w:val="101Tablefootnotes8ptChar"/>
        </w:rPr>
        <w:t>management; N, population; NR, not reported; RCT, randomi</w:t>
      </w:r>
      <w:r w:rsidR="002030B3">
        <w:rPr>
          <w:rStyle w:val="101Tablefootnotes8ptChar"/>
        </w:rPr>
        <w:t>s</w:t>
      </w:r>
      <w:r w:rsidRPr="005A0614">
        <w:rPr>
          <w:rStyle w:val="101Tablefootnotes8ptChar"/>
        </w:rPr>
        <w:t>ed controlled trial; SCS, spinal cord stimulat</w:t>
      </w:r>
      <w:r w:rsidR="007F7995">
        <w:rPr>
          <w:rStyle w:val="101Tablefootnotes8ptChar"/>
        </w:rPr>
        <w:t>ion</w:t>
      </w:r>
      <w:r w:rsidRPr="005A0614">
        <w:rPr>
          <w:rStyle w:val="101Tablefootnotes8ptChar"/>
        </w:rPr>
        <w:t>; VAS, visual analogue scale.</w:t>
      </w:r>
      <w:r>
        <w:t xml:space="preserve"> </w:t>
      </w:r>
    </w:p>
    <w:p w14:paraId="2CA0E098" w14:textId="77777777" w:rsidR="001578B8" w:rsidRDefault="006C45DC" w:rsidP="001578B8">
      <w:pPr>
        <w:pStyle w:val="111Tablefootnoteslast-nostick8pt"/>
        <w:spacing w:after="0"/>
        <w:rPr>
          <w:b/>
          <w:bCs/>
        </w:rPr>
      </w:pPr>
      <w:r>
        <w:rPr>
          <w:b/>
          <w:bCs/>
        </w:rPr>
        <w:t xml:space="preserve">a </w:t>
      </w:r>
      <w:r>
        <w:t xml:space="preserve">Clinical importance is defined by a predetermined threshold of </w:t>
      </w:r>
      <w:r>
        <w:rPr>
          <w:rFonts w:cs="Calibri"/>
        </w:rPr>
        <w:t>≥</w:t>
      </w:r>
      <w:r>
        <w:t>10 points for pain intensity (derived from O’Connell 2021) and function (derived from Hara 2022).</w:t>
      </w:r>
      <w:r w:rsidR="00213767" w:rsidRPr="00213767">
        <w:rPr>
          <w:b/>
          <w:bCs/>
        </w:rPr>
        <w:t xml:space="preserve"> </w:t>
      </w:r>
    </w:p>
    <w:p w14:paraId="4EB33101" w14:textId="735F5DDD" w:rsidR="00213767" w:rsidRDefault="00213767" w:rsidP="00182437">
      <w:pPr>
        <w:pStyle w:val="111Tablefootnoteslast-nostick8pt"/>
        <w:spacing w:after="0"/>
      </w:pPr>
      <w:r>
        <w:rPr>
          <w:b/>
          <w:bCs/>
        </w:rPr>
        <w:t>b</w:t>
      </w:r>
      <w:r>
        <w:t xml:space="preserve"> very low certainty of evidence on anticonvulsants, low for other medication types.</w:t>
      </w:r>
    </w:p>
    <w:p w14:paraId="2B201D07" w14:textId="4B6BCE53" w:rsidR="006A583D" w:rsidRDefault="006A583D" w:rsidP="002A6A9E">
      <w:pPr>
        <w:pStyle w:val="111Tablefootnoteslast-nostick8pt"/>
        <w:spacing w:after="0"/>
      </w:pPr>
      <w:r>
        <w:t xml:space="preserve">Key: </w:t>
      </w:r>
      <w:r w:rsidRPr="002A6A9E">
        <w:rPr>
          <w:rStyle w:val="101Tablefootnotes8ptChar"/>
        </w:rPr>
        <w:t xml:space="preserve">orange = very low quality evidence; yellow = low quality evidence; blue = moderate quality evidence; green = </w:t>
      </w:r>
      <w:proofErr w:type="spellStart"/>
      <w:r w:rsidRPr="002A6A9E">
        <w:rPr>
          <w:rStyle w:val="101Tablefootnotes8ptChar"/>
        </w:rPr>
        <w:t>favours</w:t>
      </w:r>
      <w:proofErr w:type="spellEnd"/>
      <w:r w:rsidRPr="002A6A9E">
        <w:rPr>
          <w:rStyle w:val="101Tablefootnotes8ptChar"/>
        </w:rPr>
        <w:t xml:space="preserve"> intervention</w:t>
      </w:r>
      <w:r w:rsidR="00D84293">
        <w:rPr>
          <w:rStyle w:val="101Tablefootnotes8ptChar"/>
        </w:rPr>
        <w:t xml:space="preserve">; pink = </w:t>
      </w:r>
      <w:proofErr w:type="spellStart"/>
      <w:r w:rsidR="00D84293">
        <w:rPr>
          <w:rStyle w:val="101Tablefootnotes8ptChar"/>
        </w:rPr>
        <w:t>favours</w:t>
      </w:r>
      <w:proofErr w:type="spellEnd"/>
      <w:r w:rsidR="00D84293">
        <w:rPr>
          <w:rStyle w:val="101Tablefootnotes8ptChar"/>
        </w:rPr>
        <w:t xml:space="preserve"> </w:t>
      </w:r>
      <w:r w:rsidR="00512CC3">
        <w:rPr>
          <w:rStyle w:val="101Tablefootnotes8ptChar"/>
        </w:rPr>
        <w:t>comparator</w:t>
      </w:r>
      <w:r w:rsidRPr="002A6A9E">
        <w:rPr>
          <w:rStyle w:val="101Tablefootnotes8ptChar"/>
        </w:rPr>
        <w:t>.</w:t>
      </w:r>
      <w:r w:rsidR="008B41C5" w:rsidRPr="008B41C5">
        <w:t xml:space="preserve"> </w:t>
      </w:r>
      <w:r w:rsidR="008B41C5">
        <w:br/>
        <w:t xml:space="preserve">(M) = </w:t>
      </w:r>
      <w:r w:rsidR="00323D61">
        <w:t>medium</w:t>
      </w:r>
      <w:r w:rsidR="0096433C">
        <w:t>-</w:t>
      </w:r>
      <w:r w:rsidR="00D578BC">
        <w:t xml:space="preserve">term outcomes </w:t>
      </w:r>
      <w:r w:rsidR="008B41C5">
        <w:rPr>
          <w:rFonts w:cs="Calibri"/>
        </w:rPr>
        <w:t>≥</w:t>
      </w:r>
      <w:r w:rsidR="008B41C5">
        <w:t xml:space="preserve"> 3 months to &lt;12 months; (L) = </w:t>
      </w:r>
      <w:r w:rsidR="00323D61">
        <w:t>long</w:t>
      </w:r>
      <w:r w:rsidR="000216DC">
        <w:t>-</w:t>
      </w:r>
      <w:r w:rsidR="00323D61">
        <w:t xml:space="preserve">term outcomes </w:t>
      </w:r>
      <w:r w:rsidR="008B41C5" w:rsidRPr="005E071F">
        <w:t>≥ 12 months</w:t>
      </w:r>
      <w:r>
        <w:t>.</w:t>
      </w:r>
    </w:p>
    <w:p w14:paraId="0F9A5129" w14:textId="329991EE" w:rsidR="0060471D" w:rsidRDefault="00D15FE5" w:rsidP="00D15FE5">
      <w:pPr>
        <w:pStyle w:val="Heading5"/>
        <w:rPr>
          <w:lang w:val="en-US"/>
        </w:rPr>
      </w:pPr>
      <w:r>
        <w:rPr>
          <w:lang w:val="en-US"/>
        </w:rPr>
        <w:t>Discussion</w:t>
      </w:r>
    </w:p>
    <w:p w14:paraId="7835EDDC" w14:textId="6FC64341" w:rsidR="00F07BCB" w:rsidRDefault="00D15FE5" w:rsidP="0053170A">
      <w:pPr>
        <w:pStyle w:val="BodyText"/>
        <w:rPr>
          <w:lang w:val="en-US"/>
        </w:rPr>
      </w:pPr>
      <w:r>
        <w:rPr>
          <w:lang w:val="en-US"/>
        </w:rPr>
        <w:t xml:space="preserve">The two Cochrane reviews </w:t>
      </w:r>
      <w:r w:rsidR="001E7090">
        <w:rPr>
          <w:lang w:val="en-US"/>
        </w:rPr>
        <w:t xml:space="preserve">conclude </w:t>
      </w:r>
      <w:r w:rsidR="00234062">
        <w:rPr>
          <w:lang w:val="en-US"/>
        </w:rPr>
        <w:t>that</w:t>
      </w:r>
      <w:r w:rsidR="001E7090">
        <w:rPr>
          <w:lang w:val="en-US"/>
        </w:rPr>
        <w:t xml:space="preserve"> </w:t>
      </w:r>
      <w:r w:rsidR="00693298">
        <w:rPr>
          <w:lang w:val="en-US"/>
        </w:rPr>
        <w:t xml:space="preserve">SCS </w:t>
      </w:r>
      <w:r w:rsidR="00521222">
        <w:rPr>
          <w:lang w:val="en-US"/>
        </w:rPr>
        <w:t xml:space="preserve">may not be beneficial in their respective populations. </w:t>
      </w:r>
      <w:r w:rsidR="00124BFA">
        <w:rPr>
          <w:lang w:val="en-US"/>
        </w:rPr>
        <w:t xml:space="preserve">This </w:t>
      </w:r>
      <w:r w:rsidR="001B5B5A">
        <w:rPr>
          <w:lang w:val="en-US"/>
        </w:rPr>
        <w:t>is based on difference</w:t>
      </w:r>
      <w:r w:rsidR="00986D72">
        <w:rPr>
          <w:lang w:val="en-US"/>
        </w:rPr>
        <w:t>s</w:t>
      </w:r>
      <w:r w:rsidR="001B5B5A">
        <w:rPr>
          <w:lang w:val="en-US"/>
        </w:rPr>
        <w:t xml:space="preserve"> </w:t>
      </w:r>
      <w:r w:rsidR="009B2F8C">
        <w:rPr>
          <w:lang w:val="en-US"/>
        </w:rPr>
        <w:t>in</w:t>
      </w:r>
      <w:r w:rsidR="00B06E1C">
        <w:rPr>
          <w:lang w:val="en-US"/>
        </w:rPr>
        <w:t xml:space="preserve"> findings aligning with methodological differences in</w:t>
      </w:r>
      <w:r w:rsidR="001B5B5A">
        <w:rPr>
          <w:lang w:val="en-US"/>
        </w:rPr>
        <w:t xml:space="preserve"> the</w:t>
      </w:r>
      <w:r w:rsidR="00D33C2C">
        <w:rPr>
          <w:lang w:val="en-US"/>
        </w:rPr>
        <w:t xml:space="preserve"> study designs across the included RCTs</w:t>
      </w:r>
      <w:r w:rsidR="00E35446">
        <w:rPr>
          <w:lang w:val="en-US"/>
        </w:rPr>
        <w:t xml:space="preserve"> and </w:t>
      </w:r>
      <w:r w:rsidR="001B5B5A">
        <w:rPr>
          <w:lang w:val="en-US"/>
        </w:rPr>
        <w:t>is</w:t>
      </w:r>
      <w:r w:rsidR="00E35446">
        <w:rPr>
          <w:lang w:val="en-US"/>
        </w:rPr>
        <w:t xml:space="preserve"> discussed extensively in O’Connell (2021). </w:t>
      </w:r>
    </w:p>
    <w:p w14:paraId="4D32DA71" w14:textId="7BCBD3F5" w:rsidR="00D15FE5" w:rsidRDefault="00F05A17" w:rsidP="0053170A">
      <w:pPr>
        <w:pStyle w:val="BodyText"/>
        <w:rPr>
          <w:lang w:val="en-US"/>
        </w:rPr>
      </w:pPr>
      <w:r>
        <w:rPr>
          <w:lang w:val="en-US"/>
        </w:rPr>
        <w:t xml:space="preserve">Studies of SCS compared to sham treatment </w:t>
      </w:r>
      <w:r w:rsidR="00223D53">
        <w:rPr>
          <w:lang w:val="en-US"/>
        </w:rPr>
        <w:t>were relatively small</w:t>
      </w:r>
      <w:r w:rsidR="00136F58">
        <w:rPr>
          <w:lang w:val="en-US"/>
        </w:rPr>
        <w:t>,</w:t>
      </w:r>
      <w:r w:rsidR="00223D53">
        <w:rPr>
          <w:lang w:val="en-US"/>
        </w:rPr>
        <w:t xml:space="preserve"> of short</w:t>
      </w:r>
      <w:r w:rsidR="00251768">
        <w:rPr>
          <w:lang w:val="en-US"/>
        </w:rPr>
        <w:t>-</w:t>
      </w:r>
      <w:r w:rsidR="00223D53">
        <w:rPr>
          <w:lang w:val="en-US"/>
        </w:rPr>
        <w:t>term duration</w:t>
      </w:r>
      <w:r w:rsidR="001A3227">
        <w:rPr>
          <w:lang w:val="en-US"/>
        </w:rPr>
        <w:t xml:space="preserve"> and</w:t>
      </w:r>
      <w:r w:rsidR="00C91DA9">
        <w:rPr>
          <w:lang w:val="en-US"/>
        </w:rPr>
        <w:t xml:space="preserve"> at high risk of bias</w:t>
      </w:r>
      <w:r w:rsidR="00F56720">
        <w:rPr>
          <w:lang w:val="en-US"/>
        </w:rPr>
        <w:t xml:space="preserve">. </w:t>
      </w:r>
      <w:r w:rsidR="0053170A">
        <w:rPr>
          <w:lang w:val="en-US"/>
        </w:rPr>
        <w:t>O’Connell</w:t>
      </w:r>
      <w:r w:rsidR="001A3227">
        <w:rPr>
          <w:lang w:val="en-US"/>
        </w:rPr>
        <w:t xml:space="preserve"> particularly emphasi</w:t>
      </w:r>
      <w:r w:rsidR="001B5B5A">
        <w:rPr>
          <w:lang w:val="en-US"/>
        </w:rPr>
        <w:t>s</w:t>
      </w:r>
      <w:r w:rsidR="001A3227">
        <w:rPr>
          <w:lang w:val="en-US"/>
        </w:rPr>
        <w:t>es the</w:t>
      </w:r>
      <w:r w:rsidR="0053170A" w:rsidRPr="0053170A">
        <w:rPr>
          <w:lang w:val="en-US"/>
        </w:rPr>
        <w:t xml:space="preserve"> lack of formal</w:t>
      </w:r>
      <w:r w:rsidR="0053170A">
        <w:rPr>
          <w:lang w:val="en-US"/>
        </w:rPr>
        <w:t xml:space="preserve"> </w:t>
      </w:r>
      <w:r w:rsidR="0053170A" w:rsidRPr="0053170A">
        <w:rPr>
          <w:lang w:val="en-US"/>
        </w:rPr>
        <w:t>assessment of blinding success, the common use of per-protocol</w:t>
      </w:r>
      <w:r w:rsidR="0053170A">
        <w:rPr>
          <w:lang w:val="en-US"/>
        </w:rPr>
        <w:t xml:space="preserve"> </w:t>
      </w:r>
      <w:r w:rsidR="0053170A" w:rsidRPr="0053170A">
        <w:rPr>
          <w:lang w:val="en-US"/>
        </w:rPr>
        <w:t>analyses and the lack of washout periods</w:t>
      </w:r>
      <w:r w:rsidR="004D2A58">
        <w:rPr>
          <w:lang w:val="en-US"/>
        </w:rPr>
        <w:t>,</w:t>
      </w:r>
      <w:r w:rsidR="00E50EF6">
        <w:rPr>
          <w:lang w:val="en-US"/>
        </w:rPr>
        <w:t xml:space="preserve"> and further notes that the included populations are often </w:t>
      </w:r>
      <w:r w:rsidR="00B51E3E">
        <w:rPr>
          <w:lang w:val="en-US"/>
        </w:rPr>
        <w:t>participants who</w:t>
      </w:r>
      <w:r w:rsidR="00F31D65">
        <w:rPr>
          <w:lang w:val="en-US"/>
        </w:rPr>
        <w:t xml:space="preserve"> had already demonstrated a positive response to </w:t>
      </w:r>
      <w:r w:rsidR="006E68FE">
        <w:rPr>
          <w:lang w:val="en-US"/>
        </w:rPr>
        <w:t xml:space="preserve">SCS. </w:t>
      </w:r>
      <w:r w:rsidR="002408F7">
        <w:rPr>
          <w:lang w:val="en-US"/>
        </w:rPr>
        <w:t xml:space="preserve">Despite these potential sources of bias, </w:t>
      </w:r>
      <w:r w:rsidR="00C76263">
        <w:rPr>
          <w:lang w:val="en-US"/>
        </w:rPr>
        <w:t>sham-controlled studies</w:t>
      </w:r>
      <w:r w:rsidR="002408F7">
        <w:rPr>
          <w:lang w:val="en-US"/>
        </w:rPr>
        <w:t xml:space="preserve"> </w:t>
      </w:r>
      <w:r w:rsidR="0062378C">
        <w:rPr>
          <w:lang w:val="en-US"/>
        </w:rPr>
        <w:t>reported only small, possibly clinically insignificant effect</w:t>
      </w:r>
      <w:r w:rsidR="0006191F">
        <w:rPr>
          <w:lang w:val="en-US"/>
        </w:rPr>
        <w:t>s</w:t>
      </w:r>
      <w:r w:rsidR="00C653CB">
        <w:rPr>
          <w:lang w:val="en-US"/>
        </w:rPr>
        <w:t>;</w:t>
      </w:r>
      <w:r w:rsidR="0062378C">
        <w:rPr>
          <w:lang w:val="en-US"/>
        </w:rPr>
        <w:t xml:space="preserve"> where </w:t>
      </w:r>
      <w:r w:rsidR="00E670DB">
        <w:rPr>
          <w:lang w:val="en-US"/>
        </w:rPr>
        <w:t xml:space="preserve">analyses were </w:t>
      </w:r>
      <w:r w:rsidR="0062378C">
        <w:rPr>
          <w:lang w:val="en-US"/>
        </w:rPr>
        <w:t xml:space="preserve">restricted to studies </w:t>
      </w:r>
      <w:r w:rsidR="00C653CB">
        <w:rPr>
          <w:lang w:val="en-US"/>
        </w:rPr>
        <w:t>that</w:t>
      </w:r>
      <w:r w:rsidR="0062378C">
        <w:rPr>
          <w:lang w:val="en-US"/>
        </w:rPr>
        <w:t xml:space="preserve"> were adequately blinded, </w:t>
      </w:r>
      <w:r w:rsidR="00C653CB">
        <w:rPr>
          <w:lang w:val="en-US"/>
        </w:rPr>
        <w:t xml:space="preserve">there was </w:t>
      </w:r>
      <w:r w:rsidR="0062378C">
        <w:rPr>
          <w:lang w:val="en-US"/>
        </w:rPr>
        <w:t>no evidence for a</w:t>
      </w:r>
      <w:r w:rsidR="00C653CB">
        <w:rPr>
          <w:lang w:val="en-US"/>
        </w:rPr>
        <w:t xml:space="preserve"> treatment</w:t>
      </w:r>
      <w:r w:rsidR="0062378C">
        <w:rPr>
          <w:lang w:val="en-US"/>
        </w:rPr>
        <w:t xml:space="preserve"> effect. </w:t>
      </w:r>
    </w:p>
    <w:p w14:paraId="5A284FBD" w14:textId="1ABE3BC3" w:rsidR="0006191F" w:rsidRDefault="0006191F" w:rsidP="0053170A">
      <w:pPr>
        <w:pStyle w:val="BodyText"/>
        <w:rPr>
          <w:lang w:val="en-US"/>
        </w:rPr>
      </w:pPr>
      <w:r>
        <w:rPr>
          <w:lang w:val="en-US"/>
        </w:rPr>
        <w:t xml:space="preserve">In contrast, open-label comparisons to </w:t>
      </w:r>
      <w:r w:rsidR="00E45885">
        <w:rPr>
          <w:lang w:val="en-US"/>
        </w:rPr>
        <w:t xml:space="preserve">conventional management demonstrated large, clinically significant effects. O’Connell states that </w:t>
      </w:r>
      <w:r w:rsidR="003A2F90">
        <w:rPr>
          <w:lang w:val="en-US"/>
        </w:rPr>
        <w:t>this</w:t>
      </w:r>
      <w:r w:rsidR="00E45885">
        <w:rPr>
          <w:lang w:val="en-US"/>
        </w:rPr>
        <w:t xml:space="preserve"> “</w:t>
      </w:r>
      <w:r w:rsidR="00E45885" w:rsidRPr="003A2F90">
        <w:rPr>
          <w:rStyle w:val="QuoteChar"/>
          <w:lang w:val="en-US"/>
        </w:rPr>
        <w:t>raises questions regarding the mechanisms of</w:t>
      </w:r>
      <w:r w:rsidR="003A2F90" w:rsidRPr="003A2F90">
        <w:rPr>
          <w:rStyle w:val="QuoteChar"/>
        </w:rPr>
        <w:t xml:space="preserve"> </w:t>
      </w:r>
      <w:r w:rsidR="00E45885" w:rsidRPr="003A2F90">
        <w:rPr>
          <w:rStyle w:val="QuoteChar"/>
          <w:lang w:val="en-US"/>
        </w:rPr>
        <w:t xml:space="preserve">SCS and how much of the observed </w:t>
      </w:r>
      <w:r w:rsidR="003A2F90" w:rsidRPr="003A2F90">
        <w:rPr>
          <w:rStyle w:val="QuoteChar"/>
        </w:rPr>
        <w:t>effect</w:t>
      </w:r>
      <w:r w:rsidR="00E45885" w:rsidRPr="003A2F90">
        <w:rPr>
          <w:rStyle w:val="QuoteChar"/>
          <w:lang w:val="en-US"/>
        </w:rPr>
        <w:t xml:space="preserve"> might be explained</w:t>
      </w:r>
      <w:r w:rsidR="003A2F90" w:rsidRPr="003A2F90">
        <w:rPr>
          <w:rStyle w:val="QuoteChar"/>
        </w:rPr>
        <w:t xml:space="preserve"> </w:t>
      </w:r>
      <w:r w:rsidR="00E45885" w:rsidRPr="003A2F90">
        <w:rPr>
          <w:rStyle w:val="QuoteChar"/>
          <w:lang w:val="en-US"/>
        </w:rPr>
        <w:t xml:space="preserve">by the contextual </w:t>
      </w:r>
      <w:r w:rsidR="003A2F90" w:rsidRPr="003A2F90">
        <w:rPr>
          <w:rStyle w:val="QuoteChar"/>
        </w:rPr>
        <w:t>effects</w:t>
      </w:r>
      <w:r w:rsidR="00E45885" w:rsidRPr="003A2F90">
        <w:rPr>
          <w:rStyle w:val="QuoteChar"/>
          <w:lang w:val="en-US"/>
        </w:rPr>
        <w:t xml:space="preserve"> of undergoing this complex and invasive</w:t>
      </w:r>
      <w:r w:rsidR="003A2F90" w:rsidRPr="003A2F90">
        <w:rPr>
          <w:rStyle w:val="QuoteChar"/>
        </w:rPr>
        <w:t xml:space="preserve"> </w:t>
      </w:r>
      <w:r w:rsidR="00E45885" w:rsidRPr="003A2F90">
        <w:rPr>
          <w:rStyle w:val="QuoteChar"/>
          <w:lang w:val="en-US"/>
        </w:rPr>
        <w:t xml:space="preserve">clinical procedure, rather than the specific </w:t>
      </w:r>
      <w:r w:rsidR="003A2F90" w:rsidRPr="003A2F90">
        <w:rPr>
          <w:rStyle w:val="QuoteChar"/>
        </w:rPr>
        <w:t>effects</w:t>
      </w:r>
      <w:r w:rsidR="00E45885" w:rsidRPr="003A2F90">
        <w:rPr>
          <w:rStyle w:val="QuoteChar"/>
          <w:lang w:val="en-US"/>
        </w:rPr>
        <w:t xml:space="preserve"> of SCS. It</w:t>
      </w:r>
      <w:r w:rsidR="003A2F90" w:rsidRPr="003A2F90">
        <w:rPr>
          <w:rStyle w:val="QuoteChar"/>
        </w:rPr>
        <w:t xml:space="preserve"> </w:t>
      </w:r>
      <w:r w:rsidR="00E45885" w:rsidRPr="003A2F90">
        <w:rPr>
          <w:rStyle w:val="QuoteChar"/>
          <w:lang w:val="en-US"/>
        </w:rPr>
        <w:t xml:space="preserve">might be argued that contextual (placebo) </w:t>
      </w:r>
      <w:r w:rsidR="003A2F90" w:rsidRPr="003A2F90">
        <w:rPr>
          <w:rStyle w:val="QuoteChar"/>
        </w:rPr>
        <w:t>effects</w:t>
      </w:r>
      <w:r w:rsidR="00E45885" w:rsidRPr="003A2F90">
        <w:rPr>
          <w:rStyle w:val="QuoteChar"/>
          <w:lang w:val="en-US"/>
        </w:rPr>
        <w:t xml:space="preserve"> are unlikely to</w:t>
      </w:r>
      <w:r w:rsidR="003A2F90" w:rsidRPr="003A2F90">
        <w:rPr>
          <w:rStyle w:val="QuoteChar"/>
        </w:rPr>
        <w:t xml:space="preserve"> </w:t>
      </w:r>
      <w:r w:rsidR="00E45885" w:rsidRPr="003A2F90">
        <w:rPr>
          <w:rStyle w:val="QuoteChar"/>
          <w:lang w:val="en-US"/>
        </w:rPr>
        <w:t xml:space="preserve">account for such large and sustained </w:t>
      </w:r>
      <w:r w:rsidR="003A2F90" w:rsidRPr="003A2F90">
        <w:rPr>
          <w:rStyle w:val="QuoteChar"/>
        </w:rPr>
        <w:t>effects</w:t>
      </w:r>
      <w:r w:rsidR="00E45885" w:rsidRPr="003A2F90">
        <w:rPr>
          <w:rStyle w:val="QuoteChar"/>
          <w:lang w:val="en-US"/>
        </w:rPr>
        <w:t>. However, the use of</w:t>
      </w:r>
      <w:r w:rsidR="003A2F90" w:rsidRPr="003A2F90">
        <w:rPr>
          <w:rStyle w:val="QuoteChar"/>
        </w:rPr>
        <w:t xml:space="preserve"> </w:t>
      </w:r>
      <w:r w:rsidR="00E45885" w:rsidRPr="003A2F90">
        <w:rPr>
          <w:rStyle w:val="QuoteChar"/>
          <w:lang w:val="en-US"/>
        </w:rPr>
        <w:t>sophisticated technology, the invasive nature of the procedure,</w:t>
      </w:r>
      <w:r w:rsidR="003A2F90" w:rsidRPr="003A2F90">
        <w:rPr>
          <w:rStyle w:val="QuoteChar"/>
        </w:rPr>
        <w:t xml:space="preserve"> </w:t>
      </w:r>
      <w:r w:rsidR="00E45885" w:rsidRPr="003A2F90">
        <w:rPr>
          <w:rStyle w:val="QuoteChar"/>
          <w:lang w:val="en-US"/>
        </w:rPr>
        <w:t>the need for frequent clinical interactions and treatment-related</w:t>
      </w:r>
      <w:r w:rsidR="003A2F90" w:rsidRPr="003A2F90">
        <w:rPr>
          <w:rStyle w:val="QuoteChar"/>
        </w:rPr>
        <w:t xml:space="preserve"> </w:t>
      </w:r>
      <w:r w:rsidR="00E45885" w:rsidRPr="003A2F90">
        <w:rPr>
          <w:rStyle w:val="QuoteChar"/>
          <w:lang w:val="en-US"/>
        </w:rPr>
        <w:t xml:space="preserve">sensory experiences and, in some cases, the costs of </w:t>
      </w:r>
      <w:r w:rsidR="00AC64F4">
        <w:rPr>
          <w:rStyle w:val="QuoteChar"/>
          <w:lang w:val="en-US"/>
        </w:rPr>
        <w:t>[SCS]</w:t>
      </w:r>
      <w:r w:rsidR="00E45885" w:rsidRPr="003A2F90">
        <w:rPr>
          <w:rStyle w:val="QuoteChar"/>
          <w:lang w:val="en-US"/>
        </w:rPr>
        <w:t xml:space="preserve"> all have</w:t>
      </w:r>
      <w:r w:rsidR="003A2F90" w:rsidRPr="003A2F90">
        <w:rPr>
          <w:rStyle w:val="QuoteChar"/>
        </w:rPr>
        <w:t xml:space="preserve"> </w:t>
      </w:r>
      <w:r w:rsidR="00E45885" w:rsidRPr="003A2F90">
        <w:rPr>
          <w:rStyle w:val="QuoteChar"/>
          <w:lang w:val="en-US"/>
        </w:rPr>
        <w:t xml:space="preserve">the potential to drive non-specific </w:t>
      </w:r>
      <w:r w:rsidR="003A2F90" w:rsidRPr="003A2F90">
        <w:rPr>
          <w:rStyle w:val="QuoteChar"/>
        </w:rPr>
        <w:t>effects</w:t>
      </w:r>
      <w:r w:rsidR="00E45885" w:rsidRPr="00E45885">
        <w:rPr>
          <w:lang w:val="en-US"/>
        </w:rPr>
        <w:t>.</w:t>
      </w:r>
      <w:r w:rsidR="003A2F90">
        <w:rPr>
          <w:lang w:val="en-US"/>
        </w:rPr>
        <w:t>”</w:t>
      </w:r>
    </w:p>
    <w:p w14:paraId="022A0E8F" w14:textId="5EBBD627" w:rsidR="003A2F90" w:rsidRDefault="004C33AA" w:rsidP="00E45885">
      <w:pPr>
        <w:pStyle w:val="BodyText"/>
        <w:rPr>
          <w:lang w:val="en-US"/>
        </w:rPr>
      </w:pPr>
      <w:r>
        <w:rPr>
          <w:lang w:val="en-US"/>
        </w:rPr>
        <w:t>A key difference between the two Cochrane reviews is the inclusion of the Hara (2022) study</w:t>
      </w:r>
      <w:r w:rsidR="00226348">
        <w:rPr>
          <w:lang w:val="en-US"/>
        </w:rPr>
        <w:t>,</w:t>
      </w:r>
      <w:r>
        <w:rPr>
          <w:lang w:val="en-US"/>
        </w:rPr>
        <w:t xml:space="preserve"> which was published after the O’Connell (2021) review but </w:t>
      </w:r>
      <w:r w:rsidR="00226348">
        <w:rPr>
          <w:lang w:val="en-US"/>
        </w:rPr>
        <w:t xml:space="preserve">is </w:t>
      </w:r>
      <w:r>
        <w:rPr>
          <w:lang w:val="en-US"/>
        </w:rPr>
        <w:t xml:space="preserve">included in </w:t>
      </w:r>
      <w:r w:rsidR="001B2482">
        <w:rPr>
          <w:lang w:val="en-US"/>
        </w:rPr>
        <w:t>Traeger</w:t>
      </w:r>
      <w:r>
        <w:rPr>
          <w:lang w:val="en-US"/>
        </w:rPr>
        <w:t xml:space="preserve"> (2023)</w:t>
      </w:r>
      <w:r w:rsidR="0007455A">
        <w:rPr>
          <w:lang w:val="en-US"/>
        </w:rPr>
        <w:t xml:space="preserve"> and </w:t>
      </w:r>
      <w:r w:rsidR="00226348">
        <w:rPr>
          <w:lang w:val="en-US"/>
        </w:rPr>
        <w:t xml:space="preserve">is </w:t>
      </w:r>
      <w:r w:rsidR="0007455A">
        <w:rPr>
          <w:lang w:val="en-US"/>
        </w:rPr>
        <w:t>pivotal to their conclusions</w:t>
      </w:r>
      <w:r>
        <w:rPr>
          <w:lang w:val="en-US"/>
        </w:rPr>
        <w:t xml:space="preserve">. </w:t>
      </w:r>
      <w:r w:rsidR="005438CB">
        <w:rPr>
          <w:lang w:val="en-US"/>
        </w:rPr>
        <w:t xml:space="preserve">Hara (2022) is a cross-over RCT comparing </w:t>
      </w:r>
      <w:r w:rsidR="00067887">
        <w:rPr>
          <w:lang w:val="en-US"/>
        </w:rPr>
        <w:t xml:space="preserve">burst SCS with placebo </w:t>
      </w:r>
      <w:r w:rsidR="00645782">
        <w:rPr>
          <w:lang w:val="en-US"/>
        </w:rPr>
        <w:t xml:space="preserve">(sham) </w:t>
      </w:r>
      <w:r w:rsidR="00067887">
        <w:rPr>
          <w:lang w:val="en-US"/>
        </w:rPr>
        <w:t>SCS</w:t>
      </w:r>
      <w:r w:rsidR="00DB21FE">
        <w:rPr>
          <w:lang w:val="en-US"/>
        </w:rPr>
        <w:t xml:space="preserve"> in 50 patients </w:t>
      </w:r>
      <w:r w:rsidR="006618A2">
        <w:rPr>
          <w:lang w:val="en-US"/>
        </w:rPr>
        <w:t>with chronic radicular pain</w:t>
      </w:r>
      <w:r w:rsidR="00067887">
        <w:rPr>
          <w:lang w:val="en-US"/>
        </w:rPr>
        <w:t xml:space="preserve">. </w:t>
      </w:r>
      <w:r w:rsidR="004133D6">
        <w:rPr>
          <w:lang w:val="en-US"/>
        </w:rPr>
        <w:t>Participants</w:t>
      </w:r>
      <w:r w:rsidR="00067887">
        <w:rPr>
          <w:lang w:val="en-US"/>
        </w:rPr>
        <w:t xml:space="preserve"> underwent </w:t>
      </w:r>
      <w:r w:rsidR="004133D6">
        <w:rPr>
          <w:lang w:val="en-US"/>
        </w:rPr>
        <w:t xml:space="preserve">two </w:t>
      </w:r>
      <w:r w:rsidR="00447BCE">
        <w:rPr>
          <w:lang w:val="en-US"/>
        </w:rPr>
        <w:t>three</w:t>
      </w:r>
      <w:r w:rsidR="004133D6">
        <w:rPr>
          <w:lang w:val="en-US"/>
        </w:rPr>
        <w:t>-month periods with each condition</w:t>
      </w:r>
      <w:r w:rsidR="00FB3E9C">
        <w:rPr>
          <w:lang w:val="en-US"/>
        </w:rPr>
        <w:t xml:space="preserve"> and therefore it is the only study </w:t>
      </w:r>
      <w:r w:rsidR="002B7304">
        <w:rPr>
          <w:lang w:val="en-US"/>
        </w:rPr>
        <w:t>that</w:t>
      </w:r>
      <w:r w:rsidR="00FB3E9C">
        <w:rPr>
          <w:lang w:val="en-US"/>
        </w:rPr>
        <w:t xml:space="preserve"> provides medium-term outcomes for the placebo comparator. </w:t>
      </w:r>
      <w:r w:rsidR="000B77D6">
        <w:rPr>
          <w:lang w:val="en-US"/>
        </w:rPr>
        <w:t xml:space="preserve">The study reported no significant differences between SCS and </w:t>
      </w:r>
      <w:r w:rsidR="00863E6E">
        <w:rPr>
          <w:lang w:val="en-US"/>
        </w:rPr>
        <w:t>placebo for any outcomes (</w:t>
      </w:r>
      <w:r w:rsidR="00863E6E">
        <w:rPr>
          <w:lang w:val="en-US"/>
        </w:rPr>
        <w:fldChar w:fldCharType="begin"/>
      </w:r>
      <w:r w:rsidR="00863E6E">
        <w:rPr>
          <w:lang w:val="en-US"/>
        </w:rPr>
        <w:instrText xml:space="preserve"> REF _Ref134786735 \h </w:instrText>
      </w:r>
      <w:r w:rsidR="00863E6E">
        <w:rPr>
          <w:lang w:val="en-US"/>
        </w:rPr>
      </w:r>
      <w:r w:rsidR="00863E6E">
        <w:rPr>
          <w:lang w:val="en-US"/>
        </w:rPr>
        <w:fldChar w:fldCharType="separate"/>
      </w:r>
      <w:r w:rsidR="00CE6ACA">
        <w:t xml:space="preserve">Table </w:t>
      </w:r>
      <w:r w:rsidR="00CE6ACA">
        <w:rPr>
          <w:noProof/>
        </w:rPr>
        <w:t>27</w:t>
      </w:r>
      <w:r w:rsidR="00863E6E">
        <w:rPr>
          <w:lang w:val="en-US"/>
        </w:rPr>
        <w:fldChar w:fldCharType="end"/>
      </w:r>
      <w:r w:rsidR="00863E6E">
        <w:rPr>
          <w:lang w:val="en-US"/>
        </w:rPr>
        <w:t xml:space="preserve">). </w:t>
      </w:r>
      <w:r w:rsidR="00BD06A5">
        <w:rPr>
          <w:lang w:val="en-US"/>
        </w:rPr>
        <w:t xml:space="preserve">Traeger </w:t>
      </w:r>
      <w:r w:rsidR="00DB199F">
        <w:rPr>
          <w:lang w:val="en-US"/>
        </w:rPr>
        <w:t>(2023)</w:t>
      </w:r>
      <w:r w:rsidR="00BD06A5">
        <w:rPr>
          <w:lang w:val="en-US"/>
        </w:rPr>
        <w:t xml:space="preserve"> rated the quality of this evidence as moderate </w:t>
      </w:r>
      <w:r w:rsidR="00F35A98">
        <w:rPr>
          <w:lang w:val="en-US"/>
        </w:rPr>
        <w:t xml:space="preserve">and rated this study at low risk of bias </w:t>
      </w:r>
      <w:r w:rsidR="0080667E">
        <w:rPr>
          <w:lang w:val="en-US"/>
        </w:rPr>
        <w:t>overall</w:t>
      </w:r>
      <w:r w:rsidR="00907AC5">
        <w:rPr>
          <w:lang w:val="en-US"/>
        </w:rPr>
        <w:t>.</w:t>
      </w:r>
      <w:r w:rsidR="001A0FA1">
        <w:rPr>
          <w:lang w:val="en-US"/>
        </w:rPr>
        <w:t xml:space="preserve"> The quality of the evidence was downgraded one level (from high) </w:t>
      </w:r>
      <w:r w:rsidR="00BB0B7E">
        <w:rPr>
          <w:lang w:val="en-US"/>
        </w:rPr>
        <w:t>due to ‘</w:t>
      </w:r>
      <w:r w:rsidR="00BB0B7E" w:rsidRPr="00BB0B7E">
        <w:rPr>
          <w:lang w:val="en-US"/>
        </w:rPr>
        <w:t>possible differences between the burst SCS regimen provided in the trial and other SCS regimens provided internationally</w:t>
      </w:r>
      <w:r w:rsidR="00BB0B7E">
        <w:rPr>
          <w:lang w:val="en-US"/>
        </w:rPr>
        <w:t>.’</w:t>
      </w:r>
    </w:p>
    <w:p w14:paraId="1E4F8F62" w14:textId="4C402857" w:rsidR="007F1E3D" w:rsidRDefault="00C3480F" w:rsidP="00E45885">
      <w:pPr>
        <w:pStyle w:val="BodyText"/>
        <w:rPr>
          <w:lang w:val="en-US"/>
        </w:rPr>
      </w:pPr>
      <w:r>
        <w:rPr>
          <w:lang w:val="en-US"/>
        </w:rPr>
        <w:t>The Hara RCT (2022)</w:t>
      </w:r>
      <w:r w:rsidR="00EE5935">
        <w:rPr>
          <w:lang w:val="en-US"/>
        </w:rPr>
        <w:t xml:space="preserve"> has been strongly </w:t>
      </w:r>
      <w:r w:rsidR="004A2735">
        <w:rPr>
          <w:lang w:val="en-US"/>
        </w:rPr>
        <w:t xml:space="preserve">critiqued in the literature </w:t>
      </w:r>
      <w:r w:rsidR="00DE7EBA" w:rsidRPr="008E4FC8">
        <w:rPr>
          <w:lang w:val="en-US"/>
        </w:rPr>
        <w:t>(</w:t>
      </w:r>
      <w:r w:rsidR="00111520" w:rsidRPr="008E4FC8">
        <w:rPr>
          <w:lang w:val="en-US"/>
        </w:rPr>
        <w:t xml:space="preserve">De Ridder 2023; </w:t>
      </w:r>
      <w:r w:rsidR="00111520" w:rsidRPr="003E08AE">
        <w:rPr>
          <w:lang w:val="en-US"/>
        </w:rPr>
        <w:t xml:space="preserve">North and Shipley </w:t>
      </w:r>
      <w:r w:rsidR="00B20B97" w:rsidRPr="003E08AE">
        <w:rPr>
          <w:lang w:val="en-US"/>
        </w:rPr>
        <w:t xml:space="preserve">2023; </w:t>
      </w:r>
      <w:r w:rsidR="007A5A54" w:rsidRPr="001B04EC">
        <w:rPr>
          <w:lang w:val="en-US"/>
        </w:rPr>
        <w:t>JAMA letters</w:t>
      </w:r>
      <w:r w:rsidR="00966EB1">
        <w:rPr>
          <w:lang w:val="en-US"/>
        </w:rPr>
        <w:t>)</w:t>
      </w:r>
      <w:r w:rsidR="00484224">
        <w:rPr>
          <w:lang w:val="en-US"/>
        </w:rPr>
        <w:t xml:space="preserve"> </w:t>
      </w:r>
      <w:r w:rsidR="004A2735">
        <w:rPr>
          <w:lang w:val="en-US"/>
        </w:rPr>
        <w:t>and elsewhere</w:t>
      </w:r>
      <w:r w:rsidR="00F66AE5">
        <w:rPr>
          <w:rStyle w:val="FootnoteReference"/>
          <w:lang w:val="en-US"/>
        </w:rPr>
        <w:footnoteReference w:id="16"/>
      </w:r>
      <w:r w:rsidR="004A2735">
        <w:rPr>
          <w:lang w:val="en-US"/>
        </w:rPr>
        <w:t>.</w:t>
      </w:r>
      <w:r w:rsidR="00C26E6D">
        <w:rPr>
          <w:lang w:val="en-US"/>
        </w:rPr>
        <w:t xml:space="preserve"> </w:t>
      </w:r>
      <w:r w:rsidR="0045386B">
        <w:rPr>
          <w:lang w:val="en-US"/>
        </w:rPr>
        <w:t xml:space="preserve">Although the critiques present a number of concerns, a consistent </w:t>
      </w:r>
      <w:r w:rsidR="00E76A90">
        <w:rPr>
          <w:lang w:val="en-US"/>
        </w:rPr>
        <w:t>issue is the</w:t>
      </w:r>
      <w:r w:rsidR="00A37D0D">
        <w:rPr>
          <w:lang w:val="en-US"/>
        </w:rPr>
        <w:t xml:space="preserve"> validity of the</w:t>
      </w:r>
      <w:r w:rsidR="00E76A90">
        <w:rPr>
          <w:lang w:val="en-US"/>
        </w:rPr>
        <w:t xml:space="preserve"> SCS as applied in the active stimulation arm of the trial. The authors </w:t>
      </w:r>
      <w:r w:rsidR="00617AFD">
        <w:rPr>
          <w:lang w:val="en-US"/>
        </w:rPr>
        <w:t xml:space="preserve">label this stimulation </w:t>
      </w:r>
      <w:r w:rsidR="005728A4">
        <w:rPr>
          <w:lang w:val="en-US"/>
        </w:rPr>
        <w:t>‘burst’</w:t>
      </w:r>
      <w:r w:rsidR="00483032">
        <w:rPr>
          <w:lang w:val="en-US"/>
        </w:rPr>
        <w:t xml:space="preserve"> (described as </w:t>
      </w:r>
      <w:r w:rsidR="00E64AC0">
        <w:rPr>
          <w:lang w:val="en-US"/>
        </w:rPr>
        <w:t xml:space="preserve">closely spaced, high frequency stimuli delivered to the </w:t>
      </w:r>
      <w:r w:rsidR="00D1307A">
        <w:rPr>
          <w:lang w:val="en-US"/>
        </w:rPr>
        <w:t xml:space="preserve">spinal cord; </w:t>
      </w:r>
      <w:r w:rsidR="001C6377">
        <w:rPr>
          <w:lang w:val="en-US"/>
        </w:rPr>
        <w:t>the stimul</w:t>
      </w:r>
      <w:r w:rsidR="005D7418">
        <w:rPr>
          <w:lang w:val="en-US"/>
        </w:rPr>
        <w:t xml:space="preserve">us consisted of a </w:t>
      </w:r>
      <w:r w:rsidR="00483032" w:rsidRPr="00483032">
        <w:rPr>
          <w:lang w:val="en-US"/>
        </w:rPr>
        <w:t xml:space="preserve">40 Hz </w:t>
      </w:r>
      <w:r w:rsidR="00B4200E">
        <w:rPr>
          <w:lang w:val="en-US"/>
        </w:rPr>
        <w:t xml:space="preserve">burst mode </w:t>
      </w:r>
      <w:r w:rsidR="00483032" w:rsidRPr="00483032">
        <w:rPr>
          <w:lang w:val="en-US"/>
        </w:rPr>
        <w:t xml:space="preserve">of constant current with 4 spikes per burst at an amplitude corresponding to 50% to 70% of </w:t>
      </w:r>
      <w:proofErr w:type="spellStart"/>
      <w:r w:rsidR="00483032" w:rsidRPr="00483032">
        <w:rPr>
          <w:lang w:val="en-US"/>
        </w:rPr>
        <w:t>paraesthesia</w:t>
      </w:r>
      <w:proofErr w:type="spellEnd"/>
      <w:r w:rsidR="00483032" w:rsidRPr="00483032">
        <w:rPr>
          <w:lang w:val="en-US"/>
        </w:rPr>
        <w:t xml:space="preserve"> perception threshold</w:t>
      </w:r>
      <w:r w:rsidR="0033667F">
        <w:rPr>
          <w:lang w:val="en-US"/>
        </w:rPr>
        <w:t>)</w:t>
      </w:r>
      <w:r w:rsidR="0030155B">
        <w:rPr>
          <w:lang w:val="en-US"/>
        </w:rPr>
        <w:t>;</w:t>
      </w:r>
      <w:r w:rsidR="005728A4">
        <w:rPr>
          <w:lang w:val="en-US"/>
        </w:rPr>
        <w:t xml:space="preserve"> however</w:t>
      </w:r>
      <w:r w:rsidR="0030155B">
        <w:rPr>
          <w:lang w:val="en-US"/>
        </w:rPr>
        <w:t>,</w:t>
      </w:r>
      <w:r w:rsidR="005728A4">
        <w:rPr>
          <w:lang w:val="en-US"/>
        </w:rPr>
        <w:t xml:space="preserve"> it differs from </w:t>
      </w:r>
      <w:proofErr w:type="spellStart"/>
      <w:r w:rsidR="008A67AB" w:rsidRPr="008A67AB">
        <w:rPr>
          <w:lang w:val="en-US"/>
        </w:rPr>
        <w:t>BurstDR</w:t>
      </w:r>
      <w:r w:rsidR="008A67AB" w:rsidRPr="008A67AB">
        <w:rPr>
          <w:vertAlign w:val="superscript"/>
          <w:lang w:val="en-US"/>
        </w:rPr>
        <w:t>TM</w:t>
      </w:r>
      <w:proofErr w:type="spellEnd"/>
      <w:r w:rsidR="008A67AB" w:rsidRPr="008A67AB">
        <w:rPr>
          <w:lang w:val="en-US"/>
        </w:rPr>
        <w:t xml:space="preserve"> stimulation</w:t>
      </w:r>
      <w:r w:rsidR="00A7397E">
        <w:rPr>
          <w:lang w:val="en-US"/>
        </w:rPr>
        <w:t xml:space="preserve"> (De Ridder, 2023</w:t>
      </w:r>
      <w:r w:rsidR="00A7397E">
        <w:rPr>
          <w:rStyle w:val="FootnoteReference"/>
          <w:lang w:val="en-US"/>
        </w:rPr>
        <w:footnoteReference w:id="17"/>
      </w:r>
      <w:r w:rsidR="00A7397E">
        <w:rPr>
          <w:lang w:val="en-US"/>
        </w:rPr>
        <w:t>)</w:t>
      </w:r>
      <w:r w:rsidR="00F43846">
        <w:rPr>
          <w:lang w:val="en-US"/>
        </w:rPr>
        <w:t>,</w:t>
      </w:r>
      <w:r w:rsidR="004B2644">
        <w:rPr>
          <w:lang w:val="en-US"/>
        </w:rPr>
        <w:t xml:space="preserve"> raising concerns that the trial was a ‘placebo v</w:t>
      </w:r>
      <w:r w:rsidR="00F43846">
        <w:rPr>
          <w:lang w:val="en-US"/>
        </w:rPr>
        <w:t>ersu</w:t>
      </w:r>
      <w:r w:rsidR="004B2644">
        <w:rPr>
          <w:lang w:val="en-US"/>
        </w:rPr>
        <w:t xml:space="preserve">s placebo’ trial. </w:t>
      </w:r>
      <w:proofErr w:type="spellStart"/>
      <w:r w:rsidR="00F42015">
        <w:rPr>
          <w:lang w:val="en-US"/>
        </w:rPr>
        <w:t>Eldabe</w:t>
      </w:r>
      <w:proofErr w:type="spellEnd"/>
      <w:r w:rsidR="00F42015">
        <w:rPr>
          <w:lang w:val="en-US"/>
        </w:rPr>
        <w:t xml:space="preserve"> (2023) cites their own </w:t>
      </w:r>
      <w:r w:rsidR="007F1E3D">
        <w:rPr>
          <w:lang w:val="en-US"/>
        </w:rPr>
        <w:t>study (</w:t>
      </w:r>
      <w:proofErr w:type="spellStart"/>
      <w:r w:rsidR="00F34952">
        <w:rPr>
          <w:lang w:val="en-US"/>
        </w:rPr>
        <w:t>Eldabe</w:t>
      </w:r>
      <w:proofErr w:type="spellEnd"/>
      <w:r w:rsidR="007F1E3D">
        <w:rPr>
          <w:lang w:val="en-US"/>
        </w:rPr>
        <w:t xml:space="preserve"> </w:t>
      </w:r>
      <w:r w:rsidR="00F34952">
        <w:rPr>
          <w:lang w:val="en-US"/>
        </w:rPr>
        <w:t>2020)</w:t>
      </w:r>
      <w:r w:rsidR="007F1E3D">
        <w:rPr>
          <w:lang w:val="en-US"/>
        </w:rPr>
        <w:t xml:space="preserve"> in support of this conclusion.</w:t>
      </w:r>
    </w:p>
    <w:p w14:paraId="17D8E94D" w14:textId="65639C71" w:rsidR="00C3480F" w:rsidRDefault="007F1E3D" w:rsidP="00E45885">
      <w:pPr>
        <w:pStyle w:val="BodyText"/>
        <w:rPr>
          <w:lang w:val="en-US"/>
        </w:rPr>
      </w:pPr>
      <w:proofErr w:type="spellStart"/>
      <w:r>
        <w:rPr>
          <w:lang w:val="en-US"/>
        </w:rPr>
        <w:lastRenderedPageBreak/>
        <w:t>Eldabe</w:t>
      </w:r>
      <w:proofErr w:type="spellEnd"/>
      <w:r>
        <w:rPr>
          <w:lang w:val="en-US"/>
        </w:rPr>
        <w:t xml:space="preserve"> (2020) is a small (n=19), short</w:t>
      </w:r>
      <w:r w:rsidR="00251768">
        <w:rPr>
          <w:lang w:val="en-US"/>
        </w:rPr>
        <w:t>-</w:t>
      </w:r>
      <w:r>
        <w:rPr>
          <w:lang w:val="en-US"/>
        </w:rPr>
        <w:t>term (</w:t>
      </w:r>
      <w:r w:rsidR="002A6C51">
        <w:rPr>
          <w:lang w:val="en-US"/>
        </w:rPr>
        <w:t>two</w:t>
      </w:r>
      <w:r w:rsidR="00F11E14">
        <w:rPr>
          <w:lang w:val="en-US"/>
        </w:rPr>
        <w:t xml:space="preserve"> weeks per treatment),</w:t>
      </w:r>
      <w:r w:rsidR="00F34952">
        <w:rPr>
          <w:lang w:val="en-US"/>
        </w:rPr>
        <w:t xml:space="preserve"> cross-over RCT of conventional SCS, ‘burst’ SCS and placebo</w:t>
      </w:r>
      <w:r w:rsidR="00882ECC">
        <w:rPr>
          <w:lang w:val="en-US"/>
        </w:rPr>
        <w:t>,</w:t>
      </w:r>
      <w:r w:rsidR="00F071DD">
        <w:rPr>
          <w:lang w:val="en-US"/>
        </w:rPr>
        <w:t xml:space="preserve"> which found no effect for ‘burst’ compared to placebo (MD in pain intensity </w:t>
      </w:r>
      <w:r w:rsidR="00F071DD" w:rsidRPr="00F071DD">
        <w:rPr>
          <w:lang w:val="en-US"/>
        </w:rPr>
        <w:t>2.55 [</w:t>
      </w:r>
      <w:r w:rsidR="00F071DD">
        <w:rPr>
          <w:lang w:val="en-US"/>
        </w:rPr>
        <w:t xml:space="preserve">95% CI </w:t>
      </w:r>
      <w:r w:rsidR="00F071DD" w:rsidRPr="00F071DD">
        <w:rPr>
          <w:lang w:val="en-US"/>
        </w:rPr>
        <w:t xml:space="preserve">-7.64 </w:t>
      </w:r>
      <w:r w:rsidR="00F071DD">
        <w:rPr>
          <w:lang w:val="en-US"/>
        </w:rPr>
        <w:t>to</w:t>
      </w:r>
      <w:r w:rsidR="00F071DD" w:rsidRPr="00F071DD">
        <w:rPr>
          <w:lang w:val="en-US"/>
        </w:rPr>
        <w:t xml:space="preserve"> 12.74]</w:t>
      </w:r>
      <w:r w:rsidR="00F071DD">
        <w:rPr>
          <w:lang w:val="en-US"/>
        </w:rPr>
        <w:t xml:space="preserve">) but did find an effect for conventional SCS </w:t>
      </w:r>
      <w:r w:rsidR="001F7988">
        <w:rPr>
          <w:lang w:val="en-US"/>
        </w:rPr>
        <w:t>compared to placebo</w:t>
      </w:r>
      <w:r w:rsidR="00F071DD">
        <w:rPr>
          <w:lang w:val="en-US"/>
        </w:rPr>
        <w:t xml:space="preserve"> (</w:t>
      </w:r>
      <w:r w:rsidR="00961A99">
        <w:rPr>
          <w:lang w:val="en-US"/>
        </w:rPr>
        <w:t xml:space="preserve">MD </w:t>
      </w:r>
      <w:r w:rsidR="00961A99" w:rsidRPr="00961A99">
        <w:rPr>
          <w:lang w:val="en-US"/>
        </w:rPr>
        <w:t>-12.75 [</w:t>
      </w:r>
      <w:r w:rsidR="00961A99">
        <w:rPr>
          <w:lang w:val="en-US"/>
        </w:rPr>
        <w:t xml:space="preserve">95% CI </w:t>
      </w:r>
      <w:r w:rsidR="00961A99" w:rsidRPr="00961A99">
        <w:rPr>
          <w:lang w:val="en-US"/>
        </w:rPr>
        <w:t>-</w:t>
      </w:r>
      <w:r w:rsidR="000F26BF">
        <w:rPr>
          <w:lang w:val="en-US"/>
        </w:rPr>
        <w:t> </w:t>
      </w:r>
      <w:r w:rsidR="00961A99" w:rsidRPr="00961A99">
        <w:rPr>
          <w:lang w:val="en-US"/>
        </w:rPr>
        <w:t xml:space="preserve">20.39 </w:t>
      </w:r>
      <w:r w:rsidR="00961A99">
        <w:rPr>
          <w:lang w:val="en-US"/>
        </w:rPr>
        <w:t>to</w:t>
      </w:r>
      <w:r w:rsidR="00961A99" w:rsidRPr="00961A99">
        <w:rPr>
          <w:lang w:val="en-US"/>
        </w:rPr>
        <w:t xml:space="preserve"> -5.11]</w:t>
      </w:r>
      <w:r w:rsidR="00F11E14">
        <w:rPr>
          <w:lang w:val="en-US"/>
        </w:rPr>
        <w:t xml:space="preserve"> (results as reported by Traeger </w:t>
      </w:r>
      <w:r w:rsidR="006E144B">
        <w:rPr>
          <w:lang w:val="en-US"/>
        </w:rPr>
        <w:t>[</w:t>
      </w:r>
      <w:r w:rsidR="00F11E14">
        <w:rPr>
          <w:lang w:val="en-US"/>
        </w:rPr>
        <w:t>2023</w:t>
      </w:r>
      <w:r w:rsidR="006E144B">
        <w:rPr>
          <w:lang w:val="en-US"/>
        </w:rPr>
        <w:t>]</w:t>
      </w:r>
      <w:r w:rsidR="00F11E14">
        <w:rPr>
          <w:lang w:val="en-US"/>
        </w:rPr>
        <w:t>)</w:t>
      </w:r>
      <w:r w:rsidR="007C7813">
        <w:rPr>
          <w:lang w:val="en-US"/>
        </w:rPr>
        <w:t>.</w:t>
      </w:r>
    </w:p>
    <w:p w14:paraId="3417EB28" w14:textId="3F002F63" w:rsidR="00240E42" w:rsidRDefault="00CC47D1" w:rsidP="00E45885">
      <w:pPr>
        <w:pStyle w:val="BodyText"/>
        <w:rPr>
          <w:rFonts w:cs="Calibri"/>
          <w:lang w:val="en-US"/>
        </w:rPr>
      </w:pPr>
      <w:r>
        <w:rPr>
          <w:lang w:val="en-US"/>
        </w:rPr>
        <w:t>O</w:t>
      </w:r>
      <w:r w:rsidR="00B87AE5">
        <w:rPr>
          <w:lang w:val="en-US"/>
        </w:rPr>
        <w:t xml:space="preserve">ther criticisms of Hara (2022) </w:t>
      </w:r>
      <w:r>
        <w:rPr>
          <w:lang w:val="en-US"/>
        </w:rPr>
        <w:t xml:space="preserve">are less fundamental. For example, criticism of the trial implant methodology </w:t>
      </w:r>
      <w:r w:rsidR="00850D09">
        <w:rPr>
          <w:rFonts w:cs="Calibri"/>
          <w:lang w:val="en-US"/>
        </w:rPr>
        <w:t xml:space="preserve">may be legitimately queried </w:t>
      </w:r>
      <w:r w:rsidR="009E3B9D">
        <w:rPr>
          <w:lang w:val="en-US"/>
        </w:rPr>
        <w:t xml:space="preserve">(the outcome for success was low at </w:t>
      </w:r>
      <w:r w:rsidR="009E3B9D">
        <w:rPr>
          <w:rFonts w:cs="Calibri"/>
          <w:lang w:val="en-US"/>
        </w:rPr>
        <w:t>≤</w:t>
      </w:r>
      <w:r w:rsidR="00367688">
        <w:rPr>
          <w:rFonts w:cs="Calibri"/>
          <w:lang w:val="en-US"/>
        </w:rPr>
        <w:t>30% pain reduction and conventional SCS</w:t>
      </w:r>
      <w:r w:rsidR="00093D6E">
        <w:rPr>
          <w:rFonts w:cs="Calibri"/>
          <w:lang w:val="en-US"/>
        </w:rPr>
        <w:t xml:space="preserve"> was used</w:t>
      </w:r>
      <w:r w:rsidR="00367688">
        <w:rPr>
          <w:rFonts w:cs="Calibri"/>
          <w:lang w:val="en-US"/>
        </w:rPr>
        <w:t xml:space="preserve">) </w:t>
      </w:r>
      <w:r w:rsidR="00CF0C8C">
        <w:rPr>
          <w:rFonts w:cs="Calibri"/>
          <w:lang w:val="en-US"/>
        </w:rPr>
        <w:t>but</w:t>
      </w:r>
      <w:r w:rsidR="007E3AE5">
        <w:rPr>
          <w:rFonts w:cs="Calibri"/>
          <w:lang w:val="en-US"/>
        </w:rPr>
        <w:t xml:space="preserve"> the </w:t>
      </w:r>
      <w:r w:rsidR="002B75E8">
        <w:rPr>
          <w:rFonts w:cs="Calibri"/>
          <w:lang w:val="en-US"/>
        </w:rPr>
        <w:t>use</w:t>
      </w:r>
      <w:r w:rsidR="007E3AE5">
        <w:rPr>
          <w:rFonts w:cs="Calibri"/>
          <w:lang w:val="en-US"/>
        </w:rPr>
        <w:t xml:space="preserve"> of </w:t>
      </w:r>
      <w:r w:rsidR="002B75E8">
        <w:rPr>
          <w:rFonts w:cs="Calibri"/>
          <w:lang w:val="en-US"/>
        </w:rPr>
        <w:t>a tri</w:t>
      </w:r>
      <w:r w:rsidR="00B2058B">
        <w:rPr>
          <w:rFonts w:cs="Calibri"/>
          <w:lang w:val="en-US"/>
        </w:rPr>
        <w:t>a</w:t>
      </w:r>
      <w:r w:rsidR="002B75E8">
        <w:rPr>
          <w:rFonts w:cs="Calibri"/>
          <w:lang w:val="en-US"/>
        </w:rPr>
        <w:t xml:space="preserve">l </w:t>
      </w:r>
      <w:r w:rsidR="001F5A31">
        <w:rPr>
          <w:rFonts w:cs="Calibri"/>
          <w:lang w:val="en-US"/>
        </w:rPr>
        <w:t xml:space="preserve">stimulation </w:t>
      </w:r>
      <w:r w:rsidR="001551EA">
        <w:rPr>
          <w:rFonts w:cs="Calibri"/>
          <w:lang w:val="en-US"/>
        </w:rPr>
        <w:t xml:space="preserve">itself </w:t>
      </w:r>
      <w:r w:rsidR="002B75E8">
        <w:rPr>
          <w:rFonts w:cs="Calibri"/>
          <w:lang w:val="en-US"/>
        </w:rPr>
        <w:t>has been queried in the literature given the uniformly high rate of success (see for example,</w:t>
      </w:r>
      <w:r w:rsidR="00841727">
        <w:rPr>
          <w:rFonts w:cs="Calibri"/>
          <w:lang w:val="en-US"/>
        </w:rPr>
        <w:t xml:space="preserve"> </w:t>
      </w:r>
      <w:r w:rsidR="00690DA7">
        <w:rPr>
          <w:rFonts w:cs="Calibri"/>
          <w:lang w:val="en-US"/>
        </w:rPr>
        <w:t xml:space="preserve">TRIAL-STIM </w:t>
      </w:r>
      <w:r w:rsidR="006E144B">
        <w:rPr>
          <w:rFonts w:cs="Calibri"/>
          <w:lang w:val="en-US"/>
        </w:rPr>
        <w:t>[</w:t>
      </w:r>
      <w:proofErr w:type="spellStart"/>
      <w:r w:rsidR="00690DA7">
        <w:rPr>
          <w:rFonts w:cs="Calibri"/>
          <w:lang w:val="en-US"/>
        </w:rPr>
        <w:t>Eldabe</w:t>
      </w:r>
      <w:proofErr w:type="spellEnd"/>
      <w:r w:rsidR="00690DA7">
        <w:rPr>
          <w:rFonts w:cs="Calibri"/>
          <w:lang w:val="en-US"/>
        </w:rPr>
        <w:t>, 202</w:t>
      </w:r>
      <w:r w:rsidR="00FF1F79">
        <w:rPr>
          <w:rFonts w:cs="Calibri"/>
          <w:lang w:val="en-US"/>
        </w:rPr>
        <w:t>0</w:t>
      </w:r>
      <w:r w:rsidR="006E144B">
        <w:rPr>
          <w:rFonts w:cs="Calibri"/>
          <w:lang w:val="en-US"/>
        </w:rPr>
        <w:t>]</w:t>
      </w:r>
      <w:r w:rsidR="00DC695C">
        <w:rPr>
          <w:rFonts w:cs="Calibri"/>
          <w:lang w:val="en-US"/>
        </w:rPr>
        <w:t>)</w:t>
      </w:r>
      <w:r w:rsidR="00B2058B">
        <w:rPr>
          <w:rFonts w:cs="Calibri"/>
          <w:lang w:val="en-US"/>
        </w:rPr>
        <w:t xml:space="preserve"> and the authors report </w:t>
      </w:r>
      <w:r w:rsidR="00CF6007">
        <w:rPr>
          <w:rFonts w:cs="Calibri"/>
          <w:lang w:val="en-US"/>
        </w:rPr>
        <w:t xml:space="preserve">in their response to criticism that the mean </w:t>
      </w:r>
      <w:r w:rsidR="004952DD">
        <w:rPr>
          <w:rFonts w:cs="Calibri"/>
          <w:lang w:val="en-US"/>
        </w:rPr>
        <w:t xml:space="preserve">improvement was 63% (Gulati 2023). </w:t>
      </w:r>
    </w:p>
    <w:p w14:paraId="1C13C8A8" w14:textId="5023B6A1" w:rsidR="00B87AE5" w:rsidRDefault="00240E42" w:rsidP="00E45885">
      <w:pPr>
        <w:pStyle w:val="BodyText"/>
        <w:rPr>
          <w:lang w:val="en-US"/>
        </w:rPr>
      </w:pPr>
      <w:r>
        <w:rPr>
          <w:rFonts w:cs="Calibri"/>
          <w:lang w:val="en-US"/>
        </w:rPr>
        <w:t>Similarly, the lack of a washout period is replicated in the majority of sham</w:t>
      </w:r>
      <w:r w:rsidR="008F22CA">
        <w:rPr>
          <w:rFonts w:cs="Calibri"/>
          <w:lang w:val="en-US"/>
        </w:rPr>
        <w:t>-</w:t>
      </w:r>
      <w:r>
        <w:rPr>
          <w:rFonts w:cs="Calibri"/>
          <w:lang w:val="en-US"/>
        </w:rPr>
        <w:t>controlled trials and the longer duration of treatment in Hara (2022) would be expected t</w:t>
      </w:r>
      <w:r w:rsidR="008F22CA">
        <w:rPr>
          <w:rFonts w:cs="Calibri"/>
          <w:lang w:val="en-US"/>
        </w:rPr>
        <w:t>o</w:t>
      </w:r>
      <w:r>
        <w:rPr>
          <w:rFonts w:cs="Calibri"/>
          <w:lang w:val="en-US"/>
        </w:rPr>
        <w:t xml:space="preserve"> reduce the risk of bias from this compared to shorter treatment duration trials. </w:t>
      </w:r>
    </w:p>
    <w:p w14:paraId="375FFA81" w14:textId="1798F817" w:rsidR="00893626" w:rsidRDefault="00893626" w:rsidP="00E45885">
      <w:pPr>
        <w:pStyle w:val="BodyText"/>
        <w:rPr>
          <w:lang w:val="en-US"/>
        </w:rPr>
      </w:pPr>
      <w:r>
        <w:rPr>
          <w:rFonts w:cs="Calibri"/>
          <w:lang w:val="en-US"/>
        </w:rPr>
        <w:t xml:space="preserve">Despite the critiques, the Hara trial (2022) does have </w:t>
      </w:r>
      <w:r w:rsidR="00D8094B">
        <w:rPr>
          <w:rFonts w:cs="Calibri"/>
          <w:lang w:val="en-US"/>
        </w:rPr>
        <w:t xml:space="preserve">a strong methodological design and the </w:t>
      </w:r>
      <w:r w:rsidR="009B708C">
        <w:rPr>
          <w:rFonts w:cs="Calibri"/>
          <w:lang w:val="en-US"/>
        </w:rPr>
        <w:t>success</w:t>
      </w:r>
      <w:r w:rsidR="00D8094B">
        <w:rPr>
          <w:rFonts w:cs="Calibri"/>
          <w:lang w:val="en-US"/>
        </w:rPr>
        <w:t xml:space="preserve"> of blinding was reported </w:t>
      </w:r>
      <w:r w:rsidR="009B708C">
        <w:rPr>
          <w:rFonts w:cs="Calibri"/>
          <w:lang w:val="en-US"/>
        </w:rPr>
        <w:t>(</w:t>
      </w:r>
      <w:r w:rsidR="00924BC2">
        <w:rPr>
          <w:rFonts w:cs="Calibri"/>
          <w:lang w:val="en-US"/>
        </w:rPr>
        <w:t xml:space="preserve">correct treatment allocation guess in 58%). The limitations are </w:t>
      </w:r>
      <w:r w:rsidR="008F22CA">
        <w:rPr>
          <w:rFonts w:cs="Calibri"/>
          <w:lang w:val="en-US"/>
        </w:rPr>
        <w:t>in the applicability of the stimulation parameters and</w:t>
      </w:r>
      <w:r w:rsidR="009554C3">
        <w:rPr>
          <w:rFonts w:cs="Calibri"/>
          <w:lang w:val="en-US"/>
        </w:rPr>
        <w:t xml:space="preserve">, as noted by the authors, the prohibition on </w:t>
      </w:r>
      <w:r w:rsidR="00EE59BA">
        <w:rPr>
          <w:rFonts w:cs="Calibri"/>
          <w:lang w:val="en-US"/>
        </w:rPr>
        <w:t>any change to the parameters during treatment</w:t>
      </w:r>
      <w:r w:rsidR="009D2190">
        <w:rPr>
          <w:rFonts w:cs="Calibri"/>
          <w:lang w:val="en-US"/>
        </w:rPr>
        <w:t xml:space="preserve"> to preserve blinding </w:t>
      </w:r>
      <w:r w:rsidR="00E2419E">
        <w:rPr>
          <w:rFonts w:cs="Calibri"/>
          <w:lang w:val="en-US"/>
        </w:rPr>
        <w:t>(</w:t>
      </w:r>
      <w:r w:rsidR="009D2190">
        <w:rPr>
          <w:rFonts w:cs="Calibri"/>
          <w:lang w:val="en-US"/>
        </w:rPr>
        <w:t>which differs to clinical practice</w:t>
      </w:r>
      <w:r w:rsidR="00E2419E">
        <w:rPr>
          <w:rFonts w:cs="Calibri"/>
          <w:lang w:val="en-US"/>
        </w:rPr>
        <w:t>)</w:t>
      </w:r>
      <w:r w:rsidR="009D2190">
        <w:rPr>
          <w:rFonts w:cs="Calibri"/>
          <w:lang w:val="en-US"/>
        </w:rPr>
        <w:t xml:space="preserve">. </w:t>
      </w:r>
    </w:p>
    <w:p w14:paraId="5C2E346D" w14:textId="1DAF6160" w:rsidR="00FE30DA" w:rsidRDefault="008D7717" w:rsidP="00E45885">
      <w:pPr>
        <w:pStyle w:val="BodyText"/>
        <w:rPr>
          <w:rFonts w:cs="Calibri"/>
          <w:lang w:val="en-US"/>
        </w:rPr>
      </w:pPr>
      <w:r>
        <w:rPr>
          <w:rFonts w:cs="Calibri"/>
          <w:lang w:val="en-US"/>
        </w:rPr>
        <w:t>There have also been negative c</w:t>
      </w:r>
      <w:r w:rsidR="00817098">
        <w:rPr>
          <w:rFonts w:cs="Calibri"/>
          <w:lang w:val="en-US"/>
        </w:rPr>
        <w:t>ritiques of the Cochrane reviews</w:t>
      </w:r>
      <w:r w:rsidR="00CB7830">
        <w:rPr>
          <w:rFonts w:cs="Calibri"/>
          <w:lang w:val="en-US"/>
        </w:rPr>
        <w:t>. The O’Connell review (2021) include</w:t>
      </w:r>
      <w:r>
        <w:rPr>
          <w:rFonts w:cs="Calibri"/>
          <w:lang w:val="en-US"/>
        </w:rPr>
        <w:t>s</w:t>
      </w:r>
      <w:r w:rsidR="00CB7830">
        <w:rPr>
          <w:rFonts w:cs="Calibri"/>
          <w:lang w:val="en-US"/>
        </w:rPr>
        <w:t xml:space="preserve"> multiple patient populations and although Tr</w:t>
      </w:r>
      <w:r w:rsidR="00E91304">
        <w:rPr>
          <w:rFonts w:cs="Calibri"/>
          <w:lang w:val="en-US"/>
        </w:rPr>
        <w:t>ae</w:t>
      </w:r>
      <w:r w:rsidR="00CB7830">
        <w:rPr>
          <w:rFonts w:cs="Calibri"/>
          <w:lang w:val="en-US"/>
        </w:rPr>
        <w:t xml:space="preserve">ger (2023) is </w:t>
      </w:r>
      <w:r w:rsidR="00FE30DA">
        <w:rPr>
          <w:rFonts w:cs="Calibri"/>
          <w:lang w:val="en-US"/>
        </w:rPr>
        <w:t>less broad, there are differences in patient populations across the included studies</w:t>
      </w:r>
      <w:r w:rsidR="00994399">
        <w:rPr>
          <w:rFonts w:cs="Calibri"/>
          <w:lang w:val="en-US"/>
        </w:rPr>
        <w:t xml:space="preserve">, for example patients with failed surgery in some trials and patients who had not had surgery </w:t>
      </w:r>
      <w:r w:rsidR="00E504C7">
        <w:rPr>
          <w:rFonts w:cs="Calibri"/>
          <w:lang w:val="en-US"/>
        </w:rPr>
        <w:t>in another</w:t>
      </w:r>
      <w:r w:rsidR="00FE30DA">
        <w:rPr>
          <w:rFonts w:cs="Calibri"/>
          <w:lang w:val="en-US"/>
        </w:rPr>
        <w:t xml:space="preserve">. </w:t>
      </w:r>
      <w:r w:rsidR="003B2351">
        <w:rPr>
          <w:rFonts w:cs="Calibri"/>
          <w:lang w:val="en-US"/>
        </w:rPr>
        <w:t xml:space="preserve">Furthermore, both reviews include different types of SCS </w:t>
      </w:r>
      <w:r w:rsidR="00713D94">
        <w:rPr>
          <w:rFonts w:cs="Calibri"/>
          <w:lang w:val="en-US"/>
        </w:rPr>
        <w:t>devices</w:t>
      </w:r>
      <w:r w:rsidR="000A0EF8">
        <w:rPr>
          <w:rFonts w:cs="Calibri"/>
          <w:lang w:val="en-US"/>
        </w:rPr>
        <w:t xml:space="preserve"> and although</w:t>
      </w:r>
      <w:r w:rsidR="00776ED5">
        <w:rPr>
          <w:rFonts w:cs="Calibri"/>
          <w:lang w:val="en-US"/>
        </w:rPr>
        <w:t xml:space="preserve"> subgroup analys</w:t>
      </w:r>
      <w:r w:rsidR="000A0EF8">
        <w:rPr>
          <w:rFonts w:cs="Calibri"/>
          <w:lang w:val="en-US"/>
        </w:rPr>
        <w:t>e</w:t>
      </w:r>
      <w:r w:rsidR="00776ED5">
        <w:rPr>
          <w:rFonts w:cs="Calibri"/>
          <w:lang w:val="en-US"/>
        </w:rPr>
        <w:t xml:space="preserve">s </w:t>
      </w:r>
      <w:r w:rsidR="000A0EF8">
        <w:rPr>
          <w:rFonts w:cs="Calibri"/>
          <w:lang w:val="en-US"/>
        </w:rPr>
        <w:t xml:space="preserve">were planned, </w:t>
      </w:r>
      <w:r w:rsidR="00816D63">
        <w:rPr>
          <w:rFonts w:cs="Calibri"/>
          <w:lang w:val="en-US"/>
        </w:rPr>
        <w:t>the authors</w:t>
      </w:r>
      <w:r w:rsidR="00B01903">
        <w:rPr>
          <w:rFonts w:cs="Calibri"/>
          <w:lang w:val="en-US"/>
        </w:rPr>
        <w:t xml:space="preserve"> were restricted by the volume of evidence available</w:t>
      </w:r>
      <w:r w:rsidR="00525AB4">
        <w:rPr>
          <w:rFonts w:cs="Calibri"/>
          <w:lang w:val="en-US"/>
        </w:rPr>
        <w:t xml:space="preserve">. </w:t>
      </w:r>
      <w:r w:rsidR="00030617">
        <w:rPr>
          <w:rFonts w:cs="Calibri"/>
          <w:lang w:val="en-US"/>
        </w:rPr>
        <w:t>Subgroup</w:t>
      </w:r>
      <w:r w:rsidR="00525AB4">
        <w:rPr>
          <w:rFonts w:cs="Calibri"/>
          <w:lang w:val="en-US"/>
        </w:rPr>
        <w:t xml:space="preserve"> analys</w:t>
      </w:r>
      <w:r w:rsidR="00030617">
        <w:rPr>
          <w:rFonts w:cs="Calibri"/>
          <w:lang w:val="en-US"/>
        </w:rPr>
        <w:t>es of</w:t>
      </w:r>
      <w:r w:rsidR="0049268E">
        <w:rPr>
          <w:rFonts w:cs="Calibri"/>
          <w:lang w:val="en-US"/>
        </w:rPr>
        <w:t xml:space="preserve"> high</w:t>
      </w:r>
      <w:r w:rsidR="002E524D">
        <w:rPr>
          <w:rFonts w:cs="Calibri"/>
          <w:lang w:val="en-US"/>
        </w:rPr>
        <w:t>-</w:t>
      </w:r>
      <w:r w:rsidR="0049268E">
        <w:rPr>
          <w:rFonts w:cs="Calibri"/>
          <w:lang w:val="en-US"/>
        </w:rPr>
        <w:t>frequency, burst and conventional SCS were explored in both</w:t>
      </w:r>
      <w:r w:rsidR="00525AB4">
        <w:rPr>
          <w:rFonts w:cs="Calibri"/>
          <w:lang w:val="en-US"/>
        </w:rPr>
        <w:t xml:space="preserve"> </w:t>
      </w:r>
      <w:r w:rsidR="00030617">
        <w:rPr>
          <w:rFonts w:cs="Calibri"/>
          <w:lang w:val="en-US"/>
        </w:rPr>
        <w:t>reviews</w:t>
      </w:r>
      <w:r w:rsidR="00525AB4">
        <w:rPr>
          <w:rFonts w:cs="Calibri"/>
          <w:lang w:val="en-US"/>
        </w:rPr>
        <w:t xml:space="preserve"> but no evidence in favour of one stimulation type was found</w:t>
      </w:r>
      <w:r w:rsidR="0049268E">
        <w:rPr>
          <w:rFonts w:cs="Calibri"/>
          <w:lang w:val="en-US"/>
        </w:rPr>
        <w:t xml:space="preserve">. </w:t>
      </w:r>
    </w:p>
    <w:p w14:paraId="3881B202" w14:textId="3B8E0DC9" w:rsidR="00FA3DB0" w:rsidRDefault="00722E3F" w:rsidP="00E45885">
      <w:pPr>
        <w:pStyle w:val="BodyText"/>
        <w:rPr>
          <w:lang w:val="en-US"/>
        </w:rPr>
      </w:pPr>
      <w:r>
        <w:rPr>
          <w:rFonts w:cs="Calibri"/>
          <w:lang w:val="en-US"/>
        </w:rPr>
        <w:t xml:space="preserve">Given </w:t>
      </w:r>
      <w:r w:rsidR="007A6187">
        <w:rPr>
          <w:rFonts w:cs="Calibri"/>
          <w:lang w:val="en-US"/>
        </w:rPr>
        <w:t xml:space="preserve">the </w:t>
      </w:r>
      <w:r>
        <w:rPr>
          <w:rFonts w:cs="Calibri"/>
          <w:lang w:val="en-US"/>
        </w:rPr>
        <w:t>concern</w:t>
      </w:r>
      <w:r w:rsidR="007A6187">
        <w:rPr>
          <w:rFonts w:cs="Calibri"/>
          <w:lang w:val="en-US"/>
        </w:rPr>
        <w:t>s</w:t>
      </w:r>
      <w:r w:rsidR="00B86D80">
        <w:rPr>
          <w:rFonts w:cs="Calibri"/>
          <w:lang w:val="en-US"/>
        </w:rPr>
        <w:t xml:space="preserve"> that the </w:t>
      </w:r>
      <w:r>
        <w:rPr>
          <w:rFonts w:cs="Calibri"/>
          <w:lang w:val="en-US"/>
        </w:rPr>
        <w:t>Cochrane reviews ha</w:t>
      </w:r>
      <w:r w:rsidR="00937828">
        <w:rPr>
          <w:rFonts w:cs="Calibri"/>
          <w:lang w:val="en-US"/>
        </w:rPr>
        <w:t>d</w:t>
      </w:r>
      <w:r w:rsidR="00B86D80">
        <w:rPr>
          <w:rFonts w:cs="Calibri"/>
          <w:lang w:val="en-US"/>
        </w:rPr>
        <w:t xml:space="preserve"> narrow inclusion criteria </w:t>
      </w:r>
      <w:r w:rsidR="00937828">
        <w:rPr>
          <w:rFonts w:cs="Calibri"/>
          <w:lang w:val="en-US"/>
        </w:rPr>
        <w:t xml:space="preserve">that </w:t>
      </w:r>
      <w:r w:rsidR="00B86D80">
        <w:rPr>
          <w:rFonts w:cs="Calibri"/>
          <w:lang w:val="en-US"/>
        </w:rPr>
        <w:t>omit</w:t>
      </w:r>
      <w:r w:rsidR="00937828">
        <w:rPr>
          <w:rFonts w:cs="Calibri"/>
          <w:lang w:val="en-US"/>
        </w:rPr>
        <w:t>ted</w:t>
      </w:r>
      <w:r w:rsidR="00B86D80">
        <w:rPr>
          <w:rFonts w:cs="Calibri"/>
          <w:lang w:val="en-US"/>
        </w:rPr>
        <w:t xml:space="preserve"> a much larger volume of relevant evidence</w:t>
      </w:r>
      <w:r w:rsidR="00937828">
        <w:rPr>
          <w:rFonts w:cs="Calibri"/>
          <w:lang w:val="en-US"/>
        </w:rPr>
        <w:t>,</w:t>
      </w:r>
      <w:r w:rsidR="00B86D80">
        <w:rPr>
          <w:rFonts w:cs="Calibri"/>
          <w:lang w:val="en-US"/>
        </w:rPr>
        <w:t xml:space="preserve"> </w:t>
      </w:r>
      <w:r>
        <w:rPr>
          <w:rFonts w:cs="Calibri"/>
          <w:lang w:val="en-US"/>
        </w:rPr>
        <w:t xml:space="preserve">additional RCT </w:t>
      </w:r>
      <w:r w:rsidR="00B86D80">
        <w:rPr>
          <w:rFonts w:cs="Calibri"/>
          <w:lang w:val="en-US"/>
        </w:rPr>
        <w:t xml:space="preserve">and </w:t>
      </w:r>
      <w:r w:rsidR="004B63E5">
        <w:rPr>
          <w:rFonts w:cs="Calibri"/>
          <w:lang w:val="en-US"/>
        </w:rPr>
        <w:t xml:space="preserve">appropriately adjusted </w:t>
      </w:r>
      <w:r>
        <w:rPr>
          <w:rFonts w:cs="Calibri"/>
          <w:lang w:val="en-US"/>
        </w:rPr>
        <w:t xml:space="preserve">comparative observational studies </w:t>
      </w:r>
      <w:r w:rsidR="004B63E5">
        <w:rPr>
          <w:rFonts w:cs="Calibri"/>
          <w:lang w:val="en-US"/>
        </w:rPr>
        <w:t>were considered as supplementary evidence</w:t>
      </w:r>
      <w:r w:rsidR="002963EA">
        <w:rPr>
          <w:rFonts w:cs="Calibri"/>
          <w:lang w:val="en-US"/>
        </w:rPr>
        <w:t xml:space="preserve"> in this PLR</w:t>
      </w:r>
      <w:r w:rsidR="00A87DF9">
        <w:rPr>
          <w:rFonts w:cs="Calibri"/>
          <w:lang w:val="en-US"/>
        </w:rPr>
        <w:t xml:space="preserve">. </w:t>
      </w:r>
    </w:p>
    <w:p w14:paraId="420756B2" w14:textId="4551EECC" w:rsidR="00DD3568" w:rsidRDefault="002F1F8A" w:rsidP="00DD260A">
      <w:pPr>
        <w:pStyle w:val="Heading4"/>
        <w:rPr>
          <w:lang w:val="en-US"/>
        </w:rPr>
      </w:pPr>
      <w:r>
        <w:rPr>
          <w:lang w:val="en-US"/>
        </w:rPr>
        <w:t>Supplementary evidence</w:t>
      </w:r>
    </w:p>
    <w:p w14:paraId="6DE8A2A0" w14:textId="214240D6" w:rsidR="00481C49" w:rsidRPr="00A8319C" w:rsidRDefault="00403CCB" w:rsidP="00481C49">
      <w:pPr>
        <w:pStyle w:val="Heading5"/>
        <w:rPr>
          <w:lang w:val="en-US"/>
        </w:rPr>
      </w:pPr>
      <w:r>
        <w:rPr>
          <w:lang w:val="en-US"/>
        </w:rPr>
        <w:t>Randomised controlled trials</w:t>
      </w:r>
    </w:p>
    <w:p w14:paraId="70D32869" w14:textId="400FC437" w:rsidR="00D6505A" w:rsidRPr="002A4EC4" w:rsidRDefault="0008330C" w:rsidP="002A4EC4">
      <w:pPr>
        <w:pStyle w:val="BodyText"/>
        <w:rPr>
          <w:lang w:val="en-US"/>
        </w:rPr>
      </w:pPr>
      <w:r>
        <w:rPr>
          <w:lang w:val="en-US"/>
        </w:rPr>
        <w:t>All evidence provided by sponsors and stakeholders</w:t>
      </w:r>
      <w:r w:rsidR="00EC18F7">
        <w:rPr>
          <w:lang w:val="en-US"/>
        </w:rPr>
        <w:t>,</w:t>
      </w:r>
      <w:r>
        <w:rPr>
          <w:lang w:val="en-US"/>
        </w:rPr>
        <w:t xml:space="preserve"> </w:t>
      </w:r>
      <w:r w:rsidR="00EC18F7">
        <w:rPr>
          <w:lang w:val="en-US"/>
        </w:rPr>
        <w:t>together with</w:t>
      </w:r>
      <w:r>
        <w:rPr>
          <w:lang w:val="en-US"/>
        </w:rPr>
        <w:t xml:space="preserve"> </w:t>
      </w:r>
      <w:r w:rsidR="00822619">
        <w:rPr>
          <w:lang w:val="en-US"/>
        </w:rPr>
        <w:t>evidence excluded from the Cochrane reviews</w:t>
      </w:r>
      <w:r w:rsidR="00EC18F7">
        <w:rPr>
          <w:lang w:val="en-US"/>
        </w:rPr>
        <w:t>,</w:t>
      </w:r>
      <w:r w:rsidR="00822619">
        <w:rPr>
          <w:lang w:val="en-US"/>
        </w:rPr>
        <w:t xml:space="preserve"> was collated </w:t>
      </w:r>
      <w:r w:rsidR="00B47E1B">
        <w:rPr>
          <w:lang w:val="en-US"/>
        </w:rPr>
        <w:t xml:space="preserve">for this </w:t>
      </w:r>
      <w:r w:rsidR="00041598">
        <w:rPr>
          <w:lang w:val="en-US"/>
        </w:rPr>
        <w:t>PLR. Nine</w:t>
      </w:r>
      <w:r w:rsidR="00822619">
        <w:rPr>
          <w:lang w:val="en-US"/>
        </w:rPr>
        <w:t xml:space="preserve"> additional RCTs were considered as they provided at least medium</w:t>
      </w:r>
      <w:r w:rsidR="00A61EC0">
        <w:rPr>
          <w:lang w:val="en-US"/>
        </w:rPr>
        <w:t>-</w:t>
      </w:r>
      <w:r w:rsidR="00822619">
        <w:rPr>
          <w:lang w:val="en-US"/>
        </w:rPr>
        <w:t xml:space="preserve">term follow-up (three months or more) and </w:t>
      </w:r>
      <w:r w:rsidR="00A61EC0">
        <w:rPr>
          <w:lang w:val="en-US"/>
        </w:rPr>
        <w:t>reported a measure of pain intensity. The</w:t>
      </w:r>
      <w:r w:rsidR="007F317D">
        <w:rPr>
          <w:lang w:val="en-US"/>
        </w:rPr>
        <w:t>se studies are provided as supplemental evidence</w:t>
      </w:r>
      <w:r w:rsidR="00B91BD6">
        <w:rPr>
          <w:lang w:val="en-US"/>
        </w:rPr>
        <w:t xml:space="preserve">, not as part of a formal </w:t>
      </w:r>
      <w:r w:rsidR="005C05BD">
        <w:rPr>
          <w:lang w:val="en-US"/>
        </w:rPr>
        <w:t>SR</w:t>
      </w:r>
      <w:r w:rsidR="00B91BD6">
        <w:rPr>
          <w:lang w:val="en-US"/>
        </w:rPr>
        <w:t xml:space="preserve">. </w:t>
      </w:r>
      <w:r w:rsidR="008156B5">
        <w:rPr>
          <w:lang w:val="en-US"/>
        </w:rPr>
        <w:t xml:space="preserve">The </w:t>
      </w:r>
      <w:r w:rsidR="00246470">
        <w:rPr>
          <w:lang w:val="en-US"/>
        </w:rPr>
        <w:t>findings from the additional RCTs, for pain outcomes only, are summarised in</w:t>
      </w:r>
      <w:r w:rsidR="00877FD1">
        <w:rPr>
          <w:lang w:val="en-US"/>
        </w:rPr>
        <w:t xml:space="preserve"> </w:t>
      </w:r>
      <w:r w:rsidR="00246470">
        <w:rPr>
          <w:lang w:val="en-US"/>
        </w:rPr>
        <w:fldChar w:fldCharType="begin"/>
      </w:r>
      <w:r w:rsidR="00246470">
        <w:rPr>
          <w:lang w:val="en-US"/>
        </w:rPr>
        <w:instrText xml:space="preserve"> REF _Ref134800127 \h </w:instrText>
      </w:r>
      <w:r w:rsidR="00246470">
        <w:rPr>
          <w:lang w:val="en-US"/>
        </w:rPr>
      </w:r>
      <w:r w:rsidR="00246470">
        <w:rPr>
          <w:lang w:val="en-US"/>
        </w:rPr>
        <w:fldChar w:fldCharType="separate"/>
      </w:r>
      <w:r w:rsidR="00CE6ACA">
        <w:t xml:space="preserve">Table </w:t>
      </w:r>
      <w:r w:rsidR="00CE6ACA">
        <w:rPr>
          <w:noProof/>
        </w:rPr>
        <w:t>29</w:t>
      </w:r>
      <w:r w:rsidR="00246470">
        <w:rPr>
          <w:lang w:val="en-US"/>
        </w:rPr>
        <w:fldChar w:fldCharType="end"/>
      </w:r>
      <w:r w:rsidR="003D75CB">
        <w:rPr>
          <w:lang w:val="en-US"/>
        </w:rPr>
        <w:t xml:space="preserve">. </w:t>
      </w:r>
    </w:p>
    <w:p w14:paraId="3C612871" w14:textId="68EBB106" w:rsidR="003E150A" w:rsidRDefault="003E150A" w:rsidP="002A4EC4">
      <w:pPr>
        <w:pStyle w:val="BodyText"/>
        <w:rPr>
          <w:lang w:val="en-US"/>
        </w:rPr>
      </w:pPr>
      <w:r>
        <w:rPr>
          <w:lang w:val="en-US"/>
        </w:rPr>
        <w:t xml:space="preserve">Although small differences </w:t>
      </w:r>
      <w:r w:rsidR="00B36715">
        <w:rPr>
          <w:lang w:val="en-US"/>
        </w:rPr>
        <w:t>in pain outcomes</w:t>
      </w:r>
      <w:r>
        <w:rPr>
          <w:lang w:val="en-US"/>
        </w:rPr>
        <w:t xml:space="preserve"> were </w:t>
      </w:r>
      <w:r w:rsidR="007661B4">
        <w:rPr>
          <w:lang w:val="en-US"/>
        </w:rPr>
        <w:t>found for some tr</w:t>
      </w:r>
      <w:r w:rsidR="002752DD">
        <w:rPr>
          <w:lang w:val="en-US"/>
        </w:rPr>
        <w:t>i</w:t>
      </w:r>
      <w:r w:rsidR="007661B4">
        <w:rPr>
          <w:lang w:val="en-US"/>
        </w:rPr>
        <w:t>als</w:t>
      </w:r>
      <w:r w:rsidR="002752DD">
        <w:rPr>
          <w:lang w:val="en-US"/>
        </w:rPr>
        <w:t>, all</w:t>
      </w:r>
      <w:r w:rsidR="007661B4">
        <w:rPr>
          <w:lang w:val="en-US"/>
        </w:rPr>
        <w:t xml:space="preserve"> </w:t>
      </w:r>
      <w:proofErr w:type="spellStart"/>
      <w:r w:rsidR="007661B4">
        <w:rPr>
          <w:lang w:val="en-US"/>
        </w:rPr>
        <w:t>favour</w:t>
      </w:r>
      <w:r w:rsidR="002752DD">
        <w:rPr>
          <w:lang w:val="en-US"/>
        </w:rPr>
        <w:t>ing</w:t>
      </w:r>
      <w:proofErr w:type="spellEnd"/>
      <w:r w:rsidR="007661B4">
        <w:rPr>
          <w:lang w:val="en-US"/>
        </w:rPr>
        <w:t xml:space="preserve"> the intervention, </w:t>
      </w:r>
      <w:r w:rsidR="007F653A">
        <w:rPr>
          <w:lang w:val="en-US"/>
        </w:rPr>
        <w:t xml:space="preserve">many reported no difference. </w:t>
      </w:r>
      <w:r w:rsidR="008F14AD">
        <w:rPr>
          <w:lang w:val="en-US"/>
        </w:rPr>
        <w:t>Two of the nine trials stated they were blinded</w:t>
      </w:r>
      <w:r w:rsidR="00972BB9">
        <w:rPr>
          <w:lang w:val="en-US"/>
        </w:rPr>
        <w:t xml:space="preserve">, one of which reported no difference between </w:t>
      </w:r>
      <w:r w:rsidR="002E10F1">
        <w:rPr>
          <w:lang w:val="en-US"/>
        </w:rPr>
        <w:t>multi</w:t>
      </w:r>
      <w:r w:rsidR="0005326D">
        <w:rPr>
          <w:lang w:val="en-US"/>
        </w:rPr>
        <w:t xml:space="preserve">column </w:t>
      </w:r>
      <w:r w:rsidR="002F2B9C">
        <w:rPr>
          <w:lang w:val="en-US"/>
        </w:rPr>
        <w:t xml:space="preserve">SCS programming and conventional </w:t>
      </w:r>
      <w:r w:rsidR="00B45313">
        <w:rPr>
          <w:lang w:val="en-US"/>
        </w:rPr>
        <w:t>SCS</w:t>
      </w:r>
      <w:r w:rsidR="00171622">
        <w:rPr>
          <w:lang w:val="en-US"/>
        </w:rPr>
        <w:t xml:space="preserve"> in patients with FBSS</w:t>
      </w:r>
      <w:r w:rsidR="006F4494">
        <w:rPr>
          <w:lang w:val="en-US"/>
        </w:rPr>
        <w:t xml:space="preserve"> </w:t>
      </w:r>
      <w:r w:rsidR="006F4494" w:rsidRPr="006F4494">
        <w:rPr>
          <w:lang w:val="en-US"/>
        </w:rPr>
        <w:t>(</w:t>
      </w:r>
      <w:r w:rsidR="005C7CD5">
        <w:rPr>
          <w:lang w:val="en-US"/>
        </w:rPr>
        <w:t>ESTIM</w:t>
      </w:r>
      <w:r w:rsidR="00716A92">
        <w:rPr>
          <w:lang w:val="en-US"/>
        </w:rPr>
        <w:t>ET</w:t>
      </w:r>
      <w:r w:rsidR="006F4494" w:rsidRPr="006F4494">
        <w:rPr>
          <w:lang w:val="en-US"/>
        </w:rPr>
        <w:t>)</w:t>
      </w:r>
      <w:r w:rsidR="006F4494">
        <w:rPr>
          <w:lang w:val="en-US"/>
        </w:rPr>
        <w:t xml:space="preserve">. The second </w:t>
      </w:r>
      <w:r w:rsidR="00DA66E3">
        <w:rPr>
          <w:lang w:val="en-US"/>
        </w:rPr>
        <w:t>blinded RCT</w:t>
      </w:r>
      <w:r w:rsidR="00A61C84">
        <w:rPr>
          <w:lang w:val="en-US"/>
        </w:rPr>
        <w:t xml:space="preserve"> (EVOKE)</w:t>
      </w:r>
      <w:r w:rsidR="00CC033F">
        <w:rPr>
          <w:lang w:val="en-US"/>
        </w:rPr>
        <w:t xml:space="preserve">, which was in patients with chronic intractable </w:t>
      </w:r>
      <w:r w:rsidR="00A61C84">
        <w:rPr>
          <w:lang w:val="en-US"/>
        </w:rPr>
        <w:t>pain of the back and legs,</w:t>
      </w:r>
      <w:r w:rsidR="00E14A94">
        <w:rPr>
          <w:lang w:val="en-US"/>
        </w:rPr>
        <w:t xml:space="preserve"> </w:t>
      </w:r>
      <w:r w:rsidR="006F4494">
        <w:rPr>
          <w:lang w:val="en-US"/>
        </w:rPr>
        <w:t>report</w:t>
      </w:r>
      <w:r w:rsidR="00DA66E3">
        <w:rPr>
          <w:lang w:val="en-US"/>
        </w:rPr>
        <w:t>ed</w:t>
      </w:r>
      <w:r w:rsidR="006F4494">
        <w:rPr>
          <w:lang w:val="en-US"/>
        </w:rPr>
        <w:t xml:space="preserve"> a difference in favour of </w:t>
      </w:r>
      <w:r w:rsidR="006576A8">
        <w:rPr>
          <w:lang w:val="en-US"/>
        </w:rPr>
        <w:t>closed</w:t>
      </w:r>
      <w:r w:rsidR="009C7EEC">
        <w:rPr>
          <w:lang w:val="en-US"/>
        </w:rPr>
        <w:t>-</w:t>
      </w:r>
      <w:r w:rsidR="006576A8">
        <w:rPr>
          <w:lang w:val="en-US"/>
        </w:rPr>
        <w:t xml:space="preserve">loop SCS </w:t>
      </w:r>
      <w:r w:rsidR="002974C8">
        <w:rPr>
          <w:lang w:val="en-US"/>
        </w:rPr>
        <w:t xml:space="preserve">in responder analysis </w:t>
      </w:r>
      <w:r w:rsidR="000E316C">
        <w:rPr>
          <w:lang w:val="en-US"/>
        </w:rPr>
        <w:t>and</w:t>
      </w:r>
      <w:r w:rsidR="002974C8">
        <w:rPr>
          <w:lang w:val="en-US"/>
        </w:rPr>
        <w:t xml:space="preserve"> mean change in pain intensity</w:t>
      </w:r>
      <w:r w:rsidR="00F14DD5">
        <w:rPr>
          <w:lang w:val="en-US"/>
        </w:rPr>
        <w:t xml:space="preserve">. Although these trials demonstrate </w:t>
      </w:r>
      <w:r w:rsidR="00F31FCD">
        <w:rPr>
          <w:lang w:val="en-US"/>
        </w:rPr>
        <w:t>a significant reduction in pain intensity between baseline and follow-up across both arms, t</w:t>
      </w:r>
      <w:r w:rsidR="00375D77">
        <w:rPr>
          <w:lang w:val="en-US"/>
        </w:rPr>
        <w:t>he</w:t>
      </w:r>
      <w:r w:rsidR="00B733AA">
        <w:rPr>
          <w:lang w:val="en-US"/>
        </w:rPr>
        <w:t xml:space="preserve"> blinding within them is to the intervention and not to the </w:t>
      </w:r>
      <w:r w:rsidR="004A4D39">
        <w:rPr>
          <w:lang w:val="en-US"/>
        </w:rPr>
        <w:t>use of SCS</w:t>
      </w:r>
      <w:r w:rsidR="00D70606">
        <w:rPr>
          <w:lang w:val="en-US"/>
        </w:rPr>
        <w:t>;</w:t>
      </w:r>
      <w:r w:rsidR="004A4D39">
        <w:rPr>
          <w:lang w:val="en-US"/>
        </w:rPr>
        <w:t xml:space="preserve"> therefore</w:t>
      </w:r>
      <w:r w:rsidR="00D70606">
        <w:rPr>
          <w:lang w:val="en-US"/>
        </w:rPr>
        <w:t>,</w:t>
      </w:r>
      <w:r w:rsidR="004A4D39">
        <w:rPr>
          <w:lang w:val="en-US"/>
        </w:rPr>
        <w:t xml:space="preserve"> this does not add </w:t>
      </w:r>
      <w:r w:rsidR="00FF0024">
        <w:rPr>
          <w:lang w:val="en-US"/>
        </w:rPr>
        <w:t xml:space="preserve">confidence regarding overall clinical effectiveness </w:t>
      </w:r>
      <w:r w:rsidR="007952E0">
        <w:rPr>
          <w:lang w:val="en-US"/>
        </w:rPr>
        <w:t>of SCS</w:t>
      </w:r>
      <w:r w:rsidR="00FF0024">
        <w:rPr>
          <w:lang w:val="en-US"/>
        </w:rPr>
        <w:t xml:space="preserve"> compared to standard (non-SCS) treatment. </w:t>
      </w:r>
    </w:p>
    <w:p w14:paraId="53A7402C" w14:textId="45398586" w:rsidR="00432089" w:rsidRPr="002A4EC4" w:rsidRDefault="00E1059D" w:rsidP="002A4EC4">
      <w:pPr>
        <w:pStyle w:val="BodyText"/>
        <w:rPr>
          <w:lang w:val="en-US"/>
        </w:rPr>
      </w:pPr>
      <w:r>
        <w:rPr>
          <w:lang w:val="en-US"/>
        </w:rPr>
        <w:t>DRGS stimulation</w:t>
      </w:r>
      <w:r w:rsidR="0003187C">
        <w:rPr>
          <w:lang w:val="en-US"/>
        </w:rPr>
        <w:t xml:space="preserve"> is </w:t>
      </w:r>
      <w:r>
        <w:rPr>
          <w:lang w:val="en-US"/>
        </w:rPr>
        <w:t>in scope of this P</w:t>
      </w:r>
      <w:r w:rsidR="00B609CF">
        <w:rPr>
          <w:lang w:val="en-US"/>
        </w:rPr>
        <w:t>L</w:t>
      </w:r>
      <w:r>
        <w:rPr>
          <w:lang w:val="en-US"/>
        </w:rPr>
        <w:t>R and was in scope for O’Connell (2021)</w:t>
      </w:r>
      <w:r w:rsidR="003D40C5">
        <w:rPr>
          <w:lang w:val="en-US"/>
        </w:rPr>
        <w:t>,</w:t>
      </w:r>
      <w:r>
        <w:rPr>
          <w:lang w:val="en-US"/>
        </w:rPr>
        <w:t xml:space="preserve"> although no studies of this stimulation type met their inclusion criteria. Therefore, </w:t>
      </w:r>
      <w:r w:rsidR="0003187C">
        <w:rPr>
          <w:lang w:val="en-US"/>
        </w:rPr>
        <w:t xml:space="preserve">the </w:t>
      </w:r>
      <w:r>
        <w:rPr>
          <w:lang w:val="en-US"/>
        </w:rPr>
        <w:t xml:space="preserve">ACCURATE </w:t>
      </w:r>
      <w:r w:rsidR="003D40C5">
        <w:rPr>
          <w:lang w:val="en-US"/>
        </w:rPr>
        <w:t>RCT</w:t>
      </w:r>
      <w:r>
        <w:rPr>
          <w:lang w:val="en-US"/>
        </w:rPr>
        <w:t xml:space="preserve"> (Deer 2017) is the best available</w:t>
      </w:r>
      <w:r w:rsidR="0003187C">
        <w:rPr>
          <w:lang w:val="en-US"/>
        </w:rPr>
        <w:t xml:space="preserve"> evidence on </w:t>
      </w:r>
      <w:r>
        <w:rPr>
          <w:lang w:val="en-US"/>
        </w:rPr>
        <w:t>these</w:t>
      </w:r>
      <w:r w:rsidR="0003187C">
        <w:rPr>
          <w:lang w:val="en-US"/>
        </w:rPr>
        <w:t xml:space="preserve"> devices. The ACCURATE study demonstrate</w:t>
      </w:r>
      <w:r w:rsidR="006148A5">
        <w:rPr>
          <w:lang w:val="en-US"/>
        </w:rPr>
        <w:t>d</w:t>
      </w:r>
      <w:r w:rsidR="0003187C">
        <w:rPr>
          <w:lang w:val="en-US"/>
        </w:rPr>
        <w:t xml:space="preserve"> </w:t>
      </w:r>
      <w:r w:rsidR="004532DD">
        <w:rPr>
          <w:lang w:val="en-US"/>
        </w:rPr>
        <w:t xml:space="preserve">that DRGS may be more </w:t>
      </w:r>
      <w:proofErr w:type="spellStart"/>
      <w:r w:rsidR="004532DD">
        <w:rPr>
          <w:lang w:val="en-US"/>
        </w:rPr>
        <w:t>favourable</w:t>
      </w:r>
      <w:proofErr w:type="spellEnd"/>
      <w:r w:rsidR="004532DD">
        <w:rPr>
          <w:lang w:val="en-US"/>
        </w:rPr>
        <w:t xml:space="preserve"> </w:t>
      </w:r>
      <w:r w:rsidR="00C242D3">
        <w:rPr>
          <w:lang w:val="en-US"/>
        </w:rPr>
        <w:t xml:space="preserve">than </w:t>
      </w:r>
      <w:r w:rsidR="00C242D3">
        <w:rPr>
          <w:lang w:val="en-US"/>
        </w:rPr>
        <w:lastRenderedPageBreak/>
        <w:t>SCS for pain outcomes</w:t>
      </w:r>
      <w:r w:rsidR="00906050">
        <w:rPr>
          <w:lang w:val="en-US"/>
        </w:rPr>
        <w:t xml:space="preserve"> in patients with CRPS</w:t>
      </w:r>
      <w:r w:rsidR="007517D2">
        <w:rPr>
          <w:lang w:val="en-US"/>
        </w:rPr>
        <w:t>; however,</w:t>
      </w:r>
      <w:r w:rsidR="00C242D3">
        <w:rPr>
          <w:lang w:val="en-US"/>
        </w:rPr>
        <w:t xml:space="preserve"> DRGS also </w:t>
      </w:r>
      <w:r w:rsidR="00F008A0">
        <w:rPr>
          <w:lang w:val="en-US"/>
        </w:rPr>
        <w:t xml:space="preserve">had higher rates of </w:t>
      </w:r>
      <w:r w:rsidR="00D55A66">
        <w:rPr>
          <w:lang w:val="en-US"/>
        </w:rPr>
        <w:t>AEs</w:t>
      </w:r>
      <w:r w:rsidR="00182FB2">
        <w:rPr>
          <w:lang w:val="en-US"/>
        </w:rPr>
        <w:t xml:space="preserve">. Although non-significant, the authors attributed this </w:t>
      </w:r>
      <w:r w:rsidR="00182FB2">
        <w:t>to a longer procedure time and a greater number of implanted leads (3 or 4 compared to 1 or 2)</w:t>
      </w:r>
      <w:r w:rsidR="003F77FA">
        <w:t xml:space="preserve">. </w:t>
      </w:r>
    </w:p>
    <w:p w14:paraId="4F6577EE" w14:textId="6D5DCB1F" w:rsidR="003C5815" w:rsidRDefault="003C5815" w:rsidP="003C5815">
      <w:pPr>
        <w:pStyle w:val="Caption"/>
      </w:pPr>
      <w:bookmarkStart w:id="144" w:name="_Ref134800127"/>
      <w:r>
        <w:t xml:space="preserve">Table </w:t>
      </w:r>
      <w:fldSimple w:instr=" SEQ Table \* ARABIC ">
        <w:r w:rsidR="00CE6ACA">
          <w:rPr>
            <w:noProof/>
          </w:rPr>
          <w:t>29</w:t>
        </w:r>
      </w:fldSimple>
      <w:bookmarkEnd w:id="144"/>
      <w:r>
        <w:tab/>
        <w:t>Summary of findings of additional RCT evidence at medium</w:t>
      </w:r>
      <w:r w:rsidR="002E0F2D">
        <w:t>-</w:t>
      </w:r>
      <w:r>
        <w:t xml:space="preserve"> </w:t>
      </w:r>
      <w:r w:rsidR="002E0F2D">
        <w:t>(M)</w:t>
      </w:r>
      <w:r>
        <w:t xml:space="preserve"> and long-</w:t>
      </w:r>
      <w:r w:rsidR="002E0F2D">
        <w:t xml:space="preserve"> (L)</w:t>
      </w:r>
      <w:r w:rsidR="00F409E0">
        <w:t xml:space="preserve"> </w:t>
      </w:r>
      <w:r>
        <w:t>term follow-up</w:t>
      </w:r>
    </w:p>
    <w:tbl>
      <w:tblPr>
        <w:tblStyle w:val="TableGrid"/>
        <w:tblW w:w="0" w:type="auto"/>
        <w:tblLook w:val="04A0" w:firstRow="1" w:lastRow="0" w:firstColumn="1" w:lastColumn="0" w:noHBand="0" w:noVBand="1"/>
        <w:tblCaption w:val="Summary of findings of additional RCTevidence at medium and long term follow-up"/>
        <w:tblDescription w:val="Table showing the blinding, statistical significance, and clinical importance of additional RCT evidence at medium and long term follow up."/>
      </w:tblPr>
      <w:tblGrid>
        <w:gridCol w:w="2700"/>
        <w:gridCol w:w="419"/>
        <w:gridCol w:w="142"/>
        <w:gridCol w:w="1688"/>
        <w:gridCol w:w="825"/>
        <w:gridCol w:w="1909"/>
        <w:gridCol w:w="1955"/>
      </w:tblGrid>
      <w:tr w:rsidR="00F71A64" w:rsidRPr="00F8075A" w14:paraId="4A7A8B98" w14:textId="0B5AA500" w:rsidTr="00011610">
        <w:trPr>
          <w:cnfStyle w:val="100000000000" w:firstRow="1" w:lastRow="0" w:firstColumn="0" w:lastColumn="0" w:oddVBand="0" w:evenVBand="0" w:oddHBand="0" w:evenHBand="0" w:firstRowFirstColumn="0" w:firstRowLastColumn="0" w:lastRowFirstColumn="0" w:lastRowLastColumn="0"/>
        </w:trPr>
        <w:tc>
          <w:tcPr>
            <w:tcW w:w="2700" w:type="dxa"/>
          </w:tcPr>
          <w:p w14:paraId="63328995" w14:textId="728CF1B1" w:rsidR="00403CCB" w:rsidRPr="005801F3" w:rsidRDefault="00880EFB" w:rsidP="006C37CF">
            <w:pPr>
              <w:pStyle w:val="011TableHeading8pt"/>
              <w:spacing w:before="40"/>
              <w:rPr>
                <w:sz w:val="18"/>
                <w:szCs w:val="18"/>
                <w:lang w:val="en-US"/>
              </w:rPr>
            </w:pPr>
            <w:r w:rsidRPr="00F8075A">
              <w:rPr>
                <w:sz w:val="18"/>
                <w:szCs w:val="18"/>
                <w:lang w:val="en-US"/>
              </w:rPr>
              <w:t xml:space="preserve">Outcome </w:t>
            </w:r>
          </w:p>
        </w:tc>
        <w:tc>
          <w:tcPr>
            <w:tcW w:w="2249" w:type="dxa"/>
            <w:gridSpan w:val="3"/>
          </w:tcPr>
          <w:p w14:paraId="189C6437" w14:textId="783DE339" w:rsidR="00403CCB" w:rsidRPr="005801F3" w:rsidRDefault="00DE7ED1" w:rsidP="006C37CF">
            <w:pPr>
              <w:pStyle w:val="011TableHeading8pt"/>
              <w:spacing w:before="40"/>
              <w:rPr>
                <w:sz w:val="18"/>
                <w:szCs w:val="18"/>
                <w:lang w:val="en-US"/>
              </w:rPr>
            </w:pPr>
            <w:r>
              <w:rPr>
                <w:sz w:val="18"/>
                <w:szCs w:val="18"/>
                <w:lang w:val="en-US"/>
              </w:rPr>
              <w:t>Study</w:t>
            </w:r>
            <w:r w:rsidR="00880EFB" w:rsidRPr="00F8075A">
              <w:rPr>
                <w:sz w:val="18"/>
                <w:szCs w:val="18"/>
                <w:lang w:val="en-US"/>
              </w:rPr>
              <w:t xml:space="preserve"> ID</w:t>
            </w:r>
          </w:p>
        </w:tc>
        <w:tc>
          <w:tcPr>
            <w:tcW w:w="0" w:type="auto"/>
          </w:tcPr>
          <w:p w14:paraId="42BD6048" w14:textId="706E3F6F" w:rsidR="00403CCB" w:rsidRPr="005801F3" w:rsidRDefault="00400D6A" w:rsidP="006C37CF">
            <w:pPr>
              <w:pStyle w:val="011TableHeading8pt"/>
              <w:spacing w:before="40"/>
              <w:rPr>
                <w:sz w:val="18"/>
                <w:szCs w:val="18"/>
                <w:lang w:val="en-US"/>
              </w:rPr>
            </w:pPr>
            <w:r>
              <w:rPr>
                <w:sz w:val="18"/>
                <w:szCs w:val="18"/>
                <w:lang w:val="en-US"/>
              </w:rPr>
              <w:t>Blinding</w:t>
            </w:r>
          </w:p>
        </w:tc>
        <w:tc>
          <w:tcPr>
            <w:tcW w:w="0" w:type="auto"/>
          </w:tcPr>
          <w:p w14:paraId="76237CE0" w14:textId="6202F985" w:rsidR="00403CCB" w:rsidRPr="005801F3" w:rsidRDefault="0068068F" w:rsidP="006C37CF">
            <w:pPr>
              <w:pStyle w:val="011TableHeading8pt"/>
              <w:spacing w:before="40"/>
              <w:rPr>
                <w:sz w:val="18"/>
                <w:szCs w:val="18"/>
                <w:lang w:val="en-US"/>
              </w:rPr>
            </w:pPr>
            <w:r>
              <w:rPr>
                <w:sz w:val="18"/>
                <w:szCs w:val="18"/>
                <w:lang w:val="en-US"/>
              </w:rPr>
              <w:t xml:space="preserve">Statistical </w:t>
            </w:r>
            <w:r w:rsidR="00CE0A06">
              <w:rPr>
                <w:sz w:val="18"/>
                <w:szCs w:val="18"/>
                <w:lang w:val="en-US"/>
              </w:rPr>
              <w:t>significance</w:t>
            </w:r>
          </w:p>
        </w:tc>
        <w:tc>
          <w:tcPr>
            <w:tcW w:w="0" w:type="auto"/>
          </w:tcPr>
          <w:p w14:paraId="5896D849" w14:textId="5B77C60B" w:rsidR="00CE0A06" w:rsidRPr="00440FAC" w:rsidRDefault="00CE0A06" w:rsidP="006C37CF">
            <w:pPr>
              <w:pStyle w:val="011TableHeading8pt"/>
              <w:spacing w:before="40"/>
              <w:rPr>
                <w:sz w:val="18"/>
                <w:szCs w:val="18"/>
                <w:vertAlign w:val="superscript"/>
                <w:lang w:val="en-US"/>
              </w:rPr>
            </w:pPr>
            <w:r>
              <w:rPr>
                <w:sz w:val="18"/>
                <w:szCs w:val="18"/>
                <w:lang w:val="en-US"/>
              </w:rPr>
              <w:t xml:space="preserve">Clinical </w:t>
            </w:r>
            <w:proofErr w:type="spellStart"/>
            <w:r w:rsidR="00356F62">
              <w:rPr>
                <w:sz w:val="18"/>
                <w:szCs w:val="18"/>
                <w:lang w:val="en-US"/>
              </w:rPr>
              <w:t>importance</w:t>
            </w:r>
            <w:r w:rsidR="007077B8">
              <w:rPr>
                <w:sz w:val="18"/>
                <w:szCs w:val="18"/>
                <w:vertAlign w:val="superscript"/>
                <w:lang w:val="en-US"/>
              </w:rPr>
              <w:t>a</w:t>
            </w:r>
            <w:proofErr w:type="spellEnd"/>
          </w:p>
        </w:tc>
      </w:tr>
      <w:tr w:rsidR="00F71A64" w:rsidRPr="00F8075A" w14:paraId="38CE828C" w14:textId="77777777" w:rsidTr="00011610">
        <w:tc>
          <w:tcPr>
            <w:tcW w:w="2700" w:type="dxa"/>
            <w:tcBorders>
              <w:bottom w:val="single" w:sz="4" w:space="0" w:color="auto"/>
            </w:tcBorders>
            <w:shd w:val="clear" w:color="auto" w:fill="E7E6E6" w:themeFill="background2"/>
          </w:tcPr>
          <w:p w14:paraId="5906C3D1" w14:textId="21F5EF25" w:rsidR="00BD0A62" w:rsidRDefault="00BF51EA" w:rsidP="00BF51EA">
            <w:pPr>
              <w:pStyle w:val="031Tablesubheading8pt"/>
              <w:rPr>
                <w:sz w:val="18"/>
                <w:szCs w:val="18"/>
                <w:lang w:val="en-US"/>
              </w:rPr>
            </w:pPr>
            <w:r>
              <w:rPr>
                <w:sz w:val="18"/>
                <w:szCs w:val="18"/>
                <w:lang w:val="en-US"/>
              </w:rPr>
              <w:t>HF</w:t>
            </w:r>
            <w:r w:rsidR="005C62FF">
              <w:rPr>
                <w:sz w:val="18"/>
                <w:szCs w:val="18"/>
                <w:lang w:val="en-US"/>
              </w:rPr>
              <w:t>-</w:t>
            </w:r>
            <w:r>
              <w:rPr>
                <w:sz w:val="18"/>
                <w:szCs w:val="18"/>
                <w:lang w:val="en-US"/>
              </w:rPr>
              <w:t>SCS versus conventional SCS</w:t>
            </w:r>
          </w:p>
        </w:tc>
        <w:tc>
          <w:tcPr>
            <w:tcW w:w="2249" w:type="dxa"/>
            <w:gridSpan w:val="3"/>
            <w:tcBorders>
              <w:bottom w:val="single" w:sz="4" w:space="0" w:color="auto"/>
            </w:tcBorders>
            <w:shd w:val="clear" w:color="auto" w:fill="E7E6E6" w:themeFill="background2"/>
          </w:tcPr>
          <w:p w14:paraId="6B6D78E5" w14:textId="77777777" w:rsidR="00BD0A62" w:rsidRDefault="00BD0A62" w:rsidP="00BF51EA">
            <w:pPr>
              <w:pStyle w:val="031Tablesubheading8pt"/>
              <w:rPr>
                <w:sz w:val="18"/>
                <w:szCs w:val="18"/>
                <w:lang w:val="en-US"/>
              </w:rPr>
            </w:pPr>
          </w:p>
        </w:tc>
        <w:tc>
          <w:tcPr>
            <w:tcW w:w="0" w:type="auto"/>
            <w:tcBorders>
              <w:bottom w:val="single" w:sz="4" w:space="0" w:color="auto"/>
            </w:tcBorders>
            <w:shd w:val="clear" w:color="auto" w:fill="E7E6E6" w:themeFill="background2"/>
          </w:tcPr>
          <w:p w14:paraId="61C3EBA4" w14:textId="77777777" w:rsidR="00BD0A62" w:rsidRDefault="00BD0A62" w:rsidP="00BF51EA">
            <w:pPr>
              <w:pStyle w:val="031Tablesubheading8pt"/>
              <w:rPr>
                <w:sz w:val="18"/>
                <w:szCs w:val="18"/>
                <w:lang w:val="en-US"/>
              </w:rPr>
            </w:pPr>
          </w:p>
        </w:tc>
        <w:tc>
          <w:tcPr>
            <w:tcW w:w="0" w:type="auto"/>
            <w:tcBorders>
              <w:bottom w:val="single" w:sz="4" w:space="0" w:color="auto"/>
            </w:tcBorders>
            <w:shd w:val="clear" w:color="auto" w:fill="E7E6E6" w:themeFill="background2"/>
          </w:tcPr>
          <w:p w14:paraId="3433D58F" w14:textId="77777777" w:rsidR="00BD0A62" w:rsidRDefault="00BD0A62" w:rsidP="00BF51EA">
            <w:pPr>
              <w:pStyle w:val="031Tablesubheading8pt"/>
              <w:rPr>
                <w:sz w:val="18"/>
                <w:szCs w:val="18"/>
                <w:lang w:val="en-US"/>
              </w:rPr>
            </w:pPr>
          </w:p>
        </w:tc>
        <w:tc>
          <w:tcPr>
            <w:tcW w:w="0" w:type="auto"/>
            <w:tcBorders>
              <w:bottom w:val="single" w:sz="4" w:space="0" w:color="auto"/>
            </w:tcBorders>
            <w:shd w:val="clear" w:color="auto" w:fill="E7E6E6" w:themeFill="background2"/>
          </w:tcPr>
          <w:p w14:paraId="4394A6C4" w14:textId="77777777" w:rsidR="00BD0A62" w:rsidRDefault="00BD0A62" w:rsidP="00BF51EA">
            <w:pPr>
              <w:pStyle w:val="031Tablesubheading8pt"/>
              <w:rPr>
                <w:sz w:val="18"/>
                <w:szCs w:val="18"/>
                <w:lang w:val="en-US"/>
              </w:rPr>
            </w:pPr>
          </w:p>
        </w:tc>
      </w:tr>
      <w:tr w:rsidR="00F71A64" w:rsidRPr="00F8075A" w14:paraId="44AAC99C" w14:textId="31930874" w:rsidTr="003A0F95">
        <w:tc>
          <w:tcPr>
            <w:tcW w:w="2700" w:type="dxa"/>
            <w:tcBorders>
              <w:bottom w:val="nil"/>
            </w:tcBorders>
          </w:tcPr>
          <w:p w14:paraId="5A4A278D" w14:textId="50DC257D" w:rsidR="00403CCB" w:rsidRPr="005801F3" w:rsidRDefault="00D23DEA" w:rsidP="005801F3">
            <w:pPr>
              <w:pStyle w:val="051Tabletext228pt"/>
              <w:rPr>
                <w:sz w:val="18"/>
                <w:szCs w:val="18"/>
                <w:lang w:val="en-US"/>
              </w:rPr>
            </w:pPr>
            <w:r>
              <w:rPr>
                <w:sz w:val="18"/>
                <w:szCs w:val="18"/>
                <w:lang w:val="en-US"/>
              </w:rPr>
              <w:t>Pain intensity (mean change)</w:t>
            </w:r>
          </w:p>
        </w:tc>
        <w:tc>
          <w:tcPr>
            <w:tcW w:w="2249" w:type="dxa"/>
            <w:gridSpan w:val="3"/>
            <w:tcBorders>
              <w:bottom w:val="dotted" w:sz="4" w:space="0" w:color="auto"/>
            </w:tcBorders>
          </w:tcPr>
          <w:p w14:paraId="3D6528B8" w14:textId="47ABED9E" w:rsidR="00403CCB" w:rsidRPr="005801F3" w:rsidRDefault="00D20DB4" w:rsidP="005801F3">
            <w:pPr>
              <w:pStyle w:val="051Tabletext228pt"/>
              <w:rPr>
                <w:sz w:val="18"/>
                <w:szCs w:val="18"/>
                <w:lang w:val="en-US"/>
              </w:rPr>
            </w:pPr>
            <w:r>
              <w:rPr>
                <w:sz w:val="18"/>
                <w:szCs w:val="18"/>
                <w:lang w:val="en-US"/>
              </w:rPr>
              <w:t>SURF (</w:t>
            </w:r>
            <w:proofErr w:type="spellStart"/>
            <w:r w:rsidR="00D23DEA">
              <w:rPr>
                <w:sz w:val="18"/>
                <w:szCs w:val="18"/>
                <w:lang w:val="en-US"/>
              </w:rPr>
              <w:t>Bolash</w:t>
            </w:r>
            <w:proofErr w:type="spellEnd"/>
            <w:r w:rsidR="00D23DEA">
              <w:rPr>
                <w:sz w:val="18"/>
                <w:szCs w:val="18"/>
                <w:lang w:val="en-US"/>
              </w:rPr>
              <w:t xml:space="preserve"> 2019)</w:t>
            </w:r>
          </w:p>
        </w:tc>
        <w:tc>
          <w:tcPr>
            <w:tcW w:w="0" w:type="auto"/>
            <w:tcBorders>
              <w:bottom w:val="dotted" w:sz="4" w:space="0" w:color="auto"/>
            </w:tcBorders>
            <w:shd w:val="clear" w:color="auto" w:fill="auto"/>
          </w:tcPr>
          <w:p w14:paraId="6CD7E82B" w14:textId="43CD052D" w:rsidR="00403CCB" w:rsidRPr="005801F3" w:rsidRDefault="00640901" w:rsidP="005801F3">
            <w:pPr>
              <w:pStyle w:val="051Tabletext228pt"/>
              <w:rPr>
                <w:sz w:val="18"/>
                <w:szCs w:val="18"/>
                <w:lang w:val="en-US"/>
              </w:rPr>
            </w:pPr>
            <w:r>
              <w:rPr>
                <w:sz w:val="18"/>
                <w:szCs w:val="18"/>
                <w:lang w:val="en-US"/>
              </w:rPr>
              <w:t>None</w:t>
            </w:r>
          </w:p>
        </w:tc>
        <w:tc>
          <w:tcPr>
            <w:tcW w:w="0" w:type="auto"/>
            <w:tcBorders>
              <w:bottom w:val="dotted" w:sz="4" w:space="0" w:color="auto"/>
            </w:tcBorders>
          </w:tcPr>
          <w:p w14:paraId="31F2A4D8" w14:textId="62BD391F" w:rsidR="00403CCB" w:rsidRPr="005801F3" w:rsidRDefault="00772068" w:rsidP="005801F3">
            <w:pPr>
              <w:pStyle w:val="051Tabletext228pt"/>
              <w:rPr>
                <w:sz w:val="18"/>
                <w:szCs w:val="18"/>
                <w:lang w:val="en-US"/>
              </w:rPr>
            </w:pPr>
            <w:r>
              <w:rPr>
                <w:sz w:val="18"/>
                <w:szCs w:val="18"/>
                <w:lang w:val="en-US"/>
              </w:rPr>
              <w:t>No effect</w:t>
            </w:r>
            <w:r w:rsidR="00D23DEA">
              <w:rPr>
                <w:sz w:val="18"/>
                <w:szCs w:val="18"/>
                <w:lang w:val="en-US"/>
              </w:rPr>
              <w:t xml:space="preserve"> (</w:t>
            </w:r>
            <w:r w:rsidR="00CB580D">
              <w:rPr>
                <w:sz w:val="18"/>
                <w:szCs w:val="18"/>
                <w:lang w:val="en-US"/>
              </w:rPr>
              <w:t>M</w:t>
            </w:r>
            <w:r w:rsidR="00D23DEA">
              <w:rPr>
                <w:sz w:val="18"/>
                <w:szCs w:val="18"/>
                <w:lang w:val="en-US"/>
              </w:rPr>
              <w:t>)</w:t>
            </w:r>
          </w:p>
        </w:tc>
        <w:tc>
          <w:tcPr>
            <w:tcW w:w="0" w:type="auto"/>
            <w:tcBorders>
              <w:bottom w:val="dotted" w:sz="4" w:space="0" w:color="auto"/>
            </w:tcBorders>
          </w:tcPr>
          <w:p w14:paraId="1B2CE6AE" w14:textId="7C4BF248" w:rsidR="00CE0A06" w:rsidRPr="005801F3" w:rsidRDefault="00772068" w:rsidP="005801F3">
            <w:pPr>
              <w:pStyle w:val="051Tabletext228pt"/>
              <w:rPr>
                <w:sz w:val="18"/>
                <w:szCs w:val="18"/>
                <w:lang w:val="en-US"/>
              </w:rPr>
            </w:pPr>
            <w:r>
              <w:rPr>
                <w:sz w:val="18"/>
                <w:szCs w:val="18"/>
                <w:lang w:val="en-US"/>
              </w:rPr>
              <w:t>No difference</w:t>
            </w:r>
          </w:p>
        </w:tc>
      </w:tr>
      <w:tr w:rsidR="00F71A64" w:rsidRPr="00F8075A" w14:paraId="70A12666" w14:textId="78B971E5" w:rsidTr="003A0F95">
        <w:tc>
          <w:tcPr>
            <w:tcW w:w="2700" w:type="dxa"/>
            <w:tcBorders>
              <w:top w:val="nil"/>
              <w:bottom w:val="nil"/>
            </w:tcBorders>
          </w:tcPr>
          <w:p w14:paraId="67054906" w14:textId="2A1AAEFB" w:rsidR="00403CCB" w:rsidRPr="00640901" w:rsidRDefault="00403CCB" w:rsidP="00640901">
            <w:pPr>
              <w:pStyle w:val="061Tabletext628pt"/>
              <w:spacing w:before="40"/>
              <w:ind w:left="-57" w:right="-57"/>
              <w:rPr>
                <w:rFonts w:asciiTheme="minorHAnsi" w:hAnsiTheme="minorHAnsi" w:cstheme="minorHAnsi"/>
                <w:sz w:val="18"/>
                <w:szCs w:val="18"/>
              </w:rPr>
            </w:pPr>
          </w:p>
        </w:tc>
        <w:tc>
          <w:tcPr>
            <w:tcW w:w="2249" w:type="dxa"/>
            <w:gridSpan w:val="3"/>
            <w:tcBorders>
              <w:top w:val="dotted" w:sz="4" w:space="0" w:color="auto"/>
              <w:bottom w:val="dotted" w:sz="4" w:space="0" w:color="auto"/>
            </w:tcBorders>
          </w:tcPr>
          <w:p w14:paraId="3F82A9D8" w14:textId="7930B52F" w:rsidR="00403CCB" w:rsidRPr="005801F3" w:rsidRDefault="00D23DEA" w:rsidP="005801F3">
            <w:pPr>
              <w:pStyle w:val="051Tabletext228pt"/>
              <w:rPr>
                <w:sz w:val="18"/>
                <w:szCs w:val="18"/>
                <w:lang w:val="en-US"/>
              </w:rPr>
            </w:pPr>
            <w:proofErr w:type="spellStart"/>
            <w:r w:rsidRPr="001F6CCB">
              <w:rPr>
                <w:rFonts w:asciiTheme="minorHAnsi" w:hAnsiTheme="minorHAnsi" w:cstheme="minorHAnsi"/>
                <w:sz w:val="18"/>
                <w:szCs w:val="18"/>
              </w:rPr>
              <w:t>Canós-Verdecho</w:t>
            </w:r>
            <w:proofErr w:type="spellEnd"/>
            <w:r w:rsidRPr="001F6CCB">
              <w:rPr>
                <w:rFonts w:asciiTheme="minorHAnsi" w:hAnsiTheme="minorHAnsi" w:cstheme="minorHAnsi"/>
                <w:sz w:val="18"/>
                <w:szCs w:val="18"/>
              </w:rPr>
              <w:t xml:space="preserve"> (202</w:t>
            </w:r>
            <w:r w:rsidR="0026663C">
              <w:rPr>
                <w:rFonts w:asciiTheme="minorHAnsi" w:hAnsiTheme="minorHAnsi" w:cstheme="minorHAnsi"/>
                <w:sz w:val="18"/>
                <w:szCs w:val="18"/>
              </w:rPr>
              <w:t>1</w:t>
            </w:r>
            <w:r w:rsidRPr="001F6CCB">
              <w:rPr>
                <w:rFonts w:asciiTheme="minorHAnsi" w:hAnsiTheme="minorHAnsi" w:cstheme="minorHAnsi"/>
                <w:sz w:val="18"/>
                <w:szCs w:val="18"/>
              </w:rPr>
              <w:t>)</w:t>
            </w:r>
          </w:p>
        </w:tc>
        <w:tc>
          <w:tcPr>
            <w:tcW w:w="0" w:type="auto"/>
            <w:tcBorders>
              <w:top w:val="dotted" w:sz="4" w:space="0" w:color="auto"/>
              <w:bottom w:val="dotted" w:sz="4" w:space="0" w:color="auto"/>
            </w:tcBorders>
            <w:shd w:val="clear" w:color="auto" w:fill="auto"/>
          </w:tcPr>
          <w:p w14:paraId="12BA9AEA" w14:textId="276F5497" w:rsidR="00403CCB" w:rsidRPr="005801F3" w:rsidRDefault="00640901" w:rsidP="005801F3">
            <w:pPr>
              <w:pStyle w:val="051Tabletext228pt"/>
              <w:rPr>
                <w:sz w:val="18"/>
                <w:szCs w:val="18"/>
                <w:lang w:val="en-US"/>
              </w:rPr>
            </w:pPr>
            <w:r>
              <w:rPr>
                <w:sz w:val="18"/>
                <w:szCs w:val="18"/>
                <w:lang w:val="en-US"/>
              </w:rPr>
              <w:t>None</w:t>
            </w:r>
          </w:p>
        </w:tc>
        <w:tc>
          <w:tcPr>
            <w:tcW w:w="0" w:type="auto"/>
            <w:tcBorders>
              <w:top w:val="dotted" w:sz="4" w:space="0" w:color="auto"/>
              <w:bottom w:val="dotted" w:sz="4" w:space="0" w:color="auto"/>
            </w:tcBorders>
          </w:tcPr>
          <w:p w14:paraId="1BD5B583" w14:textId="3CFB1E34" w:rsidR="00403CCB" w:rsidRPr="005801F3" w:rsidRDefault="00D23DEA" w:rsidP="005801F3">
            <w:pPr>
              <w:pStyle w:val="051Tabletext228pt"/>
              <w:rPr>
                <w:sz w:val="18"/>
                <w:szCs w:val="18"/>
                <w:lang w:val="en-US"/>
              </w:rPr>
            </w:pPr>
            <w:r>
              <w:rPr>
                <w:sz w:val="18"/>
                <w:szCs w:val="18"/>
                <w:lang w:val="en-US"/>
              </w:rPr>
              <w:t>NR</w:t>
            </w:r>
            <w:r w:rsidR="00CB580D">
              <w:rPr>
                <w:sz w:val="18"/>
                <w:szCs w:val="18"/>
                <w:lang w:val="en-US"/>
              </w:rPr>
              <w:t xml:space="preserve"> (M, L)</w:t>
            </w:r>
          </w:p>
        </w:tc>
        <w:tc>
          <w:tcPr>
            <w:tcW w:w="0" w:type="auto"/>
            <w:tcBorders>
              <w:top w:val="dotted" w:sz="4" w:space="0" w:color="auto"/>
              <w:bottom w:val="dotted" w:sz="4" w:space="0" w:color="auto"/>
            </w:tcBorders>
          </w:tcPr>
          <w:p w14:paraId="11B17018" w14:textId="0E2B2282" w:rsidR="00CE0A06" w:rsidRPr="005801F3" w:rsidRDefault="0065696A" w:rsidP="005801F3">
            <w:pPr>
              <w:pStyle w:val="051Tabletext228pt"/>
              <w:rPr>
                <w:sz w:val="18"/>
                <w:szCs w:val="18"/>
                <w:lang w:val="en-US"/>
              </w:rPr>
            </w:pPr>
            <w:r>
              <w:rPr>
                <w:sz w:val="18"/>
                <w:szCs w:val="18"/>
                <w:lang w:val="en-US"/>
              </w:rPr>
              <w:t>No difference</w:t>
            </w:r>
          </w:p>
        </w:tc>
      </w:tr>
      <w:tr w:rsidR="00F71A64" w:rsidRPr="00F8075A" w14:paraId="6348F1DA" w14:textId="68ADE5BD" w:rsidTr="003A0F95">
        <w:tc>
          <w:tcPr>
            <w:tcW w:w="2700" w:type="dxa"/>
            <w:tcBorders>
              <w:top w:val="nil"/>
              <w:bottom w:val="nil"/>
            </w:tcBorders>
          </w:tcPr>
          <w:p w14:paraId="714AFFA7" w14:textId="09EF511A" w:rsidR="00403CCB" w:rsidRPr="00640901" w:rsidRDefault="00403CCB" w:rsidP="00640901">
            <w:pPr>
              <w:pStyle w:val="061Tabletext628pt"/>
              <w:spacing w:before="40"/>
              <w:ind w:left="-57" w:right="-57"/>
              <w:rPr>
                <w:rFonts w:asciiTheme="minorHAnsi" w:hAnsiTheme="minorHAnsi" w:cstheme="minorHAnsi"/>
                <w:sz w:val="18"/>
                <w:szCs w:val="18"/>
              </w:rPr>
            </w:pPr>
          </w:p>
        </w:tc>
        <w:tc>
          <w:tcPr>
            <w:tcW w:w="2249" w:type="dxa"/>
            <w:gridSpan w:val="3"/>
            <w:tcBorders>
              <w:top w:val="dotted" w:sz="4" w:space="0" w:color="auto"/>
              <w:bottom w:val="dotted" w:sz="4" w:space="0" w:color="auto"/>
            </w:tcBorders>
          </w:tcPr>
          <w:p w14:paraId="2D8F3E36" w14:textId="3D28F528" w:rsidR="00403CCB" w:rsidRPr="005801F3" w:rsidRDefault="00D23DEA" w:rsidP="005801F3">
            <w:pPr>
              <w:pStyle w:val="051Tabletext228pt"/>
              <w:rPr>
                <w:sz w:val="18"/>
                <w:szCs w:val="18"/>
                <w:lang w:val="en-US"/>
              </w:rPr>
            </w:pPr>
            <w:r w:rsidRPr="001F6CCB">
              <w:rPr>
                <w:rFonts w:asciiTheme="minorHAnsi" w:hAnsiTheme="minorHAnsi" w:cstheme="minorHAnsi"/>
                <w:sz w:val="18"/>
                <w:szCs w:val="18"/>
              </w:rPr>
              <w:t>De Andres (2017)</w:t>
            </w:r>
          </w:p>
        </w:tc>
        <w:tc>
          <w:tcPr>
            <w:tcW w:w="0" w:type="auto"/>
            <w:tcBorders>
              <w:top w:val="dotted" w:sz="4" w:space="0" w:color="auto"/>
              <w:bottom w:val="dotted" w:sz="4" w:space="0" w:color="auto"/>
            </w:tcBorders>
            <w:shd w:val="clear" w:color="auto" w:fill="auto"/>
          </w:tcPr>
          <w:p w14:paraId="6B526FE3" w14:textId="14388846" w:rsidR="00403CCB" w:rsidRPr="005801F3" w:rsidRDefault="00640901" w:rsidP="005801F3">
            <w:pPr>
              <w:pStyle w:val="051Tabletext228pt"/>
              <w:rPr>
                <w:sz w:val="18"/>
                <w:szCs w:val="18"/>
                <w:lang w:val="en-US"/>
              </w:rPr>
            </w:pPr>
            <w:r>
              <w:rPr>
                <w:sz w:val="18"/>
                <w:szCs w:val="18"/>
                <w:lang w:val="en-US"/>
              </w:rPr>
              <w:t>Partial</w:t>
            </w:r>
          </w:p>
        </w:tc>
        <w:tc>
          <w:tcPr>
            <w:tcW w:w="0" w:type="auto"/>
            <w:tcBorders>
              <w:top w:val="dotted" w:sz="4" w:space="0" w:color="auto"/>
              <w:bottom w:val="dotted" w:sz="4" w:space="0" w:color="auto"/>
            </w:tcBorders>
          </w:tcPr>
          <w:p w14:paraId="549B423D" w14:textId="24378AE2" w:rsidR="00403CCB" w:rsidRPr="005801F3" w:rsidRDefault="0065696A" w:rsidP="005801F3">
            <w:pPr>
              <w:pStyle w:val="051Tabletext228pt"/>
              <w:rPr>
                <w:sz w:val="18"/>
                <w:szCs w:val="18"/>
                <w:lang w:val="en-US"/>
              </w:rPr>
            </w:pPr>
            <w:r>
              <w:rPr>
                <w:sz w:val="18"/>
                <w:szCs w:val="18"/>
                <w:lang w:val="en-US"/>
              </w:rPr>
              <w:t>No effect</w:t>
            </w:r>
            <w:r w:rsidR="00CB580D">
              <w:rPr>
                <w:sz w:val="18"/>
                <w:szCs w:val="18"/>
                <w:lang w:val="en-US"/>
              </w:rPr>
              <w:t xml:space="preserve"> (M, L)</w:t>
            </w:r>
          </w:p>
        </w:tc>
        <w:tc>
          <w:tcPr>
            <w:tcW w:w="0" w:type="auto"/>
            <w:tcBorders>
              <w:top w:val="dotted" w:sz="4" w:space="0" w:color="auto"/>
              <w:bottom w:val="dotted" w:sz="4" w:space="0" w:color="auto"/>
            </w:tcBorders>
          </w:tcPr>
          <w:p w14:paraId="6E001E9F" w14:textId="27173FE2" w:rsidR="00CE0A06" w:rsidRPr="005801F3" w:rsidRDefault="0065696A" w:rsidP="005801F3">
            <w:pPr>
              <w:pStyle w:val="051Tabletext228pt"/>
              <w:rPr>
                <w:sz w:val="18"/>
                <w:szCs w:val="18"/>
                <w:lang w:val="en-US"/>
              </w:rPr>
            </w:pPr>
            <w:r>
              <w:rPr>
                <w:sz w:val="18"/>
                <w:szCs w:val="18"/>
                <w:lang w:val="en-US"/>
              </w:rPr>
              <w:t>No difference</w:t>
            </w:r>
          </w:p>
        </w:tc>
      </w:tr>
      <w:tr w:rsidR="00F71A64" w:rsidRPr="00F8075A" w14:paraId="7AE2FCEC" w14:textId="0FC58FFD" w:rsidTr="003A0F95">
        <w:tc>
          <w:tcPr>
            <w:tcW w:w="2700" w:type="dxa"/>
            <w:tcBorders>
              <w:top w:val="nil"/>
              <w:bottom w:val="single" w:sz="4" w:space="0" w:color="auto"/>
            </w:tcBorders>
          </w:tcPr>
          <w:p w14:paraId="00733448" w14:textId="3D07180E" w:rsidR="00403CCB" w:rsidRPr="006816CD" w:rsidRDefault="00403CCB" w:rsidP="006816CD">
            <w:pPr>
              <w:pStyle w:val="061Tabletext628pt"/>
              <w:spacing w:before="40"/>
              <w:ind w:left="-57" w:right="-57"/>
              <w:rPr>
                <w:rFonts w:asciiTheme="minorHAnsi" w:hAnsiTheme="minorHAnsi" w:cstheme="minorHAnsi"/>
                <w:sz w:val="18"/>
                <w:szCs w:val="18"/>
              </w:rPr>
            </w:pPr>
          </w:p>
        </w:tc>
        <w:tc>
          <w:tcPr>
            <w:tcW w:w="2249" w:type="dxa"/>
            <w:gridSpan w:val="3"/>
            <w:tcBorders>
              <w:top w:val="dotted" w:sz="4" w:space="0" w:color="auto"/>
              <w:bottom w:val="single" w:sz="4" w:space="0" w:color="auto"/>
            </w:tcBorders>
          </w:tcPr>
          <w:p w14:paraId="21E862FA" w14:textId="1E5FB187" w:rsidR="00403CCB" w:rsidRPr="005801F3" w:rsidRDefault="00D23DEA" w:rsidP="005801F3">
            <w:pPr>
              <w:pStyle w:val="051Tabletext228pt"/>
              <w:rPr>
                <w:sz w:val="18"/>
                <w:szCs w:val="18"/>
                <w:lang w:val="en-US"/>
              </w:rPr>
            </w:pPr>
            <w:r w:rsidRPr="001F6CCB">
              <w:rPr>
                <w:rFonts w:asciiTheme="minorHAnsi" w:hAnsiTheme="minorHAnsi" w:cstheme="minorHAnsi"/>
                <w:sz w:val="18"/>
                <w:szCs w:val="18"/>
              </w:rPr>
              <w:t>SENZA-RCT (</w:t>
            </w:r>
            <w:proofErr w:type="spellStart"/>
            <w:r w:rsidRPr="001F6CCB">
              <w:rPr>
                <w:rFonts w:asciiTheme="minorHAnsi" w:hAnsiTheme="minorHAnsi" w:cstheme="minorHAnsi"/>
                <w:sz w:val="18"/>
                <w:szCs w:val="18"/>
              </w:rPr>
              <w:t>Kapural</w:t>
            </w:r>
            <w:proofErr w:type="spellEnd"/>
            <w:r w:rsidRPr="001F6CCB">
              <w:rPr>
                <w:rFonts w:asciiTheme="minorHAnsi" w:hAnsiTheme="minorHAnsi" w:cstheme="minorHAnsi"/>
                <w:sz w:val="18"/>
                <w:szCs w:val="18"/>
              </w:rPr>
              <w:t xml:space="preserve"> 2015</w:t>
            </w:r>
            <w:r w:rsidR="00E50EAF">
              <w:rPr>
                <w:rFonts w:asciiTheme="minorHAnsi" w:hAnsiTheme="minorHAnsi" w:cstheme="minorHAnsi"/>
                <w:sz w:val="18"/>
                <w:szCs w:val="18"/>
              </w:rPr>
              <w:t>;</w:t>
            </w:r>
            <w:r w:rsidRPr="001F6CCB">
              <w:rPr>
                <w:rFonts w:asciiTheme="minorHAnsi" w:hAnsiTheme="minorHAnsi" w:cstheme="minorHAnsi"/>
                <w:sz w:val="18"/>
                <w:szCs w:val="18"/>
              </w:rPr>
              <w:t xml:space="preserve"> </w:t>
            </w:r>
            <w:proofErr w:type="spellStart"/>
            <w:r w:rsidR="00E50EAF" w:rsidRPr="001F6CCB">
              <w:rPr>
                <w:rFonts w:asciiTheme="minorHAnsi" w:hAnsiTheme="minorHAnsi" w:cstheme="minorHAnsi"/>
                <w:sz w:val="18"/>
                <w:szCs w:val="18"/>
              </w:rPr>
              <w:t>Kapural</w:t>
            </w:r>
            <w:proofErr w:type="spellEnd"/>
            <w:r w:rsidRPr="001F6CCB">
              <w:rPr>
                <w:rFonts w:asciiTheme="minorHAnsi" w:hAnsiTheme="minorHAnsi" w:cstheme="minorHAnsi"/>
                <w:sz w:val="18"/>
                <w:szCs w:val="18"/>
              </w:rPr>
              <w:t xml:space="preserve"> 201</w:t>
            </w:r>
            <w:r w:rsidR="00A23E9D">
              <w:rPr>
                <w:rFonts w:asciiTheme="minorHAnsi" w:hAnsiTheme="minorHAnsi" w:cstheme="minorHAnsi"/>
                <w:sz w:val="18"/>
                <w:szCs w:val="18"/>
              </w:rPr>
              <w:t>6</w:t>
            </w:r>
            <w:r w:rsidRPr="001F6CCB">
              <w:rPr>
                <w:rFonts w:asciiTheme="minorHAnsi" w:hAnsiTheme="minorHAnsi" w:cstheme="minorHAnsi"/>
                <w:sz w:val="18"/>
                <w:szCs w:val="18"/>
              </w:rPr>
              <w:t>)</w:t>
            </w:r>
          </w:p>
        </w:tc>
        <w:tc>
          <w:tcPr>
            <w:tcW w:w="0" w:type="auto"/>
            <w:tcBorders>
              <w:top w:val="dotted" w:sz="4" w:space="0" w:color="auto"/>
              <w:bottom w:val="single" w:sz="4" w:space="0" w:color="auto"/>
            </w:tcBorders>
            <w:shd w:val="clear" w:color="auto" w:fill="auto"/>
          </w:tcPr>
          <w:p w14:paraId="6B29D5E7" w14:textId="3B035911" w:rsidR="00403CCB" w:rsidRPr="005801F3" w:rsidRDefault="006816CD" w:rsidP="005801F3">
            <w:pPr>
              <w:pStyle w:val="051Tabletext228pt"/>
              <w:rPr>
                <w:sz w:val="18"/>
                <w:szCs w:val="18"/>
                <w:lang w:val="en-US"/>
              </w:rPr>
            </w:pPr>
            <w:r>
              <w:rPr>
                <w:sz w:val="18"/>
                <w:szCs w:val="18"/>
                <w:lang w:val="en-US"/>
              </w:rPr>
              <w:t>None</w:t>
            </w:r>
          </w:p>
        </w:tc>
        <w:tc>
          <w:tcPr>
            <w:tcW w:w="0" w:type="auto"/>
            <w:tcBorders>
              <w:top w:val="dotted" w:sz="4" w:space="0" w:color="auto"/>
              <w:bottom w:val="single" w:sz="4" w:space="0" w:color="auto"/>
            </w:tcBorders>
            <w:shd w:val="clear" w:color="auto" w:fill="E2EFD9" w:themeFill="accent6" w:themeFillTint="33"/>
          </w:tcPr>
          <w:p w14:paraId="3EFFEAE4" w14:textId="72E43129" w:rsidR="00403CCB" w:rsidRPr="005801F3" w:rsidRDefault="00531BFF" w:rsidP="005801F3">
            <w:pPr>
              <w:pStyle w:val="051Tabletext228pt"/>
              <w:rPr>
                <w:sz w:val="18"/>
                <w:szCs w:val="18"/>
                <w:lang w:val="en-US"/>
              </w:rPr>
            </w:pPr>
            <w:proofErr w:type="spellStart"/>
            <w:r>
              <w:rPr>
                <w:sz w:val="18"/>
                <w:szCs w:val="18"/>
                <w:lang w:val="en-US"/>
              </w:rPr>
              <w:t>Favours</w:t>
            </w:r>
            <w:proofErr w:type="spellEnd"/>
            <w:r>
              <w:rPr>
                <w:sz w:val="18"/>
                <w:szCs w:val="18"/>
                <w:lang w:val="en-US"/>
              </w:rPr>
              <w:t xml:space="preserve"> HF</w:t>
            </w:r>
            <w:r w:rsidR="005C62FF">
              <w:rPr>
                <w:sz w:val="18"/>
                <w:szCs w:val="18"/>
                <w:lang w:val="en-US"/>
              </w:rPr>
              <w:t>-</w:t>
            </w:r>
            <w:r>
              <w:rPr>
                <w:sz w:val="18"/>
                <w:szCs w:val="18"/>
                <w:lang w:val="en-US"/>
              </w:rPr>
              <w:t>SCS (L)</w:t>
            </w:r>
          </w:p>
        </w:tc>
        <w:tc>
          <w:tcPr>
            <w:tcW w:w="0" w:type="auto"/>
            <w:tcBorders>
              <w:top w:val="dotted" w:sz="4" w:space="0" w:color="auto"/>
              <w:bottom w:val="single" w:sz="4" w:space="0" w:color="auto"/>
            </w:tcBorders>
            <w:shd w:val="clear" w:color="auto" w:fill="E2EFD9" w:themeFill="accent6" w:themeFillTint="33"/>
          </w:tcPr>
          <w:p w14:paraId="62513F3D" w14:textId="373EE01D" w:rsidR="00CE0A06" w:rsidRPr="005801F3" w:rsidRDefault="00531BFF" w:rsidP="005801F3">
            <w:pPr>
              <w:pStyle w:val="051Tabletext228pt"/>
              <w:rPr>
                <w:sz w:val="18"/>
                <w:szCs w:val="18"/>
                <w:lang w:val="en-US"/>
              </w:rPr>
            </w:pPr>
            <w:proofErr w:type="spellStart"/>
            <w:r>
              <w:rPr>
                <w:sz w:val="18"/>
                <w:szCs w:val="18"/>
                <w:lang w:val="en-US"/>
              </w:rPr>
              <w:t>Favours</w:t>
            </w:r>
            <w:proofErr w:type="spellEnd"/>
            <w:r>
              <w:rPr>
                <w:sz w:val="18"/>
                <w:szCs w:val="18"/>
                <w:lang w:val="en-US"/>
              </w:rPr>
              <w:t xml:space="preserve"> </w:t>
            </w:r>
            <w:r w:rsidR="00F95B10">
              <w:rPr>
                <w:sz w:val="18"/>
                <w:szCs w:val="18"/>
                <w:lang w:val="en-US"/>
              </w:rPr>
              <w:t>HF</w:t>
            </w:r>
            <w:r w:rsidR="005C62FF">
              <w:rPr>
                <w:sz w:val="18"/>
                <w:szCs w:val="18"/>
                <w:lang w:val="en-US"/>
              </w:rPr>
              <w:t>-</w:t>
            </w:r>
            <w:r>
              <w:rPr>
                <w:sz w:val="18"/>
                <w:szCs w:val="18"/>
                <w:lang w:val="en-US"/>
              </w:rPr>
              <w:t>SCS (back pain)</w:t>
            </w:r>
          </w:p>
        </w:tc>
      </w:tr>
      <w:tr w:rsidR="00B517F6" w:rsidRPr="00F8075A" w14:paraId="58C9509A" w14:textId="77777777" w:rsidTr="003A0F95">
        <w:tc>
          <w:tcPr>
            <w:tcW w:w="2700" w:type="dxa"/>
            <w:tcBorders>
              <w:bottom w:val="dotted" w:sz="4" w:space="0" w:color="auto"/>
            </w:tcBorders>
          </w:tcPr>
          <w:p w14:paraId="78650F77" w14:textId="6A440413" w:rsidR="006816CD" w:rsidRPr="001F6CCB" w:rsidRDefault="00531BFF" w:rsidP="006816CD">
            <w:pPr>
              <w:pStyle w:val="061Tabletext628pt"/>
              <w:spacing w:before="40"/>
              <w:ind w:left="-57" w:right="-57"/>
              <w:rPr>
                <w:rFonts w:asciiTheme="minorHAnsi" w:hAnsiTheme="minorHAnsi" w:cstheme="minorHAnsi"/>
                <w:sz w:val="18"/>
                <w:szCs w:val="18"/>
              </w:rPr>
            </w:pPr>
            <w:r w:rsidRPr="005608B1">
              <w:rPr>
                <w:rFonts w:asciiTheme="minorHAnsi" w:hAnsiTheme="minorHAnsi" w:cstheme="minorHAnsi"/>
                <w:sz w:val="18"/>
                <w:szCs w:val="18"/>
              </w:rPr>
              <w:t>Pain intensity (≥ 50% relief)</w:t>
            </w:r>
          </w:p>
        </w:tc>
        <w:tc>
          <w:tcPr>
            <w:tcW w:w="2249" w:type="dxa"/>
            <w:gridSpan w:val="3"/>
            <w:tcBorders>
              <w:bottom w:val="dotted" w:sz="4" w:space="0" w:color="auto"/>
            </w:tcBorders>
          </w:tcPr>
          <w:p w14:paraId="5DB3B823" w14:textId="0BE85D43" w:rsidR="006816CD" w:rsidRPr="005801F3" w:rsidRDefault="002A6B13" w:rsidP="005801F3">
            <w:pPr>
              <w:pStyle w:val="051Tabletext228pt"/>
              <w:rPr>
                <w:sz w:val="18"/>
                <w:szCs w:val="18"/>
                <w:lang w:val="en-US"/>
              </w:rPr>
            </w:pPr>
            <w:r>
              <w:rPr>
                <w:sz w:val="18"/>
                <w:szCs w:val="18"/>
                <w:lang w:val="en-US"/>
              </w:rPr>
              <w:t>SURF (</w:t>
            </w:r>
            <w:proofErr w:type="spellStart"/>
            <w:r w:rsidR="00585048">
              <w:rPr>
                <w:sz w:val="18"/>
                <w:szCs w:val="18"/>
                <w:lang w:val="en-US"/>
              </w:rPr>
              <w:t>Bolash</w:t>
            </w:r>
            <w:proofErr w:type="spellEnd"/>
            <w:r w:rsidR="00585048">
              <w:rPr>
                <w:sz w:val="18"/>
                <w:szCs w:val="18"/>
                <w:lang w:val="en-US"/>
              </w:rPr>
              <w:t xml:space="preserve"> 2019)</w:t>
            </w:r>
          </w:p>
        </w:tc>
        <w:tc>
          <w:tcPr>
            <w:tcW w:w="0" w:type="auto"/>
            <w:tcBorders>
              <w:bottom w:val="dotted" w:sz="4" w:space="0" w:color="auto"/>
            </w:tcBorders>
            <w:shd w:val="clear" w:color="auto" w:fill="auto"/>
          </w:tcPr>
          <w:p w14:paraId="52ABF161" w14:textId="036D1DBC" w:rsidR="006816CD" w:rsidRDefault="00585048" w:rsidP="005801F3">
            <w:pPr>
              <w:pStyle w:val="051Tabletext228pt"/>
              <w:rPr>
                <w:sz w:val="18"/>
                <w:szCs w:val="18"/>
                <w:lang w:val="en-US"/>
              </w:rPr>
            </w:pPr>
            <w:r>
              <w:rPr>
                <w:sz w:val="18"/>
                <w:szCs w:val="18"/>
                <w:lang w:val="en-US"/>
              </w:rPr>
              <w:t>None</w:t>
            </w:r>
          </w:p>
        </w:tc>
        <w:tc>
          <w:tcPr>
            <w:tcW w:w="0" w:type="auto"/>
            <w:tcBorders>
              <w:bottom w:val="dotted" w:sz="4" w:space="0" w:color="auto"/>
            </w:tcBorders>
          </w:tcPr>
          <w:p w14:paraId="2957E7D6" w14:textId="0EB8A1D7" w:rsidR="006816CD" w:rsidRPr="005801F3" w:rsidRDefault="00585048" w:rsidP="005801F3">
            <w:pPr>
              <w:pStyle w:val="051Tabletext228pt"/>
              <w:rPr>
                <w:sz w:val="18"/>
                <w:szCs w:val="18"/>
                <w:lang w:val="en-US"/>
              </w:rPr>
            </w:pPr>
            <w:r>
              <w:rPr>
                <w:sz w:val="18"/>
                <w:szCs w:val="18"/>
                <w:lang w:val="en-US"/>
              </w:rPr>
              <w:t>No effect (M)</w:t>
            </w:r>
          </w:p>
        </w:tc>
        <w:tc>
          <w:tcPr>
            <w:tcW w:w="0" w:type="auto"/>
            <w:tcBorders>
              <w:bottom w:val="dotted" w:sz="4" w:space="0" w:color="auto"/>
            </w:tcBorders>
          </w:tcPr>
          <w:p w14:paraId="2C65CF2A" w14:textId="03B07B3B" w:rsidR="006816CD" w:rsidRPr="005801F3" w:rsidRDefault="00585048" w:rsidP="005801F3">
            <w:pPr>
              <w:pStyle w:val="051Tabletext228pt"/>
              <w:rPr>
                <w:sz w:val="18"/>
                <w:szCs w:val="18"/>
                <w:lang w:val="en-US"/>
              </w:rPr>
            </w:pPr>
            <w:r>
              <w:rPr>
                <w:sz w:val="18"/>
                <w:szCs w:val="18"/>
                <w:lang w:val="en-US"/>
              </w:rPr>
              <w:t>No difference</w:t>
            </w:r>
          </w:p>
        </w:tc>
      </w:tr>
      <w:tr w:rsidR="00F71A64" w:rsidRPr="00F8075A" w14:paraId="32F8C76A" w14:textId="77777777" w:rsidTr="003A0F95">
        <w:tc>
          <w:tcPr>
            <w:tcW w:w="2700" w:type="dxa"/>
            <w:tcBorders>
              <w:top w:val="dotted" w:sz="4" w:space="0" w:color="auto"/>
            </w:tcBorders>
          </w:tcPr>
          <w:p w14:paraId="188D5ABA" w14:textId="77777777" w:rsidR="006816CD" w:rsidRPr="001F6CCB" w:rsidRDefault="006816CD" w:rsidP="006816CD">
            <w:pPr>
              <w:pStyle w:val="061Tabletext628pt"/>
              <w:spacing w:before="40"/>
              <w:ind w:left="-57" w:right="-57"/>
              <w:rPr>
                <w:rFonts w:asciiTheme="minorHAnsi" w:hAnsiTheme="minorHAnsi" w:cstheme="minorHAnsi"/>
                <w:sz w:val="18"/>
                <w:szCs w:val="18"/>
              </w:rPr>
            </w:pPr>
          </w:p>
        </w:tc>
        <w:tc>
          <w:tcPr>
            <w:tcW w:w="2249" w:type="dxa"/>
            <w:gridSpan w:val="3"/>
            <w:tcBorders>
              <w:top w:val="dotted" w:sz="4" w:space="0" w:color="auto"/>
            </w:tcBorders>
          </w:tcPr>
          <w:p w14:paraId="4861BFA4" w14:textId="3E1021AA" w:rsidR="006816CD" w:rsidRPr="005801F3" w:rsidRDefault="00585048" w:rsidP="005801F3">
            <w:pPr>
              <w:pStyle w:val="051Tabletext228pt"/>
              <w:rPr>
                <w:sz w:val="18"/>
                <w:szCs w:val="18"/>
                <w:lang w:val="en-US"/>
              </w:rPr>
            </w:pPr>
            <w:r w:rsidRPr="001F6CCB">
              <w:rPr>
                <w:rFonts w:asciiTheme="minorHAnsi" w:hAnsiTheme="minorHAnsi" w:cstheme="minorHAnsi"/>
                <w:sz w:val="18"/>
                <w:szCs w:val="18"/>
              </w:rPr>
              <w:t>SENZA-RCT (</w:t>
            </w:r>
            <w:proofErr w:type="spellStart"/>
            <w:r w:rsidRPr="001F6CCB">
              <w:rPr>
                <w:rFonts w:asciiTheme="minorHAnsi" w:hAnsiTheme="minorHAnsi" w:cstheme="minorHAnsi"/>
                <w:sz w:val="18"/>
                <w:szCs w:val="18"/>
              </w:rPr>
              <w:t>Kapural</w:t>
            </w:r>
            <w:proofErr w:type="spellEnd"/>
            <w:r w:rsidRPr="001F6CCB">
              <w:rPr>
                <w:rFonts w:asciiTheme="minorHAnsi" w:hAnsiTheme="minorHAnsi" w:cstheme="minorHAnsi"/>
                <w:sz w:val="18"/>
                <w:szCs w:val="18"/>
              </w:rPr>
              <w:t xml:space="preserve"> 2015</w:t>
            </w:r>
            <w:r w:rsidR="00EE6D4F">
              <w:rPr>
                <w:rFonts w:asciiTheme="minorHAnsi" w:hAnsiTheme="minorHAnsi" w:cstheme="minorHAnsi"/>
                <w:sz w:val="18"/>
                <w:szCs w:val="18"/>
              </w:rPr>
              <w:t>;</w:t>
            </w:r>
            <w:r w:rsidRPr="001F6CCB">
              <w:rPr>
                <w:rFonts w:asciiTheme="minorHAnsi" w:hAnsiTheme="minorHAnsi" w:cstheme="minorHAnsi"/>
                <w:sz w:val="18"/>
                <w:szCs w:val="18"/>
              </w:rPr>
              <w:t xml:space="preserve"> </w:t>
            </w:r>
            <w:proofErr w:type="spellStart"/>
            <w:r w:rsidR="00EE6D4F" w:rsidRPr="001F6CCB">
              <w:rPr>
                <w:rFonts w:asciiTheme="minorHAnsi" w:hAnsiTheme="minorHAnsi" w:cstheme="minorHAnsi"/>
                <w:sz w:val="18"/>
                <w:szCs w:val="18"/>
              </w:rPr>
              <w:t>Kapural</w:t>
            </w:r>
            <w:proofErr w:type="spellEnd"/>
            <w:r w:rsidRPr="001F6CCB">
              <w:rPr>
                <w:rFonts w:asciiTheme="minorHAnsi" w:hAnsiTheme="minorHAnsi" w:cstheme="minorHAnsi"/>
                <w:sz w:val="18"/>
                <w:szCs w:val="18"/>
              </w:rPr>
              <w:t xml:space="preserve"> 201</w:t>
            </w:r>
            <w:r w:rsidR="00A23E9D">
              <w:rPr>
                <w:rFonts w:asciiTheme="minorHAnsi" w:hAnsiTheme="minorHAnsi" w:cstheme="minorHAnsi"/>
                <w:sz w:val="18"/>
                <w:szCs w:val="18"/>
              </w:rPr>
              <w:t>6</w:t>
            </w:r>
            <w:r w:rsidRPr="001F6CCB">
              <w:rPr>
                <w:rFonts w:asciiTheme="minorHAnsi" w:hAnsiTheme="minorHAnsi" w:cstheme="minorHAnsi"/>
                <w:sz w:val="18"/>
                <w:szCs w:val="18"/>
              </w:rPr>
              <w:t>)</w:t>
            </w:r>
          </w:p>
        </w:tc>
        <w:tc>
          <w:tcPr>
            <w:tcW w:w="0" w:type="auto"/>
            <w:tcBorders>
              <w:top w:val="dotted" w:sz="4" w:space="0" w:color="auto"/>
            </w:tcBorders>
            <w:shd w:val="clear" w:color="auto" w:fill="auto"/>
          </w:tcPr>
          <w:p w14:paraId="6901D849" w14:textId="742A741B" w:rsidR="006816CD" w:rsidRDefault="00585048" w:rsidP="005801F3">
            <w:pPr>
              <w:pStyle w:val="051Tabletext228pt"/>
              <w:rPr>
                <w:sz w:val="18"/>
                <w:szCs w:val="18"/>
                <w:lang w:val="en-US"/>
              </w:rPr>
            </w:pPr>
            <w:r>
              <w:rPr>
                <w:sz w:val="18"/>
                <w:szCs w:val="18"/>
                <w:lang w:val="en-US"/>
              </w:rPr>
              <w:t>None</w:t>
            </w:r>
          </w:p>
        </w:tc>
        <w:tc>
          <w:tcPr>
            <w:tcW w:w="0" w:type="auto"/>
            <w:tcBorders>
              <w:top w:val="dotted" w:sz="4" w:space="0" w:color="auto"/>
            </w:tcBorders>
            <w:shd w:val="clear" w:color="auto" w:fill="E2EFD9" w:themeFill="accent6" w:themeFillTint="33"/>
          </w:tcPr>
          <w:p w14:paraId="06D353F8" w14:textId="022899DF" w:rsidR="006816CD" w:rsidRPr="005801F3" w:rsidRDefault="00585048" w:rsidP="005801F3">
            <w:pPr>
              <w:pStyle w:val="051Tabletext228pt"/>
              <w:rPr>
                <w:sz w:val="18"/>
                <w:szCs w:val="18"/>
                <w:lang w:val="en-US"/>
              </w:rPr>
            </w:pPr>
            <w:proofErr w:type="spellStart"/>
            <w:r>
              <w:rPr>
                <w:sz w:val="18"/>
                <w:szCs w:val="18"/>
                <w:lang w:val="en-US"/>
              </w:rPr>
              <w:t>Favours</w:t>
            </w:r>
            <w:proofErr w:type="spellEnd"/>
            <w:r>
              <w:rPr>
                <w:sz w:val="18"/>
                <w:szCs w:val="18"/>
                <w:lang w:val="en-US"/>
              </w:rPr>
              <w:t xml:space="preserve"> HF</w:t>
            </w:r>
            <w:r w:rsidR="005C62FF">
              <w:rPr>
                <w:sz w:val="18"/>
                <w:szCs w:val="18"/>
                <w:lang w:val="en-US"/>
              </w:rPr>
              <w:t>-</w:t>
            </w:r>
            <w:r>
              <w:rPr>
                <w:sz w:val="18"/>
                <w:szCs w:val="18"/>
                <w:lang w:val="en-US"/>
              </w:rPr>
              <w:t>SCS (L)</w:t>
            </w:r>
          </w:p>
        </w:tc>
        <w:tc>
          <w:tcPr>
            <w:tcW w:w="0" w:type="auto"/>
            <w:tcBorders>
              <w:top w:val="dotted" w:sz="4" w:space="0" w:color="auto"/>
            </w:tcBorders>
            <w:shd w:val="clear" w:color="auto" w:fill="E2EFD9" w:themeFill="accent6" w:themeFillTint="33"/>
          </w:tcPr>
          <w:p w14:paraId="744916B3" w14:textId="6AA3B19D" w:rsidR="006816CD" w:rsidRPr="005801F3" w:rsidRDefault="00585048" w:rsidP="005801F3">
            <w:pPr>
              <w:pStyle w:val="051Tabletext228pt"/>
              <w:rPr>
                <w:sz w:val="18"/>
                <w:szCs w:val="18"/>
                <w:lang w:val="en-US"/>
              </w:rPr>
            </w:pPr>
            <w:proofErr w:type="spellStart"/>
            <w:r>
              <w:rPr>
                <w:sz w:val="18"/>
                <w:szCs w:val="18"/>
                <w:lang w:val="en-US"/>
              </w:rPr>
              <w:t>Favours</w:t>
            </w:r>
            <w:proofErr w:type="spellEnd"/>
            <w:r>
              <w:rPr>
                <w:sz w:val="18"/>
                <w:szCs w:val="18"/>
                <w:lang w:val="en-US"/>
              </w:rPr>
              <w:t xml:space="preserve"> </w:t>
            </w:r>
            <w:r w:rsidR="00F95B10">
              <w:rPr>
                <w:sz w:val="18"/>
                <w:szCs w:val="18"/>
                <w:lang w:val="en-US"/>
              </w:rPr>
              <w:t>HF</w:t>
            </w:r>
            <w:r w:rsidR="005C62FF">
              <w:rPr>
                <w:sz w:val="18"/>
                <w:szCs w:val="18"/>
                <w:lang w:val="en-US"/>
              </w:rPr>
              <w:t>-</w:t>
            </w:r>
            <w:r>
              <w:rPr>
                <w:sz w:val="18"/>
                <w:szCs w:val="18"/>
                <w:lang w:val="en-US"/>
              </w:rPr>
              <w:t>SCS (back pain)</w:t>
            </w:r>
          </w:p>
        </w:tc>
      </w:tr>
      <w:tr w:rsidR="00F71A64" w:rsidRPr="00F8075A" w14:paraId="54FD9035" w14:textId="77777777" w:rsidTr="00011610">
        <w:tc>
          <w:tcPr>
            <w:tcW w:w="2700" w:type="dxa"/>
            <w:shd w:val="clear" w:color="auto" w:fill="E7E6E6" w:themeFill="background2"/>
          </w:tcPr>
          <w:p w14:paraId="32665F95" w14:textId="2FE046DE" w:rsidR="006816CD" w:rsidRPr="009D4BA9" w:rsidRDefault="009D4BA9" w:rsidP="009D4BA9">
            <w:pPr>
              <w:pStyle w:val="031Tablesubheading8pt"/>
              <w:rPr>
                <w:sz w:val="18"/>
                <w:szCs w:val="18"/>
              </w:rPr>
            </w:pPr>
            <w:r>
              <w:rPr>
                <w:sz w:val="18"/>
                <w:szCs w:val="18"/>
              </w:rPr>
              <w:t xml:space="preserve">DRGS versus </w:t>
            </w:r>
            <w:r w:rsidR="00122DA4">
              <w:rPr>
                <w:sz w:val="18"/>
                <w:szCs w:val="18"/>
              </w:rPr>
              <w:t>conventional</w:t>
            </w:r>
            <w:r w:rsidR="000560D1">
              <w:rPr>
                <w:sz w:val="18"/>
                <w:szCs w:val="18"/>
              </w:rPr>
              <w:t xml:space="preserve"> SCS</w:t>
            </w:r>
          </w:p>
        </w:tc>
        <w:tc>
          <w:tcPr>
            <w:tcW w:w="2249" w:type="dxa"/>
            <w:gridSpan w:val="3"/>
            <w:shd w:val="clear" w:color="auto" w:fill="E7E6E6" w:themeFill="background2"/>
          </w:tcPr>
          <w:p w14:paraId="380E018D" w14:textId="77777777" w:rsidR="006816CD" w:rsidRPr="005801F3" w:rsidRDefault="006816CD" w:rsidP="009D4BA9">
            <w:pPr>
              <w:pStyle w:val="031Tablesubheading8pt"/>
              <w:rPr>
                <w:sz w:val="18"/>
                <w:szCs w:val="18"/>
                <w:lang w:val="en-US"/>
              </w:rPr>
            </w:pPr>
          </w:p>
        </w:tc>
        <w:tc>
          <w:tcPr>
            <w:tcW w:w="0" w:type="auto"/>
            <w:shd w:val="clear" w:color="auto" w:fill="E7E6E6" w:themeFill="background2"/>
          </w:tcPr>
          <w:p w14:paraId="0C5E44F5" w14:textId="77777777" w:rsidR="006816CD" w:rsidRDefault="006816CD" w:rsidP="009D4BA9">
            <w:pPr>
              <w:pStyle w:val="031Tablesubheading8pt"/>
              <w:rPr>
                <w:sz w:val="18"/>
                <w:szCs w:val="18"/>
                <w:lang w:val="en-US"/>
              </w:rPr>
            </w:pPr>
          </w:p>
        </w:tc>
        <w:tc>
          <w:tcPr>
            <w:tcW w:w="0" w:type="auto"/>
            <w:shd w:val="clear" w:color="auto" w:fill="E7E6E6" w:themeFill="background2"/>
          </w:tcPr>
          <w:p w14:paraId="17883077" w14:textId="77777777" w:rsidR="006816CD" w:rsidRPr="005801F3" w:rsidRDefault="006816CD" w:rsidP="009D4BA9">
            <w:pPr>
              <w:pStyle w:val="031Tablesubheading8pt"/>
              <w:rPr>
                <w:sz w:val="18"/>
                <w:szCs w:val="18"/>
                <w:lang w:val="en-US"/>
              </w:rPr>
            </w:pPr>
          </w:p>
        </w:tc>
        <w:tc>
          <w:tcPr>
            <w:tcW w:w="0" w:type="auto"/>
            <w:shd w:val="clear" w:color="auto" w:fill="E7E6E6" w:themeFill="background2"/>
          </w:tcPr>
          <w:p w14:paraId="5EB80751" w14:textId="77777777" w:rsidR="006816CD" w:rsidRPr="005801F3" w:rsidRDefault="006816CD" w:rsidP="009D4BA9">
            <w:pPr>
              <w:pStyle w:val="031Tablesubheading8pt"/>
              <w:rPr>
                <w:sz w:val="18"/>
                <w:szCs w:val="18"/>
                <w:lang w:val="en-US"/>
              </w:rPr>
            </w:pPr>
          </w:p>
        </w:tc>
      </w:tr>
      <w:tr w:rsidR="00F71A64" w:rsidRPr="00F8075A" w14:paraId="6EE6446F" w14:textId="77777777" w:rsidTr="003A0F95">
        <w:tc>
          <w:tcPr>
            <w:tcW w:w="2700" w:type="dxa"/>
          </w:tcPr>
          <w:p w14:paraId="34BB0701" w14:textId="36899DB4" w:rsidR="006816CD" w:rsidRPr="001F6CCB" w:rsidRDefault="00BF6789" w:rsidP="006C37CF">
            <w:pPr>
              <w:pStyle w:val="061Tabletext628pt"/>
              <w:spacing w:before="40"/>
              <w:ind w:left="-58" w:right="-58"/>
              <w:rPr>
                <w:rFonts w:asciiTheme="minorHAnsi" w:hAnsiTheme="minorHAnsi" w:cstheme="minorHAnsi"/>
                <w:sz w:val="18"/>
                <w:szCs w:val="18"/>
              </w:rPr>
            </w:pPr>
            <w:r>
              <w:rPr>
                <w:sz w:val="18"/>
                <w:szCs w:val="18"/>
                <w:lang w:val="en-US"/>
              </w:rPr>
              <w:t>Pain intensity (mean change)</w:t>
            </w:r>
          </w:p>
        </w:tc>
        <w:tc>
          <w:tcPr>
            <w:tcW w:w="2249" w:type="dxa"/>
            <w:gridSpan w:val="3"/>
          </w:tcPr>
          <w:p w14:paraId="0F94E9CB" w14:textId="7D17ABB7" w:rsidR="006816CD" w:rsidRPr="00F8075A" w:rsidRDefault="000560D1" w:rsidP="006C37CF">
            <w:pPr>
              <w:pStyle w:val="061Tabletext628pt"/>
              <w:spacing w:before="40"/>
              <w:rPr>
                <w:sz w:val="18"/>
                <w:szCs w:val="18"/>
              </w:rPr>
            </w:pPr>
            <w:r w:rsidRPr="00F8075A">
              <w:rPr>
                <w:sz w:val="18"/>
                <w:szCs w:val="18"/>
              </w:rPr>
              <w:t>ACCURATE (Deer 2017)</w:t>
            </w:r>
          </w:p>
        </w:tc>
        <w:tc>
          <w:tcPr>
            <w:tcW w:w="0" w:type="auto"/>
            <w:shd w:val="clear" w:color="auto" w:fill="auto"/>
          </w:tcPr>
          <w:p w14:paraId="5ED9BCBA" w14:textId="3A195E30" w:rsidR="006816CD" w:rsidRDefault="000560D1" w:rsidP="005801F3">
            <w:pPr>
              <w:pStyle w:val="051Tabletext228pt"/>
              <w:rPr>
                <w:sz w:val="18"/>
                <w:szCs w:val="18"/>
                <w:lang w:val="en-US"/>
              </w:rPr>
            </w:pPr>
            <w:r>
              <w:rPr>
                <w:sz w:val="18"/>
                <w:szCs w:val="18"/>
                <w:lang w:val="en-US"/>
              </w:rPr>
              <w:t>None</w:t>
            </w:r>
          </w:p>
        </w:tc>
        <w:tc>
          <w:tcPr>
            <w:tcW w:w="0" w:type="auto"/>
          </w:tcPr>
          <w:p w14:paraId="622A1D4F" w14:textId="453D8E06" w:rsidR="006816CD" w:rsidRPr="005801F3" w:rsidRDefault="00BF6789" w:rsidP="005801F3">
            <w:pPr>
              <w:pStyle w:val="051Tabletext228pt"/>
              <w:rPr>
                <w:sz w:val="18"/>
                <w:szCs w:val="18"/>
                <w:lang w:val="en-US"/>
              </w:rPr>
            </w:pPr>
            <w:r>
              <w:rPr>
                <w:sz w:val="18"/>
                <w:szCs w:val="18"/>
                <w:lang w:val="en-US"/>
              </w:rPr>
              <w:t>NR</w:t>
            </w:r>
            <w:r w:rsidR="004C340C">
              <w:rPr>
                <w:sz w:val="18"/>
                <w:szCs w:val="18"/>
                <w:lang w:val="en-US"/>
              </w:rPr>
              <w:t xml:space="preserve"> (M, L)</w:t>
            </w:r>
          </w:p>
        </w:tc>
        <w:tc>
          <w:tcPr>
            <w:tcW w:w="0" w:type="auto"/>
            <w:shd w:val="clear" w:color="auto" w:fill="E2EFD9" w:themeFill="accent6" w:themeFillTint="33"/>
          </w:tcPr>
          <w:p w14:paraId="04B35591" w14:textId="53DEA807" w:rsidR="006816CD" w:rsidRPr="005801F3" w:rsidRDefault="00BF6789" w:rsidP="005801F3">
            <w:pPr>
              <w:pStyle w:val="051Tabletext228pt"/>
              <w:rPr>
                <w:sz w:val="18"/>
                <w:szCs w:val="18"/>
                <w:lang w:val="en-US"/>
              </w:rPr>
            </w:pPr>
            <w:r>
              <w:rPr>
                <w:sz w:val="18"/>
                <w:szCs w:val="18"/>
                <w:lang w:val="en-US"/>
              </w:rPr>
              <w:t xml:space="preserve">Borderline </w:t>
            </w:r>
            <w:proofErr w:type="spellStart"/>
            <w:r>
              <w:rPr>
                <w:sz w:val="18"/>
                <w:szCs w:val="18"/>
                <w:lang w:val="en-US"/>
              </w:rPr>
              <w:t>Favours</w:t>
            </w:r>
            <w:proofErr w:type="spellEnd"/>
            <w:r>
              <w:rPr>
                <w:sz w:val="18"/>
                <w:szCs w:val="18"/>
                <w:lang w:val="en-US"/>
              </w:rPr>
              <w:t xml:space="preserve"> DRGS</w:t>
            </w:r>
          </w:p>
        </w:tc>
      </w:tr>
      <w:tr w:rsidR="00F71A64" w:rsidRPr="00F8075A" w14:paraId="14DFC98D" w14:textId="77777777" w:rsidTr="003A0F95">
        <w:tc>
          <w:tcPr>
            <w:tcW w:w="2700" w:type="dxa"/>
          </w:tcPr>
          <w:p w14:paraId="4DF5D80C" w14:textId="75FC19AC" w:rsidR="006816CD" w:rsidRPr="001F6CCB" w:rsidRDefault="00BF6789" w:rsidP="006816CD">
            <w:pPr>
              <w:pStyle w:val="061Tabletext628pt"/>
              <w:spacing w:before="40"/>
              <w:ind w:left="-57" w:right="-57"/>
              <w:rPr>
                <w:rFonts w:asciiTheme="minorHAnsi" w:hAnsiTheme="minorHAnsi" w:cstheme="minorHAnsi"/>
                <w:sz w:val="18"/>
                <w:szCs w:val="18"/>
              </w:rPr>
            </w:pPr>
            <w:r w:rsidRPr="005608B1">
              <w:rPr>
                <w:rFonts w:asciiTheme="minorHAnsi" w:hAnsiTheme="minorHAnsi" w:cstheme="minorHAnsi"/>
                <w:sz w:val="18"/>
                <w:szCs w:val="18"/>
              </w:rPr>
              <w:t>Pain intensity (≥ 50% relief)</w:t>
            </w:r>
          </w:p>
        </w:tc>
        <w:tc>
          <w:tcPr>
            <w:tcW w:w="2249" w:type="dxa"/>
            <w:gridSpan w:val="3"/>
          </w:tcPr>
          <w:p w14:paraId="7B77F176" w14:textId="21FCDF85" w:rsidR="006816CD" w:rsidRPr="005801F3" w:rsidRDefault="000013C4" w:rsidP="005801F3">
            <w:pPr>
              <w:pStyle w:val="051Tabletext228pt"/>
              <w:rPr>
                <w:sz w:val="18"/>
                <w:szCs w:val="18"/>
                <w:lang w:val="en-US"/>
              </w:rPr>
            </w:pPr>
            <w:r w:rsidRPr="00F8075A">
              <w:rPr>
                <w:sz w:val="18"/>
                <w:szCs w:val="18"/>
              </w:rPr>
              <w:t>ACCURATE (Deer 2017)</w:t>
            </w:r>
          </w:p>
        </w:tc>
        <w:tc>
          <w:tcPr>
            <w:tcW w:w="0" w:type="auto"/>
            <w:shd w:val="clear" w:color="auto" w:fill="auto"/>
          </w:tcPr>
          <w:p w14:paraId="43773EEB" w14:textId="6A70958D" w:rsidR="006816CD" w:rsidRDefault="004C340C" w:rsidP="005801F3">
            <w:pPr>
              <w:pStyle w:val="051Tabletext228pt"/>
              <w:rPr>
                <w:sz w:val="18"/>
                <w:szCs w:val="18"/>
                <w:lang w:val="en-US"/>
              </w:rPr>
            </w:pPr>
            <w:r>
              <w:rPr>
                <w:sz w:val="18"/>
                <w:szCs w:val="18"/>
                <w:lang w:val="en-US"/>
              </w:rPr>
              <w:t>None</w:t>
            </w:r>
          </w:p>
        </w:tc>
        <w:tc>
          <w:tcPr>
            <w:tcW w:w="0" w:type="auto"/>
            <w:shd w:val="clear" w:color="auto" w:fill="E2EFD9" w:themeFill="accent6" w:themeFillTint="33"/>
          </w:tcPr>
          <w:p w14:paraId="50B58B5F" w14:textId="042E425B" w:rsidR="006816CD" w:rsidRPr="005801F3" w:rsidRDefault="005625B2" w:rsidP="005801F3">
            <w:pPr>
              <w:pStyle w:val="051Tabletext228pt"/>
              <w:rPr>
                <w:sz w:val="18"/>
                <w:szCs w:val="18"/>
                <w:lang w:val="en-US"/>
              </w:rPr>
            </w:pPr>
            <w:proofErr w:type="spellStart"/>
            <w:r>
              <w:rPr>
                <w:sz w:val="18"/>
                <w:szCs w:val="18"/>
                <w:lang w:val="en-US"/>
              </w:rPr>
              <w:t>Favours</w:t>
            </w:r>
            <w:proofErr w:type="spellEnd"/>
            <w:r>
              <w:rPr>
                <w:sz w:val="18"/>
                <w:szCs w:val="18"/>
                <w:lang w:val="en-US"/>
              </w:rPr>
              <w:t xml:space="preserve"> DRGS</w:t>
            </w:r>
          </w:p>
        </w:tc>
        <w:tc>
          <w:tcPr>
            <w:tcW w:w="0" w:type="auto"/>
            <w:shd w:val="clear" w:color="auto" w:fill="E2EFD9" w:themeFill="accent6" w:themeFillTint="33"/>
          </w:tcPr>
          <w:p w14:paraId="5FB098B9" w14:textId="12E4DC36" w:rsidR="006816CD" w:rsidRPr="005801F3" w:rsidRDefault="005625B2" w:rsidP="005801F3">
            <w:pPr>
              <w:pStyle w:val="051Tabletext228pt"/>
              <w:rPr>
                <w:sz w:val="18"/>
                <w:szCs w:val="18"/>
                <w:lang w:val="en-US"/>
              </w:rPr>
            </w:pPr>
            <w:proofErr w:type="spellStart"/>
            <w:r>
              <w:rPr>
                <w:sz w:val="18"/>
                <w:szCs w:val="18"/>
                <w:lang w:val="en-US"/>
              </w:rPr>
              <w:t>Favours</w:t>
            </w:r>
            <w:proofErr w:type="spellEnd"/>
            <w:r>
              <w:rPr>
                <w:sz w:val="18"/>
                <w:szCs w:val="18"/>
                <w:lang w:val="en-US"/>
              </w:rPr>
              <w:t xml:space="preserve"> DRGS</w:t>
            </w:r>
          </w:p>
        </w:tc>
      </w:tr>
      <w:tr w:rsidR="00555F08" w:rsidRPr="00F8075A" w14:paraId="7F102E85" w14:textId="77777777" w:rsidTr="00D77CE2">
        <w:tc>
          <w:tcPr>
            <w:tcW w:w="3119" w:type="dxa"/>
            <w:gridSpan w:val="2"/>
            <w:shd w:val="clear" w:color="auto" w:fill="E7E6E6" w:themeFill="background2"/>
          </w:tcPr>
          <w:p w14:paraId="6FDB5F16" w14:textId="1F6AD321" w:rsidR="005625B2" w:rsidRPr="005625B2" w:rsidRDefault="00B64B57" w:rsidP="005625B2">
            <w:pPr>
              <w:pStyle w:val="031Tablesubheading8pt"/>
              <w:rPr>
                <w:sz w:val="18"/>
                <w:szCs w:val="18"/>
              </w:rPr>
            </w:pPr>
            <w:r>
              <w:rPr>
                <w:sz w:val="18"/>
                <w:szCs w:val="18"/>
              </w:rPr>
              <w:t>MCP SCS versus conventional SCS</w:t>
            </w:r>
          </w:p>
        </w:tc>
        <w:tc>
          <w:tcPr>
            <w:tcW w:w="1830" w:type="dxa"/>
            <w:gridSpan w:val="2"/>
            <w:shd w:val="clear" w:color="auto" w:fill="E7E6E6" w:themeFill="background2"/>
          </w:tcPr>
          <w:p w14:paraId="4DDBBCD6" w14:textId="77777777" w:rsidR="005625B2" w:rsidRPr="005625B2" w:rsidRDefault="005625B2" w:rsidP="005625B2">
            <w:pPr>
              <w:pStyle w:val="031Tablesubheading8pt"/>
              <w:rPr>
                <w:sz w:val="18"/>
                <w:szCs w:val="18"/>
                <w:lang w:val="en-US"/>
              </w:rPr>
            </w:pPr>
          </w:p>
        </w:tc>
        <w:tc>
          <w:tcPr>
            <w:tcW w:w="0" w:type="auto"/>
            <w:shd w:val="clear" w:color="auto" w:fill="E7E6E6" w:themeFill="background2"/>
          </w:tcPr>
          <w:p w14:paraId="01E842AD" w14:textId="77777777" w:rsidR="005625B2" w:rsidRPr="005625B2" w:rsidRDefault="005625B2" w:rsidP="005625B2">
            <w:pPr>
              <w:pStyle w:val="031Tablesubheading8pt"/>
              <w:rPr>
                <w:sz w:val="18"/>
                <w:szCs w:val="18"/>
                <w:lang w:val="en-US"/>
              </w:rPr>
            </w:pPr>
          </w:p>
        </w:tc>
        <w:tc>
          <w:tcPr>
            <w:tcW w:w="0" w:type="auto"/>
            <w:shd w:val="clear" w:color="auto" w:fill="E7E6E6" w:themeFill="background2"/>
          </w:tcPr>
          <w:p w14:paraId="46528DA9" w14:textId="77777777" w:rsidR="005625B2" w:rsidRPr="005625B2" w:rsidRDefault="005625B2" w:rsidP="005625B2">
            <w:pPr>
              <w:pStyle w:val="031Tablesubheading8pt"/>
              <w:rPr>
                <w:sz w:val="18"/>
                <w:szCs w:val="18"/>
                <w:lang w:val="en-US"/>
              </w:rPr>
            </w:pPr>
          </w:p>
        </w:tc>
        <w:tc>
          <w:tcPr>
            <w:tcW w:w="0" w:type="auto"/>
            <w:shd w:val="clear" w:color="auto" w:fill="E7E6E6" w:themeFill="background2"/>
          </w:tcPr>
          <w:p w14:paraId="681169AE" w14:textId="77777777" w:rsidR="005625B2" w:rsidRPr="005625B2" w:rsidRDefault="005625B2" w:rsidP="005625B2">
            <w:pPr>
              <w:pStyle w:val="031Tablesubheading8pt"/>
              <w:rPr>
                <w:sz w:val="18"/>
                <w:szCs w:val="18"/>
                <w:lang w:val="en-US"/>
              </w:rPr>
            </w:pPr>
          </w:p>
        </w:tc>
      </w:tr>
      <w:tr w:rsidR="008A1500" w:rsidRPr="00F8075A" w14:paraId="3FBEB275" w14:textId="77777777" w:rsidTr="003A0F95">
        <w:tc>
          <w:tcPr>
            <w:tcW w:w="2700" w:type="dxa"/>
          </w:tcPr>
          <w:p w14:paraId="510CB79E" w14:textId="2FA95D52" w:rsidR="005625B2" w:rsidRPr="005608B1" w:rsidRDefault="00307C94" w:rsidP="006816CD">
            <w:pPr>
              <w:pStyle w:val="061Tabletext628pt"/>
              <w:spacing w:before="40"/>
              <w:ind w:left="-57" w:right="-57"/>
              <w:rPr>
                <w:rFonts w:asciiTheme="minorHAnsi" w:hAnsiTheme="minorHAnsi" w:cstheme="minorHAnsi"/>
                <w:sz w:val="18"/>
                <w:szCs w:val="18"/>
              </w:rPr>
            </w:pPr>
            <w:r>
              <w:rPr>
                <w:sz w:val="18"/>
                <w:szCs w:val="18"/>
                <w:lang w:val="en-US"/>
              </w:rPr>
              <w:t>Pain intensity (mean change)</w:t>
            </w:r>
          </w:p>
        </w:tc>
        <w:tc>
          <w:tcPr>
            <w:tcW w:w="2249" w:type="dxa"/>
            <w:gridSpan w:val="3"/>
          </w:tcPr>
          <w:p w14:paraId="6FED078E" w14:textId="0485F461" w:rsidR="005625B2" w:rsidRPr="00F8075A" w:rsidRDefault="00307C94" w:rsidP="006C37CF">
            <w:pPr>
              <w:pStyle w:val="061Tabletext628pt"/>
              <w:spacing w:before="40"/>
              <w:rPr>
                <w:sz w:val="18"/>
                <w:szCs w:val="18"/>
              </w:rPr>
            </w:pPr>
            <w:r w:rsidRPr="00F8075A">
              <w:rPr>
                <w:sz w:val="18"/>
                <w:szCs w:val="18"/>
              </w:rPr>
              <w:t>ESTIMET (</w:t>
            </w:r>
            <w:proofErr w:type="spellStart"/>
            <w:r w:rsidRPr="00F8075A">
              <w:rPr>
                <w:sz w:val="18"/>
                <w:szCs w:val="18"/>
              </w:rPr>
              <w:t>Rigoard</w:t>
            </w:r>
            <w:proofErr w:type="spellEnd"/>
            <w:r w:rsidRPr="00F8075A">
              <w:rPr>
                <w:sz w:val="18"/>
                <w:szCs w:val="18"/>
              </w:rPr>
              <w:t xml:space="preserve"> 2021)</w:t>
            </w:r>
          </w:p>
        </w:tc>
        <w:tc>
          <w:tcPr>
            <w:tcW w:w="0" w:type="auto"/>
            <w:shd w:val="clear" w:color="auto" w:fill="auto"/>
          </w:tcPr>
          <w:p w14:paraId="7347C6A6" w14:textId="1F933BB4" w:rsidR="005625B2" w:rsidRDefault="00307C94" w:rsidP="005801F3">
            <w:pPr>
              <w:pStyle w:val="051Tabletext228pt"/>
              <w:rPr>
                <w:sz w:val="18"/>
                <w:szCs w:val="18"/>
                <w:lang w:val="en-US"/>
              </w:rPr>
            </w:pPr>
            <w:r>
              <w:rPr>
                <w:sz w:val="18"/>
                <w:szCs w:val="18"/>
                <w:lang w:val="en-US"/>
              </w:rPr>
              <w:t>Yes</w:t>
            </w:r>
          </w:p>
        </w:tc>
        <w:tc>
          <w:tcPr>
            <w:tcW w:w="0" w:type="auto"/>
            <w:shd w:val="clear" w:color="auto" w:fill="auto"/>
          </w:tcPr>
          <w:p w14:paraId="239CB615" w14:textId="0A67DEE6" w:rsidR="005625B2" w:rsidRDefault="00306509" w:rsidP="005801F3">
            <w:pPr>
              <w:pStyle w:val="051Tabletext228pt"/>
              <w:rPr>
                <w:sz w:val="18"/>
                <w:szCs w:val="18"/>
                <w:lang w:val="en-US"/>
              </w:rPr>
            </w:pPr>
            <w:r>
              <w:rPr>
                <w:sz w:val="18"/>
                <w:szCs w:val="18"/>
                <w:lang w:val="en-US"/>
              </w:rPr>
              <w:t>No effect</w:t>
            </w:r>
            <w:r w:rsidR="00F8075A">
              <w:rPr>
                <w:sz w:val="18"/>
                <w:szCs w:val="18"/>
                <w:lang w:val="en-US"/>
              </w:rPr>
              <w:t xml:space="preserve"> (M)</w:t>
            </w:r>
          </w:p>
        </w:tc>
        <w:tc>
          <w:tcPr>
            <w:tcW w:w="0" w:type="auto"/>
            <w:shd w:val="clear" w:color="auto" w:fill="auto"/>
          </w:tcPr>
          <w:p w14:paraId="4E020D22" w14:textId="4FB0A76F" w:rsidR="005625B2" w:rsidRDefault="00306509" w:rsidP="005801F3">
            <w:pPr>
              <w:pStyle w:val="051Tabletext228pt"/>
              <w:rPr>
                <w:sz w:val="18"/>
                <w:szCs w:val="18"/>
                <w:lang w:val="en-US"/>
              </w:rPr>
            </w:pPr>
            <w:r>
              <w:rPr>
                <w:sz w:val="18"/>
                <w:szCs w:val="18"/>
                <w:lang w:val="en-US"/>
              </w:rPr>
              <w:t>No difference</w:t>
            </w:r>
          </w:p>
        </w:tc>
      </w:tr>
      <w:tr w:rsidR="008A1500" w:rsidRPr="00F8075A" w14:paraId="45AABF45" w14:textId="77777777" w:rsidTr="003A0F95">
        <w:tc>
          <w:tcPr>
            <w:tcW w:w="2700" w:type="dxa"/>
          </w:tcPr>
          <w:p w14:paraId="2F8E7C3C" w14:textId="7E99C8B7" w:rsidR="005625B2" w:rsidRPr="005608B1" w:rsidRDefault="00E420D1" w:rsidP="006816CD">
            <w:pPr>
              <w:pStyle w:val="061Tabletext628pt"/>
              <w:spacing w:before="40"/>
              <w:ind w:left="-57" w:right="-57"/>
              <w:rPr>
                <w:rFonts w:asciiTheme="minorHAnsi" w:hAnsiTheme="minorHAnsi" w:cstheme="minorHAnsi"/>
                <w:sz w:val="18"/>
                <w:szCs w:val="18"/>
              </w:rPr>
            </w:pPr>
            <w:r w:rsidRPr="005608B1">
              <w:rPr>
                <w:rFonts w:asciiTheme="minorHAnsi" w:hAnsiTheme="minorHAnsi" w:cstheme="minorHAnsi"/>
                <w:sz w:val="18"/>
                <w:szCs w:val="18"/>
              </w:rPr>
              <w:t>Pain intensity (≥ 50% relief)</w:t>
            </w:r>
          </w:p>
        </w:tc>
        <w:tc>
          <w:tcPr>
            <w:tcW w:w="2249" w:type="dxa"/>
            <w:gridSpan w:val="3"/>
          </w:tcPr>
          <w:p w14:paraId="0840D8C6" w14:textId="007430EF" w:rsidR="005625B2" w:rsidRPr="005801F3" w:rsidRDefault="000013C4" w:rsidP="005801F3">
            <w:pPr>
              <w:pStyle w:val="051Tabletext228pt"/>
              <w:rPr>
                <w:sz w:val="18"/>
                <w:szCs w:val="18"/>
                <w:lang w:val="en-US"/>
              </w:rPr>
            </w:pPr>
            <w:r w:rsidRPr="00F8075A">
              <w:rPr>
                <w:sz w:val="18"/>
                <w:szCs w:val="18"/>
              </w:rPr>
              <w:t>ESTIMET (</w:t>
            </w:r>
            <w:proofErr w:type="spellStart"/>
            <w:r w:rsidRPr="00F8075A">
              <w:rPr>
                <w:sz w:val="18"/>
                <w:szCs w:val="18"/>
              </w:rPr>
              <w:t>Rigoard</w:t>
            </w:r>
            <w:proofErr w:type="spellEnd"/>
            <w:r w:rsidRPr="00F8075A">
              <w:rPr>
                <w:sz w:val="18"/>
                <w:szCs w:val="18"/>
              </w:rPr>
              <w:t xml:space="preserve"> 2021)</w:t>
            </w:r>
          </w:p>
        </w:tc>
        <w:tc>
          <w:tcPr>
            <w:tcW w:w="0" w:type="auto"/>
            <w:shd w:val="clear" w:color="auto" w:fill="auto"/>
          </w:tcPr>
          <w:p w14:paraId="3AC8E8A4" w14:textId="5187487E" w:rsidR="005625B2" w:rsidRDefault="00E420D1" w:rsidP="005801F3">
            <w:pPr>
              <w:pStyle w:val="051Tabletext228pt"/>
              <w:rPr>
                <w:sz w:val="18"/>
                <w:szCs w:val="18"/>
                <w:lang w:val="en-US"/>
              </w:rPr>
            </w:pPr>
            <w:r>
              <w:rPr>
                <w:sz w:val="18"/>
                <w:szCs w:val="18"/>
                <w:lang w:val="en-US"/>
              </w:rPr>
              <w:t>Yes</w:t>
            </w:r>
          </w:p>
        </w:tc>
        <w:tc>
          <w:tcPr>
            <w:tcW w:w="0" w:type="auto"/>
            <w:shd w:val="clear" w:color="auto" w:fill="auto"/>
          </w:tcPr>
          <w:p w14:paraId="4891A4B5" w14:textId="5496A4FA" w:rsidR="005625B2" w:rsidRDefault="00E420D1" w:rsidP="005801F3">
            <w:pPr>
              <w:pStyle w:val="051Tabletext228pt"/>
              <w:rPr>
                <w:sz w:val="18"/>
                <w:szCs w:val="18"/>
                <w:lang w:val="en-US"/>
              </w:rPr>
            </w:pPr>
            <w:r>
              <w:rPr>
                <w:sz w:val="18"/>
                <w:szCs w:val="18"/>
                <w:lang w:val="en-US"/>
              </w:rPr>
              <w:t>No effect</w:t>
            </w:r>
            <w:r w:rsidR="00F8075A">
              <w:rPr>
                <w:sz w:val="18"/>
                <w:szCs w:val="18"/>
                <w:lang w:val="en-US"/>
              </w:rPr>
              <w:t xml:space="preserve"> (M)</w:t>
            </w:r>
          </w:p>
        </w:tc>
        <w:tc>
          <w:tcPr>
            <w:tcW w:w="0" w:type="auto"/>
            <w:shd w:val="clear" w:color="auto" w:fill="auto"/>
          </w:tcPr>
          <w:p w14:paraId="16689863" w14:textId="02E85DB3" w:rsidR="005625B2" w:rsidRDefault="00E420D1" w:rsidP="005801F3">
            <w:pPr>
              <w:pStyle w:val="051Tabletext228pt"/>
              <w:rPr>
                <w:sz w:val="18"/>
                <w:szCs w:val="18"/>
                <w:lang w:val="en-US"/>
              </w:rPr>
            </w:pPr>
            <w:r>
              <w:rPr>
                <w:sz w:val="18"/>
                <w:szCs w:val="18"/>
                <w:lang w:val="en-US"/>
              </w:rPr>
              <w:t>No difference</w:t>
            </w:r>
          </w:p>
        </w:tc>
      </w:tr>
      <w:tr w:rsidR="00555F08" w:rsidRPr="00F8075A" w14:paraId="2D733972" w14:textId="77777777" w:rsidTr="00D77CE2">
        <w:tc>
          <w:tcPr>
            <w:tcW w:w="3261" w:type="dxa"/>
            <w:gridSpan w:val="3"/>
            <w:shd w:val="clear" w:color="auto" w:fill="D9D9D9" w:themeFill="background1" w:themeFillShade="D9"/>
          </w:tcPr>
          <w:p w14:paraId="0CEF4875" w14:textId="5978A2E4" w:rsidR="005625B2" w:rsidRPr="00FF6FA9" w:rsidRDefault="00F8075A" w:rsidP="00FF6FA9">
            <w:pPr>
              <w:pStyle w:val="031Tablesubheading8pt"/>
              <w:rPr>
                <w:sz w:val="18"/>
                <w:szCs w:val="18"/>
              </w:rPr>
            </w:pPr>
            <w:r>
              <w:rPr>
                <w:sz w:val="18"/>
                <w:szCs w:val="18"/>
              </w:rPr>
              <w:t>Closed-loop SCS versus conventional SCS</w:t>
            </w:r>
          </w:p>
        </w:tc>
        <w:tc>
          <w:tcPr>
            <w:tcW w:w="1688" w:type="dxa"/>
            <w:shd w:val="clear" w:color="auto" w:fill="D9D9D9" w:themeFill="background1" w:themeFillShade="D9"/>
          </w:tcPr>
          <w:p w14:paraId="52BB615B" w14:textId="77777777" w:rsidR="005625B2" w:rsidRPr="005801F3" w:rsidRDefault="005625B2" w:rsidP="00FF6FA9">
            <w:pPr>
              <w:pStyle w:val="031Tablesubheading8pt"/>
              <w:rPr>
                <w:sz w:val="18"/>
                <w:szCs w:val="18"/>
                <w:lang w:val="en-US"/>
              </w:rPr>
            </w:pPr>
          </w:p>
        </w:tc>
        <w:tc>
          <w:tcPr>
            <w:tcW w:w="0" w:type="auto"/>
            <w:shd w:val="clear" w:color="auto" w:fill="D9D9D9" w:themeFill="background1" w:themeFillShade="D9"/>
          </w:tcPr>
          <w:p w14:paraId="7992CA61" w14:textId="77777777" w:rsidR="005625B2" w:rsidRDefault="005625B2" w:rsidP="00FF6FA9">
            <w:pPr>
              <w:pStyle w:val="031Tablesubheading8pt"/>
              <w:rPr>
                <w:sz w:val="18"/>
                <w:szCs w:val="18"/>
                <w:lang w:val="en-US"/>
              </w:rPr>
            </w:pPr>
          </w:p>
        </w:tc>
        <w:tc>
          <w:tcPr>
            <w:tcW w:w="0" w:type="auto"/>
            <w:shd w:val="clear" w:color="auto" w:fill="D9D9D9" w:themeFill="background1" w:themeFillShade="D9"/>
          </w:tcPr>
          <w:p w14:paraId="0F6AE1C7" w14:textId="77777777" w:rsidR="005625B2" w:rsidRDefault="005625B2" w:rsidP="00FF6FA9">
            <w:pPr>
              <w:pStyle w:val="031Tablesubheading8pt"/>
              <w:rPr>
                <w:sz w:val="18"/>
                <w:szCs w:val="18"/>
                <w:lang w:val="en-US"/>
              </w:rPr>
            </w:pPr>
          </w:p>
        </w:tc>
        <w:tc>
          <w:tcPr>
            <w:tcW w:w="0" w:type="auto"/>
            <w:shd w:val="clear" w:color="auto" w:fill="D9D9D9" w:themeFill="background1" w:themeFillShade="D9"/>
          </w:tcPr>
          <w:p w14:paraId="1264508F" w14:textId="77777777" w:rsidR="005625B2" w:rsidRDefault="005625B2" w:rsidP="00FF6FA9">
            <w:pPr>
              <w:pStyle w:val="031Tablesubheading8pt"/>
              <w:rPr>
                <w:sz w:val="18"/>
                <w:szCs w:val="18"/>
                <w:lang w:val="en-US"/>
              </w:rPr>
            </w:pPr>
          </w:p>
        </w:tc>
      </w:tr>
      <w:tr w:rsidR="00FF6FA9" w:rsidRPr="00F8075A" w14:paraId="50285200" w14:textId="77777777" w:rsidTr="003A0F95">
        <w:tc>
          <w:tcPr>
            <w:tcW w:w="2700" w:type="dxa"/>
            <w:shd w:val="clear" w:color="auto" w:fill="auto"/>
          </w:tcPr>
          <w:p w14:paraId="493A6967" w14:textId="4F9E66E7" w:rsidR="00FF6FA9" w:rsidRPr="005608B1" w:rsidRDefault="00F8075A" w:rsidP="00E420D1">
            <w:pPr>
              <w:pStyle w:val="061Tabletext628pt"/>
              <w:spacing w:before="40"/>
              <w:ind w:left="-57" w:right="-57"/>
              <w:rPr>
                <w:rFonts w:asciiTheme="minorHAnsi" w:hAnsiTheme="minorHAnsi" w:cstheme="minorHAnsi"/>
                <w:sz w:val="18"/>
                <w:szCs w:val="18"/>
              </w:rPr>
            </w:pPr>
            <w:r w:rsidRPr="00F8075A">
              <w:rPr>
                <w:sz w:val="18"/>
                <w:szCs w:val="18"/>
                <w:lang w:val="en-US"/>
              </w:rPr>
              <w:t xml:space="preserve">Pain intensity </w:t>
            </w:r>
            <w:r w:rsidR="00CA53D8" w:rsidRPr="00F8075A">
              <w:rPr>
                <w:rFonts w:asciiTheme="minorHAnsi" w:hAnsiTheme="minorHAnsi" w:cstheme="minorHAnsi"/>
                <w:sz w:val="18"/>
                <w:szCs w:val="18"/>
              </w:rPr>
              <w:t>(≥ 50% relief</w:t>
            </w:r>
            <w:r w:rsidRPr="00F8075A">
              <w:rPr>
                <w:rFonts w:asciiTheme="minorHAnsi" w:hAnsiTheme="minorHAnsi" w:cstheme="minorHAnsi"/>
                <w:sz w:val="18"/>
                <w:szCs w:val="18"/>
              </w:rPr>
              <w:t>)</w:t>
            </w:r>
          </w:p>
        </w:tc>
        <w:tc>
          <w:tcPr>
            <w:tcW w:w="2249" w:type="dxa"/>
            <w:gridSpan w:val="3"/>
            <w:shd w:val="clear" w:color="auto" w:fill="auto"/>
          </w:tcPr>
          <w:p w14:paraId="60EA6770" w14:textId="5E51BAB2" w:rsidR="00FF6FA9" w:rsidRPr="00F8075A" w:rsidRDefault="00F8075A" w:rsidP="006C37CF">
            <w:pPr>
              <w:pStyle w:val="061Tabletext628pt"/>
              <w:spacing w:before="40"/>
              <w:rPr>
                <w:sz w:val="18"/>
                <w:szCs w:val="18"/>
              </w:rPr>
            </w:pPr>
            <w:r w:rsidRPr="00F8075A">
              <w:rPr>
                <w:sz w:val="18"/>
                <w:szCs w:val="18"/>
              </w:rPr>
              <w:t>EVOKE (</w:t>
            </w:r>
            <w:proofErr w:type="spellStart"/>
            <w:r w:rsidRPr="00F8075A">
              <w:rPr>
                <w:sz w:val="18"/>
                <w:szCs w:val="18"/>
              </w:rPr>
              <w:t>Mekhail</w:t>
            </w:r>
            <w:proofErr w:type="spellEnd"/>
            <w:r w:rsidRPr="00F8075A">
              <w:rPr>
                <w:sz w:val="18"/>
                <w:szCs w:val="18"/>
              </w:rPr>
              <w:t xml:space="preserve"> 2020; </w:t>
            </w:r>
            <w:proofErr w:type="spellStart"/>
            <w:r w:rsidRPr="00F8075A">
              <w:rPr>
                <w:sz w:val="18"/>
                <w:szCs w:val="18"/>
              </w:rPr>
              <w:t>Mekhail</w:t>
            </w:r>
            <w:proofErr w:type="spellEnd"/>
            <w:r w:rsidRPr="00F8075A">
              <w:rPr>
                <w:sz w:val="18"/>
                <w:szCs w:val="18"/>
              </w:rPr>
              <w:t xml:space="preserve"> 2022)</w:t>
            </w:r>
          </w:p>
        </w:tc>
        <w:tc>
          <w:tcPr>
            <w:tcW w:w="0" w:type="auto"/>
            <w:shd w:val="clear" w:color="auto" w:fill="auto"/>
          </w:tcPr>
          <w:p w14:paraId="1B8F176B" w14:textId="2221636F" w:rsidR="00FF6FA9" w:rsidRDefault="00F8075A" w:rsidP="00E420D1">
            <w:pPr>
              <w:pStyle w:val="051Tabletext228pt"/>
              <w:rPr>
                <w:sz w:val="18"/>
                <w:szCs w:val="18"/>
                <w:lang w:val="en-US"/>
              </w:rPr>
            </w:pPr>
            <w:r w:rsidRPr="00F8075A">
              <w:rPr>
                <w:sz w:val="18"/>
                <w:szCs w:val="18"/>
                <w:lang w:val="en-US"/>
              </w:rPr>
              <w:t>Yes</w:t>
            </w:r>
          </w:p>
        </w:tc>
        <w:tc>
          <w:tcPr>
            <w:tcW w:w="0" w:type="auto"/>
            <w:shd w:val="clear" w:color="auto" w:fill="E2EFD9" w:themeFill="accent6" w:themeFillTint="33"/>
          </w:tcPr>
          <w:p w14:paraId="5B8234A4" w14:textId="66C6E0A2" w:rsidR="00FF6FA9" w:rsidRDefault="00CA53D8" w:rsidP="00E420D1">
            <w:pPr>
              <w:pStyle w:val="051Tabletext228pt"/>
              <w:rPr>
                <w:sz w:val="18"/>
                <w:szCs w:val="18"/>
                <w:lang w:val="en-US"/>
              </w:rPr>
            </w:pPr>
            <w:proofErr w:type="spellStart"/>
            <w:r>
              <w:rPr>
                <w:sz w:val="18"/>
                <w:szCs w:val="18"/>
                <w:lang w:val="en-US"/>
              </w:rPr>
              <w:t>Favours</w:t>
            </w:r>
            <w:proofErr w:type="spellEnd"/>
            <w:r>
              <w:rPr>
                <w:sz w:val="18"/>
                <w:szCs w:val="18"/>
                <w:lang w:val="en-US"/>
              </w:rPr>
              <w:t xml:space="preserve"> closed-loop (M, L)</w:t>
            </w:r>
          </w:p>
        </w:tc>
        <w:tc>
          <w:tcPr>
            <w:tcW w:w="0" w:type="auto"/>
            <w:shd w:val="clear" w:color="auto" w:fill="E2EFD9" w:themeFill="accent6" w:themeFillTint="33"/>
          </w:tcPr>
          <w:p w14:paraId="2D2A7070" w14:textId="0EBF5B99" w:rsidR="00FF6FA9" w:rsidRDefault="00CA53D8" w:rsidP="00E420D1">
            <w:pPr>
              <w:pStyle w:val="051Tabletext228pt"/>
              <w:rPr>
                <w:sz w:val="18"/>
                <w:szCs w:val="18"/>
                <w:lang w:val="en-US"/>
              </w:rPr>
            </w:pPr>
            <w:proofErr w:type="spellStart"/>
            <w:r>
              <w:rPr>
                <w:sz w:val="18"/>
                <w:szCs w:val="18"/>
                <w:lang w:val="en-US"/>
              </w:rPr>
              <w:t>Favours</w:t>
            </w:r>
            <w:proofErr w:type="spellEnd"/>
            <w:r>
              <w:rPr>
                <w:sz w:val="18"/>
                <w:szCs w:val="18"/>
                <w:lang w:val="en-US"/>
              </w:rPr>
              <w:t xml:space="preserve"> closed-loop</w:t>
            </w:r>
          </w:p>
        </w:tc>
      </w:tr>
      <w:tr w:rsidR="00FF6FA9" w:rsidRPr="00F8075A" w14:paraId="239681EF" w14:textId="77777777" w:rsidTr="00D77CE2">
        <w:tc>
          <w:tcPr>
            <w:tcW w:w="3261" w:type="dxa"/>
            <w:gridSpan w:val="3"/>
            <w:shd w:val="clear" w:color="auto" w:fill="E7E6E6" w:themeFill="background2"/>
          </w:tcPr>
          <w:p w14:paraId="0BD9DF16" w14:textId="178C1624" w:rsidR="00FF6FA9" w:rsidRPr="00053F9D" w:rsidRDefault="00053F9D" w:rsidP="00053F9D">
            <w:pPr>
              <w:pStyle w:val="031Tablesubheading8pt"/>
              <w:rPr>
                <w:sz w:val="18"/>
                <w:szCs w:val="18"/>
              </w:rPr>
            </w:pPr>
            <w:r w:rsidRPr="00053F9D">
              <w:rPr>
                <w:sz w:val="18"/>
                <w:szCs w:val="18"/>
              </w:rPr>
              <w:t>DTM</w:t>
            </w:r>
            <w:r>
              <w:rPr>
                <w:sz w:val="18"/>
                <w:szCs w:val="18"/>
              </w:rPr>
              <w:t xml:space="preserve"> SCS versus conventional SCS</w:t>
            </w:r>
          </w:p>
        </w:tc>
        <w:tc>
          <w:tcPr>
            <w:tcW w:w="1688" w:type="dxa"/>
            <w:shd w:val="clear" w:color="auto" w:fill="E7E6E6" w:themeFill="background2"/>
          </w:tcPr>
          <w:p w14:paraId="4050040B" w14:textId="77777777" w:rsidR="00FF6FA9" w:rsidRPr="00F8075A" w:rsidRDefault="00FF6FA9" w:rsidP="00053F9D">
            <w:pPr>
              <w:pStyle w:val="031Tablesubheading8pt"/>
              <w:rPr>
                <w:lang w:val="en-US"/>
              </w:rPr>
            </w:pPr>
          </w:p>
        </w:tc>
        <w:tc>
          <w:tcPr>
            <w:tcW w:w="0" w:type="auto"/>
            <w:shd w:val="clear" w:color="auto" w:fill="E7E6E6" w:themeFill="background2"/>
          </w:tcPr>
          <w:p w14:paraId="58B7FB8B" w14:textId="77777777" w:rsidR="00FF6FA9" w:rsidRPr="00F8075A" w:rsidRDefault="00FF6FA9" w:rsidP="00053F9D">
            <w:pPr>
              <w:pStyle w:val="031Tablesubheading8pt"/>
              <w:rPr>
                <w:lang w:val="en-US"/>
              </w:rPr>
            </w:pPr>
          </w:p>
        </w:tc>
        <w:tc>
          <w:tcPr>
            <w:tcW w:w="0" w:type="auto"/>
            <w:shd w:val="clear" w:color="auto" w:fill="E7E6E6" w:themeFill="background2"/>
          </w:tcPr>
          <w:p w14:paraId="2539E115" w14:textId="77777777" w:rsidR="00FF6FA9" w:rsidRPr="00F8075A" w:rsidRDefault="00FF6FA9" w:rsidP="00053F9D">
            <w:pPr>
              <w:pStyle w:val="031Tablesubheading8pt"/>
              <w:rPr>
                <w:lang w:val="en-US"/>
              </w:rPr>
            </w:pPr>
          </w:p>
        </w:tc>
        <w:tc>
          <w:tcPr>
            <w:tcW w:w="0" w:type="auto"/>
            <w:shd w:val="clear" w:color="auto" w:fill="E7E6E6" w:themeFill="background2"/>
          </w:tcPr>
          <w:p w14:paraId="387CB773" w14:textId="77777777" w:rsidR="00FF6FA9" w:rsidRPr="00F8075A" w:rsidRDefault="00FF6FA9" w:rsidP="00053F9D">
            <w:pPr>
              <w:pStyle w:val="031Tablesubheading8pt"/>
              <w:rPr>
                <w:lang w:val="en-US"/>
              </w:rPr>
            </w:pPr>
          </w:p>
        </w:tc>
      </w:tr>
      <w:tr w:rsidR="00FF6FA9" w:rsidRPr="00F8075A" w14:paraId="6A753FB0" w14:textId="77777777" w:rsidTr="003A0F95">
        <w:tc>
          <w:tcPr>
            <w:tcW w:w="2700" w:type="dxa"/>
            <w:shd w:val="clear" w:color="auto" w:fill="auto"/>
          </w:tcPr>
          <w:p w14:paraId="06AF4033" w14:textId="12CC1DC6" w:rsidR="00FF6FA9" w:rsidRPr="005608B1" w:rsidRDefault="00FE3285" w:rsidP="00E420D1">
            <w:pPr>
              <w:pStyle w:val="061Tabletext628pt"/>
              <w:spacing w:before="40"/>
              <w:ind w:left="-57" w:right="-57"/>
              <w:rPr>
                <w:rFonts w:asciiTheme="minorHAnsi" w:hAnsiTheme="minorHAnsi" w:cstheme="minorHAnsi"/>
                <w:sz w:val="18"/>
                <w:szCs w:val="18"/>
              </w:rPr>
            </w:pPr>
            <w:r w:rsidRPr="00F8075A">
              <w:rPr>
                <w:sz w:val="18"/>
                <w:szCs w:val="18"/>
                <w:lang w:val="en-US"/>
              </w:rPr>
              <w:t>Pain intensity (mean change)</w:t>
            </w:r>
          </w:p>
        </w:tc>
        <w:tc>
          <w:tcPr>
            <w:tcW w:w="2249" w:type="dxa"/>
            <w:gridSpan w:val="3"/>
            <w:shd w:val="clear" w:color="auto" w:fill="auto"/>
          </w:tcPr>
          <w:p w14:paraId="0C3E8C78" w14:textId="386A1279" w:rsidR="00FF6FA9" w:rsidRPr="005801F3" w:rsidRDefault="00223479" w:rsidP="00E420D1">
            <w:pPr>
              <w:pStyle w:val="051Tabletext228pt"/>
              <w:rPr>
                <w:sz w:val="18"/>
                <w:szCs w:val="18"/>
                <w:lang w:val="en-US"/>
              </w:rPr>
            </w:pPr>
            <w:r w:rsidRPr="00223479">
              <w:rPr>
                <w:sz w:val="18"/>
                <w:szCs w:val="18"/>
                <w:lang w:val="en-US"/>
              </w:rPr>
              <w:t>Fishman (20</w:t>
            </w:r>
            <w:r w:rsidR="002F534C">
              <w:rPr>
                <w:sz w:val="18"/>
                <w:szCs w:val="18"/>
                <w:lang w:val="en-US"/>
              </w:rPr>
              <w:t>21</w:t>
            </w:r>
            <w:r w:rsidRPr="00223479">
              <w:rPr>
                <w:sz w:val="18"/>
                <w:szCs w:val="18"/>
                <w:lang w:val="en-US"/>
              </w:rPr>
              <w:t>)</w:t>
            </w:r>
          </w:p>
        </w:tc>
        <w:tc>
          <w:tcPr>
            <w:tcW w:w="0" w:type="auto"/>
            <w:shd w:val="clear" w:color="auto" w:fill="auto"/>
          </w:tcPr>
          <w:p w14:paraId="569F83F3" w14:textId="2C115EE8" w:rsidR="00FF6FA9" w:rsidRDefault="00223479" w:rsidP="00E420D1">
            <w:pPr>
              <w:pStyle w:val="051Tabletext228pt"/>
              <w:rPr>
                <w:sz w:val="18"/>
                <w:szCs w:val="18"/>
                <w:lang w:val="en-US"/>
              </w:rPr>
            </w:pPr>
            <w:r>
              <w:rPr>
                <w:sz w:val="18"/>
                <w:szCs w:val="18"/>
                <w:lang w:val="en-US"/>
              </w:rPr>
              <w:t>None</w:t>
            </w:r>
          </w:p>
        </w:tc>
        <w:tc>
          <w:tcPr>
            <w:tcW w:w="0" w:type="auto"/>
            <w:shd w:val="clear" w:color="auto" w:fill="auto"/>
          </w:tcPr>
          <w:p w14:paraId="4095EF7F" w14:textId="432AEEB1" w:rsidR="00FF6FA9" w:rsidRDefault="00FE3285" w:rsidP="00E420D1">
            <w:pPr>
              <w:pStyle w:val="051Tabletext228pt"/>
              <w:rPr>
                <w:sz w:val="18"/>
                <w:szCs w:val="18"/>
                <w:lang w:val="en-US"/>
              </w:rPr>
            </w:pPr>
            <w:r>
              <w:rPr>
                <w:sz w:val="18"/>
                <w:szCs w:val="18"/>
                <w:lang w:val="en-US"/>
              </w:rPr>
              <w:t>No effect</w:t>
            </w:r>
            <w:r w:rsidR="00F219D2">
              <w:rPr>
                <w:sz w:val="18"/>
                <w:szCs w:val="18"/>
                <w:lang w:val="en-US"/>
              </w:rPr>
              <w:t xml:space="preserve"> (M)</w:t>
            </w:r>
          </w:p>
        </w:tc>
        <w:tc>
          <w:tcPr>
            <w:tcW w:w="0" w:type="auto"/>
            <w:shd w:val="clear" w:color="auto" w:fill="auto"/>
          </w:tcPr>
          <w:p w14:paraId="5311BC65" w14:textId="3D68E2D4" w:rsidR="00FF6FA9" w:rsidRDefault="00FE3285" w:rsidP="00E420D1">
            <w:pPr>
              <w:pStyle w:val="051Tabletext228pt"/>
              <w:rPr>
                <w:sz w:val="18"/>
                <w:szCs w:val="18"/>
                <w:lang w:val="en-US"/>
              </w:rPr>
            </w:pPr>
            <w:r>
              <w:rPr>
                <w:sz w:val="18"/>
                <w:szCs w:val="18"/>
                <w:lang w:val="en-US"/>
              </w:rPr>
              <w:t>No difference</w:t>
            </w:r>
          </w:p>
        </w:tc>
      </w:tr>
      <w:tr w:rsidR="00FF6FA9" w:rsidRPr="00F8075A" w14:paraId="30A04328" w14:textId="77777777" w:rsidTr="003A0F95">
        <w:tc>
          <w:tcPr>
            <w:tcW w:w="2700" w:type="dxa"/>
            <w:shd w:val="clear" w:color="auto" w:fill="auto"/>
          </w:tcPr>
          <w:p w14:paraId="35CD9DD3" w14:textId="16C2572B" w:rsidR="00FF6FA9" w:rsidRPr="005608B1" w:rsidRDefault="00F219D2" w:rsidP="00E420D1">
            <w:pPr>
              <w:pStyle w:val="061Tabletext628pt"/>
              <w:spacing w:before="40"/>
              <w:ind w:left="-57" w:right="-57"/>
              <w:rPr>
                <w:rFonts w:asciiTheme="minorHAnsi" w:hAnsiTheme="minorHAnsi" w:cstheme="minorHAnsi"/>
                <w:sz w:val="18"/>
                <w:szCs w:val="18"/>
              </w:rPr>
            </w:pPr>
            <w:r w:rsidRPr="00F8075A">
              <w:rPr>
                <w:rFonts w:asciiTheme="minorHAnsi" w:hAnsiTheme="minorHAnsi" w:cstheme="minorHAnsi"/>
                <w:sz w:val="18"/>
                <w:szCs w:val="18"/>
              </w:rPr>
              <w:t>Pain intensity (≥ 50% relief)</w:t>
            </w:r>
            <w:r>
              <w:rPr>
                <w:rFonts w:asciiTheme="minorHAnsi" w:hAnsiTheme="minorHAnsi" w:cstheme="minorHAnsi"/>
                <w:sz w:val="18"/>
                <w:szCs w:val="18"/>
              </w:rPr>
              <w:t xml:space="preserve"> - back</w:t>
            </w:r>
          </w:p>
        </w:tc>
        <w:tc>
          <w:tcPr>
            <w:tcW w:w="2249" w:type="dxa"/>
            <w:gridSpan w:val="3"/>
            <w:shd w:val="clear" w:color="auto" w:fill="auto"/>
          </w:tcPr>
          <w:p w14:paraId="2C2C89BC" w14:textId="0C027FD0" w:rsidR="00FF6FA9" w:rsidRPr="005801F3" w:rsidRDefault="000013C4" w:rsidP="00E420D1">
            <w:pPr>
              <w:pStyle w:val="051Tabletext228pt"/>
              <w:rPr>
                <w:sz w:val="18"/>
                <w:szCs w:val="18"/>
                <w:lang w:val="en-US"/>
              </w:rPr>
            </w:pPr>
            <w:r w:rsidRPr="00223479">
              <w:rPr>
                <w:sz w:val="18"/>
                <w:szCs w:val="18"/>
                <w:lang w:val="en-US"/>
              </w:rPr>
              <w:t>Fishman (20</w:t>
            </w:r>
            <w:r w:rsidR="002F534C">
              <w:rPr>
                <w:sz w:val="18"/>
                <w:szCs w:val="18"/>
                <w:lang w:val="en-US"/>
              </w:rPr>
              <w:t>21</w:t>
            </w:r>
            <w:r w:rsidRPr="00223479">
              <w:rPr>
                <w:sz w:val="18"/>
                <w:szCs w:val="18"/>
                <w:lang w:val="en-US"/>
              </w:rPr>
              <w:t>)</w:t>
            </w:r>
          </w:p>
        </w:tc>
        <w:tc>
          <w:tcPr>
            <w:tcW w:w="0" w:type="auto"/>
            <w:shd w:val="clear" w:color="auto" w:fill="auto"/>
          </w:tcPr>
          <w:p w14:paraId="43ACC238" w14:textId="2D90EFA0" w:rsidR="00FF6FA9" w:rsidRDefault="00F219D2" w:rsidP="00E420D1">
            <w:pPr>
              <w:pStyle w:val="051Tabletext228pt"/>
              <w:rPr>
                <w:sz w:val="18"/>
                <w:szCs w:val="18"/>
                <w:lang w:val="en-US"/>
              </w:rPr>
            </w:pPr>
            <w:r>
              <w:rPr>
                <w:sz w:val="18"/>
                <w:szCs w:val="18"/>
                <w:lang w:val="en-US"/>
              </w:rPr>
              <w:t>None</w:t>
            </w:r>
          </w:p>
        </w:tc>
        <w:tc>
          <w:tcPr>
            <w:tcW w:w="0" w:type="auto"/>
            <w:shd w:val="clear" w:color="auto" w:fill="E2EFD9" w:themeFill="accent6" w:themeFillTint="33"/>
          </w:tcPr>
          <w:p w14:paraId="55A3BEC7" w14:textId="238C4FFE" w:rsidR="00FF6FA9" w:rsidRDefault="00F219D2" w:rsidP="00E420D1">
            <w:pPr>
              <w:pStyle w:val="051Tabletext228pt"/>
              <w:rPr>
                <w:sz w:val="18"/>
                <w:szCs w:val="18"/>
                <w:lang w:val="en-US"/>
              </w:rPr>
            </w:pPr>
            <w:proofErr w:type="spellStart"/>
            <w:r>
              <w:rPr>
                <w:sz w:val="18"/>
                <w:szCs w:val="18"/>
                <w:lang w:val="en-US"/>
              </w:rPr>
              <w:t>Favours</w:t>
            </w:r>
            <w:proofErr w:type="spellEnd"/>
            <w:r>
              <w:rPr>
                <w:sz w:val="18"/>
                <w:szCs w:val="18"/>
                <w:lang w:val="en-US"/>
              </w:rPr>
              <w:t xml:space="preserve"> DTM (M, L)</w:t>
            </w:r>
          </w:p>
        </w:tc>
        <w:tc>
          <w:tcPr>
            <w:tcW w:w="0" w:type="auto"/>
            <w:shd w:val="clear" w:color="auto" w:fill="E2EFD9" w:themeFill="accent6" w:themeFillTint="33"/>
          </w:tcPr>
          <w:p w14:paraId="05DAA95F" w14:textId="3445C2BA" w:rsidR="00FF6FA9" w:rsidRDefault="00F219D2" w:rsidP="00E420D1">
            <w:pPr>
              <w:pStyle w:val="051Tabletext228pt"/>
              <w:rPr>
                <w:sz w:val="18"/>
                <w:szCs w:val="18"/>
                <w:lang w:val="en-US"/>
              </w:rPr>
            </w:pPr>
            <w:proofErr w:type="spellStart"/>
            <w:r>
              <w:rPr>
                <w:sz w:val="18"/>
                <w:szCs w:val="18"/>
                <w:lang w:val="en-US"/>
              </w:rPr>
              <w:t>Favours</w:t>
            </w:r>
            <w:proofErr w:type="spellEnd"/>
            <w:r>
              <w:rPr>
                <w:sz w:val="18"/>
                <w:szCs w:val="18"/>
                <w:lang w:val="en-US"/>
              </w:rPr>
              <w:t xml:space="preserve"> DTM</w:t>
            </w:r>
          </w:p>
        </w:tc>
      </w:tr>
      <w:tr w:rsidR="00F219D2" w:rsidRPr="00F8075A" w14:paraId="393C5397" w14:textId="77777777" w:rsidTr="003A0F95">
        <w:tc>
          <w:tcPr>
            <w:tcW w:w="2700" w:type="dxa"/>
            <w:shd w:val="clear" w:color="auto" w:fill="auto"/>
          </w:tcPr>
          <w:p w14:paraId="2A666BBE" w14:textId="03371ECC" w:rsidR="00F219D2" w:rsidRPr="00F8075A" w:rsidRDefault="00F219D2" w:rsidP="00F219D2">
            <w:pPr>
              <w:pStyle w:val="061Tabletext628pt"/>
              <w:spacing w:before="40"/>
              <w:ind w:left="-57" w:right="-57"/>
              <w:rPr>
                <w:rFonts w:asciiTheme="minorHAnsi" w:hAnsiTheme="minorHAnsi" w:cstheme="minorHAnsi"/>
                <w:sz w:val="18"/>
                <w:szCs w:val="18"/>
              </w:rPr>
            </w:pPr>
            <w:r w:rsidRPr="00F8075A">
              <w:rPr>
                <w:rFonts w:asciiTheme="minorHAnsi" w:hAnsiTheme="minorHAnsi" w:cstheme="minorHAnsi"/>
                <w:sz w:val="18"/>
                <w:szCs w:val="18"/>
              </w:rPr>
              <w:t>Pain intensity (≥ 50% relief)</w:t>
            </w:r>
            <w:r>
              <w:rPr>
                <w:rFonts w:asciiTheme="minorHAnsi" w:hAnsiTheme="minorHAnsi" w:cstheme="minorHAnsi"/>
                <w:sz w:val="18"/>
                <w:szCs w:val="18"/>
              </w:rPr>
              <w:t xml:space="preserve"> - leg</w:t>
            </w:r>
          </w:p>
        </w:tc>
        <w:tc>
          <w:tcPr>
            <w:tcW w:w="2249" w:type="dxa"/>
            <w:gridSpan w:val="3"/>
            <w:shd w:val="clear" w:color="auto" w:fill="auto"/>
          </w:tcPr>
          <w:p w14:paraId="36401C6F" w14:textId="57EEF8AC" w:rsidR="00F219D2" w:rsidRPr="00F8075A" w:rsidRDefault="000013C4" w:rsidP="00F219D2">
            <w:pPr>
              <w:pStyle w:val="051Tabletext228pt"/>
              <w:rPr>
                <w:sz w:val="18"/>
                <w:szCs w:val="18"/>
                <w:lang w:val="en-US"/>
              </w:rPr>
            </w:pPr>
            <w:r w:rsidRPr="00223479">
              <w:rPr>
                <w:sz w:val="18"/>
                <w:szCs w:val="18"/>
                <w:lang w:val="en-US"/>
              </w:rPr>
              <w:t>Fishman (20</w:t>
            </w:r>
            <w:r w:rsidR="002F534C">
              <w:rPr>
                <w:sz w:val="18"/>
                <w:szCs w:val="18"/>
                <w:lang w:val="en-US"/>
              </w:rPr>
              <w:t>21</w:t>
            </w:r>
            <w:r w:rsidRPr="00223479">
              <w:rPr>
                <w:sz w:val="18"/>
                <w:szCs w:val="18"/>
                <w:lang w:val="en-US"/>
              </w:rPr>
              <w:t>)</w:t>
            </w:r>
          </w:p>
        </w:tc>
        <w:tc>
          <w:tcPr>
            <w:tcW w:w="0" w:type="auto"/>
            <w:shd w:val="clear" w:color="auto" w:fill="auto"/>
          </w:tcPr>
          <w:p w14:paraId="548FA1F1" w14:textId="7E594C0E" w:rsidR="00F219D2" w:rsidRDefault="00F219D2" w:rsidP="00F219D2">
            <w:pPr>
              <w:pStyle w:val="051Tabletext228pt"/>
              <w:rPr>
                <w:sz w:val="18"/>
                <w:szCs w:val="18"/>
                <w:lang w:val="en-US"/>
              </w:rPr>
            </w:pPr>
            <w:r>
              <w:rPr>
                <w:sz w:val="18"/>
                <w:szCs w:val="18"/>
                <w:lang w:val="en-US"/>
              </w:rPr>
              <w:t>None</w:t>
            </w:r>
          </w:p>
        </w:tc>
        <w:tc>
          <w:tcPr>
            <w:tcW w:w="0" w:type="auto"/>
            <w:shd w:val="clear" w:color="auto" w:fill="auto"/>
          </w:tcPr>
          <w:p w14:paraId="25448FAA" w14:textId="54CF7CC0" w:rsidR="00F219D2" w:rsidRDefault="00F219D2" w:rsidP="00F219D2">
            <w:pPr>
              <w:pStyle w:val="051Tabletext228pt"/>
              <w:rPr>
                <w:sz w:val="18"/>
                <w:szCs w:val="18"/>
                <w:lang w:val="en-US"/>
              </w:rPr>
            </w:pPr>
            <w:r>
              <w:rPr>
                <w:sz w:val="18"/>
                <w:szCs w:val="18"/>
                <w:lang w:val="en-US"/>
              </w:rPr>
              <w:t>No effect</w:t>
            </w:r>
            <w:r w:rsidR="001570DF">
              <w:rPr>
                <w:sz w:val="18"/>
                <w:szCs w:val="18"/>
                <w:lang w:val="en-US"/>
              </w:rPr>
              <w:t xml:space="preserve"> (M, L)</w:t>
            </w:r>
          </w:p>
        </w:tc>
        <w:tc>
          <w:tcPr>
            <w:tcW w:w="0" w:type="auto"/>
            <w:shd w:val="clear" w:color="auto" w:fill="auto"/>
          </w:tcPr>
          <w:p w14:paraId="524842ED" w14:textId="50347ACB" w:rsidR="00F219D2" w:rsidRDefault="00D46CF9" w:rsidP="00F219D2">
            <w:pPr>
              <w:pStyle w:val="051Tabletext228pt"/>
              <w:rPr>
                <w:sz w:val="18"/>
                <w:szCs w:val="18"/>
                <w:lang w:val="en-US"/>
              </w:rPr>
            </w:pPr>
            <w:r>
              <w:rPr>
                <w:sz w:val="18"/>
                <w:szCs w:val="18"/>
                <w:lang w:val="en-US"/>
              </w:rPr>
              <w:t xml:space="preserve">No </w:t>
            </w:r>
            <w:r w:rsidR="001570DF">
              <w:rPr>
                <w:sz w:val="18"/>
                <w:szCs w:val="18"/>
                <w:lang w:val="en-US"/>
              </w:rPr>
              <w:t>difference</w:t>
            </w:r>
          </w:p>
        </w:tc>
      </w:tr>
      <w:tr w:rsidR="00D46CF9" w:rsidRPr="00D46CF9" w14:paraId="345A1EF7" w14:textId="77777777" w:rsidTr="00D77CE2">
        <w:tc>
          <w:tcPr>
            <w:tcW w:w="3119" w:type="dxa"/>
            <w:gridSpan w:val="2"/>
            <w:shd w:val="clear" w:color="auto" w:fill="E7E6E6" w:themeFill="background2"/>
          </w:tcPr>
          <w:p w14:paraId="016381AA" w14:textId="7CE47FB0" w:rsidR="00D46CF9" w:rsidRPr="00D46CF9" w:rsidRDefault="00D46CF9" w:rsidP="00D46CF9">
            <w:pPr>
              <w:pStyle w:val="031Tablesubheading8pt"/>
              <w:rPr>
                <w:sz w:val="18"/>
                <w:szCs w:val="18"/>
              </w:rPr>
            </w:pPr>
            <w:r>
              <w:rPr>
                <w:sz w:val="18"/>
                <w:szCs w:val="18"/>
              </w:rPr>
              <w:t>Burst SCS versus conventional SCS</w:t>
            </w:r>
          </w:p>
        </w:tc>
        <w:tc>
          <w:tcPr>
            <w:tcW w:w="1830" w:type="dxa"/>
            <w:gridSpan w:val="2"/>
            <w:shd w:val="clear" w:color="auto" w:fill="E7E6E6" w:themeFill="background2"/>
          </w:tcPr>
          <w:p w14:paraId="617200B7" w14:textId="77777777" w:rsidR="00D46CF9" w:rsidRPr="00D46CF9" w:rsidRDefault="00D46CF9" w:rsidP="00D46CF9">
            <w:pPr>
              <w:pStyle w:val="031Tablesubheading8pt"/>
              <w:rPr>
                <w:sz w:val="18"/>
                <w:szCs w:val="18"/>
                <w:lang w:val="en-US"/>
              </w:rPr>
            </w:pPr>
          </w:p>
        </w:tc>
        <w:tc>
          <w:tcPr>
            <w:tcW w:w="0" w:type="auto"/>
            <w:shd w:val="clear" w:color="auto" w:fill="E7E6E6" w:themeFill="background2"/>
          </w:tcPr>
          <w:p w14:paraId="6D9261E4" w14:textId="77777777" w:rsidR="00D46CF9" w:rsidRPr="00D46CF9" w:rsidRDefault="00D46CF9" w:rsidP="00D46CF9">
            <w:pPr>
              <w:pStyle w:val="031Tablesubheading8pt"/>
              <w:rPr>
                <w:sz w:val="18"/>
                <w:szCs w:val="18"/>
                <w:lang w:val="en-US"/>
              </w:rPr>
            </w:pPr>
          </w:p>
        </w:tc>
        <w:tc>
          <w:tcPr>
            <w:tcW w:w="0" w:type="auto"/>
            <w:shd w:val="clear" w:color="auto" w:fill="E7E6E6" w:themeFill="background2"/>
          </w:tcPr>
          <w:p w14:paraId="23C26556" w14:textId="77777777" w:rsidR="00D46CF9" w:rsidRPr="00D46CF9" w:rsidRDefault="00D46CF9" w:rsidP="00D46CF9">
            <w:pPr>
              <w:pStyle w:val="031Tablesubheading8pt"/>
              <w:rPr>
                <w:sz w:val="18"/>
                <w:szCs w:val="18"/>
                <w:lang w:val="en-US"/>
              </w:rPr>
            </w:pPr>
          </w:p>
        </w:tc>
        <w:tc>
          <w:tcPr>
            <w:tcW w:w="0" w:type="auto"/>
            <w:shd w:val="clear" w:color="auto" w:fill="E7E6E6" w:themeFill="background2"/>
          </w:tcPr>
          <w:p w14:paraId="73B6514E" w14:textId="77777777" w:rsidR="00D46CF9" w:rsidRPr="00D46CF9" w:rsidRDefault="00D46CF9" w:rsidP="00D46CF9">
            <w:pPr>
              <w:pStyle w:val="031Tablesubheading8pt"/>
              <w:rPr>
                <w:sz w:val="18"/>
                <w:szCs w:val="18"/>
                <w:lang w:val="en-US"/>
              </w:rPr>
            </w:pPr>
          </w:p>
        </w:tc>
      </w:tr>
      <w:tr w:rsidR="00D46CF9" w:rsidRPr="00D46CF9" w14:paraId="26025A71" w14:textId="77777777" w:rsidTr="003A0F95">
        <w:tc>
          <w:tcPr>
            <w:tcW w:w="2700" w:type="dxa"/>
            <w:shd w:val="clear" w:color="auto" w:fill="auto"/>
          </w:tcPr>
          <w:p w14:paraId="2392D5A0" w14:textId="54990DDA" w:rsidR="00D46CF9" w:rsidRPr="00D46CF9" w:rsidRDefault="00D05627" w:rsidP="00D46CF9">
            <w:pPr>
              <w:pStyle w:val="051Tabletext228pt"/>
              <w:rPr>
                <w:sz w:val="18"/>
                <w:szCs w:val="18"/>
              </w:rPr>
            </w:pPr>
            <w:r w:rsidRPr="00F8075A">
              <w:rPr>
                <w:sz w:val="18"/>
                <w:szCs w:val="18"/>
                <w:lang w:val="en-US"/>
              </w:rPr>
              <w:t>Pain intensity (mean change)</w:t>
            </w:r>
          </w:p>
        </w:tc>
        <w:tc>
          <w:tcPr>
            <w:tcW w:w="2249" w:type="dxa"/>
            <w:gridSpan w:val="3"/>
            <w:shd w:val="clear" w:color="auto" w:fill="auto"/>
          </w:tcPr>
          <w:p w14:paraId="531A2621" w14:textId="721ADF26" w:rsidR="00D46CF9" w:rsidRPr="00D46CF9" w:rsidRDefault="00D46CF9" w:rsidP="00D46CF9">
            <w:pPr>
              <w:pStyle w:val="051Tabletext228pt"/>
              <w:rPr>
                <w:sz w:val="18"/>
                <w:szCs w:val="18"/>
                <w:lang w:val="en-US"/>
              </w:rPr>
            </w:pPr>
            <w:r w:rsidRPr="00D46CF9">
              <w:rPr>
                <w:sz w:val="18"/>
                <w:szCs w:val="18"/>
                <w:lang w:val="en-US"/>
              </w:rPr>
              <w:t>SUNBURST (Deer 201</w:t>
            </w:r>
            <w:r w:rsidR="002F534C">
              <w:rPr>
                <w:sz w:val="18"/>
                <w:szCs w:val="18"/>
                <w:lang w:val="en-US"/>
              </w:rPr>
              <w:t>8</w:t>
            </w:r>
            <w:r w:rsidRPr="00D46CF9">
              <w:rPr>
                <w:sz w:val="18"/>
                <w:szCs w:val="18"/>
                <w:lang w:val="en-US"/>
              </w:rPr>
              <w:t>; D'Souza 2021)</w:t>
            </w:r>
          </w:p>
        </w:tc>
        <w:tc>
          <w:tcPr>
            <w:tcW w:w="0" w:type="auto"/>
            <w:shd w:val="clear" w:color="auto" w:fill="auto"/>
          </w:tcPr>
          <w:p w14:paraId="2D359303" w14:textId="264ABEBA" w:rsidR="00D46CF9" w:rsidRPr="00D46CF9" w:rsidRDefault="00D46CF9" w:rsidP="00D46CF9">
            <w:pPr>
              <w:pStyle w:val="051Tabletext228pt"/>
              <w:rPr>
                <w:sz w:val="18"/>
                <w:szCs w:val="18"/>
                <w:lang w:val="en-US"/>
              </w:rPr>
            </w:pPr>
            <w:r>
              <w:rPr>
                <w:sz w:val="18"/>
                <w:szCs w:val="18"/>
                <w:lang w:val="en-US"/>
              </w:rPr>
              <w:t>None</w:t>
            </w:r>
          </w:p>
        </w:tc>
        <w:tc>
          <w:tcPr>
            <w:tcW w:w="0" w:type="auto"/>
            <w:shd w:val="clear" w:color="auto" w:fill="E2EFD9" w:themeFill="accent6" w:themeFillTint="33"/>
          </w:tcPr>
          <w:p w14:paraId="7B559774" w14:textId="746E6F77" w:rsidR="00D46CF9" w:rsidRPr="00D46CF9" w:rsidRDefault="001570DF" w:rsidP="00D46CF9">
            <w:pPr>
              <w:pStyle w:val="051Tabletext228pt"/>
              <w:rPr>
                <w:sz w:val="18"/>
                <w:szCs w:val="18"/>
                <w:lang w:val="en-US"/>
              </w:rPr>
            </w:pPr>
            <w:proofErr w:type="spellStart"/>
            <w:r>
              <w:rPr>
                <w:sz w:val="18"/>
                <w:szCs w:val="18"/>
                <w:lang w:val="en-US"/>
              </w:rPr>
              <w:t>Favours</w:t>
            </w:r>
            <w:proofErr w:type="spellEnd"/>
            <w:r>
              <w:rPr>
                <w:sz w:val="18"/>
                <w:szCs w:val="18"/>
                <w:lang w:val="en-US"/>
              </w:rPr>
              <w:t xml:space="preserve"> Burst (M)</w:t>
            </w:r>
          </w:p>
        </w:tc>
        <w:tc>
          <w:tcPr>
            <w:tcW w:w="0" w:type="auto"/>
            <w:shd w:val="clear" w:color="auto" w:fill="auto"/>
          </w:tcPr>
          <w:p w14:paraId="1DA03447" w14:textId="19385061" w:rsidR="00D46CF9" w:rsidRPr="00D46CF9" w:rsidRDefault="001570DF" w:rsidP="00D46CF9">
            <w:pPr>
              <w:pStyle w:val="051Tabletext228pt"/>
              <w:rPr>
                <w:sz w:val="18"/>
                <w:szCs w:val="18"/>
                <w:lang w:val="en-US"/>
              </w:rPr>
            </w:pPr>
            <w:r>
              <w:rPr>
                <w:sz w:val="18"/>
                <w:szCs w:val="18"/>
                <w:lang w:val="en-US"/>
              </w:rPr>
              <w:t>No difference</w:t>
            </w:r>
          </w:p>
        </w:tc>
      </w:tr>
    </w:tbl>
    <w:p w14:paraId="3E7E157F" w14:textId="4C9F0845" w:rsidR="00D2073B" w:rsidRPr="00C24840" w:rsidRDefault="000679ED" w:rsidP="00D2073B">
      <w:pPr>
        <w:pStyle w:val="101Tablefootnotes8pt"/>
      </w:pPr>
      <w:r>
        <w:t>Abbreviations</w:t>
      </w:r>
      <w:r w:rsidR="00BE7479">
        <w:t xml:space="preserve">: </w:t>
      </w:r>
      <w:r w:rsidR="004630A7">
        <w:t xml:space="preserve">DRGS, dorsal root ganglion stimulation; </w:t>
      </w:r>
      <w:r w:rsidR="004206E0">
        <w:t>DTM, differential target multiplex</w:t>
      </w:r>
      <w:r w:rsidR="002371F7">
        <w:t>ed</w:t>
      </w:r>
      <w:r w:rsidR="004206E0">
        <w:t xml:space="preserve">; </w:t>
      </w:r>
      <w:r w:rsidR="00BE7479">
        <w:t>HF, high</w:t>
      </w:r>
      <w:r w:rsidR="002E524D">
        <w:t>-</w:t>
      </w:r>
      <w:r w:rsidR="00BE7479">
        <w:t xml:space="preserve">frequency; </w:t>
      </w:r>
      <w:r w:rsidR="008D3636">
        <w:t>L, long</w:t>
      </w:r>
      <w:r w:rsidR="000216DC">
        <w:t>-</w:t>
      </w:r>
      <w:r w:rsidR="008D3636">
        <w:t>term outcomes; M, medium</w:t>
      </w:r>
      <w:r w:rsidR="0096433C">
        <w:t>-</w:t>
      </w:r>
      <w:r w:rsidR="008D3636">
        <w:t>term outcomes</w:t>
      </w:r>
      <w:r w:rsidR="002A4EC4">
        <w:t>;</w:t>
      </w:r>
      <w:r w:rsidR="008D3636">
        <w:t xml:space="preserve"> </w:t>
      </w:r>
      <w:r w:rsidR="009972B1">
        <w:t xml:space="preserve">MCP, multicolumn programming; </w:t>
      </w:r>
      <w:r w:rsidR="004630A7">
        <w:t>SCS, spinal cord stimulation</w:t>
      </w:r>
    </w:p>
    <w:p w14:paraId="263A755B" w14:textId="0DA6F17D" w:rsidR="00605966" w:rsidRDefault="007077B8" w:rsidP="00605966">
      <w:pPr>
        <w:pStyle w:val="101Tablefootnotes8pt"/>
      </w:pPr>
      <w:r>
        <w:rPr>
          <w:b/>
          <w:bCs/>
        </w:rPr>
        <w:t>a</w:t>
      </w:r>
      <w:r w:rsidR="00605966">
        <w:t xml:space="preserve"> </w:t>
      </w:r>
      <w:r w:rsidR="00DE4CDF">
        <w:t xml:space="preserve">Clinical importance is defined by a </w:t>
      </w:r>
      <w:r w:rsidR="00605966">
        <w:t xml:space="preserve">predetermined threshold of </w:t>
      </w:r>
      <w:r w:rsidR="00605966">
        <w:rPr>
          <w:rFonts w:cs="Calibri"/>
        </w:rPr>
        <w:t>≥</w:t>
      </w:r>
      <w:r w:rsidR="00605966">
        <w:t xml:space="preserve">10 points for pain intensity </w:t>
      </w:r>
      <w:r w:rsidR="00042FCD">
        <w:t>(</w:t>
      </w:r>
      <w:r w:rsidR="00605966">
        <w:t>derived from O’Connell 2021</w:t>
      </w:r>
      <w:r w:rsidR="00042FCD">
        <w:t>)</w:t>
      </w:r>
      <w:r w:rsidR="00605966">
        <w:t>.</w:t>
      </w:r>
    </w:p>
    <w:p w14:paraId="4881522A" w14:textId="0C0D16F7" w:rsidR="00DA678B" w:rsidRPr="00C24840" w:rsidRDefault="00DA678B" w:rsidP="00B17B3C">
      <w:pPr>
        <w:pStyle w:val="111Tablefootnoteslast-nostick8pt"/>
      </w:pPr>
      <w:r>
        <w:t xml:space="preserve">Key: </w:t>
      </w:r>
      <w:r w:rsidRPr="002A6A9E">
        <w:rPr>
          <w:rStyle w:val="101Tablefootnotes8ptChar"/>
        </w:rPr>
        <w:t xml:space="preserve">orange = </w:t>
      </w:r>
      <w:r>
        <w:rPr>
          <w:rStyle w:val="101Tablefootnotes8ptChar"/>
        </w:rPr>
        <w:t>partially blinded</w:t>
      </w:r>
      <w:r w:rsidRPr="002A6A9E">
        <w:rPr>
          <w:rStyle w:val="101Tablefootnotes8ptChar"/>
        </w:rPr>
        <w:t xml:space="preserve">; yellow = </w:t>
      </w:r>
      <w:r>
        <w:rPr>
          <w:rStyle w:val="101Tablefootnotes8ptChar"/>
        </w:rPr>
        <w:t>open</w:t>
      </w:r>
      <w:r w:rsidR="003B335C">
        <w:rPr>
          <w:rStyle w:val="101Tablefootnotes8ptChar"/>
        </w:rPr>
        <w:t>-</w:t>
      </w:r>
      <w:r>
        <w:rPr>
          <w:rStyle w:val="101Tablefootnotes8ptChar"/>
        </w:rPr>
        <w:t>label</w:t>
      </w:r>
      <w:r w:rsidRPr="002A6A9E">
        <w:rPr>
          <w:rStyle w:val="101Tablefootnotes8ptChar"/>
        </w:rPr>
        <w:t xml:space="preserve">; blue = </w:t>
      </w:r>
      <w:r w:rsidR="00A63A2A">
        <w:rPr>
          <w:rStyle w:val="101Tablefootnotes8ptChar"/>
        </w:rPr>
        <w:t>blinded</w:t>
      </w:r>
      <w:r w:rsidRPr="002A6A9E">
        <w:rPr>
          <w:rStyle w:val="101Tablefootnotes8ptChar"/>
        </w:rPr>
        <w:t xml:space="preserve">; green = </w:t>
      </w:r>
      <w:proofErr w:type="spellStart"/>
      <w:r w:rsidRPr="002A6A9E">
        <w:rPr>
          <w:rStyle w:val="101Tablefootnotes8ptChar"/>
        </w:rPr>
        <w:t>favours</w:t>
      </w:r>
      <w:proofErr w:type="spellEnd"/>
      <w:r w:rsidRPr="002A6A9E">
        <w:rPr>
          <w:rStyle w:val="101Tablefootnotes8ptChar"/>
        </w:rPr>
        <w:t xml:space="preserve"> intervention</w:t>
      </w:r>
    </w:p>
    <w:p w14:paraId="0AE7AAFE" w14:textId="4A0A9776" w:rsidR="00403CCB" w:rsidRPr="002A4EC4" w:rsidRDefault="00C919B6" w:rsidP="007952E0">
      <w:pPr>
        <w:pStyle w:val="Heading5"/>
        <w:rPr>
          <w:lang w:val="en-US"/>
        </w:rPr>
      </w:pPr>
      <w:r>
        <w:rPr>
          <w:lang w:val="en-US"/>
        </w:rPr>
        <w:t>Non-randomised comparative studies</w:t>
      </w:r>
    </w:p>
    <w:p w14:paraId="1D8C1CAB" w14:textId="21C34C43" w:rsidR="00403CCB" w:rsidRDefault="00AD0614" w:rsidP="00403CCB">
      <w:pPr>
        <w:pStyle w:val="BodyText"/>
        <w:rPr>
          <w:lang w:val="en-US"/>
        </w:rPr>
      </w:pPr>
      <w:r>
        <w:rPr>
          <w:lang w:val="en-US"/>
        </w:rPr>
        <w:t xml:space="preserve">Five additional non-randomised comparative cohort studies were identified </w:t>
      </w:r>
      <w:r w:rsidR="003176AC">
        <w:rPr>
          <w:lang w:val="en-US"/>
        </w:rPr>
        <w:t>from stakeholder and sponsor submissions</w:t>
      </w:r>
      <w:r w:rsidR="000A2845">
        <w:rPr>
          <w:lang w:val="en-US"/>
        </w:rPr>
        <w:t>,</w:t>
      </w:r>
      <w:r w:rsidR="003176AC">
        <w:rPr>
          <w:lang w:val="en-US"/>
        </w:rPr>
        <w:t xml:space="preserve"> of which only two were large</w:t>
      </w:r>
      <w:r w:rsidR="00150382">
        <w:rPr>
          <w:lang w:val="en-US"/>
        </w:rPr>
        <w:t xml:space="preserve">, </w:t>
      </w:r>
      <w:r w:rsidR="00150382">
        <w:t>appropriately adjusted</w:t>
      </w:r>
      <w:r w:rsidR="003176AC">
        <w:rPr>
          <w:lang w:val="en-US"/>
        </w:rPr>
        <w:t xml:space="preserve"> registry studies </w:t>
      </w:r>
      <w:r w:rsidR="000A2845">
        <w:rPr>
          <w:lang w:val="en-US"/>
        </w:rPr>
        <w:t>that</w:t>
      </w:r>
      <w:r w:rsidR="004E2D89">
        <w:rPr>
          <w:lang w:val="en-US"/>
        </w:rPr>
        <w:t xml:space="preserve"> provided useful information. The two large registry studies (Dhruva 2023; Vu 2022) </w:t>
      </w:r>
      <w:r w:rsidR="00436CBC">
        <w:rPr>
          <w:lang w:val="en-US"/>
        </w:rPr>
        <w:t xml:space="preserve">both reported </w:t>
      </w:r>
      <w:r w:rsidR="00A86C3A">
        <w:rPr>
          <w:lang w:val="en-US"/>
        </w:rPr>
        <w:t xml:space="preserve">minimal differences in </w:t>
      </w:r>
      <w:r w:rsidR="00257F4C">
        <w:rPr>
          <w:lang w:val="en-US"/>
        </w:rPr>
        <w:t>opioid</w:t>
      </w:r>
      <w:r w:rsidR="00A86C3A">
        <w:rPr>
          <w:lang w:val="en-US"/>
        </w:rPr>
        <w:t xml:space="preserve"> consumption between large propensity matched cohorts </w:t>
      </w:r>
      <w:r w:rsidR="00257F4C">
        <w:rPr>
          <w:lang w:val="en-US"/>
        </w:rPr>
        <w:t xml:space="preserve">(SCS compared to no SCS), none of which were considered clinically significant. </w:t>
      </w:r>
      <w:r w:rsidR="00A166D3">
        <w:rPr>
          <w:lang w:val="en-US"/>
        </w:rPr>
        <w:t>R</w:t>
      </w:r>
      <w:r w:rsidR="00B05458">
        <w:rPr>
          <w:lang w:val="en-US"/>
        </w:rPr>
        <w:t xml:space="preserve">ates of implant removal or revision were </w:t>
      </w:r>
      <w:r w:rsidR="007162D4">
        <w:rPr>
          <w:lang w:val="en-US"/>
        </w:rPr>
        <w:t xml:space="preserve">22.1% in Dhruva (2023). </w:t>
      </w:r>
    </w:p>
    <w:p w14:paraId="002713F4" w14:textId="786B4D2B" w:rsidR="00C3243C" w:rsidRDefault="00C3243C" w:rsidP="00C3243C">
      <w:pPr>
        <w:pStyle w:val="BodyText"/>
      </w:pPr>
      <w:r>
        <w:t xml:space="preserve">The findings of </w:t>
      </w:r>
      <w:r w:rsidR="007162D4">
        <w:t>Dhruva (2023)</w:t>
      </w:r>
      <w:r>
        <w:t xml:space="preserve"> have been strongly refuted in the literature (Deer 2023) and by some stakeholders, while being supported by other stakeholders. The criticisms range from flaws in study design, inadequate propensity matching criteria and flawed interpretation of findings. The nature of the authorship </w:t>
      </w:r>
      <w:r>
        <w:lastRenderedPageBreak/>
        <w:t xml:space="preserve">has also been questioned, being mainly employees of Optum Health, the owner of the </w:t>
      </w:r>
      <w:r w:rsidRPr="00D6463B">
        <w:t xml:space="preserve">Optum Health Insurance Industry </w:t>
      </w:r>
      <w:r>
        <w:t>database, and lacking any pain specialists</w:t>
      </w:r>
      <w:r w:rsidR="009328CD">
        <w:rPr>
          <w:rStyle w:val="FootnoteReference"/>
        </w:rPr>
        <w:footnoteReference w:id="18"/>
      </w:r>
      <w:r>
        <w:t>.</w:t>
      </w:r>
    </w:p>
    <w:p w14:paraId="7635390D" w14:textId="3C4E36C0" w:rsidR="00C3243C" w:rsidRDefault="00C3243C" w:rsidP="00C3243C">
      <w:pPr>
        <w:pStyle w:val="BodyText"/>
      </w:pPr>
      <w:r>
        <w:t>A major criticism is that patients in the SCS group are, by definition, further along in the treatment algorithm than the CMM patients, since they have failed CMM prior to qualifying for SCS. Therefore, the comparison is being made between SCS patients refractory to CMM with those undergoing CMM, which is claimed to be an inappropriate comparison. It has been pointed out that reductions in pain surrogates would be expected in both groups from the first year to the second year of follow</w:t>
      </w:r>
      <w:r w:rsidR="006541C2">
        <w:t>-</w:t>
      </w:r>
      <w:r>
        <w:t xml:space="preserve">up as they move through their treatment pathways, consistent with an expected positive response to various treatments over time for many patients, and this was observed (Deer 2023). The rate of this reduction cannot be expected to be the same for both groups, so comparing them is not a meaningful analysis. Further confounding this comparison is the allowance for patients to receive their SCS implant up to one year from the index date, meaning their first year of opioid use may coincide with the year prior to implant rather than the </w:t>
      </w:r>
      <w:r w:rsidR="00A77A23">
        <w:t>first-year</w:t>
      </w:r>
      <w:r>
        <w:t xml:space="preserve"> post-implant (Deer 2023).</w:t>
      </w:r>
    </w:p>
    <w:p w14:paraId="4B336E06" w14:textId="7CA4B8FA" w:rsidR="00C3243C" w:rsidRDefault="00C3243C" w:rsidP="00403CCB">
      <w:pPr>
        <w:pStyle w:val="BodyText"/>
      </w:pPr>
      <w:r>
        <w:t xml:space="preserve">As the design of </w:t>
      </w:r>
      <w:r w:rsidR="002D1347">
        <w:t>Vu (2022)</w:t>
      </w:r>
      <w:r>
        <w:t xml:space="preserve"> is similar to that of </w:t>
      </w:r>
      <w:r w:rsidRPr="003301A2">
        <w:t>Dhruva 2023</w:t>
      </w:r>
      <w:r>
        <w:t xml:space="preserve">, it is presumed </w:t>
      </w:r>
      <w:r w:rsidR="00572A14">
        <w:t>to have</w:t>
      </w:r>
      <w:r>
        <w:t xml:space="preserve"> the same limitations as described above (e.g., the cohorts being compared will include patients at different points in the clinical management pathway, and an arbitrary threshold for a surrogate pain outcome does not necessarily capture the clinical picture). </w:t>
      </w:r>
    </w:p>
    <w:p w14:paraId="4E801B23" w14:textId="5566CABF" w:rsidR="002D1347" w:rsidRDefault="002D1347" w:rsidP="00403CCB">
      <w:pPr>
        <w:pStyle w:val="BodyText"/>
      </w:pPr>
      <w:r>
        <w:t>For many clinical questions, propensity matched cohorts derived from large registry databases can provide powerful insights. However, the lengthy, multi-stepped nature of the clinical management pathway for chronic pain may not lend itself well to registry database analyses, which tend to lack granularity and specificity</w:t>
      </w:r>
      <w:r w:rsidR="00A9126E">
        <w:t xml:space="preserve">. However, if </w:t>
      </w:r>
      <w:r w:rsidR="00FF0F72">
        <w:t xml:space="preserve">propensity matched cohorts are considered inadequate, then appropriate RCTs of high methodology quality will be even more vital to </w:t>
      </w:r>
      <w:r w:rsidR="00AB2540">
        <w:t>understanding the comparative effectiveness of SCS devices.</w:t>
      </w:r>
    </w:p>
    <w:p w14:paraId="57F0A4E0" w14:textId="1DCCCF72" w:rsidR="00A62DAC" w:rsidRPr="00A62DAC" w:rsidRDefault="00AE7BC8" w:rsidP="00F82A1C">
      <w:pPr>
        <w:pStyle w:val="Heading3"/>
      </w:pPr>
      <w:bookmarkStart w:id="145" w:name="_Toc165634691"/>
      <w:r w:rsidRPr="007A2C70">
        <w:t>S</w:t>
      </w:r>
      <w:r>
        <w:t xml:space="preserve">pinal cord stimulation </w:t>
      </w:r>
      <w:r w:rsidR="007A2C70">
        <w:t>in people with ischaemic pain</w:t>
      </w:r>
      <w:bookmarkEnd w:id="145"/>
    </w:p>
    <w:p w14:paraId="1BFCA4C6" w14:textId="5E31BC7D" w:rsidR="00EB5348" w:rsidRPr="00003E57" w:rsidRDefault="008B0D68" w:rsidP="00EB5348">
      <w:pPr>
        <w:pStyle w:val="BodyText"/>
      </w:pPr>
      <w:r w:rsidRPr="008B0D68">
        <w:t xml:space="preserve">The </w:t>
      </w:r>
      <w:r>
        <w:t xml:space="preserve">NICE (2008) </w:t>
      </w:r>
      <w:r w:rsidR="005C05BD">
        <w:t>SR</w:t>
      </w:r>
      <w:r w:rsidR="0088448B">
        <w:t xml:space="preserve"> of SCS in people with ischaemic pain included eight RCTS (four for CLI and four for angina)</w:t>
      </w:r>
      <w:r w:rsidR="00FE607B">
        <w:t xml:space="preserve">. The findings were </w:t>
      </w:r>
      <w:r w:rsidR="0060613C">
        <w:t>equivocal,</w:t>
      </w:r>
      <w:r w:rsidR="00FE607B">
        <w:t xml:space="preserve"> and NICE did not recommend SCS for these indications. </w:t>
      </w:r>
      <w:r w:rsidR="0060613C">
        <w:t xml:space="preserve">No stakeholders or sponsors provided additional information to support </w:t>
      </w:r>
      <w:r w:rsidR="00FD4C1D">
        <w:t>SCS in th</w:t>
      </w:r>
      <w:r w:rsidR="00003E57">
        <w:t>ese indications.</w:t>
      </w:r>
    </w:p>
    <w:p w14:paraId="6B11292D" w14:textId="62A40A71" w:rsidR="004A623E" w:rsidRDefault="004A623E" w:rsidP="004A623E">
      <w:pPr>
        <w:pStyle w:val="Heading2"/>
      </w:pPr>
      <w:bookmarkStart w:id="146" w:name="_Toc165634692"/>
      <w:r>
        <w:t>Comparative cost-effectiveness</w:t>
      </w:r>
      <w:bookmarkEnd w:id="146"/>
    </w:p>
    <w:p w14:paraId="6FE1B0FA" w14:textId="34F33302" w:rsidR="00384459" w:rsidRDefault="001C6CED" w:rsidP="00384459">
      <w:pPr>
        <w:pStyle w:val="BodyText"/>
      </w:pPr>
      <w:r>
        <w:t>The available evidence on the comparative cost-effectiveness of SCS</w:t>
      </w:r>
      <w:r w:rsidR="00D4269B">
        <w:t xml:space="preserve"> was provided by </w:t>
      </w:r>
      <w:r w:rsidR="007243E4">
        <w:t xml:space="preserve">a SR by </w:t>
      </w:r>
      <w:proofErr w:type="spellStart"/>
      <w:r w:rsidR="00D4269B">
        <w:t>Niyomsri</w:t>
      </w:r>
      <w:proofErr w:type="spellEnd"/>
      <w:r w:rsidR="00D4269B">
        <w:t xml:space="preserve"> (2020)</w:t>
      </w:r>
      <w:r w:rsidR="008D6C2A">
        <w:t>,</w:t>
      </w:r>
      <w:r w:rsidR="00D4269B">
        <w:t xml:space="preserve"> with only a single additional study identified </w:t>
      </w:r>
      <w:r w:rsidR="00334608">
        <w:t>in the peer-reviewed literature</w:t>
      </w:r>
      <w:r w:rsidR="0053744E">
        <w:t xml:space="preserve"> (Rojo 2021)</w:t>
      </w:r>
      <w:r w:rsidR="00334608">
        <w:t xml:space="preserve">. </w:t>
      </w:r>
      <w:r w:rsidR="00EB0FD1">
        <w:t>Across these studies, the findings demonstrate that although initial costs of SCS devices are high, studies with longer time horizons tend to report that SCS is cost</w:t>
      </w:r>
      <w:r w:rsidR="00CC5C05">
        <w:t xml:space="preserve"> </w:t>
      </w:r>
      <w:r w:rsidR="00EB0FD1">
        <w:t xml:space="preserve">effective as the modelled improvement in health outcomes is extrapolated over this timeframe. </w:t>
      </w:r>
      <w:proofErr w:type="spellStart"/>
      <w:r w:rsidR="00EB0FD1">
        <w:t>N</w:t>
      </w:r>
      <w:r w:rsidR="00530A23">
        <w:t>iyomsri</w:t>
      </w:r>
      <w:proofErr w:type="spellEnd"/>
      <w:r w:rsidR="00530A23">
        <w:t xml:space="preserve"> (2020)</w:t>
      </w:r>
      <w:r w:rsidR="00EB0FD1">
        <w:t xml:space="preserve"> note</w:t>
      </w:r>
      <w:r w:rsidR="00530A23">
        <w:t>s</w:t>
      </w:r>
      <w:r w:rsidR="00EB0FD1">
        <w:t xml:space="preserve"> that the models were limited by a lack of long-term clinical data and missing follow-up costs.  </w:t>
      </w:r>
    </w:p>
    <w:p w14:paraId="0E3BCB55" w14:textId="1746BD43" w:rsidR="001B5928" w:rsidRDefault="00530A23" w:rsidP="001B5928">
      <w:pPr>
        <w:pStyle w:val="BodyText"/>
      </w:pPr>
      <w:r>
        <w:t>A</w:t>
      </w:r>
      <w:r w:rsidR="00FA20BD">
        <w:t>n</w:t>
      </w:r>
      <w:r w:rsidR="000A212B">
        <w:t xml:space="preserve"> </w:t>
      </w:r>
      <w:r>
        <w:t xml:space="preserve">Australian cost-effectiveness study </w:t>
      </w:r>
      <w:r w:rsidR="00DF2991">
        <w:t>(commissioned by NSANZ)</w:t>
      </w:r>
      <w:r>
        <w:t xml:space="preserve"> </w:t>
      </w:r>
      <w:r w:rsidR="000A212B">
        <w:t xml:space="preserve">was also </w:t>
      </w:r>
      <w:r w:rsidR="005427CC">
        <w:t>identified</w:t>
      </w:r>
      <w:r w:rsidR="00BA7D9C">
        <w:t xml:space="preserve"> (Deloitte 2019). A Markov model was used to compare treatments in FBSS and CRPS patients.</w:t>
      </w:r>
      <w:r w:rsidR="001B5928" w:rsidRPr="001B5928">
        <w:t xml:space="preserve"> </w:t>
      </w:r>
      <w:r w:rsidR="001B5928">
        <w:t xml:space="preserve">From a health system perspective, SCS devices were considered cost effective in the treatment of FBSS and CRPS (type I) when compared to usual care. The </w:t>
      </w:r>
      <w:r w:rsidR="008E44B6">
        <w:t>ICER</w:t>
      </w:r>
      <w:r w:rsidR="001B5928">
        <w:t xml:space="preserve"> was $15,070 per QALY gained for patients with FBSS </w:t>
      </w:r>
      <w:r w:rsidR="001B5928" w:rsidRPr="00C9426D">
        <w:t>and</w:t>
      </w:r>
      <w:r w:rsidR="001B5928">
        <w:t xml:space="preserve"> $2,321 per QALY gained for patients with CRPS.</w:t>
      </w:r>
      <w:r w:rsidR="00BC5A43" w:rsidRPr="00BC5A43">
        <w:t xml:space="preserve"> </w:t>
      </w:r>
      <w:r w:rsidR="00BC5A43">
        <w:t>The model was most sensitive to the time horizon, discount rate, ongoing costs of treatment in the SCS arm, and device longevity.</w:t>
      </w:r>
    </w:p>
    <w:p w14:paraId="3638F648" w14:textId="0FD75ECD" w:rsidR="00B53E8E" w:rsidRDefault="00B21972" w:rsidP="00B53E8E">
      <w:pPr>
        <w:pStyle w:val="BodyText"/>
      </w:pPr>
      <w:r>
        <w:t xml:space="preserve">The clinical evidence underpinning the </w:t>
      </w:r>
      <w:r w:rsidR="003C5C9D">
        <w:t xml:space="preserve">Australian economic </w:t>
      </w:r>
      <w:r>
        <w:t>analysis is the PROCESS trial</w:t>
      </w:r>
      <w:r w:rsidR="001712B1">
        <w:t xml:space="preserve"> (Kumar 2007)</w:t>
      </w:r>
      <w:r w:rsidR="003C5C9D">
        <w:t>,</w:t>
      </w:r>
      <w:r>
        <w:t xml:space="preserve"> which </w:t>
      </w:r>
      <w:r w:rsidR="00740AC4">
        <w:t xml:space="preserve">is </w:t>
      </w:r>
      <w:r w:rsidR="00E8609F">
        <w:t>an open</w:t>
      </w:r>
      <w:r w:rsidR="003C5C9D">
        <w:t>-</w:t>
      </w:r>
      <w:r w:rsidR="00E8609F">
        <w:t xml:space="preserve">label </w:t>
      </w:r>
      <w:r w:rsidR="003C5C9D">
        <w:t>RCT of</w:t>
      </w:r>
      <w:r w:rsidR="00E8609F">
        <w:t xml:space="preserve"> SCS versus </w:t>
      </w:r>
      <w:r w:rsidR="0091049A">
        <w:t>CMM</w:t>
      </w:r>
      <w:r w:rsidR="00E8609F">
        <w:t xml:space="preserve"> </w:t>
      </w:r>
      <w:r w:rsidR="001F1154">
        <w:t>in</w:t>
      </w:r>
      <w:r w:rsidR="006160F0">
        <w:t xml:space="preserve"> </w:t>
      </w:r>
      <w:r w:rsidR="00643C87">
        <w:t xml:space="preserve">100 </w:t>
      </w:r>
      <w:r w:rsidR="006160F0">
        <w:t>patients with FBSS</w:t>
      </w:r>
      <w:r w:rsidR="001F1154">
        <w:t xml:space="preserve">. </w:t>
      </w:r>
      <w:r w:rsidR="00400E12">
        <w:t xml:space="preserve">The trial was included in both </w:t>
      </w:r>
      <w:r w:rsidR="00400E12">
        <w:lastRenderedPageBreak/>
        <w:t>Cochrane reviews (O’Connell 2021; Traeger 2023)</w:t>
      </w:r>
      <w:r w:rsidR="007B013E">
        <w:t>.</w:t>
      </w:r>
      <w:r w:rsidR="00026B0B">
        <w:t xml:space="preserve"> </w:t>
      </w:r>
      <w:r w:rsidR="007B013E">
        <w:t>A</w:t>
      </w:r>
      <w:r w:rsidR="00026B0B">
        <w:t>s</w:t>
      </w:r>
      <w:r w:rsidR="007B013E">
        <w:t xml:space="preserve"> these reviews</w:t>
      </w:r>
      <w:r w:rsidR="00026B0B">
        <w:t xml:space="preserve"> noted, sham</w:t>
      </w:r>
      <w:r w:rsidR="00882909">
        <w:t>-</w:t>
      </w:r>
      <w:r w:rsidR="00026B0B">
        <w:t xml:space="preserve">controlled trials generally reported </w:t>
      </w:r>
      <w:r w:rsidR="00053D7E">
        <w:t>a smaller effect in favour of SCS</w:t>
      </w:r>
      <w:r w:rsidR="007B013E">
        <w:t xml:space="preserve"> than open</w:t>
      </w:r>
      <w:r w:rsidR="007F5116">
        <w:t>-</w:t>
      </w:r>
      <w:r w:rsidR="007B013E">
        <w:t>label trials</w:t>
      </w:r>
      <w:r w:rsidR="00053D7E">
        <w:t>. Furthermore, although the PROCESS study had follow-up to 2</w:t>
      </w:r>
      <w:r w:rsidR="00996CD4">
        <w:t xml:space="preserve"> </w:t>
      </w:r>
      <w:r w:rsidR="00053D7E">
        <w:t>years, extrapolation to 15</w:t>
      </w:r>
      <w:r w:rsidR="00996CD4">
        <w:t xml:space="preserve"> </w:t>
      </w:r>
      <w:r w:rsidR="00053D7E">
        <w:t xml:space="preserve">years introduces significant uncertainty with respect to both the durability of </w:t>
      </w:r>
      <w:r w:rsidR="00840D86">
        <w:t xml:space="preserve">treatment effects and </w:t>
      </w:r>
      <w:r w:rsidR="00B6415D">
        <w:t xml:space="preserve">ongoing </w:t>
      </w:r>
      <w:r w:rsidR="001F2F7C">
        <w:t>AE</w:t>
      </w:r>
      <w:r w:rsidR="00B6415D">
        <w:t xml:space="preserve"> rates.</w:t>
      </w:r>
    </w:p>
    <w:p w14:paraId="3E6C4FBA" w14:textId="4619FA20" w:rsidR="00241A7E" w:rsidRDefault="000669A9" w:rsidP="00B53E8E">
      <w:pPr>
        <w:pStyle w:val="BodyText"/>
      </w:pPr>
      <w:r>
        <w:t>T</w:t>
      </w:r>
      <w:r w:rsidR="00EC4918">
        <w:t xml:space="preserve">he </w:t>
      </w:r>
      <w:r w:rsidR="005948FB">
        <w:t>PL benefits for SCS devices and their accessories on the PL</w:t>
      </w:r>
      <w:r w:rsidR="00760814">
        <w:t xml:space="preserve"> have remained unchanged following benchmarking by the Independent Hospital Pricing Authority (IHPA)</w:t>
      </w:r>
      <w:r w:rsidR="006C42BB">
        <w:t xml:space="preserve"> as a component of the PL reforms</w:t>
      </w:r>
      <w:r w:rsidR="006C42BB">
        <w:rPr>
          <w:rStyle w:val="FootnoteReference"/>
        </w:rPr>
        <w:footnoteReference w:id="19"/>
      </w:r>
      <w:r w:rsidR="006C42BB">
        <w:t xml:space="preserve">. </w:t>
      </w:r>
      <w:r w:rsidR="00527B65">
        <w:t>This</w:t>
      </w:r>
      <w:r w:rsidR="00CC5BB6">
        <w:t xml:space="preserve"> may not be informative </w:t>
      </w:r>
      <w:r w:rsidR="008026FE">
        <w:t>regarding whether PL benefits differ from those in the public system given that SCS is largely rest</w:t>
      </w:r>
      <w:r w:rsidR="00240123">
        <w:t xml:space="preserve">ricted to the private system. </w:t>
      </w:r>
      <w:r w:rsidR="00AB1305">
        <w:t xml:space="preserve">The included economic studies did not </w:t>
      </w:r>
      <w:r w:rsidR="00E61426">
        <w:t>identify information regarding current unit costs in other countries</w:t>
      </w:r>
      <w:r w:rsidR="001C0968">
        <w:t xml:space="preserve">. </w:t>
      </w:r>
      <w:r w:rsidR="00331595">
        <w:t>A Canadian HTA (</w:t>
      </w:r>
      <w:r w:rsidR="008579ED">
        <w:t>Ontario Health 2020</w:t>
      </w:r>
      <w:r w:rsidR="00331595">
        <w:t xml:space="preserve">) estimated that SCS device costs in Ontario averaged </w:t>
      </w:r>
      <w:r w:rsidR="00B01902">
        <w:t>$</w:t>
      </w:r>
      <w:r w:rsidR="00331595">
        <w:t>24,</w:t>
      </w:r>
      <w:r w:rsidR="00B01902">
        <w:t xml:space="preserve">464 (2018 Canadian dollars) including </w:t>
      </w:r>
      <w:r w:rsidR="006E311E">
        <w:t>the IPG, leads and other surgical tools.</w:t>
      </w:r>
      <w:r w:rsidR="00865F2E">
        <w:t xml:space="preserve"> </w:t>
      </w:r>
      <w:r w:rsidR="00056D13">
        <w:t>In the Belgium list of reimbursable devices</w:t>
      </w:r>
      <w:r w:rsidR="00D10BE9">
        <w:rPr>
          <w:rStyle w:val="FootnoteReference"/>
        </w:rPr>
        <w:footnoteReference w:id="20"/>
      </w:r>
      <w:r w:rsidR="00150931">
        <w:t>,</w:t>
      </w:r>
      <w:r w:rsidR="00056D13">
        <w:t xml:space="preserve"> the </w:t>
      </w:r>
      <w:r w:rsidR="003279E4">
        <w:t xml:space="preserve">benefit for an IPG for neurogenic pain ranges from </w:t>
      </w:r>
      <w:r w:rsidR="003279E4">
        <w:rPr>
          <w:rFonts w:cs="Calibri"/>
        </w:rPr>
        <w:t>€</w:t>
      </w:r>
      <w:r w:rsidR="003279E4">
        <w:t xml:space="preserve">5,227 to </w:t>
      </w:r>
      <w:r w:rsidR="00D10BE9">
        <w:rPr>
          <w:rFonts w:cs="Calibri"/>
        </w:rPr>
        <w:t>€</w:t>
      </w:r>
      <w:r w:rsidR="00D10BE9">
        <w:t>17,334.</w:t>
      </w:r>
      <w:r w:rsidR="00B01902">
        <w:t xml:space="preserve"> </w:t>
      </w:r>
    </w:p>
    <w:p w14:paraId="36920388" w14:textId="1FE5D3B3" w:rsidR="005909BC" w:rsidRPr="00B53E8E" w:rsidRDefault="005909BC" w:rsidP="00B53E8E">
      <w:pPr>
        <w:pStyle w:val="BodyText"/>
      </w:pPr>
      <w:r>
        <w:t xml:space="preserve">Given the clinical uncertainty, cost-effectiveness analysis to establish a suitable benefit for SCS devices is unlikely to be informative. There is no evidence to recommend a change to the SCS benefits on the PL.  </w:t>
      </w:r>
    </w:p>
    <w:p w14:paraId="0C65A07B" w14:textId="6FD5A441" w:rsidR="004A623E" w:rsidRDefault="004A623E" w:rsidP="004A623E">
      <w:pPr>
        <w:pStyle w:val="Heading2"/>
      </w:pPr>
      <w:bookmarkStart w:id="147" w:name="_Toc165634693"/>
      <w:r>
        <w:t xml:space="preserve">Patient selection and </w:t>
      </w:r>
      <w:r w:rsidR="00580361">
        <w:t>management</w:t>
      </w:r>
      <w:bookmarkEnd w:id="147"/>
    </w:p>
    <w:p w14:paraId="7EC064D5" w14:textId="6824CD4E" w:rsidR="00721455" w:rsidRPr="00721455" w:rsidRDefault="006B3E18" w:rsidP="00721455">
      <w:pPr>
        <w:pStyle w:val="BodyText"/>
      </w:pPr>
      <w:r>
        <w:t xml:space="preserve">No recent, high quality </w:t>
      </w:r>
      <w:r w:rsidR="00CE38B2">
        <w:t>Australian</w:t>
      </w:r>
      <w:r>
        <w:t xml:space="preserve"> clinical practice guidelines were identified </w:t>
      </w:r>
      <w:r w:rsidR="00417005">
        <w:t>in the search,</w:t>
      </w:r>
      <w:r w:rsidR="00D328E4">
        <w:t xml:space="preserve"> although a</w:t>
      </w:r>
      <w:r w:rsidR="004D6178">
        <w:t>n Australian</w:t>
      </w:r>
      <w:r w:rsidR="00D328E4">
        <w:t xml:space="preserve"> clinical algorithm was identified (Bates 2019).</w:t>
      </w:r>
      <w:r w:rsidR="00ED4CF4">
        <w:t xml:space="preserve"> </w:t>
      </w:r>
      <w:r w:rsidR="008B1244">
        <w:t>There was moderate consistency across the identified</w:t>
      </w:r>
      <w:r w:rsidR="009B5FDB">
        <w:t xml:space="preserve"> </w:t>
      </w:r>
      <w:r w:rsidR="008B1244">
        <w:t xml:space="preserve">guidelines </w:t>
      </w:r>
      <w:r w:rsidR="00667970">
        <w:t>from other countries</w:t>
      </w:r>
      <w:r w:rsidR="007265C2">
        <w:t xml:space="preserve">. For example, most recommended </w:t>
      </w:r>
      <w:r w:rsidR="00037D91">
        <w:t>SCS for CRPS and FBSS</w:t>
      </w:r>
      <w:r w:rsidR="0019485D">
        <w:t>,</w:t>
      </w:r>
      <w:r w:rsidR="00ED4CF4">
        <w:t xml:space="preserve"> </w:t>
      </w:r>
      <w:r w:rsidR="00ED1DD1">
        <w:t>but there were variations</w:t>
      </w:r>
      <w:r w:rsidR="0060536F">
        <w:t xml:space="preserve"> on </w:t>
      </w:r>
      <w:r w:rsidR="00FC607C">
        <w:t xml:space="preserve">recommended </w:t>
      </w:r>
      <w:r w:rsidR="0060536F">
        <w:t xml:space="preserve">indications beyond these. Similarly, there was a consistent thread that SCS </w:t>
      </w:r>
      <w:r w:rsidR="000D7A00">
        <w:t>should only be used</w:t>
      </w:r>
      <w:r w:rsidR="0060536F">
        <w:t xml:space="preserve"> following failure of conservative treatment options</w:t>
      </w:r>
      <w:r w:rsidR="00AF3F65">
        <w:t>,</w:t>
      </w:r>
      <w:r w:rsidR="0060536F">
        <w:t xml:space="preserve"> but </w:t>
      </w:r>
      <w:r w:rsidR="00130D04">
        <w:t xml:space="preserve">the guidance </w:t>
      </w:r>
      <w:r w:rsidR="0060536F">
        <w:t>vari</w:t>
      </w:r>
      <w:r w:rsidR="00130D04">
        <w:t>ed</w:t>
      </w:r>
      <w:r w:rsidR="0060536F">
        <w:t xml:space="preserve"> in the </w:t>
      </w:r>
      <w:r w:rsidR="00E63528">
        <w:t>definition of treatment</w:t>
      </w:r>
      <w:r w:rsidR="0060536F">
        <w:t xml:space="preserve"> failure </w:t>
      </w:r>
      <w:r w:rsidR="0039727C">
        <w:t>and the</w:t>
      </w:r>
      <w:r w:rsidR="0060536F">
        <w:t xml:space="preserve"> point </w:t>
      </w:r>
      <w:r w:rsidR="009D5431">
        <w:t xml:space="preserve">in the treatment pathway </w:t>
      </w:r>
      <w:r w:rsidR="0039727C">
        <w:t xml:space="preserve">where </w:t>
      </w:r>
      <w:r w:rsidR="0060536F">
        <w:t xml:space="preserve">SCS </w:t>
      </w:r>
      <w:r w:rsidR="0039727C">
        <w:t xml:space="preserve">is considered an </w:t>
      </w:r>
      <w:r w:rsidR="0060536F">
        <w:t>appropriate</w:t>
      </w:r>
      <w:r w:rsidR="0039727C">
        <w:t xml:space="preserve"> option</w:t>
      </w:r>
      <w:r w:rsidR="0060536F">
        <w:t xml:space="preserve">. </w:t>
      </w:r>
      <w:r w:rsidR="00E76C79">
        <w:t xml:space="preserve">Most </w:t>
      </w:r>
      <w:r w:rsidR="0039727C">
        <w:t xml:space="preserve">guidelines </w:t>
      </w:r>
      <w:r w:rsidR="00E76C79">
        <w:t>were consensus</w:t>
      </w:r>
      <w:r w:rsidR="0039727C">
        <w:t>-</w:t>
      </w:r>
      <w:r w:rsidR="00E76C79">
        <w:t xml:space="preserve">based and the extent to which </w:t>
      </w:r>
      <w:r w:rsidR="003C33B2">
        <w:t xml:space="preserve">they would be applicable to Australian clinical practice is uncertain. </w:t>
      </w:r>
    </w:p>
    <w:p w14:paraId="6B74A63E" w14:textId="70F8A8EB" w:rsidR="00951A08" w:rsidRDefault="00580361" w:rsidP="00580361">
      <w:pPr>
        <w:pStyle w:val="Heading2"/>
      </w:pPr>
      <w:bookmarkStart w:id="148" w:name="_Toc165634694"/>
      <w:r>
        <w:t xml:space="preserve">Considerations for </w:t>
      </w:r>
      <w:r w:rsidR="002F7650">
        <w:t>MDHTAC</w:t>
      </w:r>
      <w:bookmarkEnd w:id="148"/>
    </w:p>
    <w:p w14:paraId="4F6CD97A" w14:textId="545C9F6F" w:rsidR="00F74348" w:rsidRDefault="00FF6322" w:rsidP="00482560">
      <w:pPr>
        <w:pStyle w:val="BodyText"/>
      </w:pPr>
      <w:r>
        <w:t xml:space="preserve">Although triggered by </w:t>
      </w:r>
      <w:r w:rsidR="009E2783">
        <w:t>AE</w:t>
      </w:r>
      <w:r w:rsidR="00361A01">
        <w:t xml:space="preserve"> reports (Jones</w:t>
      </w:r>
      <w:r w:rsidR="00060030">
        <w:t xml:space="preserve"> et al.</w:t>
      </w:r>
      <w:r w:rsidR="00361A01">
        <w:t xml:space="preserve"> 2022)</w:t>
      </w:r>
      <w:r w:rsidR="00D363CE">
        <w:t>, this P</w:t>
      </w:r>
      <w:r w:rsidR="008D7A6E">
        <w:t>L</w:t>
      </w:r>
      <w:r w:rsidR="00D363CE">
        <w:t>R has focus</w:t>
      </w:r>
      <w:r w:rsidR="00620AEF">
        <w:t>ed</w:t>
      </w:r>
      <w:r w:rsidR="00D363CE">
        <w:t xml:space="preserve"> on the comparative clinical effectiveness </w:t>
      </w:r>
      <w:r w:rsidR="000C615F">
        <w:t>and cost-effective</w:t>
      </w:r>
      <w:r w:rsidR="00655C22">
        <w:t xml:space="preserve">ness </w:t>
      </w:r>
      <w:r w:rsidR="00D363CE">
        <w:t xml:space="preserve">of SCS </w:t>
      </w:r>
      <w:r w:rsidR="00C243DF">
        <w:t xml:space="preserve">with the understanding that the TGA is </w:t>
      </w:r>
      <w:r w:rsidR="00CC0636">
        <w:t>concurrently</w:t>
      </w:r>
      <w:r w:rsidR="00300118">
        <w:t xml:space="preserve"> undertaking a post-market review</w:t>
      </w:r>
      <w:r w:rsidR="00921AB8">
        <w:t xml:space="preserve"> and will consider safety.</w:t>
      </w:r>
      <w:r w:rsidR="000E4BCA">
        <w:t xml:space="preserve"> </w:t>
      </w:r>
    </w:p>
    <w:p w14:paraId="7ECB4C60" w14:textId="5550EC18" w:rsidR="00FF6322" w:rsidRDefault="000E4BCA" w:rsidP="00482560">
      <w:pPr>
        <w:pStyle w:val="BodyText"/>
      </w:pPr>
      <w:r>
        <w:t>The evidence base fo</w:t>
      </w:r>
      <w:r w:rsidR="005C61FA">
        <w:t xml:space="preserve">r the comparative clinical effectiveness of SCS compared to standard care is uncertain. Despite </w:t>
      </w:r>
      <w:r w:rsidR="00234E25">
        <w:t xml:space="preserve">the large </w:t>
      </w:r>
      <w:r w:rsidR="000B3F26">
        <w:t>number</w:t>
      </w:r>
      <w:r w:rsidR="00234E25">
        <w:t xml:space="preserve"> of </w:t>
      </w:r>
      <w:r w:rsidR="00A560FF">
        <w:t>RCT</w:t>
      </w:r>
      <w:r w:rsidR="00234E25">
        <w:t xml:space="preserve">s conducted of the devices, there remains doubt </w:t>
      </w:r>
      <w:r w:rsidR="004B0FDB">
        <w:t xml:space="preserve">as to the magnitude of their clinical effect and </w:t>
      </w:r>
      <w:r w:rsidR="00F21D8B">
        <w:t>the</w:t>
      </w:r>
      <w:r w:rsidR="004B0FDB">
        <w:t xml:space="preserve"> long-term </w:t>
      </w:r>
      <w:r w:rsidR="00305F12">
        <w:t xml:space="preserve">risk of </w:t>
      </w:r>
      <w:r w:rsidR="00D55A66">
        <w:t>AEs</w:t>
      </w:r>
      <w:r w:rsidR="00422475">
        <w:t>.</w:t>
      </w:r>
    </w:p>
    <w:p w14:paraId="26DCAC78" w14:textId="01ED435C" w:rsidR="00B84A11" w:rsidRDefault="00660C4E" w:rsidP="00482560">
      <w:pPr>
        <w:pStyle w:val="BodyText"/>
      </w:pPr>
      <w:r>
        <w:t xml:space="preserve">The uncertainty in the evidence base </w:t>
      </w:r>
      <w:r w:rsidR="00EB1B38">
        <w:t>is disappointing given the volume of evidence</w:t>
      </w:r>
      <w:r w:rsidR="00504EF7">
        <w:t xml:space="preserve"> and it is important th</w:t>
      </w:r>
      <w:r w:rsidR="00E73796">
        <w:t>at</w:t>
      </w:r>
      <w:r w:rsidR="00504EF7">
        <w:t xml:space="preserve"> further studies do not replicate the </w:t>
      </w:r>
      <w:r w:rsidR="00C93AA7">
        <w:t xml:space="preserve">type of </w:t>
      </w:r>
      <w:r w:rsidR="00504EF7">
        <w:t xml:space="preserve">studies </w:t>
      </w:r>
      <w:r w:rsidR="00295B5A">
        <w:t>that</w:t>
      </w:r>
      <w:r w:rsidR="00504EF7">
        <w:t xml:space="preserve"> have already been undertaken. </w:t>
      </w:r>
      <w:r w:rsidR="002E2174">
        <w:t xml:space="preserve">However, </w:t>
      </w:r>
      <w:r w:rsidR="00D836B3">
        <w:t>it is understood that</w:t>
      </w:r>
      <w:r w:rsidR="002E2174">
        <w:t xml:space="preserve"> stud</w:t>
      </w:r>
      <w:r w:rsidR="0041043C">
        <w:t>y design is</w:t>
      </w:r>
      <w:r w:rsidR="002E2174">
        <w:t xml:space="preserve"> frequently driven by regulatory requirements </w:t>
      </w:r>
      <w:r w:rsidR="006353E5">
        <w:t xml:space="preserve">in which comparison of a modified device to a predicate is sufficient for market access and, in some cases, also for reimbursement. </w:t>
      </w:r>
      <w:r w:rsidR="00F547C1">
        <w:t xml:space="preserve">Furthermore, the </w:t>
      </w:r>
      <w:r w:rsidR="001F7487">
        <w:t>generation of evidence,</w:t>
      </w:r>
      <w:r w:rsidR="00C563E3">
        <w:t xml:space="preserve"> </w:t>
      </w:r>
      <w:r w:rsidR="001F7487">
        <w:t xml:space="preserve">and </w:t>
      </w:r>
      <w:r w:rsidR="001D66BA">
        <w:t>its</w:t>
      </w:r>
      <w:r w:rsidR="001F7487">
        <w:t xml:space="preserve"> interpretation</w:t>
      </w:r>
      <w:r w:rsidR="00C72CD0">
        <w:t>,</w:t>
      </w:r>
      <w:r w:rsidR="001F7487">
        <w:t xml:space="preserve"> is highly contested and </w:t>
      </w:r>
      <w:r w:rsidR="008908BD">
        <w:t xml:space="preserve">there are few authors or funders without significant commercial </w:t>
      </w:r>
      <w:r w:rsidR="00E26EE4">
        <w:t>or</w:t>
      </w:r>
      <w:r w:rsidR="008908BD">
        <w:t xml:space="preserve"> other conflicts of interest.</w:t>
      </w:r>
    </w:p>
    <w:p w14:paraId="4C75033E" w14:textId="4AEDFE58" w:rsidR="004B2F06" w:rsidRDefault="004B2F06" w:rsidP="00482560">
      <w:pPr>
        <w:pStyle w:val="BodyText"/>
      </w:pPr>
      <w:r>
        <w:t xml:space="preserve">Patients with chronic pain </w:t>
      </w:r>
      <w:r w:rsidR="00C4233D">
        <w:t>are heterogeneous</w:t>
      </w:r>
      <w:r w:rsidR="00414A3D">
        <w:t xml:space="preserve"> and complex</w:t>
      </w:r>
      <w:r w:rsidR="009852AC">
        <w:t>,</w:t>
      </w:r>
      <w:r w:rsidR="00266FDA">
        <w:t xml:space="preserve"> with comorbidities and mental health problems often co</w:t>
      </w:r>
      <w:r w:rsidR="000025D2">
        <w:t>-</w:t>
      </w:r>
      <w:r w:rsidR="00266FDA">
        <w:t>occurring</w:t>
      </w:r>
      <w:r w:rsidR="00414A3D">
        <w:t xml:space="preserve">. It is estimated that </w:t>
      </w:r>
      <w:r w:rsidR="00D6101E">
        <w:t>one in five Australians live with chronic pain</w:t>
      </w:r>
      <w:r w:rsidR="006F1975">
        <w:t>,</w:t>
      </w:r>
      <w:r w:rsidR="00D6101E">
        <w:rPr>
          <w:rStyle w:val="FootnoteReference"/>
        </w:rPr>
        <w:footnoteReference w:id="21"/>
      </w:r>
      <w:r w:rsidR="00C44955">
        <w:t xml:space="preserve"> with considerable impacts on </w:t>
      </w:r>
      <w:r w:rsidR="00177D65">
        <w:t>people’s</w:t>
      </w:r>
      <w:r w:rsidR="00C44955">
        <w:t xml:space="preserve"> ability to work</w:t>
      </w:r>
      <w:r w:rsidR="008D23F0">
        <w:t xml:space="preserve"> and participate in society. </w:t>
      </w:r>
      <w:r w:rsidR="00C419E6">
        <w:t>In this</w:t>
      </w:r>
      <w:r w:rsidR="00371F33">
        <w:t xml:space="preserve"> </w:t>
      </w:r>
      <w:r w:rsidR="00AB51A9">
        <w:t>diverse</w:t>
      </w:r>
      <w:r w:rsidR="00371F33">
        <w:t xml:space="preserve"> population</w:t>
      </w:r>
      <w:r w:rsidR="00C419E6">
        <w:t>,</w:t>
      </w:r>
      <w:r w:rsidR="00371F33">
        <w:t xml:space="preserve"> </w:t>
      </w:r>
      <w:r w:rsidR="00C419E6">
        <w:t>it</w:t>
      </w:r>
      <w:r w:rsidR="00371F33">
        <w:t xml:space="preserve"> is </w:t>
      </w:r>
      <w:r w:rsidR="00E836E2">
        <w:t>notoriously</w:t>
      </w:r>
      <w:r w:rsidR="00371F33">
        <w:t xml:space="preserve"> </w:t>
      </w:r>
      <w:r w:rsidR="006F75F5">
        <w:t xml:space="preserve">challenging to </w:t>
      </w:r>
      <w:r w:rsidR="00FA6300">
        <w:t xml:space="preserve">generate high-level evidence of efficacy, particularly during later lines of </w:t>
      </w:r>
      <w:r w:rsidR="00177D65">
        <w:t>treatment.</w:t>
      </w:r>
      <w:r w:rsidR="00551B6D">
        <w:t xml:space="preserve"> This </w:t>
      </w:r>
      <w:r w:rsidR="000A0F5A">
        <w:t>P</w:t>
      </w:r>
      <w:r w:rsidR="00E11837">
        <w:t>L</w:t>
      </w:r>
      <w:r w:rsidR="000A0F5A">
        <w:t xml:space="preserve">R </w:t>
      </w:r>
      <w:r w:rsidR="000A0F5A">
        <w:lastRenderedPageBreak/>
        <w:t xml:space="preserve">is not a comprehensive </w:t>
      </w:r>
      <w:r w:rsidR="0094723C">
        <w:t>SR</w:t>
      </w:r>
      <w:r w:rsidR="005B3A05">
        <w:t>,</w:t>
      </w:r>
      <w:r w:rsidR="000A0F5A">
        <w:t xml:space="preserve"> nor </w:t>
      </w:r>
      <w:r w:rsidR="00ED6FA1">
        <w:t xml:space="preserve">has it delved into mechanistic understandings of SCS therapies, patient selection models </w:t>
      </w:r>
      <w:r w:rsidR="009B5882">
        <w:t>or similar questions</w:t>
      </w:r>
      <w:r w:rsidR="005B3A05">
        <w:t>, which all</w:t>
      </w:r>
      <w:r w:rsidR="009B5882">
        <w:t xml:space="preserve"> may provide valuable insights. </w:t>
      </w:r>
      <w:r w:rsidR="00782CD1">
        <w:t>However, t</w:t>
      </w:r>
      <w:r w:rsidR="005B3A05">
        <w:t>he P</w:t>
      </w:r>
      <w:r w:rsidR="008308E4">
        <w:t>L</w:t>
      </w:r>
      <w:r w:rsidR="005B3A05">
        <w:t xml:space="preserve">R has considered </w:t>
      </w:r>
      <w:r w:rsidR="00A25A5F">
        <w:t>additional comparative evidence excluded from the Cochrane review</w:t>
      </w:r>
      <w:r w:rsidR="00782CD1">
        <w:t>s</w:t>
      </w:r>
      <w:r w:rsidR="00B6376A">
        <w:t>,</w:t>
      </w:r>
      <w:r w:rsidR="00A25A5F">
        <w:t xml:space="preserve"> and no </w:t>
      </w:r>
      <w:r w:rsidR="00782CD1">
        <w:t>additional studies were</w:t>
      </w:r>
      <w:r w:rsidR="00A25A5F">
        <w:t xml:space="preserve"> identified </w:t>
      </w:r>
      <w:r w:rsidR="00B6376A">
        <w:t>that</w:t>
      </w:r>
      <w:r w:rsidR="00A25A5F">
        <w:t xml:space="preserve"> would alter those conclusions. </w:t>
      </w:r>
    </w:p>
    <w:p w14:paraId="48B7AA47" w14:textId="43F29AF9" w:rsidR="007C09CD" w:rsidRDefault="00181B24" w:rsidP="00C24938">
      <w:pPr>
        <w:pStyle w:val="BodyText"/>
      </w:pPr>
      <w:r>
        <w:t>In light of the</w:t>
      </w:r>
      <w:r w:rsidR="00C44B21">
        <w:t xml:space="preserve"> uncertainty</w:t>
      </w:r>
      <w:r w:rsidR="00551569">
        <w:t xml:space="preserve"> in the evidence base for SCS</w:t>
      </w:r>
      <w:r>
        <w:t>, it is</w:t>
      </w:r>
      <w:r w:rsidR="00C44B21">
        <w:t xml:space="preserve"> recommended that</w:t>
      </w:r>
      <w:r>
        <w:t xml:space="preserve"> </w:t>
      </w:r>
      <w:r w:rsidR="00A4107E">
        <w:t>MDHT</w:t>
      </w:r>
      <w:r w:rsidR="00215BD6">
        <w:t>A</w:t>
      </w:r>
      <w:r w:rsidR="00A4107E">
        <w:t>C</w:t>
      </w:r>
      <w:r w:rsidR="00665504">
        <w:t xml:space="preserve"> </w:t>
      </w:r>
      <w:r w:rsidR="00C24938">
        <w:t>c</w:t>
      </w:r>
      <w:r w:rsidR="00AF7250">
        <w:t>ontinue to list SCS devices on the PL</w:t>
      </w:r>
      <w:r w:rsidR="00C24938">
        <w:t xml:space="preserve">, </w:t>
      </w:r>
      <w:r w:rsidR="00A4107E">
        <w:t xml:space="preserve">with no </w:t>
      </w:r>
      <w:r w:rsidR="0007398E">
        <w:t>further</w:t>
      </w:r>
      <w:r w:rsidR="00A4107E">
        <w:t xml:space="preserve"> increases in </w:t>
      </w:r>
      <w:r w:rsidR="0007398E">
        <w:t>B</w:t>
      </w:r>
      <w:r w:rsidR="00A4107E">
        <w:t>enefit</w:t>
      </w:r>
      <w:r w:rsidR="0007398E">
        <w:t xml:space="preserve">, </w:t>
      </w:r>
      <w:r w:rsidR="00C44B21">
        <w:t xml:space="preserve">whilst also undertaking </w:t>
      </w:r>
      <w:r w:rsidR="00C24938">
        <w:t>further actions</w:t>
      </w:r>
      <w:r w:rsidR="007C09CD">
        <w:t xml:space="preserve">. </w:t>
      </w:r>
      <w:r w:rsidR="00155BD1">
        <w:t xml:space="preserve">The following actions are considered critical and are in </w:t>
      </w:r>
      <w:r w:rsidR="005F42CC">
        <w:t xml:space="preserve">line with the recommendations of the MBS </w:t>
      </w:r>
      <w:r w:rsidR="00EC4086">
        <w:t>R</w:t>
      </w:r>
      <w:r w:rsidR="005F42CC">
        <w:t xml:space="preserve">eview </w:t>
      </w:r>
      <w:r w:rsidR="00EC4086">
        <w:t>T</w:t>
      </w:r>
      <w:r w:rsidR="005F42CC">
        <w:t>askforce</w:t>
      </w:r>
      <w:r w:rsidR="003D0CD7">
        <w:t xml:space="preserve">. To achieve these actions, </w:t>
      </w:r>
      <w:r w:rsidR="00215BD6">
        <w:t>MDHTAC</w:t>
      </w:r>
      <w:r w:rsidR="00F24302">
        <w:t xml:space="preserve"> </w:t>
      </w:r>
      <w:r w:rsidR="003D0CD7">
        <w:t xml:space="preserve">may need to work with the TGA, MSAC, </w:t>
      </w:r>
      <w:r w:rsidR="00947476">
        <w:t>Australian Commission on Safety and Quality in Health Care (</w:t>
      </w:r>
      <w:r w:rsidR="003D0CD7">
        <w:t>ACSQHC</w:t>
      </w:r>
      <w:r w:rsidR="00947476">
        <w:t>)</w:t>
      </w:r>
      <w:r w:rsidR="003D0CD7">
        <w:t xml:space="preserve"> and other stakeholders.</w:t>
      </w:r>
    </w:p>
    <w:p w14:paraId="21D0DB78" w14:textId="11A73327" w:rsidR="005F42CC" w:rsidRDefault="005F42CC" w:rsidP="00914541">
      <w:pPr>
        <w:pStyle w:val="BodyText"/>
        <w:numPr>
          <w:ilvl w:val="0"/>
          <w:numId w:val="19"/>
        </w:numPr>
      </w:pPr>
      <w:r w:rsidRPr="0075081C">
        <w:rPr>
          <w:u w:val="single"/>
        </w:rPr>
        <w:t xml:space="preserve">Development of </w:t>
      </w:r>
      <w:r w:rsidR="004B71F4" w:rsidRPr="0075081C">
        <w:rPr>
          <w:u w:val="single"/>
        </w:rPr>
        <w:t>high-quality clinical guidelines</w:t>
      </w:r>
    </w:p>
    <w:p w14:paraId="4911C556" w14:textId="49FB5A55" w:rsidR="009A3DB1" w:rsidRDefault="00A82C61" w:rsidP="009A3DB1">
      <w:pPr>
        <w:pStyle w:val="BodyText"/>
        <w:ind w:left="720"/>
      </w:pPr>
      <w:r>
        <w:t xml:space="preserve">The need for clinical guidelines for </w:t>
      </w:r>
      <w:r w:rsidR="00550A9F">
        <w:t>SCS</w:t>
      </w:r>
      <w:r>
        <w:t xml:space="preserve"> devices was clearly articulated in the MBS Review Taskforce recommendations</w:t>
      </w:r>
      <w:r w:rsidR="00505613">
        <w:t xml:space="preserve"> (</w:t>
      </w:r>
      <w:r w:rsidR="004D5047">
        <w:t>2019</w:t>
      </w:r>
      <w:r w:rsidR="00505613">
        <w:t>)</w:t>
      </w:r>
      <w:r w:rsidR="00A10601">
        <w:t xml:space="preserve"> where it was noted that good outcomes were likely restricted to </w:t>
      </w:r>
      <w:r w:rsidR="0097215D">
        <w:t>a very select patient population</w:t>
      </w:r>
      <w:r w:rsidR="007D04C4">
        <w:t>,</w:t>
      </w:r>
      <w:r w:rsidR="0097215D">
        <w:t xml:space="preserve"> and that patient selection and follow-up are critical</w:t>
      </w:r>
      <w:r w:rsidR="00176462">
        <w:t xml:space="preserve"> but</w:t>
      </w:r>
      <w:r w:rsidR="0097215D">
        <w:t xml:space="preserve"> are </w:t>
      </w:r>
      <w:r w:rsidR="008137EF">
        <w:t>difficult to include in an item descriptor.</w:t>
      </w:r>
      <w:r w:rsidR="00066BD1">
        <w:t xml:space="preserve"> The development of clinical practice guidelines could bring together </w:t>
      </w:r>
      <w:r w:rsidR="00C21D8B">
        <w:t xml:space="preserve">stakeholders, patients and clinical experts to </w:t>
      </w:r>
      <w:r w:rsidR="00A16632">
        <w:t>fill a critical gap</w:t>
      </w:r>
      <w:r w:rsidR="001E3ADC">
        <w:t>,</w:t>
      </w:r>
      <w:r w:rsidR="00A16632">
        <w:t xml:space="preserve"> </w:t>
      </w:r>
      <w:r w:rsidR="00F03A42">
        <w:t>bridging</w:t>
      </w:r>
      <w:r w:rsidR="005879BB">
        <w:t xml:space="preserve"> the</w:t>
      </w:r>
      <w:r w:rsidR="00F03A42">
        <w:t xml:space="preserve"> </w:t>
      </w:r>
      <w:r w:rsidR="005879BB">
        <w:t xml:space="preserve">uncertainty in the </w:t>
      </w:r>
      <w:r w:rsidR="00F03A42">
        <w:t xml:space="preserve">evidence </w:t>
      </w:r>
      <w:r w:rsidR="005879BB">
        <w:t>with the ne</w:t>
      </w:r>
      <w:r w:rsidR="00E06B59">
        <w:t xml:space="preserve">ed to make the best possible decisions in clinical practice. </w:t>
      </w:r>
      <w:r w:rsidR="00215BD6">
        <w:t xml:space="preserve">Furthermore, clinical practice guidelines can take a </w:t>
      </w:r>
      <w:r w:rsidR="00215BD6" w:rsidRPr="00AE4AFF">
        <w:t>broader perspective</w:t>
      </w:r>
      <w:r w:rsidR="00215BD6">
        <w:t xml:space="preserve"> on chronic pain treatment and management</w:t>
      </w:r>
      <w:r w:rsidR="00215BD6" w:rsidRPr="00AE4AFF">
        <w:t>, with consideration of multidisciplinary approaches to patient care that address biological, psychological and social factors.</w:t>
      </w:r>
    </w:p>
    <w:p w14:paraId="37A296F0" w14:textId="7BEF0C45" w:rsidR="00E06B59" w:rsidRDefault="00E06B59" w:rsidP="00A24872">
      <w:pPr>
        <w:pStyle w:val="BodyText"/>
        <w:ind w:left="720"/>
      </w:pPr>
      <w:r>
        <w:t xml:space="preserve">The </w:t>
      </w:r>
      <w:r w:rsidR="00505613">
        <w:t>MBS Review Taskforce stated that c</w:t>
      </w:r>
      <w:r w:rsidR="00505613" w:rsidRPr="00505613">
        <w:t xml:space="preserve">linical guidelines for implantable devices for pain management are currently under development by the </w:t>
      </w:r>
      <w:r w:rsidR="001E481B">
        <w:t>Australian and New Zealand College of Anaesthetists (ANZCA)</w:t>
      </w:r>
      <w:r w:rsidR="00505613" w:rsidRPr="00505613">
        <w:t xml:space="preserve"> Faculty of Pain Medicine</w:t>
      </w:r>
      <w:r w:rsidR="00505613">
        <w:t xml:space="preserve">. It is further noted that the </w:t>
      </w:r>
      <w:r w:rsidR="00505613" w:rsidRPr="00505613">
        <w:t>ACSQHC has clinical care standards on both analgesic stewardship in acute pain</w:t>
      </w:r>
      <w:r w:rsidR="006F2D16">
        <w:rPr>
          <w:rStyle w:val="FootnoteReference"/>
        </w:rPr>
        <w:footnoteReference w:id="22"/>
      </w:r>
      <w:r w:rsidR="00505613" w:rsidRPr="00505613">
        <w:t xml:space="preserve"> and low back pain</w:t>
      </w:r>
      <w:r w:rsidR="00575EC7">
        <w:rPr>
          <w:rStyle w:val="FootnoteReference"/>
        </w:rPr>
        <w:footnoteReference w:id="23"/>
      </w:r>
      <w:r w:rsidR="00505613" w:rsidRPr="00505613">
        <w:t xml:space="preserve"> </w:t>
      </w:r>
      <w:r w:rsidR="00505613">
        <w:t>(</w:t>
      </w:r>
      <w:r w:rsidR="00505613" w:rsidRPr="00505613">
        <w:t>up to 12 weeks</w:t>
      </w:r>
      <w:r w:rsidR="00505613">
        <w:t>)</w:t>
      </w:r>
      <w:r w:rsidR="003D39E9">
        <w:t>;</w:t>
      </w:r>
      <w:r w:rsidR="00505613">
        <w:t xml:space="preserve"> although n</w:t>
      </w:r>
      <w:r w:rsidR="00505613" w:rsidRPr="00505613">
        <w:t xml:space="preserve">either are directly </w:t>
      </w:r>
      <w:r w:rsidR="000E175C" w:rsidRPr="00505613">
        <w:t>relevant,</w:t>
      </w:r>
      <w:r w:rsidR="00505613" w:rsidRPr="00505613">
        <w:t xml:space="preserve"> it suggests a gap</w:t>
      </w:r>
      <w:r w:rsidR="000E175C">
        <w:t xml:space="preserve"> and an opportunity for collaboration</w:t>
      </w:r>
      <w:r w:rsidR="00505613" w:rsidRPr="00505613">
        <w:t>.</w:t>
      </w:r>
      <w:r w:rsidR="000E175C">
        <w:t xml:space="preserve"> </w:t>
      </w:r>
      <w:r w:rsidR="000C6463">
        <w:t>The National Strategic Action Plan for Pain Management should also be considered as a starti</w:t>
      </w:r>
      <w:r w:rsidR="004C3329">
        <w:t>ng point as it states that goal three is that ‘</w:t>
      </w:r>
      <w:r w:rsidR="00A24872">
        <w:t>health practitioners are well-informed and skilled on best practice evidence-based care and are supported to deliver this care.</w:t>
      </w:r>
      <w:r w:rsidR="00562C7E">
        <w:t>’</w:t>
      </w:r>
    </w:p>
    <w:p w14:paraId="446B3970" w14:textId="4D3026B6" w:rsidR="00562C7E" w:rsidRDefault="00562C7E" w:rsidP="00A24872">
      <w:pPr>
        <w:pStyle w:val="BodyText"/>
        <w:ind w:left="720"/>
      </w:pPr>
      <w:r>
        <w:t xml:space="preserve">The development of any clinical guidelines needs to </w:t>
      </w:r>
      <w:r w:rsidR="00C9153D">
        <w:t>incorporate communication with</w:t>
      </w:r>
      <w:r>
        <w:t xml:space="preserve"> </w:t>
      </w:r>
      <w:r w:rsidR="00392E32">
        <w:t>MDHTAC</w:t>
      </w:r>
      <w:r w:rsidR="00F24302">
        <w:t xml:space="preserve"> </w:t>
      </w:r>
      <w:r w:rsidR="00112437">
        <w:t>and MSAC to ensure that</w:t>
      </w:r>
      <w:r w:rsidR="00151A82">
        <w:t xml:space="preserve"> listings </w:t>
      </w:r>
      <w:r w:rsidR="00DB0F1B">
        <w:t xml:space="preserve">are </w:t>
      </w:r>
      <w:r w:rsidR="008141B5">
        <w:t xml:space="preserve">kept </w:t>
      </w:r>
      <w:r w:rsidR="00C27CE9">
        <w:t>consisten</w:t>
      </w:r>
      <w:r w:rsidR="00DB0F1B">
        <w:t xml:space="preserve">t with recommended </w:t>
      </w:r>
      <w:r w:rsidR="008141B5">
        <w:t xml:space="preserve">clinical </w:t>
      </w:r>
      <w:r w:rsidR="00DB0F1B">
        <w:t>practice</w:t>
      </w:r>
      <w:r w:rsidR="00112437">
        <w:t>.</w:t>
      </w:r>
      <w:r w:rsidR="00AB4A06">
        <w:t xml:space="preserve"> For example, no evidence was found to support the use of SCS in refractory angina and </w:t>
      </w:r>
      <w:r w:rsidR="00CB56F6">
        <w:t xml:space="preserve">this could be removed from MBS item descriptors if </w:t>
      </w:r>
      <w:r w:rsidR="00E509B3">
        <w:t xml:space="preserve">usage for this indication is </w:t>
      </w:r>
      <w:r w:rsidR="00CB56F6">
        <w:t xml:space="preserve">not recommended in </w:t>
      </w:r>
      <w:r w:rsidR="00AF47A6">
        <w:t>clinical guidelines.</w:t>
      </w:r>
    </w:p>
    <w:p w14:paraId="3CA52A4F" w14:textId="6B8416E5" w:rsidR="004B71F4" w:rsidRDefault="00684338" w:rsidP="00914541">
      <w:pPr>
        <w:pStyle w:val="BodyText"/>
        <w:numPr>
          <w:ilvl w:val="0"/>
          <w:numId w:val="19"/>
        </w:numPr>
      </w:pPr>
      <w:r w:rsidRPr="00371D13">
        <w:rPr>
          <w:u w:val="single"/>
        </w:rPr>
        <w:t>Improved data monitoring and d</w:t>
      </w:r>
      <w:r w:rsidR="0044558A" w:rsidRPr="00371D13">
        <w:rPr>
          <w:u w:val="single"/>
        </w:rPr>
        <w:t>evelopment</w:t>
      </w:r>
      <w:r w:rsidR="00AD7084" w:rsidRPr="00371D13">
        <w:rPr>
          <w:u w:val="single"/>
        </w:rPr>
        <w:t xml:space="preserve"> </w:t>
      </w:r>
      <w:r w:rsidR="00EF48F8" w:rsidRPr="00371D13">
        <w:rPr>
          <w:u w:val="single"/>
        </w:rPr>
        <w:t xml:space="preserve">of a </w:t>
      </w:r>
      <w:r w:rsidR="0044558A" w:rsidRPr="00371D13">
        <w:rPr>
          <w:u w:val="single"/>
        </w:rPr>
        <w:t>national registry</w:t>
      </w:r>
    </w:p>
    <w:p w14:paraId="7CD4CC17" w14:textId="4AC55D9F" w:rsidR="00B661FE" w:rsidRDefault="004C3FF0" w:rsidP="00B628D5">
      <w:pPr>
        <w:pStyle w:val="BodyText"/>
        <w:ind w:left="720"/>
      </w:pPr>
      <w:r>
        <w:t>The TGA clinical evidence guidelines on medical devices notes that</w:t>
      </w:r>
      <w:r w:rsidR="001A03D8">
        <w:t xml:space="preserve"> device registries</w:t>
      </w:r>
      <w:r>
        <w:t xml:space="preserve"> </w:t>
      </w:r>
      <w:r w:rsidR="001A03D8">
        <w:t>‘</w:t>
      </w:r>
      <w:r w:rsidR="00734D34" w:rsidRPr="00734D34">
        <w:t>play a unique and important role in medical device surveillance</w:t>
      </w:r>
      <w:r w:rsidR="00EF7DD6">
        <w:rPr>
          <w:rStyle w:val="FootnoteReference"/>
        </w:rPr>
        <w:footnoteReference w:id="24"/>
      </w:r>
      <w:r w:rsidR="001A03D8">
        <w:t>’</w:t>
      </w:r>
      <w:r w:rsidR="00B81626">
        <w:t>,</w:t>
      </w:r>
      <w:r w:rsidR="001A03D8">
        <w:t xml:space="preserve"> </w:t>
      </w:r>
      <w:r w:rsidR="00E84025">
        <w:t>noting the examples of the Australian Breast Device Registry</w:t>
      </w:r>
      <w:r w:rsidR="00493708">
        <w:t xml:space="preserve"> (ABDR)</w:t>
      </w:r>
      <w:r w:rsidR="00E84025">
        <w:t xml:space="preserve">, the </w:t>
      </w:r>
      <w:r w:rsidR="002E66F0">
        <w:t xml:space="preserve">Australian Orthopaedic Association </w:t>
      </w:r>
      <w:r w:rsidR="00E84025">
        <w:t xml:space="preserve">National Joint Replacement Registry </w:t>
      </w:r>
      <w:r w:rsidR="002E66F0">
        <w:t xml:space="preserve">(AOANJRR) </w:t>
      </w:r>
      <w:r w:rsidR="00E84025">
        <w:t>and the Victorian Cardiac Outcomes Registry</w:t>
      </w:r>
      <w:r w:rsidR="004777B8">
        <w:t xml:space="preserve"> (VCOR)</w:t>
      </w:r>
      <w:r w:rsidR="00E84025">
        <w:t xml:space="preserve">. </w:t>
      </w:r>
      <w:r w:rsidR="00FA2E79">
        <w:t>Given the high</w:t>
      </w:r>
      <w:r w:rsidR="00D25F79">
        <w:t xml:space="preserve"> </w:t>
      </w:r>
      <w:r w:rsidR="00FA2E79">
        <w:t xml:space="preserve">cost, invasive nature and </w:t>
      </w:r>
      <w:r w:rsidR="00D37425">
        <w:t>ongoing</w:t>
      </w:r>
      <w:r w:rsidR="00FA2E79">
        <w:t xml:space="preserve"> uncertainty regarding SCS, they are good candi</w:t>
      </w:r>
      <w:r w:rsidR="008D200A">
        <w:t xml:space="preserve">dates for </w:t>
      </w:r>
      <w:r w:rsidR="00D37425">
        <w:t>inclusion within a registry.</w:t>
      </w:r>
    </w:p>
    <w:p w14:paraId="4A3699AB" w14:textId="4E19DE84" w:rsidR="004057C7" w:rsidRDefault="00C30F4B" w:rsidP="00B628D5">
      <w:pPr>
        <w:pStyle w:val="BodyText"/>
        <w:ind w:left="720"/>
      </w:pPr>
      <w:r>
        <w:t xml:space="preserve">There is an international registry of </w:t>
      </w:r>
      <w:r w:rsidR="00182D93">
        <w:t xml:space="preserve">Boston </w:t>
      </w:r>
      <w:r>
        <w:t>SCS devices</w:t>
      </w:r>
      <w:r w:rsidR="006B17AE">
        <w:t xml:space="preserve"> (</w:t>
      </w:r>
      <w:proofErr w:type="spellStart"/>
      <w:r w:rsidR="006B17AE" w:rsidRPr="000A127F">
        <w:t>Rauck</w:t>
      </w:r>
      <w:proofErr w:type="spellEnd"/>
      <w:r w:rsidR="006B17AE" w:rsidRPr="000A127F">
        <w:t xml:space="preserve"> 2023</w:t>
      </w:r>
      <w:r w:rsidR="006B17AE">
        <w:t xml:space="preserve">) </w:t>
      </w:r>
      <w:r w:rsidR="00CC6853">
        <w:t>that</w:t>
      </w:r>
      <w:r w:rsidR="006B17AE">
        <w:t xml:space="preserve"> has reported adverse event rates</w:t>
      </w:r>
      <w:r w:rsidR="00555EE3">
        <w:t xml:space="preserve">, and </w:t>
      </w:r>
      <w:r w:rsidR="00A02C28">
        <w:t xml:space="preserve">also a </w:t>
      </w:r>
      <w:r w:rsidR="0041139F">
        <w:t>registry of Abbott devices (</w:t>
      </w:r>
      <w:r w:rsidR="00071B9D">
        <w:t xml:space="preserve">NCT03876054). Although these are limited to, and funded by single manufacturers, they could provide valuable information if there is data transparency and </w:t>
      </w:r>
      <w:r w:rsidR="004057C7">
        <w:t>high</w:t>
      </w:r>
      <w:r w:rsidR="00F709B3">
        <w:t>-</w:t>
      </w:r>
      <w:r w:rsidR="004057C7">
        <w:t>quality data capture.</w:t>
      </w:r>
      <w:r w:rsidR="00071B9D">
        <w:t xml:space="preserve"> </w:t>
      </w:r>
      <w:r w:rsidR="001D75AC">
        <w:t xml:space="preserve">Internationally, there is also a </w:t>
      </w:r>
      <w:r w:rsidR="002A0114">
        <w:t xml:space="preserve">UK and Ireland National </w:t>
      </w:r>
      <w:proofErr w:type="spellStart"/>
      <w:r w:rsidR="002A0114">
        <w:lastRenderedPageBreak/>
        <w:t>Neuromoodulation</w:t>
      </w:r>
      <w:proofErr w:type="spellEnd"/>
      <w:r w:rsidR="002A0114">
        <w:t xml:space="preserve"> Registry</w:t>
      </w:r>
      <w:r w:rsidR="005B7BF5">
        <w:rPr>
          <w:rStyle w:val="FootnoteReference"/>
        </w:rPr>
        <w:footnoteReference w:id="25"/>
      </w:r>
      <w:r w:rsidR="002A0114">
        <w:t xml:space="preserve"> and a </w:t>
      </w:r>
      <w:r w:rsidR="005B7BF5">
        <w:t xml:space="preserve">Danish registry, the </w:t>
      </w:r>
      <w:r w:rsidR="005B7BF5" w:rsidRPr="005B7BF5">
        <w:t>Aarhus Neuromodulation Database</w:t>
      </w:r>
      <w:r w:rsidR="005B7BF5">
        <w:t xml:space="preserve"> (</w:t>
      </w:r>
      <w:r w:rsidR="005B7BF5" w:rsidRPr="00C47711">
        <w:t>Meier, 2013</w:t>
      </w:r>
      <w:r w:rsidR="005B7BF5">
        <w:t>).</w:t>
      </w:r>
    </w:p>
    <w:p w14:paraId="300DFC93" w14:textId="0C7E685E" w:rsidR="00D37425" w:rsidRDefault="001D75AC" w:rsidP="00B628D5">
      <w:pPr>
        <w:pStyle w:val="BodyText"/>
        <w:ind w:left="720"/>
      </w:pPr>
      <w:r>
        <w:t>In</w:t>
      </w:r>
      <w:r w:rsidR="0068516E">
        <w:t xml:space="preserve"> Australia,</w:t>
      </w:r>
      <w:r w:rsidR="00D21328">
        <w:t xml:space="preserve"> the </w:t>
      </w:r>
      <w:r w:rsidR="00D21328" w:rsidRPr="00D21328">
        <w:t>electronic Persistent Pain Outcomes Collaboration</w:t>
      </w:r>
      <w:r w:rsidR="00D21328">
        <w:t xml:space="preserve"> (</w:t>
      </w:r>
      <w:proofErr w:type="spellStart"/>
      <w:r w:rsidR="0068516E">
        <w:t>ePPOC</w:t>
      </w:r>
      <w:proofErr w:type="spellEnd"/>
      <w:r w:rsidR="00D21328">
        <w:t>)</w:t>
      </w:r>
      <w:r w:rsidR="001D3943">
        <w:rPr>
          <w:rStyle w:val="FootnoteReference"/>
        </w:rPr>
        <w:footnoteReference w:id="26"/>
      </w:r>
      <w:r w:rsidR="002B3218">
        <w:t xml:space="preserve"> </w:t>
      </w:r>
      <w:r w:rsidR="00C26E44">
        <w:t>collects</w:t>
      </w:r>
      <w:r w:rsidR="001D3943">
        <w:t xml:space="preserve">, </w:t>
      </w:r>
      <w:r w:rsidR="006A0D49">
        <w:t>analys</w:t>
      </w:r>
      <w:r w:rsidR="00111291">
        <w:t>e</w:t>
      </w:r>
      <w:r w:rsidR="006A0D49">
        <w:t>s,</w:t>
      </w:r>
      <w:r w:rsidR="001D3943">
        <w:t xml:space="preserve"> and reports </w:t>
      </w:r>
      <w:r w:rsidR="00C26E44">
        <w:t>standardised data from pain management services</w:t>
      </w:r>
      <w:r w:rsidR="001D3943">
        <w:t xml:space="preserve"> and is supported by the Faculty of Pain </w:t>
      </w:r>
      <w:r w:rsidR="00CE1830">
        <w:t>M</w:t>
      </w:r>
      <w:r w:rsidR="00792EAF">
        <w:t>edicine</w:t>
      </w:r>
      <w:r w:rsidR="001D3943">
        <w:t>.</w:t>
      </w:r>
      <w:r w:rsidR="00B670CC">
        <w:t xml:space="preserve"> </w:t>
      </w:r>
      <w:r w:rsidR="00E577D7">
        <w:t xml:space="preserve">An option is to consider capturing SCS outcome data within the existing electronic </w:t>
      </w:r>
      <w:proofErr w:type="spellStart"/>
      <w:r w:rsidR="00E577D7" w:rsidRPr="00B77D3F">
        <w:t>ePPOC</w:t>
      </w:r>
      <w:proofErr w:type="spellEnd"/>
      <w:r w:rsidR="00E577D7">
        <w:t xml:space="preserve"> initiative of the Faculty of Pain Medicine, thereby allowing comparison of outcomes from SCS with non-surgical treatments. </w:t>
      </w:r>
      <w:r w:rsidR="00E43C21">
        <w:t>It is understood that registries can be costly and challenging to establish and maintain</w:t>
      </w:r>
      <w:r w:rsidR="00F2201A">
        <w:t>,</w:t>
      </w:r>
      <w:r w:rsidR="00E43C21">
        <w:t xml:space="preserve"> and that </w:t>
      </w:r>
      <w:r w:rsidR="005D773C">
        <w:t>priorities need to be set</w:t>
      </w:r>
      <w:r w:rsidR="00C90096">
        <w:t>. Work in both clinical and medical device registries has been undertaken</w:t>
      </w:r>
      <w:r w:rsidR="00363B68">
        <w:rPr>
          <w:rStyle w:val="FootnoteReference"/>
        </w:rPr>
        <w:footnoteReference w:id="27"/>
      </w:r>
      <w:r w:rsidR="00C90096">
        <w:t xml:space="preserve">, </w:t>
      </w:r>
      <w:r w:rsidR="00363B68">
        <w:t>and this recommendation needs to be considered within that context</w:t>
      </w:r>
      <w:r w:rsidR="001D3943">
        <w:t>.</w:t>
      </w:r>
    </w:p>
    <w:p w14:paraId="0E523BF1" w14:textId="1A8926FE" w:rsidR="00684338" w:rsidRDefault="00684338" w:rsidP="00B628D5">
      <w:pPr>
        <w:pStyle w:val="BodyText"/>
        <w:ind w:left="720"/>
      </w:pPr>
      <w:r>
        <w:t>In the absence of a national registry</w:t>
      </w:r>
      <w:r w:rsidR="003E3118" w:rsidRPr="003E3118">
        <w:t xml:space="preserve"> </w:t>
      </w:r>
      <w:r w:rsidR="003E3118">
        <w:t xml:space="preserve">or extension to the </w:t>
      </w:r>
      <w:proofErr w:type="spellStart"/>
      <w:r w:rsidR="003E3118">
        <w:t>ePPOC</w:t>
      </w:r>
      <w:proofErr w:type="spellEnd"/>
      <w:r w:rsidR="003E3118">
        <w:t xml:space="preserve"> data collection</w:t>
      </w:r>
      <w:r>
        <w:t xml:space="preserve">, there is </w:t>
      </w:r>
      <w:r w:rsidR="0021446E">
        <w:t xml:space="preserve">valuable information already available for monitoring the use of SCS devices and </w:t>
      </w:r>
      <w:r w:rsidR="005E55DB">
        <w:t xml:space="preserve">monitoring </w:t>
      </w:r>
      <w:r w:rsidR="0021446E">
        <w:t xml:space="preserve">should be undertaken proactively. In particular, MBS data could be </w:t>
      </w:r>
      <w:r w:rsidR="00E05359">
        <w:t xml:space="preserve">used </w:t>
      </w:r>
      <w:r w:rsidR="005113F3">
        <w:t xml:space="preserve">to understand current patient </w:t>
      </w:r>
      <w:r w:rsidR="00347F2A">
        <w:t xml:space="preserve">profiles and links between insertions and removals (rates and timeframes). </w:t>
      </w:r>
      <w:r w:rsidR="00BF0C9A">
        <w:t xml:space="preserve">Consideration could be given to having a separate MBS item </w:t>
      </w:r>
      <w:r w:rsidR="00E842DD">
        <w:t>for</w:t>
      </w:r>
      <w:r w:rsidR="00BF0C9A">
        <w:t xml:space="preserve"> IPG replacement due to battery end of life </w:t>
      </w:r>
      <w:r w:rsidR="00E842DD">
        <w:t xml:space="preserve">to differentiate this from removal due to lack of efficacy or </w:t>
      </w:r>
      <w:r w:rsidR="00DA3B53">
        <w:t xml:space="preserve">other reasons. </w:t>
      </w:r>
      <w:r w:rsidR="00CE049A">
        <w:t xml:space="preserve">A similar </w:t>
      </w:r>
      <w:r w:rsidR="00527F3E">
        <w:t>MBS</w:t>
      </w:r>
      <w:r w:rsidR="00CE049A">
        <w:t xml:space="preserve"> item exists for vagal nerve stimulation (item </w:t>
      </w:r>
      <w:r w:rsidR="00F14FBE">
        <w:t>40708) ‘surgical replacement of batter</w:t>
      </w:r>
      <w:r w:rsidR="00455B38">
        <w:t>y</w:t>
      </w:r>
      <w:r w:rsidR="00F14FBE">
        <w:t xml:space="preserve"> in electrical pulse generator</w:t>
      </w:r>
      <w:r w:rsidR="00C21FF5">
        <w:t>’</w:t>
      </w:r>
      <w:r w:rsidR="00F14FBE">
        <w:t>.</w:t>
      </w:r>
    </w:p>
    <w:p w14:paraId="58CB8F52" w14:textId="505CBEC3" w:rsidR="0044558A" w:rsidRDefault="009874D3" w:rsidP="00914541">
      <w:pPr>
        <w:pStyle w:val="BodyText"/>
        <w:numPr>
          <w:ilvl w:val="0"/>
          <w:numId w:val="19"/>
        </w:numPr>
      </w:pPr>
      <w:r w:rsidRPr="00371D13">
        <w:rPr>
          <w:u w:val="single"/>
        </w:rPr>
        <w:t>High-quality research</w:t>
      </w:r>
    </w:p>
    <w:p w14:paraId="08A26EA3" w14:textId="36513417" w:rsidR="00E64434" w:rsidRDefault="006E5293" w:rsidP="00E64434">
      <w:pPr>
        <w:pStyle w:val="BodyText"/>
        <w:ind w:left="720"/>
      </w:pPr>
      <w:r>
        <w:t xml:space="preserve">Conducting further trials of the same design will not resolve the </w:t>
      </w:r>
      <w:r w:rsidR="00F51769">
        <w:t>outstanding uncertainty</w:t>
      </w:r>
      <w:r w:rsidR="00706882">
        <w:t xml:space="preserve">. Sponsors, </w:t>
      </w:r>
      <w:r w:rsidR="00F47510">
        <w:t>researchers,</w:t>
      </w:r>
      <w:r w:rsidR="00B25651">
        <w:t xml:space="preserve"> and funders should all be encouraged to design studies </w:t>
      </w:r>
      <w:r w:rsidR="00970DBE">
        <w:t xml:space="preserve">that </w:t>
      </w:r>
      <w:r w:rsidR="00C71EA0">
        <w:t>a</w:t>
      </w:r>
      <w:r w:rsidR="001C31C8">
        <w:t>re</w:t>
      </w:r>
      <w:r w:rsidR="00C71EA0">
        <w:t xml:space="preserve"> methodologically rigorous</w:t>
      </w:r>
      <w:r w:rsidR="00810F38">
        <w:t>, well conducted and reported</w:t>
      </w:r>
      <w:r w:rsidR="000F62AB">
        <w:t>,</w:t>
      </w:r>
      <w:r w:rsidR="00810F38">
        <w:t xml:space="preserve"> and answer priority questions. </w:t>
      </w:r>
      <w:r w:rsidR="00B9539F">
        <w:t xml:space="preserve">This may include </w:t>
      </w:r>
      <w:r w:rsidR="00B306A2">
        <w:t>the use of individual patient data</w:t>
      </w:r>
      <w:r w:rsidR="003427D5">
        <w:t xml:space="preserve"> or</w:t>
      </w:r>
      <w:r w:rsidR="00855243">
        <w:t xml:space="preserve"> large </w:t>
      </w:r>
      <w:r w:rsidR="00F47510">
        <w:t>registries,</w:t>
      </w:r>
      <w:r w:rsidR="003427D5">
        <w:t xml:space="preserve"> but it may also require a double blinded RCT of similar </w:t>
      </w:r>
      <w:r w:rsidR="00C42E04">
        <w:t xml:space="preserve">design to Hara (2022) using a </w:t>
      </w:r>
      <w:r w:rsidR="001D606E">
        <w:t>different</w:t>
      </w:r>
      <w:r w:rsidR="00C42E04">
        <w:t xml:space="preserve"> par</w:t>
      </w:r>
      <w:r w:rsidR="008C0062">
        <w:t>a</w:t>
      </w:r>
      <w:r w:rsidR="00C42E04">
        <w:t>esthesia</w:t>
      </w:r>
      <w:r w:rsidR="00C34DFE">
        <w:t>-</w:t>
      </w:r>
      <w:r w:rsidR="00C42E04">
        <w:t>free treatment arm</w:t>
      </w:r>
      <w:r w:rsidR="00F47510">
        <w:t>.</w:t>
      </w:r>
    </w:p>
    <w:p w14:paraId="3D6DD8B6" w14:textId="61A39EEF" w:rsidR="00E64434" w:rsidRDefault="00E64434" w:rsidP="002F20D4">
      <w:pPr>
        <w:pStyle w:val="BodyText"/>
        <w:ind w:left="720"/>
      </w:pPr>
      <w:r>
        <w:t xml:space="preserve">There are a number of ongoing clinical trials of SCS </w:t>
      </w:r>
      <w:r w:rsidR="007E441C">
        <w:t xml:space="preserve">(refer to </w:t>
      </w:r>
      <w:r w:rsidR="007A2935">
        <w:t xml:space="preserve">Appendix </w:t>
      </w:r>
      <w:r w:rsidR="007A2935">
        <w:fldChar w:fldCharType="begin"/>
      </w:r>
      <w:r w:rsidR="007A2935">
        <w:instrText xml:space="preserve"> REF _Ref134615601 \n \h </w:instrText>
      </w:r>
      <w:r w:rsidR="007A2935">
        <w:fldChar w:fldCharType="separate"/>
      </w:r>
      <w:r w:rsidR="00CE6ACA">
        <w:t>C.1.1</w:t>
      </w:r>
      <w:r w:rsidR="007A2935">
        <w:fldChar w:fldCharType="end"/>
      </w:r>
      <w:r w:rsidR="007A2935">
        <w:t>,</w:t>
      </w:r>
      <w:r w:rsidR="00017559">
        <w:rPr>
          <w:highlight w:val="yellow"/>
        </w:rPr>
        <w:fldChar w:fldCharType="begin"/>
      </w:r>
      <w:r w:rsidR="00017559">
        <w:instrText xml:space="preserve"> REF _Ref135048213 \h </w:instrText>
      </w:r>
      <w:r w:rsidR="002F20D4">
        <w:rPr>
          <w:highlight w:val="yellow"/>
        </w:rPr>
        <w:instrText xml:space="preserve"> \* MERGEFORMAT </w:instrText>
      </w:r>
      <w:r w:rsidR="00017559">
        <w:rPr>
          <w:highlight w:val="yellow"/>
        </w:rPr>
      </w:r>
      <w:r w:rsidR="00017559">
        <w:rPr>
          <w:highlight w:val="yellow"/>
        </w:rPr>
        <w:fldChar w:fldCharType="separate"/>
      </w:r>
      <w:r w:rsidR="00CE6ACA">
        <w:t xml:space="preserve">Table App </w:t>
      </w:r>
      <w:r w:rsidR="00CE6ACA">
        <w:rPr>
          <w:noProof/>
        </w:rPr>
        <w:t>5</w:t>
      </w:r>
      <w:r w:rsidR="00017559">
        <w:rPr>
          <w:highlight w:val="yellow"/>
        </w:rPr>
        <w:fldChar w:fldCharType="end"/>
      </w:r>
      <w:r w:rsidR="00017559">
        <w:t xml:space="preserve"> and</w:t>
      </w:r>
      <w:r w:rsidR="0071418B">
        <w:t xml:space="preserve"> </w:t>
      </w:r>
      <w:r w:rsidR="00BB5A1D">
        <w:fldChar w:fldCharType="begin"/>
      </w:r>
      <w:r w:rsidR="00BB5A1D">
        <w:instrText xml:space="preserve"> REF _Ref165465451 \h </w:instrText>
      </w:r>
      <w:r w:rsidR="00BB5A1D">
        <w:fldChar w:fldCharType="separate"/>
      </w:r>
      <w:r w:rsidR="00CE6ACA">
        <w:t xml:space="preserve">Table App </w:t>
      </w:r>
      <w:r w:rsidR="00CE6ACA">
        <w:rPr>
          <w:noProof/>
        </w:rPr>
        <w:t>6</w:t>
      </w:r>
      <w:r w:rsidR="00BB5A1D">
        <w:fldChar w:fldCharType="end"/>
      </w:r>
      <w:r w:rsidR="00017559">
        <w:t xml:space="preserve">) </w:t>
      </w:r>
      <w:r>
        <w:t xml:space="preserve">and it is recommended that </w:t>
      </w:r>
      <w:r w:rsidR="00DA4378">
        <w:t>MDHTAC</w:t>
      </w:r>
      <w:r w:rsidR="00F24302">
        <w:t xml:space="preserve"> </w:t>
      </w:r>
      <w:r>
        <w:t>continue to monitor the outcomes of these.</w:t>
      </w:r>
    </w:p>
    <w:p w14:paraId="5EA9AAC2" w14:textId="28FDA5B9" w:rsidR="002D1C47" w:rsidRDefault="002D1C47" w:rsidP="00182437">
      <w:pPr>
        <w:pStyle w:val="BodyText"/>
      </w:pPr>
      <w:r>
        <w:t xml:space="preserve">These recommendations are supported </w:t>
      </w:r>
      <w:r w:rsidRPr="000A3CAC">
        <w:t>by Pain Australia, the national peak body working to improve the quality of life of people living with pain, their families and carers</w:t>
      </w:r>
      <w:r>
        <w:t xml:space="preserve">. Pain Australia has recently </w:t>
      </w:r>
      <w:r w:rsidRPr="00CE5C7D">
        <w:t>undertak</w:t>
      </w:r>
      <w:r>
        <w:t>en</w:t>
      </w:r>
      <w:r w:rsidRPr="00CE5C7D">
        <w:t xml:space="preserve"> a </w:t>
      </w:r>
      <w:r>
        <w:t xml:space="preserve">survey on consumer </w:t>
      </w:r>
      <w:r w:rsidRPr="00CE5C7D">
        <w:t xml:space="preserve">experiences of </w:t>
      </w:r>
      <w:r>
        <w:t>SCS</w:t>
      </w:r>
      <w:r w:rsidRPr="00CE5C7D">
        <w:t xml:space="preserve"> </w:t>
      </w:r>
      <w:r>
        <w:t>that will be reported in late 2023 and should be considered by MDHTAC alongside the PLR.</w:t>
      </w:r>
    </w:p>
    <w:p w14:paraId="4A80684A" w14:textId="61290585" w:rsidR="005E1120" w:rsidRDefault="006A221B" w:rsidP="006A221B">
      <w:pPr>
        <w:pStyle w:val="BodyText"/>
      </w:pPr>
      <w:r>
        <w:t>PNS devices were determined to be out of scope for this review</w:t>
      </w:r>
      <w:r w:rsidR="00B9294F">
        <w:t xml:space="preserve">. </w:t>
      </w:r>
      <w:r w:rsidR="00DE64A8">
        <w:t xml:space="preserve"> </w:t>
      </w:r>
      <w:r w:rsidR="00B9294F">
        <w:t xml:space="preserve">Two </w:t>
      </w:r>
      <w:r w:rsidR="00F94D13">
        <w:t>devices</w:t>
      </w:r>
      <w:r w:rsidR="00B9294F">
        <w:t xml:space="preserve"> are currently listed on the PL in the same grouping as SCS. It is therefore recommended that</w:t>
      </w:r>
      <w:r w:rsidR="005E1120">
        <w:t xml:space="preserve"> PLAC:</w:t>
      </w:r>
    </w:p>
    <w:p w14:paraId="6AAC830E" w14:textId="644832F7" w:rsidR="005E1120" w:rsidRDefault="0022739E" w:rsidP="00A26096">
      <w:pPr>
        <w:pStyle w:val="BodyText"/>
        <w:numPr>
          <w:ilvl w:val="0"/>
          <w:numId w:val="15"/>
        </w:numPr>
      </w:pPr>
      <w:r>
        <w:t>c</w:t>
      </w:r>
      <w:r w:rsidR="005E1120">
        <w:t xml:space="preserve">reate a separate group for PNS devices for </w:t>
      </w:r>
      <w:r w:rsidR="00267BA0">
        <w:t>chronic pain</w:t>
      </w:r>
      <w:r w:rsidR="00A22F7E">
        <w:t>;</w:t>
      </w:r>
    </w:p>
    <w:p w14:paraId="0C0B764C" w14:textId="77777777" w:rsidR="001E4595" w:rsidRDefault="00A22F7E" w:rsidP="006A49A4">
      <w:pPr>
        <w:pStyle w:val="BodyText"/>
        <w:numPr>
          <w:ilvl w:val="0"/>
          <w:numId w:val="15"/>
        </w:numPr>
      </w:pPr>
      <w:r>
        <w:t>u</w:t>
      </w:r>
      <w:r w:rsidR="00267BA0">
        <w:t xml:space="preserve">ndertake </w:t>
      </w:r>
      <w:r w:rsidR="00875CAB">
        <w:t xml:space="preserve">focussed </w:t>
      </w:r>
      <w:r w:rsidR="00267BA0">
        <w:t>HTA of these devices to ensure they are appropriate for ongoing listing on the PL</w:t>
      </w:r>
      <w:r w:rsidR="00095FBD">
        <w:t xml:space="preserve"> or refer them to MSAC for assessment</w:t>
      </w:r>
      <w:r w:rsidR="001E4595">
        <w:t>;</w:t>
      </w:r>
    </w:p>
    <w:p w14:paraId="5D4675B0" w14:textId="2258F6D6" w:rsidR="00F07C21" w:rsidRDefault="001E4595" w:rsidP="001E4595">
      <w:pPr>
        <w:pStyle w:val="BodyText"/>
        <w:numPr>
          <w:ilvl w:val="0"/>
          <w:numId w:val="15"/>
        </w:numPr>
      </w:pPr>
      <w:r>
        <w:t>consider the appropriateness of leads with dual approval for SCS and PNS indications</w:t>
      </w:r>
      <w:r w:rsidR="00ED7073">
        <w:t>.</w:t>
      </w:r>
    </w:p>
    <w:p w14:paraId="1E7ED1CD" w14:textId="77777777" w:rsidR="003E06FD" w:rsidRDefault="003E06FD" w:rsidP="00513A7E">
      <w:pPr>
        <w:pStyle w:val="Heading2"/>
      </w:pPr>
      <w:bookmarkStart w:id="149" w:name="_Toc165634695"/>
      <w:r w:rsidRPr="00326526">
        <w:lastRenderedPageBreak/>
        <w:t xml:space="preserve">Considerations for </w:t>
      </w:r>
      <w:r>
        <w:t>MSAC</w:t>
      </w:r>
      <w:bookmarkEnd w:id="149"/>
      <w:r w:rsidRPr="00326526">
        <w:t xml:space="preserve"> </w:t>
      </w:r>
    </w:p>
    <w:p w14:paraId="02436EC2" w14:textId="77777777" w:rsidR="003E06FD" w:rsidRDefault="003E06FD" w:rsidP="00513A7E">
      <w:pPr>
        <w:pStyle w:val="BodyText"/>
        <w:keepNext/>
      </w:pPr>
      <w:r>
        <w:t>The MBS is legally enforceable and has greater scope than the PL for specifying conditions of use. The MBS Review Taskforce (2019) stated that:</w:t>
      </w:r>
    </w:p>
    <w:p w14:paraId="6FFCAE50" w14:textId="77777777" w:rsidR="003E06FD" w:rsidRDefault="003E06FD" w:rsidP="003E06FD">
      <w:pPr>
        <w:pStyle w:val="BodyText"/>
        <w:ind w:left="720"/>
      </w:pPr>
      <w:r>
        <w:t xml:space="preserve">“due to the evolving evidence regarding what population groups benefit from these procedures, these item numbers should be reviewed in 2 years to ensure ongoing evidence based applicability” </w:t>
      </w:r>
    </w:p>
    <w:p w14:paraId="4BB828DA" w14:textId="77777777" w:rsidR="003E06FD" w:rsidRDefault="003E06FD" w:rsidP="003E06FD">
      <w:pPr>
        <w:pStyle w:val="BodyText"/>
      </w:pPr>
      <w:r>
        <w:t>An MBS review is considered critical and is overdue. The review could consider the ongoing listing of SCS services on the MBS broadly and/or specific changes to the MBS items to improve monitoring and target appropriate claiming. Possible changes to MBS items are outlined below:</w:t>
      </w:r>
    </w:p>
    <w:p w14:paraId="7304126D" w14:textId="77777777" w:rsidR="003E06FD" w:rsidRDefault="003E06FD" w:rsidP="003E06FD">
      <w:pPr>
        <w:pStyle w:val="BodyText"/>
        <w:numPr>
          <w:ilvl w:val="0"/>
          <w:numId w:val="15"/>
        </w:numPr>
      </w:pPr>
      <w:r>
        <w:t xml:space="preserve">The introduction of a </w:t>
      </w:r>
      <w:r w:rsidRPr="00B364C3">
        <w:t>separate MBS item for implantable pulse generator (IPG) replacement due to battery end of life</w:t>
      </w:r>
      <w:r>
        <w:t xml:space="preserve"> (see recommendation 2).</w:t>
      </w:r>
    </w:p>
    <w:p w14:paraId="7E43DAA0" w14:textId="77777777" w:rsidR="003E06FD" w:rsidRDefault="003E06FD" w:rsidP="003E06FD">
      <w:pPr>
        <w:pStyle w:val="BodyText"/>
        <w:numPr>
          <w:ilvl w:val="0"/>
          <w:numId w:val="15"/>
        </w:numPr>
      </w:pPr>
      <w:r>
        <w:t>Clarification of the two MBS items for peripheral lead implantation</w:t>
      </w:r>
    </w:p>
    <w:p w14:paraId="0C273639" w14:textId="12A567F6" w:rsidR="003E06FD" w:rsidRDefault="003E06FD" w:rsidP="003E06FD">
      <w:pPr>
        <w:pStyle w:val="BodyText"/>
        <w:numPr>
          <w:ilvl w:val="1"/>
          <w:numId w:val="15"/>
        </w:numPr>
      </w:pPr>
      <w:r>
        <w:t xml:space="preserve">Surgical lead implantation has a higher benefit than percutaneous lead implantation. The item number for percutaneous lead implantation (39129) was introduced following the MBS Review Taskforce (2019), which identified no item for this purpose. However, utilisation is extremely low suggesting the surgical item continues to be claimed (see </w:t>
      </w:r>
      <w:r>
        <w:fldChar w:fldCharType="begin"/>
      </w:r>
      <w:r>
        <w:instrText xml:space="preserve"> REF _Ref134466215 \h </w:instrText>
      </w:r>
      <w:r>
        <w:fldChar w:fldCharType="separate"/>
      </w:r>
      <w:r w:rsidR="00CE6ACA">
        <w:t xml:space="preserve">Figure </w:t>
      </w:r>
      <w:r w:rsidR="00CE6ACA">
        <w:rPr>
          <w:noProof/>
        </w:rPr>
        <w:t>2</w:t>
      </w:r>
      <w:r>
        <w:fldChar w:fldCharType="end"/>
      </w:r>
      <w:r>
        <w:t xml:space="preserve">). Sponsors have stated that surgical placement is not used for PNS. </w:t>
      </w:r>
    </w:p>
    <w:p w14:paraId="5757D331" w14:textId="77777777" w:rsidR="003E06FD" w:rsidRDefault="003E06FD" w:rsidP="003E06FD">
      <w:pPr>
        <w:pStyle w:val="BodyText"/>
        <w:numPr>
          <w:ilvl w:val="0"/>
          <w:numId w:val="15"/>
        </w:numPr>
      </w:pPr>
      <w:r>
        <w:t>The introduction of, and mandated use of, item numbers for trial stimulation including the specification that trial leads be used.</w:t>
      </w:r>
    </w:p>
    <w:p w14:paraId="32A105CA" w14:textId="77777777" w:rsidR="003E06FD" w:rsidRDefault="003E06FD" w:rsidP="003E06FD">
      <w:pPr>
        <w:pStyle w:val="BodyText"/>
        <w:numPr>
          <w:ilvl w:val="0"/>
          <w:numId w:val="15"/>
        </w:numPr>
      </w:pPr>
      <w:r>
        <w:t>Removal of refractory angina as an indication for SCS, given the absence of evidence to support this indication. Alternately, creation of separate item numbers to monitor this indication.</w:t>
      </w:r>
    </w:p>
    <w:p w14:paraId="6667F3BE" w14:textId="77777777" w:rsidR="003E06FD" w:rsidRDefault="003E06FD" w:rsidP="003E06FD">
      <w:pPr>
        <w:pStyle w:val="BodyText"/>
        <w:numPr>
          <w:ilvl w:val="0"/>
          <w:numId w:val="15"/>
        </w:numPr>
      </w:pPr>
      <w:r>
        <w:t>A restriction to once per lifetime for initial implantation of an SCS device.</w:t>
      </w:r>
    </w:p>
    <w:p w14:paraId="5D1E5528" w14:textId="29DEFC56" w:rsidR="003E06FD" w:rsidRDefault="003E06FD" w:rsidP="00F73496">
      <w:pPr>
        <w:pStyle w:val="BodyText"/>
        <w:numPr>
          <w:ilvl w:val="0"/>
          <w:numId w:val="15"/>
        </w:numPr>
      </w:pPr>
      <w:r>
        <w:t>A requirement for a multidisciplinary team conference prior to initial implantation of an SCS device to discuss patient suitability for the intervention.</w:t>
      </w:r>
    </w:p>
    <w:p w14:paraId="260B5F7D" w14:textId="77777777" w:rsidR="00C67D39" w:rsidRPr="00A21EC3" w:rsidRDefault="00C67D39" w:rsidP="00C67D39">
      <w:pPr>
        <w:pStyle w:val="Heading1"/>
      </w:pPr>
      <w:bookmarkStart w:id="150" w:name="_Toc126153521"/>
      <w:bookmarkStart w:id="151" w:name="_Toc165634696"/>
      <w:r w:rsidRPr="00A21EC3">
        <w:lastRenderedPageBreak/>
        <w:t>References</w:t>
      </w:r>
      <w:bookmarkEnd w:id="150"/>
      <w:bookmarkEnd w:id="151"/>
    </w:p>
    <w:p w14:paraId="6FD6943C" w14:textId="77777777" w:rsidR="00EC181F" w:rsidRDefault="00EC181F" w:rsidP="00BE4358">
      <w:pPr>
        <w:pStyle w:val="References"/>
        <w:rPr>
          <w:lang w:eastAsia="en-AU"/>
        </w:rPr>
      </w:pPr>
      <w:proofErr w:type="spellStart"/>
      <w:r>
        <w:rPr>
          <w:lang w:eastAsia="en-AU"/>
        </w:rPr>
        <w:t>Ahimsadasan</w:t>
      </w:r>
      <w:proofErr w:type="spellEnd"/>
      <w:r>
        <w:rPr>
          <w:lang w:eastAsia="en-AU"/>
        </w:rPr>
        <w:t xml:space="preserve">, N., Reddy, V., Khan </w:t>
      </w:r>
      <w:proofErr w:type="spellStart"/>
      <w:r>
        <w:rPr>
          <w:lang w:eastAsia="en-AU"/>
        </w:rPr>
        <w:t>Suheb</w:t>
      </w:r>
      <w:proofErr w:type="spellEnd"/>
      <w:r>
        <w:rPr>
          <w:lang w:eastAsia="en-AU"/>
        </w:rPr>
        <w:t xml:space="preserve">, M. Z., et al. (2023). Neuroanatomy, Dorsal Root Ganglion. In </w:t>
      </w:r>
      <w:proofErr w:type="spellStart"/>
      <w:r>
        <w:rPr>
          <w:i/>
          <w:iCs/>
          <w:lang w:eastAsia="en-AU"/>
        </w:rPr>
        <w:t>StatPearls</w:t>
      </w:r>
      <w:proofErr w:type="spellEnd"/>
      <w:r>
        <w:rPr>
          <w:lang w:eastAsia="en-AU"/>
        </w:rPr>
        <w:t xml:space="preserve">. </w:t>
      </w:r>
      <w:proofErr w:type="spellStart"/>
      <w:r>
        <w:rPr>
          <w:lang w:eastAsia="en-AU"/>
        </w:rPr>
        <w:t>StatPearls</w:t>
      </w:r>
      <w:proofErr w:type="spellEnd"/>
      <w:r>
        <w:rPr>
          <w:lang w:eastAsia="en-AU"/>
        </w:rPr>
        <w:t xml:space="preserve"> Publishing</w:t>
      </w:r>
    </w:p>
    <w:p w14:paraId="268DB6BC" w14:textId="74FF7904" w:rsidR="00BE4358" w:rsidRDefault="00BD6A6E" w:rsidP="00BD6A6E">
      <w:pPr>
        <w:pStyle w:val="References"/>
      </w:pPr>
      <w:r>
        <w:t xml:space="preserve">Ahmadi, R., Campos, B., </w:t>
      </w:r>
      <w:proofErr w:type="spellStart"/>
      <w:r>
        <w:t>Hajiabadi</w:t>
      </w:r>
      <w:proofErr w:type="spellEnd"/>
      <w:r>
        <w:t xml:space="preserve">, M. M., et al. (2021). Efficacy of different spinal cord stimulation paradigms for the treatment of chronic neuropathic pain (PARS-trial): study protocol for a double-blinded, randomized, and placebo-controlled crossover trial. </w:t>
      </w:r>
      <w:r>
        <w:rPr>
          <w:i/>
          <w:iCs/>
        </w:rPr>
        <w:t>Trials</w:t>
      </w:r>
      <w:r>
        <w:t>,</w:t>
      </w:r>
      <w:r>
        <w:rPr>
          <w:i/>
          <w:iCs/>
        </w:rPr>
        <w:t xml:space="preserve"> 22</w:t>
      </w:r>
      <w:r>
        <w:t xml:space="preserve">(1), 87.i.org/10.1186/s13063-020-05013-7 </w:t>
      </w:r>
    </w:p>
    <w:p w14:paraId="618E9EDE" w14:textId="0C6950A9" w:rsidR="00BE4358" w:rsidRDefault="00BE4358" w:rsidP="00BE4358">
      <w:pPr>
        <w:pStyle w:val="References"/>
        <w:rPr>
          <w:lang w:eastAsia="en-AU"/>
        </w:rPr>
      </w:pPr>
      <w:r>
        <w:rPr>
          <w:lang w:eastAsia="en-AU"/>
        </w:rPr>
        <w:t>Al-</w:t>
      </w:r>
      <w:proofErr w:type="spellStart"/>
      <w:r>
        <w:rPr>
          <w:lang w:eastAsia="en-AU"/>
        </w:rPr>
        <w:t>Kaisy</w:t>
      </w:r>
      <w:proofErr w:type="spellEnd"/>
      <w:r>
        <w:rPr>
          <w:lang w:eastAsia="en-AU"/>
        </w:rPr>
        <w:t xml:space="preserve">, A. A., </w:t>
      </w:r>
      <w:proofErr w:type="spellStart"/>
      <w:r>
        <w:rPr>
          <w:lang w:eastAsia="en-AU"/>
        </w:rPr>
        <w:t>Palmisani</w:t>
      </w:r>
      <w:proofErr w:type="spellEnd"/>
      <w:r>
        <w:rPr>
          <w:lang w:eastAsia="en-AU"/>
        </w:rPr>
        <w:t xml:space="preserve">, S., McCammon, S., et al. (2016). Spinal cord stimulation study evaluating role of higher frequencies (SCS frequency study) (10524) [Conference Abstract]. </w:t>
      </w:r>
      <w:r>
        <w:rPr>
          <w:i/>
          <w:iCs/>
          <w:lang w:eastAsia="en-AU"/>
        </w:rPr>
        <w:t>Neuromodulation</w:t>
      </w:r>
      <w:r>
        <w:rPr>
          <w:lang w:eastAsia="en-AU"/>
        </w:rPr>
        <w:t>,</w:t>
      </w:r>
      <w:r>
        <w:rPr>
          <w:i/>
          <w:iCs/>
          <w:lang w:eastAsia="en-AU"/>
        </w:rPr>
        <w:t xml:space="preserve"> 19</w:t>
      </w:r>
      <w:r>
        <w:rPr>
          <w:lang w:eastAsia="en-AU"/>
        </w:rPr>
        <w:t xml:space="preserve">(3), e34.i.org/10.1111/ner.12428 </w:t>
      </w:r>
    </w:p>
    <w:p w14:paraId="37718AB5" w14:textId="5D2DB382" w:rsidR="00BE4358" w:rsidRDefault="00BE4358" w:rsidP="00BE4358">
      <w:pPr>
        <w:pStyle w:val="References"/>
        <w:rPr>
          <w:lang w:eastAsia="en-AU"/>
        </w:rPr>
      </w:pPr>
      <w:r>
        <w:rPr>
          <w:lang w:eastAsia="en-AU"/>
        </w:rPr>
        <w:t>Al-</w:t>
      </w:r>
      <w:proofErr w:type="spellStart"/>
      <w:r>
        <w:rPr>
          <w:lang w:eastAsia="en-AU"/>
        </w:rPr>
        <w:t>Kaisy</w:t>
      </w:r>
      <w:proofErr w:type="spellEnd"/>
      <w:r>
        <w:rPr>
          <w:lang w:eastAsia="en-AU"/>
        </w:rPr>
        <w:t xml:space="preserve">, A. A., </w:t>
      </w:r>
      <w:proofErr w:type="spellStart"/>
      <w:r>
        <w:rPr>
          <w:lang w:eastAsia="en-AU"/>
        </w:rPr>
        <w:t>Palmisani</w:t>
      </w:r>
      <w:proofErr w:type="spellEnd"/>
      <w:r>
        <w:rPr>
          <w:lang w:eastAsia="en-AU"/>
        </w:rPr>
        <w:t xml:space="preserve">, S., Sanderson, K. K., et al. (2017). Subject therapy preference post randomized phase in a spinal cord stimulation study using higher frequencies [Conference Abstract]. </w:t>
      </w:r>
      <w:r>
        <w:rPr>
          <w:i/>
          <w:iCs/>
          <w:lang w:eastAsia="en-AU"/>
        </w:rPr>
        <w:t>Neuromodulation</w:t>
      </w:r>
      <w:r>
        <w:rPr>
          <w:lang w:eastAsia="en-AU"/>
        </w:rPr>
        <w:t>,</w:t>
      </w:r>
      <w:r>
        <w:rPr>
          <w:i/>
          <w:iCs/>
          <w:lang w:eastAsia="en-AU"/>
        </w:rPr>
        <w:t xml:space="preserve"> 20</w:t>
      </w:r>
      <w:r>
        <w:rPr>
          <w:lang w:eastAsia="en-AU"/>
        </w:rPr>
        <w:t xml:space="preserve">(7), e232.i.org/10.1111/ner.12639 </w:t>
      </w:r>
    </w:p>
    <w:p w14:paraId="0900B618" w14:textId="58A3959C" w:rsidR="002B1D41" w:rsidRDefault="002B1D41" w:rsidP="00BE4358">
      <w:pPr>
        <w:pStyle w:val="References"/>
        <w:rPr>
          <w:lang w:eastAsia="en-AU"/>
        </w:rPr>
      </w:pPr>
      <w:r>
        <w:rPr>
          <w:lang w:eastAsia="en-AU"/>
        </w:rPr>
        <w:t>Al-</w:t>
      </w:r>
      <w:proofErr w:type="spellStart"/>
      <w:r>
        <w:rPr>
          <w:lang w:eastAsia="en-AU"/>
        </w:rPr>
        <w:t>Kaisy</w:t>
      </w:r>
      <w:proofErr w:type="spellEnd"/>
      <w:r>
        <w:rPr>
          <w:lang w:eastAsia="en-AU"/>
        </w:rPr>
        <w:t xml:space="preserve">, A., </w:t>
      </w:r>
      <w:proofErr w:type="spellStart"/>
      <w:r>
        <w:rPr>
          <w:lang w:eastAsia="en-AU"/>
        </w:rPr>
        <w:t>Baranidharan</w:t>
      </w:r>
      <w:proofErr w:type="spellEnd"/>
      <w:r>
        <w:rPr>
          <w:lang w:eastAsia="en-AU"/>
        </w:rPr>
        <w:t xml:space="preserve">, G., </w:t>
      </w:r>
      <w:proofErr w:type="spellStart"/>
      <w:r>
        <w:rPr>
          <w:lang w:eastAsia="en-AU"/>
        </w:rPr>
        <w:t>Palmisani</w:t>
      </w:r>
      <w:proofErr w:type="spellEnd"/>
      <w:r>
        <w:rPr>
          <w:lang w:eastAsia="en-AU"/>
        </w:rPr>
        <w:t xml:space="preserve">, S., et al. (2020). Comparison of </w:t>
      </w:r>
      <w:proofErr w:type="spellStart"/>
      <w:r>
        <w:rPr>
          <w:lang w:eastAsia="en-AU"/>
        </w:rPr>
        <w:t>Paresthesia</w:t>
      </w:r>
      <w:proofErr w:type="spellEnd"/>
      <w:r>
        <w:rPr>
          <w:lang w:eastAsia="en-AU"/>
        </w:rPr>
        <w:t xml:space="preserve"> Mapping to Anatomical Placement in Burst Spinal Cord Stimulation: Initial Trial Results of the Prospective, </w:t>
      </w:r>
      <w:proofErr w:type="spellStart"/>
      <w:r>
        <w:rPr>
          <w:lang w:eastAsia="en-AU"/>
        </w:rPr>
        <w:t>Multicenter</w:t>
      </w:r>
      <w:proofErr w:type="spellEnd"/>
      <w:r>
        <w:rPr>
          <w:lang w:eastAsia="en-AU"/>
        </w:rPr>
        <w:t xml:space="preserve">, Randomized, Double-Blinded, Crossover, CRISP Study [Article]. </w:t>
      </w:r>
      <w:r>
        <w:rPr>
          <w:i/>
          <w:iCs/>
          <w:lang w:eastAsia="en-AU"/>
        </w:rPr>
        <w:t>Neuromodulation</w:t>
      </w:r>
      <w:r>
        <w:rPr>
          <w:lang w:eastAsia="en-AU"/>
        </w:rPr>
        <w:t>,</w:t>
      </w:r>
      <w:r>
        <w:rPr>
          <w:i/>
          <w:iCs/>
          <w:lang w:eastAsia="en-AU"/>
        </w:rPr>
        <w:t xml:space="preserve"> 23</w:t>
      </w:r>
      <w:r>
        <w:rPr>
          <w:lang w:eastAsia="en-AU"/>
        </w:rPr>
        <w:t xml:space="preserve">(5), 613-619.i.org/10.1111/ner.13104 </w:t>
      </w:r>
    </w:p>
    <w:p w14:paraId="7B567CC6" w14:textId="6B0B44F9" w:rsidR="002B1D41" w:rsidRDefault="002B1D41" w:rsidP="00BE4358">
      <w:pPr>
        <w:pStyle w:val="References"/>
        <w:rPr>
          <w:lang w:eastAsia="en-AU"/>
        </w:rPr>
      </w:pPr>
      <w:r>
        <w:rPr>
          <w:lang w:eastAsia="en-AU"/>
        </w:rPr>
        <w:t>Al-</w:t>
      </w:r>
      <w:proofErr w:type="spellStart"/>
      <w:r>
        <w:rPr>
          <w:lang w:eastAsia="en-AU"/>
        </w:rPr>
        <w:t>Kaisy</w:t>
      </w:r>
      <w:proofErr w:type="spellEnd"/>
      <w:r>
        <w:rPr>
          <w:lang w:eastAsia="en-AU"/>
        </w:rPr>
        <w:t xml:space="preserve">, A., </w:t>
      </w:r>
      <w:proofErr w:type="spellStart"/>
      <w:r>
        <w:rPr>
          <w:lang w:eastAsia="en-AU"/>
        </w:rPr>
        <w:t>Baranidharan</w:t>
      </w:r>
      <w:proofErr w:type="spellEnd"/>
      <w:r>
        <w:rPr>
          <w:lang w:eastAsia="en-AU"/>
        </w:rPr>
        <w:t xml:space="preserve">, G., Sharon, H., et al. (2022). Comparison of </w:t>
      </w:r>
      <w:proofErr w:type="spellStart"/>
      <w:r>
        <w:rPr>
          <w:lang w:eastAsia="en-AU"/>
        </w:rPr>
        <w:t>Paresthesia</w:t>
      </w:r>
      <w:proofErr w:type="spellEnd"/>
      <w:r>
        <w:rPr>
          <w:lang w:eastAsia="en-AU"/>
        </w:rPr>
        <w:t xml:space="preserve"> Mapping With Anatomic Placement in Burst Spinal Cord Stimulation: Long-Term Results of the Prospective, </w:t>
      </w:r>
      <w:proofErr w:type="spellStart"/>
      <w:r>
        <w:rPr>
          <w:lang w:eastAsia="en-AU"/>
        </w:rPr>
        <w:t>Multicenter</w:t>
      </w:r>
      <w:proofErr w:type="spellEnd"/>
      <w:r>
        <w:rPr>
          <w:lang w:eastAsia="en-AU"/>
        </w:rPr>
        <w:t xml:space="preserve">, Randomized, Double-Blind, Crossover CRISP Study [Article]. </w:t>
      </w:r>
      <w:r>
        <w:rPr>
          <w:i/>
          <w:iCs/>
          <w:lang w:eastAsia="en-AU"/>
        </w:rPr>
        <w:t>Neuromodulation</w:t>
      </w:r>
      <w:r>
        <w:rPr>
          <w:lang w:eastAsia="en-AU"/>
        </w:rPr>
        <w:t>,</w:t>
      </w:r>
      <w:r>
        <w:rPr>
          <w:i/>
          <w:iCs/>
          <w:lang w:eastAsia="en-AU"/>
        </w:rPr>
        <w:t xml:space="preserve"> 25</w:t>
      </w:r>
      <w:r>
        <w:rPr>
          <w:lang w:eastAsia="en-AU"/>
        </w:rPr>
        <w:t xml:space="preserve">(1), 85-93.i.org/10.1111/ner.13467 </w:t>
      </w:r>
    </w:p>
    <w:p w14:paraId="3FFDB1C3" w14:textId="00F8EDFF" w:rsidR="002B1D41" w:rsidRDefault="002B1D41" w:rsidP="00BE4358">
      <w:pPr>
        <w:pStyle w:val="References"/>
        <w:rPr>
          <w:lang w:eastAsia="en-AU"/>
        </w:rPr>
      </w:pPr>
      <w:r>
        <w:rPr>
          <w:lang w:eastAsia="en-AU"/>
        </w:rPr>
        <w:t>Al-</w:t>
      </w:r>
      <w:proofErr w:type="spellStart"/>
      <w:r>
        <w:rPr>
          <w:lang w:eastAsia="en-AU"/>
        </w:rPr>
        <w:t>Kaisy</w:t>
      </w:r>
      <w:proofErr w:type="spellEnd"/>
      <w:r>
        <w:rPr>
          <w:lang w:eastAsia="en-AU"/>
        </w:rPr>
        <w:t xml:space="preserve">, A., </w:t>
      </w:r>
      <w:proofErr w:type="spellStart"/>
      <w:r>
        <w:rPr>
          <w:lang w:eastAsia="en-AU"/>
        </w:rPr>
        <w:t>Palmisani</w:t>
      </w:r>
      <w:proofErr w:type="spellEnd"/>
      <w:r>
        <w:rPr>
          <w:lang w:eastAsia="en-AU"/>
        </w:rPr>
        <w:t xml:space="preserve">, S., Pang, D., et al. (2018). Prospective, Randomized, Sham-Control, Double Blind, Crossover Trial of Subthreshold Spinal Cord Stimulation at Various Kilohertz Frequencies in Subjects Suffering From Failed Back Surgery Syndrome (SCS Frequency Study) [Article]. </w:t>
      </w:r>
      <w:r>
        <w:rPr>
          <w:i/>
          <w:iCs/>
          <w:lang w:eastAsia="en-AU"/>
        </w:rPr>
        <w:t>Neuromodulation</w:t>
      </w:r>
      <w:r>
        <w:rPr>
          <w:lang w:eastAsia="en-AU"/>
        </w:rPr>
        <w:t>,</w:t>
      </w:r>
      <w:r>
        <w:rPr>
          <w:i/>
          <w:iCs/>
          <w:lang w:eastAsia="en-AU"/>
        </w:rPr>
        <w:t xml:space="preserve"> 21</w:t>
      </w:r>
      <w:r>
        <w:rPr>
          <w:lang w:eastAsia="en-AU"/>
        </w:rPr>
        <w:t xml:space="preserve">(5), 457-465.i.org/10.1111/ner.12771 </w:t>
      </w:r>
    </w:p>
    <w:p w14:paraId="02996D2C" w14:textId="7B17B4B8" w:rsidR="002B1D41" w:rsidRDefault="002B1D41" w:rsidP="00BE4358">
      <w:pPr>
        <w:pStyle w:val="References"/>
        <w:rPr>
          <w:lang w:eastAsia="en-AU"/>
        </w:rPr>
      </w:pPr>
      <w:r>
        <w:rPr>
          <w:lang w:eastAsia="en-AU"/>
        </w:rPr>
        <w:t>Al-</w:t>
      </w:r>
      <w:proofErr w:type="spellStart"/>
      <w:r>
        <w:rPr>
          <w:lang w:eastAsia="en-AU"/>
        </w:rPr>
        <w:t>Kaisy</w:t>
      </w:r>
      <w:proofErr w:type="spellEnd"/>
      <w:r>
        <w:rPr>
          <w:lang w:eastAsia="en-AU"/>
        </w:rPr>
        <w:t xml:space="preserve">, A., </w:t>
      </w:r>
      <w:proofErr w:type="spellStart"/>
      <w:r>
        <w:rPr>
          <w:lang w:eastAsia="en-AU"/>
        </w:rPr>
        <w:t>Palmisani</w:t>
      </w:r>
      <w:proofErr w:type="spellEnd"/>
      <w:r>
        <w:rPr>
          <w:lang w:eastAsia="en-AU"/>
        </w:rPr>
        <w:t xml:space="preserve">, S., Smith, T. E., et al. (2018). Long-term improvements in chronic axial low back pain patients without previous spinal surgery: A cohort analysis of 10-kHz high-frequency spinal cord stimulation over 36 months [Article]. </w:t>
      </w:r>
      <w:r>
        <w:rPr>
          <w:i/>
          <w:iCs/>
          <w:lang w:eastAsia="en-AU"/>
        </w:rPr>
        <w:t>Pain Medicine (United States)</w:t>
      </w:r>
      <w:r>
        <w:rPr>
          <w:lang w:eastAsia="en-AU"/>
        </w:rPr>
        <w:t>,</w:t>
      </w:r>
      <w:r>
        <w:rPr>
          <w:i/>
          <w:iCs/>
          <w:lang w:eastAsia="en-AU"/>
        </w:rPr>
        <w:t xml:space="preserve"> 19</w:t>
      </w:r>
      <w:r>
        <w:rPr>
          <w:lang w:eastAsia="en-AU"/>
        </w:rPr>
        <w:t xml:space="preserve">(6), 1219-1226.i.org/10.1093/pm/pnx237 </w:t>
      </w:r>
    </w:p>
    <w:p w14:paraId="52FDD09A" w14:textId="3D3981AB" w:rsidR="002B1D41" w:rsidRDefault="002B1D41" w:rsidP="00BE4358">
      <w:pPr>
        <w:pStyle w:val="References"/>
        <w:rPr>
          <w:lang w:eastAsia="en-AU"/>
        </w:rPr>
      </w:pPr>
      <w:r>
        <w:rPr>
          <w:lang w:eastAsia="en-AU"/>
        </w:rPr>
        <w:t>Al-</w:t>
      </w:r>
      <w:proofErr w:type="spellStart"/>
      <w:r>
        <w:rPr>
          <w:lang w:eastAsia="en-AU"/>
        </w:rPr>
        <w:t>Kaisy</w:t>
      </w:r>
      <w:proofErr w:type="spellEnd"/>
      <w:r>
        <w:rPr>
          <w:lang w:eastAsia="en-AU"/>
        </w:rPr>
        <w:t xml:space="preserve">, A., </w:t>
      </w:r>
      <w:proofErr w:type="spellStart"/>
      <w:r>
        <w:rPr>
          <w:lang w:eastAsia="en-AU"/>
        </w:rPr>
        <w:t>Royds</w:t>
      </w:r>
      <w:proofErr w:type="spellEnd"/>
      <w:r>
        <w:rPr>
          <w:lang w:eastAsia="en-AU"/>
        </w:rPr>
        <w:t>, J., Al-</w:t>
      </w:r>
      <w:proofErr w:type="spellStart"/>
      <w:r>
        <w:rPr>
          <w:lang w:eastAsia="en-AU"/>
        </w:rPr>
        <w:t>Kaisy</w:t>
      </w:r>
      <w:proofErr w:type="spellEnd"/>
      <w:r>
        <w:rPr>
          <w:lang w:eastAsia="en-AU"/>
        </w:rPr>
        <w:t xml:space="preserve">, O., et al. (2020). Explant rates of electrical neuromodulation devices in 1177 patients in a single </w:t>
      </w:r>
      <w:proofErr w:type="spellStart"/>
      <w:r>
        <w:rPr>
          <w:lang w:eastAsia="en-AU"/>
        </w:rPr>
        <w:t>center</w:t>
      </w:r>
      <w:proofErr w:type="spellEnd"/>
      <w:r>
        <w:rPr>
          <w:lang w:eastAsia="en-AU"/>
        </w:rPr>
        <w:t xml:space="preserve"> over an 11-year period [Article]. </w:t>
      </w:r>
      <w:r>
        <w:rPr>
          <w:i/>
          <w:iCs/>
          <w:lang w:eastAsia="en-AU"/>
        </w:rPr>
        <w:t xml:space="preserve">Regional </w:t>
      </w:r>
      <w:proofErr w:type="spellStart"/>
      <w:r>
        <w:rPr>
          <w:i/>
          <w:iCs/>
          <w:lang w:eastAsia="en-AU"/>
        </w:rPr>
        <w:t>Anesthesia</w:t>
      </w:r>
      <w:proofErr w:type="spellEnd"/>
      <w:r>
        <w:rPr>
          <w:i/>
          <w:iCs/>
          <w:lang w:eastAsia="en-AU"/>
        </w:rPr>
        <w:t xml:space="preserve"> and Pain Medicine</w:t>
      </w:r>
      <w:r>
        <w:rPr>
          <w:lang w:eastAsia="en-AU"/>
        </w:rPr>
        <w:t>,</w:t>
      </w:r>
      <w:r>
        <w:rPr>
          <w:i/>
          <w:iCs/>
          <w:lang w:eastAsia="en-AU"/>
        </w:rPr>
        <w:t xml:space="preserve"> 45</w:t>
      </w:r>
      <w:r>
        <w:rPr>
          <w:lang w:eastAsia="en-AU"/>
        </w:rPr>
        <w:t xml:space="preserve">(11), 883-890.i.org/10.1136/rapm-2020-101681 </w:t>
      </w:r>
    </w:p>
    <w:p w14:paraId="6E3896CF" w14:textId="06955FD3" w:rsidR="002B1D41" w:rsidRDefault="002B1D41" w:rsidP="00BE4358">
      <w:pPr>
        <w:pStyle w:val="References"/>
        <w:rPr>
          <w:lang w:eastAsia="en-AU"/>
        </w:rPr>
      </w:pPr>
      <w:r>
        <w:rPr>
          <w:lang w:eastAsia="en-AU"/>
        </w:rPr>
        <w:t>Al-</w:t>
      </w:r>
      <w:proofErr w:type="spellStart"/>
      <w:r>
        <w:rPr>
          <w:lang w:eastAsia="en-AU"/>
        </w:rPr>
        <w:t>Kaisy</w:t>
      </w:r>
      <w:proofErr w:type="spellEnd"/>
      <w:r>
        <w:rPr>
          <w:lang w:eastAsia="en-AU"/>
        </w:rPr>
        <w:t xml:space="preserve">, A., Van </w:t>
      </w:r>
      <w:proofErr w:type="spellStart"/>
      <w:r>
        <w:rPr>
          <w:lang w:eastAsia="en-AU"/>
        </w:rPr>
        <w:t>Buyten</w:t>
      </w:r>
      <w:proofErr w:type="spellEnd"/>
      <w:r>
        <w:rPr>
          <w:lang w:eastAsia="en-AU"/>
        </w:rPr>
        <w:t xml:space="preserve">, J. P., </w:t>
      </w:r>
      <w:proofErr w:type="spellStart"/>
      <w:r>
        <w:rPr>
          <w:lang w:eastAsia="en-AU"/>
        </w:rPr>
        <w:t>Kapural</w:t>
      </w:r>
      <w:proofErr w:type="spellEnd"/>
      <w:r>
        <w:rPr>
          <w:lang w:eastAsia="en-AU"/>
        </w:rPr>
        <w:t xml:space="preserve">, L., et al. (2020). 10 kHz spinal cord stimulation for the treatment of non-surgical refractory back pain: </w:t>
      </w:r>
      <w:proofErr w:type="spellStart"/>
      <w:r>
        <w:rPr>
          <w:lang w:eastAsia="en-AU"/>
        </w:rPr>
        <w:t>subanalysis</w:t>
      </w:r>
      <w:proofErr w:type="spellEnd"/>
      <w:r>
        <w:rPr>
          <w:lang w:eastAsia="en-AU"/>
        </w:rPr>
        <w:t xml:space="preserve"> of pooled data from two prospective studies [Article]. </w:t>
      </w:r>
      <w:r>
        <w:rPr>
          <w:i/>
          <w:iCs/>
          <w:lang w:eastAsia="en-AU"/>
        </w:rPr>
        <w:t>Anaesthesia</w:t>
      </w:r>
      <w:r>
        <w:rPr>
          <w:lang w:eastAsia="en-AU"/>
        </w:rPr>
        <w:t>,</w:t>
      </w:r>
      <w:r>
        <w:rPr>
          <w:i/>
          <w:iCs/>
          <w:lang w:eastAsia="en-AU"/>
        </w:rPr>
        <w:t xml:space="preserve"> 75</w:t>
      </w:r>
      <w:r>
        <w:rPr>
          <w:lang w:eastAsia="en-AU"/>
        </w:rPr>
        <w:t xml:space="preserve">(6), 775-784.i.org/10.1111/anae.15036 </w:t>
      </w:r>
    </w:p>
    <w:p w14:paraId="0BFE8581" w14:textId="3C54E2AA" w:rsidR="002B1D41" w:rsidRDefault="002B1D41" w:rsidP="00BE4358">
      <w:pPr>
        <w:pStyle w:val="References"/>
        <w:rPr>
          <w:lang w:eastAsia="en-AU"/>
        </w:rPr>
      </w:pPr>
      <w:r>
        <w:rPr>
          <w:lang w:eastAsia="en-AU"/>
        </w:rPr>
        <w:t>Al-</w:t>
      </w:r>
      <w:proofErr w:type="spellStart"/>
      <w:r>
        <w:rPr>
          <w:lang w:eastAsia="en-AU"/>
        </w:rPr>
        <w:t>Kaisy</w:t>
      </w:r>
      <w:proofErr w:type="spellEnd"/>
      <w:r>
        <w:rPr>
          <w:lang w:eastAsia="en-AU"/>
        </w:rPr>
        <w:t xml:space="preserve">, A., Van </w:t>
      </w:r>
      <w:proofErr w:type="spellStart"/>
      <w:r>
        <w:rPr>
          <w:lang w:eastAsia="en-AU"/>
        </w:rPr>
        <w:t>Buyten</w:t>
      </w:r>
      <w:proofErr w:type="spellEnd"/>
      <w:r>
        <w:rPr>
          <w:lang w:eastAsia="en-AU"/>
        </w:rPr>
        <w:t xml:space="preserve">, J. P., Smet, I., et al. (2014). Sustained effectiveness of 10 kHz high-frequency spinal cord stimulation for patients with chronic, low back pain: 24-month results of a prospective </w:t>
      </w:r>
      <w:proofErr w:type="spellStart"/>
      <w:r>
        <w:rPr>
          <w:lang w:eastAsia="en-AU"/>
        </w:rPr>
        <w:t>multicenter</w:t>
      </w:r>
      <w:proofErr w:type="spellEnd"/>
      <w:r>
        <w:rPr>
          <w:lang w:eastAsia="en-AU"/>
        </w:rPr>
        <w:t xml:space="preserve"> study. </w:t>
      </w:r>
      <w:r>
        <w:rPr>
          <w:i/>
          <w:iCs/>
          <w:lang w:eastAsia="en-AU"/>
        </w:rPr>
        <w:t>Pain Med</w:t>
      </w:r>
      <w:r>
        <w:rPr>
          <w:lang w:eastAsia="en-AU"/>
        </w:rPr>
        <w:t>,</w:t>
      </w:r>
      <w:r>
        <w:rPr>
          <w:i/>
          <w:iCs/>
          <w:lang w:eastAsia="en-AU"/>
        </w:rPr>
        <w:t xml:space="preserve"> 15</w:t>
      </w:r>
      <w:r>
        <w:rPr>
          <w:lang w:eastAsia="en-AU"/>
        </w:rPr>
        <w:t xml:space="preserve">(3), 347-354.i.org/10.1111/pme.12294 </w:t>
      </w:r>
    </w:p>
    <w:p w14:paraId="5552742E" w14:textId="58625893" w:rsidR="002B1D41" w:rsidRDefault="002B1D41" w:rsidP="00BE4358">
      <w:pPr>
        <w:pStyle w:val="References"/>
        <w:rPr>
          <w:lang w:eastAsia="en-AU"/>
        </w:rPr>
      </w:pPr>
      <w:proofErr w:type="spellStart"/>
      <w:r>
        <w:rPr>
          <w:lang w:eastAsia="en-AU"/>
        </w:rPr>
        <w:t>Alo</w:t>
      </w:r>
      <w:proofErr w:type="spellEnd"/>
      <w:r>
        <w:rPr>
          <w:lang w:eastAsia="en-AU"/>
        </w:rPr>
        <w:t xml:space="preserve">, K. M. (2016). Comments [on Deer 2016 'Prospective, </w:t>
      </w:r>
      <w:proofErr w:type="spellStart"/>
      <w:r>
        <w:rPr>
          <w:lang w:eastAsia="en-AU"/>
        </w:rPr>
        <w:t>multicenter</w:t>
      </w:r>
      <w:proofErr w:type="spellEnd"/>
      <w:r>
        <w:rPr>
          <w:lang w:eastAsia="en-AU"/>
        </w:rPr>
        <w:t xml:space="preserve">, randomized, double-blinded, partial crossover study to assess the safety and efficacy of the novel neuromodulation system in the treatment of patients with chronic pain of peripheral nerve origin'] [Note]. </w:t>
      </w:r>
      <w:r>
        <w:rPr>
          <w:i/>
          <w:iCs/>
          <w:lang w:eastAsia="en-AU"/>
        </w:rPr>
        <w:t>Neuromodulation</w:t>
      </w:r>
      <w:r>
        <w:rPr>
          <w:lang w:eastAsia="en-AU"/>
        </w:rPr>
        <w:t>,</w:t>
      </w:r>
      <w:r>
        <w:rPr>
          <w:i/>
          <w:iCs/>
          <w:lang w:eastAsia="en-AU"/>
        </w:rPr>
        <w:t xml:space="preserve"> 19</w:t>
      </w:r>
      <w:r>
        <w:rPr>
          <w:lang w:eastAsia="en-AU"/>
        </w:rPr>
        <w:t xml:space="preserve">(1), 100.i.org/10.1111/ner.12381 </w:t>
      </w:r>
    </w:p>
    <w:p w14:paraId="573FE552" w14:textId="681DD923" w:rsidR="002B1D41" w:rsidRDefault="002B1D41" w:rsidP="00BE4358">
      <w:pPr>
        <w:pStyle w:val="References"/>
        <w:rPr>
          <w:lang w:eastAsia="en-AU"/>
        </w:rPr>
      </w:pPr>
      <w:proofErr w:type="spellStart"/>
      <w:r>
        <w:rPr>
          <w:lang w:eastAsia="en-AU"/>
        </w:rPr>
        <w:t>Amirdelfan</w:t>
      </w:r>
      <w:proofErr w:type="spellEnd"/>
      <w:r>
        <w:rPr>
          <w:lang w:eastAsia="en-AU"/>
        </w:rPr>
        <w:t xml:space="preserve">, K., Tay, B., </w:t>
      </w:r>
      <w:proofErr w:type="spellStart"/>
      <w:r>
        <w:rPr>
          <w:lang w:eastAsia="en-AU"/>
        </w:rPr>
        <w:t>Shrivalkar</w:t>
      </w:r>
      <w:proofErr w:type="spellEnd"/>
      <w:r>
        <w:rPr>
          <w:lang w:eastAsia="en-AU"/>
        </w:rPr>
        <w:t xml:space="preserve">, P., et al. (2019). Non-invasive high-frequency impulse neuromodulation for treatment of chronic back pain: A </w:t>
      </w:r>
      <w:proofErr w:type="spellStart"/>
      <w:r>
        <w:rPr>
          <w:lang w:eastAsia="en-AU"/>
        </w:rPr>
        <w:t>multicenter</w:t>
      </w:r>
      <w:proofErr w:type="spellEnd"/>
      <w:r>
        <w:rPr>
          <w:lang w:eastAsia="en-AU"/>
        </w:rPr>
        <w:t xml:space="preserve">, randomized, sham-controlled trial [Conference Abstract]. </w:t>
      </w:r>
      <w:r>
        <w:rPr>
          <w:i/>
          <w:iCs/>
          <w:lang w:eastAsia="en-AU"/>
        </w:rPr>
        <w:t>Neuromodulation</w:t>
      </w:r>
      <w:r>
        <w:rPr>
          <w:lang w:eastAsia="en-AU"/>
        </w:rPr>
        <w:t>,</w:t>
      </w:r>
      <w:r>
        <w:rPr>
          <w:i/>
          <w:iCs/>
          <w:lang w:eastAsia="en-AU"/>
        </w:rPr>
        <w:t xml:space="preserve"> 22</w:t>
      </w:r>
      <w:r>
        <w:rPr>
          <w:lang w:eastAsia="en-AU"/>
        </w:rPr>
        <w:t xml:space="preserve">(3), E294.i.org/10.1111/ner.12950 </w:t>
      </w:r>
    </w:p>
    <w:p w14:paraId="494D681C" w14:textId="55D78AFF" w:rsidR="002B1D41" w:rsidRDefault="002B1D41" w:rsidP="00BE4358">
      <w:pPr>
        <w:pStyle w:val="References"/>
        <w:rPr>
          <w:lang w:eastAsia="en-AU"/>
        </w:rPr>
      </w:pPr>
      <w:proofErr w:type="spellStart"/>
      <w:r>
        <w:rPr>
          <w:lang w:eastAsia="en-AU"/>
        </w:rPr>
        <w:t>Amirdelfan</w:t>
      </w:r>
      <w:proofErr w:type="spellEnd"/>
      <w:r>
        <w:rPr>
          <w:lang w:eastAsia="en-AU"/>
        </w:rPr>
        <w:t xml:space="preserve">, K., Vallejo, R., Benyamin, R., et al. (2020). High-Frequency spinal cord stimulation at 10 kHz for the treatment of combined neck and arm pain: Results from a prospective </w:t>
      </w:r>
      <w:proofErr w:type="spellStart"/>
      <w:r>
        <w:rPr>
          <w:lang w:eastAsia="en-AU"/>
        </w:rPr>
        <w:t>multicenter</w:t>
      </w:r>
      <w:proofErr w:type="spellEnd"/>
      <w:r>
        <w:rPr>
          <w:lang w:eastAsia="en-AU"/>
        </w:rPr>
        <w:t xml:space="preserve"> study [Review]. </w:t>
      </w:r>
      <w:r>
        <w:rPr>
          <w:i/>
          <w:iCs/>
          <w:lang w:eastAsia="en-AU"/>
        </w:rPr>
        <w:t>Neurosurgery</w:t>
      </w:r>
      <w:r>
        <w:rPr>
          <w:lang w:eastAsia="en-AU"/>
        </w:rPr>
        <w:t>,</w:t>
      </w:r>
      <w:r>
        <w:rPr>
          <w:i/>
          <w:iCs/>
          <w:lang w:eastAsia="en-AU"/>
        </w:rPr>
        <w:t xml:space="preserve"> 87</w:t>
      </w:r>
      <w:r>
        <w:rPr>
          <w:lang w:eastAsia="en-AU"/>
        </w:rPr>
        <w:t xml:space="preserve">(2), 176-185.i.org/10.1093/neuros/nyz495 </w:t>
      </w:r>
    </w:p>
    <w:p w14:paraId="399FD489" w14:textId="7866A3C1" w:rsidR="002B1D41" w:rsidRDefault="002B1D41" w:rsidP="00BE4358">
      <w:pPr>
        <w:pStyle w:val="References"/>
        <w:rPr>
          <w:lang w:eastAsia="en-AU"/>
        </w:rPr>
      </w:pPr>
      <w:proofErr w:type="spellStart"/>
      <w:r>
        <w:rPr>
          <w:lang w:eastAsia="en-AU"/>
        </w:rPr>
        <w:t>Amirdelfan</w:t>
      </w:r>
      <w:proofErr w:type="spellEnd"/>
      <w:r>
        <w:rPr>
          <w:lang w:eastAsia="en-AU"/>
        </w:rPr>
        <w:t xml:space="preserve">, K., Yu, C., Doust, M. W., et al. (2018). Long-term quality of life improvement for chronic intractable back and leg pain patients using spinal cord stimulation: 12-month results from the SENZA-RCT [Article]. </w:t>
      </w:r>
      <w:r>
        <w:rPr>
          <w:i/>
          <w:iCs/>
          <w:lang w:eastAsia="en-AU"/>
        </w:rPr>
        <w:t>Quality of Life Research</w:t>
      </w:r>
      <w:r>
        <w:rPr>
          <w:lang w:eastAsia="en-AU"/>
        </w:rPr>
        <w:t>,</w:t>
      </w:r>
      <w:r>
        <w:rPr>
          <w:i/>
          <w:iCs/>
          <w:lang w:eastAsia="en-AU"/>
        </w:rPr>
        <w:t xml:space="preserve"> 27</w:t>
      </w:r>
      <w:r>
        <w:rPr>
          <w:lang w:eastAsia="en-AU"/>
        </w:rPr>
        <w:t xml:space="preserve">(8), 2035-2044.i.org/10.1007/s11136-018-1890-8 </w:t>
      </w:r>
    </w:p>
    <w:p w14:paraId="43A967DB" w14:textId="69D22375" w:rsidR="002B1D41" w:rsidRDefault="002B1D41" w:rsidP="00BE4358">
      <w:pPr>
        <w:pStyle w:val="References"/>
        <w:rPr>
          <w:lang w:eastAsia="en-AU"/>
        </w:rPr>
      </w:pPr>
      <w:r>
        <w:rPr>
          <w:lang w:eastAsia="en-AU"/>
        </w:rPr>
        <w:t xml:space="preserve">Andersen, T., Christensen, F. B., </w:t>
      </w:r>
      <w:proofErr w:type="spellStart"/>
      <w:r>
        <w:rPr>
          <w:lang w:eastAsia="en-AU"/>
        </w:rPr>
        <w:t>Egund</w:t>
      </w:r>
      <w:proofErr w:type="spellEnd"/>
      <w:r>
        <w:rPr>
          <w:lang w:eastAsia="en-AU"/>
        </w:rPr>
        <w:t>, N., et al. (2009). The effect of electrical stimulation on lumbar spinal fusion in older patients: A randomized, controlled, multi-</w:t>
      </w:r>
      <w:proofErr w:type="spellStart"/>
      <w:r>
        <w:rPr>
          <w:lang w:eastAsia="en-AU"/>
        </w:rPr>
        <w:t>center</w:t>
      </w:r>
      <w:proofErr w:type="spellEnd"/>
      <w:r>
        <w:rPr>
          <w:lang w:eastAsia="en-AU"/>
        </w:rPr>
        <w:t xml:space="preserve"> trial: Part 2: Fusion rates [Article]. </w:t>
      </w:r>
      <w:r>
        <w:rPr>
          <w:i/>
          <w:iCs/>
          <w:lang w:eastAsia="en-AU"/>
        </w:rPr>
        <w:t>Spine</w:t>
      </w:r>
      <w:r>
        <w:rPr>
          <w:lang w:eastAsia="en-AU"/>
        </w:rPr>
        <w:t>,</w:t>
      </w:r>
      <w:r>
        <w:rPr>
          <w:i/>
          <w:iCs/>
          <w:lang w:eastAsia="en-AU"/>
        </w:rPr>
        <w:t xml:space="preserve"> 34</w:t>
      </w:r>
      <w:r>
        <w:rPr>
          <w:lang w:eastAsia="en-AU"/>
        </w:rPr>
        <w:t xml:space="preserve">(21), 2248-2253.i.org/10.1097/BRS.0b013e3181b02c59 </w:t>
      </w:r>
    </w:p>
    <w:p w14:paraId="389B0473" w14:textId="5BA0F03A" w:rsidR="00BE4358" w:rsidRDefault="00BE4358" w:rsidP="00BE4358">
      <w:pPr>
        <w:pStyle w:val="References"/>
        <w:rPr>
          <w:lang w:eastAsia="en-AU"/>
        </w:rPr>
      </w:pPr>
      <w:proofErr w:type="spellStart"/>
      <w:r>
        <w:rPr>
          <w:lang w:eastAsia="en-AU"/>
        </w:rPr>
        <w:t>Andréll</w:t>
      </w:r>
      <w:proofErr w:type="spellEnd"/>
      <w:r>
        <w:rPr>
          <w:lang w:eastAsia="en-AU"/>
        </w:rPr>
        <w:t xml:space="preserve">, P., </w:t>
      </w:r>
      <w:proofErr w:type="spellStart"/>
      <w:r>
        <w:rPr>
          <w:lang w:eastAsia="en-AU"/>
        </w:rPr>
        <w:t>Ekre</w:t>
      </w:r>
      <w:proofErr w:type="spellEnd"/>
      <w:r>
        <w:rPr>
          <w:lang w:eastAsia="en-AU"/>
        </w:rPr>
        <w:t xml:space="preserve">, O., Eliasson, T., et al. (2003). Cost-effectiveness of spinal cord stimulation versus coronary artery bypass grafting in patients with severe angina pectoris - Long-term results from the ESBY study [Article]. </w:t>
      </w:r>
      <w:r>
        <w:rPr>
          <w:i/>
          <w:iCs/>
          <w:lang w:eastAsia="en-AU"/>
        </w:rPr>
        <w:t>Cardiology</w:t>
      </w:r>
      <w:r>
        <w:rPr>
          <w:lang w:eastAsia="en-AU"/>
        </w:rPr>
        <w:t>,</w:t>
      </w:r>
      <w:r>
        <w:rPr>
          <w:i/>
          <w:iCs/>
          <w:lang w:eastAsia="en-AU"/>
        </w:rPr>
        <w:t xml:space="preserve"> 99</w:t>
      </w:r>
      <w:r>
        <w:rPr>
          <w:lang w:eastAsia="en-AU"/>
        </w:rPr>
        <w:t xml:space="preserve">(1), 20-24.i.org/10.1159/000068447 </w:t>
      </w:r>
    </w:p>
    <w:p w14:paraId="2E06874C" w14:textId="0C6F3603" w:rsidR="00BE4358" w:rsidRDefault="00BE4358" w:rsidP="00BE4358">
      <w:pPr>
        <w:pStyle w:val="References"/>
        <w:rPr>
          <w:lang w:eastAsia="en-AU"/>
        </w:rPr>
      </w:pPr>
      <w:proofErr w:type="spellStart"/>
      <w:r>
        <w:rPr>
          <w:lang w:eastAsia="en-AU"/>
        </w:rPr>
        <w:t>Annemans</w:t>
      </w:r>
      <w:proofErr w:type="spellEnd"/>
      <w:r>
        <w:rPr>
          <w:lang w:eastAsia="en-AU"/>
        </w:rPr>
        <w:t xml:space="preserve">, L., Van </w:t>
      </w:r>
      <w:proofErr w:type="spellStart"/>
      <w:r>
        <w:rPr>
          <w:lang w:eastAsia="en-AU"/>
        </w:rPr>
        <w:t>Buyten</w:t>
      </w:r>
      <w:proofErr w:type="spellEnd"/>
      <w:r>
        <w:rPr>
          <w:lang w:eastAsia="en-AU"/>
        </w:rPr>
        <w:t xml:space="preserve">, J. P., Smith, T., et al. (2014). Cost effectiveness of a novel 10 </w:t>
      </w:r>
      <w:proofErr w:type="spellStart"/>
      <w:r>
        <w:rPr>
          <w:lang w:eastAsia="en-AU"/>
        </w:rPr>
        <w:t>khz</w:t>
      </w:r>
      <w:proofErr w:type="spellEnd"/>
      <w:r>
        <w:rPr>
          <w:lang w:eastAsia="en-AU"/>
        </w:rPr>
        <w:t xml:space="preserve"> high-frequency spinal cord stimulation system in patients with failed back surgery syndrome (FBSS) [Article]. </w:t>
      </w:r>
      <w:r>
        <w:rPr>
          <w:i/>
          <w:iCs/>
          <w:lang w:eastAsia="en-AU"/>
        </w:rPr>
        <w:t>Journal of Long-Term Effects of Medical Implants</w:t>
      </w:r>
      <w:r>
        <w:rPr>
          <w:lang w:eastAsia="en-AU"/>
        </w:rPr>
        <w:t>,</w:t>
      </w:r>
      <w:r>
        <w:rPr>
          <w:i/>
          <w:iCs/>
          <w:lang w:eastAsia="en-AU"/>
        </w:rPr>
        <w:t xml:space="preserve"> 24</w:t>
      </w:r>
      <w:r>
        <w:rPr>
          <w:lang w:eastAsia="en-AU"/>
        </w:rPr>
        <w:t>(2-3), 173-184.i.org/10.1615/</w:t>
      </w:r>
      <w:r w:rsidR="00EC0C44">
        <w:rPr>
          <w:lang w:eastAsia="en-AU"/>
        </w:rPr>
        <w:t>j</w:t>
      </w:r>
      <w:r>
        <w:rPr>
          <w:lang w:eastAsia="en-AU"/>
        </w:rPr>
        <w:t xml:space="preserve">LongTermEffMedImplants.2014011685 </w:t>
      </w:r>
    </w:p>
    <w:p w14:paraId="4D7DE914" w14:textId="480B3541" w:rsidR="002B1D41" w:rsidRDefault="002B1D41" w:rsidP="00BE4358">
      <w:pPr>
        <w:pStyle w:val="References"/>
        <w:rPr>
          <w:lang w:eastAsia="en-AU"/>
        </w:rPr>
      </w:pPr>
      <w:proofErr w:type="spellStart"/>
      <w:r>
        <w:rPr>
          <w:lang w:eastAsia="en-AU"/>
        </w:rPr>
        <w:t>Argoff</w:t>
      </w:r>
      <w:proofErr w:type="spellEnd"/>
      <w:r>
        <w:rPr>
          <w:lang w:eastAsia="en-AU"/>
        </w:rPr>
        <w:t xml:space="preserve">, C., </w:t>
      </w:r>
      <w:proofErr w:type="spellStart"/>
      <w:r>
        <w:rPr>
          <w:lang w:eastAsia="en-AU"/>
        </w:rPr>
        <w:t>Mekhail</w:t>
      </w:r>
      <w:proofErr w:type="spellEnd"/>
      <w:r>
        <w:rPr>
          <w:lang w:eastAsia="en-AU"/>
        </w:rPr>
        <w:t xml:space="preserve">, N., Nasr, C., et al. (2018). </w:t>
      </w:r>
      <w:r w:rsidR="00BE4358">
        <w:rPr>
          <w:lang w:eastAsia="en-AU"/>
        </w:rPr>
        <w:t>A prospective, randomized, controlled trial of high</w:t>
      </w:r>
      <w:r>
        <w:rPr>
          <w:lang w:eastAsia="en-AU"/>
        </w:rPr>
        <w:t xml:space="preserve"> frequency spinal cord stimulation for the treatment of neuropathic limb pain from painful diabetic neuropathy</w:t>
      </w:r>
      <w:r w:rsidR="00BE4358">
        <w:rPr>
          <w:lang w:eastAsia="en-AU"/>
        </w:rPr>
        <w:t>: The senza-</w:t>
      </w:r>
      <w:proofErr w:type="spellStart"/>
      <w:r w:rsidR="00BE4358">
        <w:rPr>
          <w:lang w:eastAsia="en-AU"/>
        </w:rPr>
        <w:t>pdn</w:t>
      </w:r>
      <w:proofErr w:type="spellEnd"/>
      <w:r w:rsidR="00BE4358">
        <w:rPr>
          <w:lang w:eastAsia="en-AU"/>
        </w:rPr>
        <w:t xml:space="preserve"> protocol</w:t>
      </w:r>
      <w:r>
        <w:rPr>
          <w:lang w:eastAsia="en-AU"/>
        </w:rPr>
        <w:t xml:space="preserve"> [Conference Abstract]. </w:t>
      </w:r>
      <w:r w:rsidR="00BE4358">
        <w:rPr>
          <w:i/>
          <w:iCs/>
          <w:lang w:eastAsia="en-AU"/>
        </w:rPr>
        <w:t>Pain Practice</w:t>
      </w:r>
      <w:r w:rsidR="00BE4358">
        <w:rPr>
          <w:lang w:eastAsia="en-AU"/>
        </w:rPr>
        <w:t>,</w:t>
      </w:r>
      <w:r w:rsidR="00BE4358">
        <w:rPr>
          <w:i/>
          <w:iCs/>
          <w:lang w:eastAsia="en-AU"/>
        </w:rPr>
        <w:t xml:space="preserve"> 18</w:t>
      </w:r>
      <w:r w:rsidR="00BE4358">
        <w:rPr>
          <w:lang w:eastAsia="en-AU"/>
        </w:rPr>
        <w:t xml:space="preserve">, 31.w.embase.com/search/results?subaction=viewrecord&amp;id=L622266468&amp;from=export </w:t>
      </w:r>
    </w:p>
    <w:p w14:paraId="46CDA566" w14:textId="097489F6" w:rsidR="00BE4358" w:rsidRDefault="00BE4358" w:rsidP="00BE4358">
      <w:pPr>
        <w:pStyle w:val="References"/>
        <w:rPr>
          <w:lang w:eastAsia="en-AU"/>
        </w:rPr>
      </w:pPr>
      <w:proofErr w:type="spellStart"/>
      <w:r>
        <w:rPr>
          <w:lang w:eastAsia="en-AU"/>
        </w:rPr>
        <w:t>Argoff</w:t>
      </w:r>
      <w:proofErr w:type="spellEnd"/>
      <w:r>
        <w:rPr>
          <w:lang w:eastAsia="en-AU"/>
        </w:rPr>
        <w:t xml:space="preserve">, C., </w:t>
      </w:r>
      <w:proofErr w:type="spellStart"/>
      <w:r>
        <w:rPr>
          <w:lang w:eastAsia="en-AU"/>
        </w:rPr>
        <w:t>Mekhail</w:t>
      </w:r>
      <w:proofErr w:type="spellEnd"/>
      <w:r>
        <w:rPr>
          <w:lang w:eastAsia="en-AU"/>
        </w:rPr>
        <w:t xml:space="preserve">, N., Nasr, C., et al. (2018). High frequency spinal cord stimulation (HF-SCS) at 10 kHz for the treatment of neuropathic limb pain from painful diabetic neuropathy [Conference Abstract]. </w:t>
      </w:r>
      <w:r>
        <w:rPr>
          <w:i/>
          <w:iCs/>
          <w:lang w:eastAsia="en-AU"/>
        </w:rPr>
        <w:t>Postgraduate Medicine</w:t>
      </w:r>
      <w:r>
        <w:rPr>
          <w:lang w:eastAsia="en-AU"/>
        </w:rPr>
        <w:t>,</w:t>
      </w:r>
      <w:r>
        <w:rPr>
          <w:i/>
          <w:iCs/>
          <w:lang w:eastAsia="en-AU"/>
        </w:rPr>
        <w:t xml:space="preserve"> 130</w:t>
      </w:r>
      <w:r>
        <w:rPr>
          <w:lang w:eastAsia="en-AU"/>
        </w:rPr>
        <w:t xml:space="preserve">, 9-10.i.org/10.1080/00325481.2018.1512253 </w:t>
      </w:r>
    </w:p>
    <w:p w14:paraId="0FD16DB3" w14:textId="3BA9A9C4" w:rsidR="002B1D41" w:rsidRDefault="002B1D41" w:rsidP="00BE4358">
      <w:pPr>
        <w:pStyle w:val="References"/>
        <w:rPr>
          <w:lang w:eastAsia="en-AU"/>
        </w:rPr>
      </w:pPr>
      <w:r>
        <w:rPr>
          <w:lang w:eastAsia="en-AU"/>
        </w:rPr>
        <w:lastRenderedPageBreak/>
        <w:t xml:space="preserve">Bala, M. M., </w:t>
      </w:r>
      <w:proofErr w:type="spellStart"/>
      <w:r>
        <w:rPr>
          <w:lang w:eastAsia="en-AU"/>
        </w:rPr>
        <w:t>Riemsma</w:t>
      </w:r>
      <w:proofErr w:type="spellEnd"/>
      <w:r>
        <w:rPr>
          <w:lang w:eastAsia="en-AU"/>
        </w:rPr>
        <w:t xml:space="preserve">, R. P., Nixon, J., et al. (2008). Systematic review of the (Cost-)effectiveness of spinal cord stimulation for people with failed back surgery syndrome [Article]. </w:t>
      </w:r>
      <w:r>
        <w:rPr>
          <w:i/>
          <w:iCs/>
          <w:lang w:eastAsia="en-AU"/>
        </w:rPr>
        <w:t>Clinical Journal of Pain</w:t>
      </w:r>
      <w:r>
        <w:rPr>
          <w:lang w:eastAsia="en-AU"/>
        </w:rPr>
        <w:t>,</w:t>
      </w:r>
      <w:r>
        <w:rPr>
          <w:i/>
          <w:iCs/>
          <w:lang w:eastAsia="en-AU"/>
        </w:rPr>
        <w:t xml:space="preserve"> 24</w:t>
      </w:r>
      <w:r>
        <w:rPr>
          <w:lang w:eastAsia="en-AU"/>
        </w:rPr>
        <w:t xml:space="preserve">(9), 741-756.i.org/10.1097/AJP.0b013e318179032a </w:t>
      </w:r>
    </w:p>
    <w:p w14:paraId="706A190E" w14:textId="0FFAE2F2" w:rsidR="002B1D41" w:rsidRDefault="002B1D41" w:rsidP="00BE4358">
      <w:pPr>
        <w:pStyle w:val="References"/>
        <w:rPr>
          <w:lang w:eastAsia="en-AU"/>
        </w:rPr>
      </w:pPr>
      <w:proofErr w:type="spellStart"/>
      <w:r>
        <w:rPr>
          <w:lang w:eastAsia="en-AU"/>
        </w:rPr>
        <w:t>Baranidharan</w:t>
      </w:r>
      <w:proofErr w:type="spellEnd"/>
      <w:r>
        <w:rPr>
          <w:lang w:eastAsia="en-AU"/>
        </w:rPr>
        <w:t xml:space="preserve">, G., Bretherton, B., Montgomery, C., et al. (2021). Pain Relief and Safety Outcomes with Cervical 10 kHz Spinal Cord Stimulation: Systematic Literature Review and Meta-analysis [Review]. </w:t>
      </w:r>
      <w:r>
        <w:rPr>
          <w:i/>
          <w:iCs/>
          <w:lang w:eastAsia="en-AU"/>
        </w:rPr>
        <w:t>Pain and Therapy</w:t>
      </w:r>
      <w:r>
        <w:rPr>
          <w:lang w:eastAsia="en-AU"/>
        </w:rPr>
        <w:t>,</w:t>
      </w:r>
      <w:r>
        <w:rPr>
          <w:i/>
          <w:iCs/>
          <w:lang w:eastAsia="en-AU"/>
        </w:rPr>
        <w:t xml:space="preserve"> 10</w:t>
      </w:r>
      <w:r>
        <w:rPr>
          <w:lang w:eastAsia="en-AU"/>
        </w:rPr>
        <w:t xml:space="preserve">(2), 849-874.i.org/10.1007/s40122-021-00269-6 </w:t>
      </w:r>
    </w:p>
    <w:p w14:paraId="315034A9" w14:textId="62FBDE7C" w:rsidR="002B1D41" w:rsidRDefault="002B1D41" w:rsidP="00BE4358">
      <w:pPr>
        <w:pStyle w:val="References"/>
        <w:rPr>
          <w:lang w:eastAsia="en-AU"/>
        </w:rPr>
      </w:pPr>
      <w:proofErr w:type="spellStart"/>
      <w:r>
        <w:rPr>
          <w:lang w:eastAsia="en-AU"/>
        </w:rPr>
        <w:t>Baranidharan</w:t>
      </w:r>
      <w:proofErr w:type="spellEnd"/>
      <w:r>
        <w:rPr>
          <w:lang w:eastAsia="en-AU"/>
        </w:rPr>
        <w:t xml:space="preserve">, G., Edgar, D., Bretherton, B., et al. (2021). Efficacy and Safety of 10 kHz Spinal Cord Stimulation for the Treatment of Chronic Pain: A Systematic Review and Narrative Synthesis of Real-World Retrospective Studies. </w:t>
      </w:r>
      <w:r>
        <w:rPr>
          <w:i/>
          <w:iCs/>
          <w:lang w:eastAsia="en-AU"/>
        </w:rPr>
        <w:t>Biomedicines</w:t>
      </w:r>
      <w:r>
        <w:rPr>
          <w:lang w:eastAsia="en-AU"/>
        </w:rPr>
        <w:t>,</w:t>
      </w:r>
      <w:r>
        <w:rPr>
          <w:i/>
          <w:iCs/>
          <w:lang w:eastAsia="en-AU"/>
        </w:rPr>
        <w:t xml:space="preserve"> 9</w:t>
      </w:r>
      <w:r>
        <w:rPr>
          <w:lang w:eastAsia="en-AU"/>
        </w:rPr>
        <w:t xml:space="preserve">(2).i.org/10.3390/biomedicines9020180 </w:t>
      </w:r>
    </w:p>
    <w:p w14:paraId="6D00F38F" w14:textId="2F9943F1" w:rsidR="002B1D41" w:rsidRDefault="002B1D41" w:rsidP="00BE4358">
      <w:pPr>
        <w:pStyle w:val="References"/>
        <w:rPr>
          <w:lang w:eastAsia="en-AU"/>
        </w:rPr>
      </w:pPr>
      <w:proofErr w:type="spellStart"/>
      <w:r>
        <w:rPr>
          <w:lang w:eastAsia="en-AU"/>
        </w:rPr>
        <w:t>Baranidharan</w:t>
      </w:r>
      <w:proofErr w:type="spellEnd"/>
      <w:r>
        <w:rPr>
          <w:lang w:eastAsia="en-AU"/>
        </w:rPr>
        <w:t xml:space="preserve">, G., </w:t>
      </w:r>
      <w:proofErr w:type="spellStart"/>
      <w:r>
        <w:rPr>
          <w:lang w:eastAsia="en-AU"/>
        </w:rPr>
        <w:t>Feltbower</w:t>
      </w:r>
      <w:proofErr w:type="spellEnd"/>
      <w:r>
        <w:rPr>
          <w:lang w:eastAsia="en-AU"/>
        </w:rPr>
        <w:t xml:space="preserve">, R., Bretherton, B., et al. (2021). One-Year Results of Prospective Research Study Using 10 kHz Spinal Cord Stimulation in Persistent </w:t>
      </w:r>
      <w:proofErr w:type="spellStart"/>
      <w:r>
        <w:rPr>
          <w:lang w:eastAsia="en-AU"/>
        </w:rPr>
        <w:t>Nonoperated</w:t>
      </w:r>
      <w:proofErr w:type="spellEnd"/>
      <w:r>
        <w:rPr>
          <w:lang w:eastAsia="en-AU"/>
        </w:rPr>
        <w:t xml:space="preserve"> Low Back Pain of Neuropathic Origin: Maiden Back Study [Article]. </w:t>
      </w:r>
      <w:r>
        <w:rPr>
          <w:i/>
          <w:iCs/>
          <w:lang w:eastAsia="en-AU"/>
        </w:rPr>
        <w:t>Neuromodulation</w:t>
      </w:r>
      <w:r>
        <w:rPr>
          <w:lang w:eastAsia="en-AU"/>
        </w:rPr>
        <w:t>,</w:t>
      </w:r>
      <w:r>
        <w:rPr>
          <w:i/>
          <w:iCs/>
          <w:lang w:eastAsia="en-AU"/>
        </w:rPr>
        <w:t xml:space="preserve"> 24</w:t>
      </w:r>
      <w:r>
        <w:rPr>
          <w:lang w:eastAsia="en-AU"/>
        </w:rPr>
        <w:t xml:space="preserve">(3), 479-487.i.org/10.1111/ner.13345 </w:t>
      </w:r>
    </w:p>
    <w:p w14:paraId="6AF2CD22" w14:textId="47F1E7D0" w:rsidR="00BE4358" w:rsidRDefault="00BE4358" w:rsidP="00BE4358">
      <w:pPr>
        <w:pStyle w:val="References"/>
        <w:rPr>
          <w:lang w:eastAsia="en-AU"/>
        </w:rPr>
      </w:pPr>
      <w:r>
        <w:rPr>
          <w:lang w:eastAsia="en-AU"/>
        </w:rPr>
        <w:t xml:space="preserve">Bates, D., Carsten </w:t>
      </w:r>
      <w:proofErr w:type="spellStart"/>
      <w:r>
        <w:rPr>
          <w:lang w:eastAsia="en-AU"/>
        </w:rPr>
        <w:t>Schultheis</w:t>
      </w:r>
      <w:proofErr w:type="spellEnd"/>
      <w:r>
        <w:rPr>
          <w:lang w:eastAsia="en-AU"/>
        </w:rPr>
        <w:t xml:space="preserve">, B., Hanes, M. C., et al. (2019). A Comprehensive Algorithm for Management of Neuropathic Pain [Review]. </w:t>
      </w:r>
      <w:r>
        <w:rPr>
          <w:i/>
          <w:iCs/>
          <w:lang w:eastAsia="en-AU"/>
        </w:rPr>
        <w:t>Pain Medicine (United States)</w:t>
      </w:r>
      <w:r>
        <w:rPr>
          <w:lang w:eastAsia="en-AU"/>
        </w:rPr>
        <w:t>,</w:t>
      </w:r>
      <w:r>
        <w:rPr>
          <w:i/>
          <w:iCs/>
          <w:lang w:eastAsia="en-AU"/>
        </w:rPr>
        <w:t xml:space="preserve"> 20</w:t>
      </w:r>
      <w:r>
        <w:rPr>
          <w:lang w:eastAsia="en-AU"/>
        </w:rPr>
        <w:t xml:space="preserve">, S2-S12.i.org/10.1093/pm/pnz075 </w:t>
      </w:r>
    </w:p>
    <w:p w14:paraId="588CAFAE" w14:textId="501B2D68" w:rsidR="002B1D41" w:rsidRDefault="002B1D41" w:rsidP="00BE4358">
      <w:pPr>
        <w:pStyle w:val="References"/>
        <w:rPr>
          <w:lang w:eastAsia="en-AU"/>
        </w:rPr>
      </w:pPr>
      <w:r>
        <w:rPr>
          <w:lang w:eastAsia="en-AU"/>
        </w:rPr>
        <w:t xml:space="preserve">Benyamin, R., Galan, V., </w:t>
      </w:r>
      <w:proofErr w:type="spellStart"/>
      <w:r>
        <w:rPr>
          <w:lang w:eastAsia="en-AU"/>
        </w:rPr>
        <w:t>Hatheway</w:t>
      </w:r>
      <w:proofErr w:type="spellEnd"/>
      <w:r>
        <w:rPr>
          <w:lang w:eastAsia="en-AU"/>
        </w:rPr>
        <w:t xml:space="preserve">, J., et al. (2020). Options: A prospective, open-label study of high-dose spinal cord stimulation in patients with chronic back and leg pain [Article]. </w:t>
      </w:r>
      <w:r>
        <w:rPr>
          <w:i/>
          <w:iCs/>
          <w:lang w:eastAsia="en-AU"/>
        </w:rPr>
        <w:t>Pain Physician</w:t>
      </w:r>
      <w:r>
        <w:rPr>
          <w:lang w:eastAsia="en-AU"/>
        </w:rPr>
        <w:t>,</w:t>
      </w:r>
      <w:r>
        <w:rPr>
          <w:i/>
          <w:iCs/>
          <w:lang w:eastAsia="en-AU"/>
        </w:rPr>
        <w:t xml:space="preserve"> 23</w:t>
      </w:r>
      <w:r>
        <w:rPr>
          <w:lang w:eastAsia="en-AU"/>
        </w:rPr>
        <w:t xml:space="preserve">(1), 87-98.w.embase.com/search/results?subaction=viewrecord&amp;id=L2003717938&amp;from=export </w:t>
      </w:r>
    </w:p>
    <w:p w14:paraId="283C946F" w14:textId="3E7D5A4C" w:rsidR="002B1D41" w:rsidRDefault="002B1D41" w:rsidP="00BE4358">
      <w:pPr>
        <w:pStyle w:val="References"/>
        <w:rPr>
          <w:lang w:eastAsia="en-AU"/>
        </w:rPr>
      </w:pPr>
      <w:proofErr w:type="spellStart"/>
      <w:r>
        <w:rPr>
          <w:lang w:eastAsia="en-AU"/>
        </w:rPr>
        <w:t>Billot</w:t>
      </w:r>
      <w:proofErr w:type="spellEnd"/>
      <w:r>
        <w:rPr>
          <w:lang w:eastAsia="en-AU"/>
        </w:rPr>
        <w:t xml:space="preserve">, M., </w:t>
      </w:r>
      <w:proofErr w:type="spellStart"/>
      <w:r>
        <w:rPr>
          <w:lang w:eastAsia="en-AU"/>
        </w:rPr>
        <w:t>Naiditch</w:t>
      </w:r>
      <w:proofErr w:type="spellEnd"/>
      <w:r>
        <w:rPr>
          <w:lang w:eastAsia="en-AU"/>
        </w:rPr>
        <w:t xml:space="preserve">, N., </w:t>
      </w:r>
      <w:proofErr w:type="spellStart"/>
      <w:r>
        <w:rPr>
          <w:lang w:eastAsia="en-AU"/>
        </w:rPr>
        <w:t>Brandet</w:t>
      </w:r>
      <w:proofErr w:type="spellEnd"/>
      <w:r>
        <w:rPr>
          <w:lang w:eastAsia="en-AU"/>
        </w:rPr>
        <w:t xml:space="preserve">, C., et al. (2020). Comparison of conventional, burst and high-frequency spinal cord stimulation on pain relief in refractory failed back surgery syndrome patients: study protocol for a prospective randomized double-blinded cross-over trial (MULTIWAVE study) [Article]. </w:t>
      </w:r>
      <w:r>
        <w:rPr>
          <w:i/>
          <w:iCs/>
          <w:lang w:eastAsia="en-AU"/>
        </w:rPr>
        <w:t>Trials</w:t>
      </w:r>
      <w:r>
        <w:rPr>
          <w:lang w:eastAsia="en-AU"/>
        </w:rPr>
        <w:t>,</w:t>
      </w:r>
      <w:r>
        <w:rPr>
          <w:i/>
          <w:iCs/>
          <w:lang w:eastAsia="en-AU"/>
        </w:rPr>
        <w:t xml:space="preserve"> 21</w:t>
      </w:r>
      <w:r>
        <w:rPr>
          <w:lang w:eastAsia="en-AU"/>
        </w:rPr>
        <w:t xml:space="preserve">(1).i.org/10.1186/s13063-020-04587-6 </w:t>
      </w:r>
    </w:p>
    <w:p w14:paraId="37172138" w14:textId="7AF2CF86" w:rsidR="002B1D41" w:rsidRDefault="002B1D41" w:rsidP="00BE4358">
      <w:pPr>
        <w:pStyle w:val="References"/>
        <w:rPr>
          <w:lang w:eastAsia="en-AU"/>
        </w:rPr>
      </w:pPr>
      <w:proofErr w:type="spellStart"/>
      <w:r>
        <w:rPr>
          <w:lang w:eastAsia="en-AU"/>
        </w:rPr>
        <w:t>Bolash</w:t>
      </w:r>
      <w:proofErr w:type="spellEnd"/>
      <w:r>
        <w:rPr>
          <w:lang w:eastAsia="en-AU"/>
        </w:rPr>
        <w:t xml:space="preserve">, R., Creamer, M., </w:t>
      </w:r>
      <w:proofErr w:type="spellStart"/>
      <w:r>
        <w:rPr>
          <w:lang w:eastAsia="en-AU"/>
        </w:rPr>
        <w:t>Rauck</w:t>
      </w:r>
      <w:proofErr w:type="spellEnd"/>
      <w:r>
        <w:rPr>
          <w:lang w:eastAsia="en-AU"/>
        </w:rPr>
        <w:t xml:space="preserve">, R., et al. (2019). Wireless High-Frequency Spinal Cord Stimulation (10 kHz) Compared with </w:t>
      </w:r>
      <w:proofErr w:type="spellStart"/>
      <w:r>
        <w:rPr>
          <w:lang w:eastAsia="en-AU"/>
        </w:rPr>
        <w:t>Multiwaveform</w:t>
      </w:r>
      <w:proofErr w:type="spellEnd"/>
      <w:r>
        <w:rPr>
          <w:lang w:eastAsia="en-AU"/>
        </w:rPr>
        <w:t xml:space="preserve"> Low-Frequency Spinal Cord Stimulation in the Management of Chronic Pain in Failed Back Surgery Syndrome Subjects: Preliminary Results of a </w:t>
      </w:r>
      <w:proofErr w:type="spellStart"/>
      <w:r>
        <w:rPr>
          <w:lang w:eastAsia="en-AU"/>
        </w:rPr>
        <w:t>Multicenter</w:t>
      </w:r>
      <w:proofErr w:type="spellEnd"/>
      <w:r>
        <w:rPr>
          <w:lang w:eastAsia="en-AU"/>
        </w:rPr>
        <w:t xml:space="preserve">, Prospective Randomized Controlled Study [Article]. </w:t>
      </w:r>
      <w:r>
        <w:rPr>
          <w:i/>
          <w:iCs/>
          <w:lang w:eastAsia="en-AU"/>
        </w:rPr>
        <w:t>Pain Medicine (United States)</w:t>
      </w:r>
      <w:r>
        <w:rPr>
          <w:lang w:eastAsia="en-AU"/>
        </w:rPr>
        <w:t>,</w:t>
      </w:r>
      <w:r>
        <w:rPr>
          <w:i/>
          <w:iCs/>
          <w:lang w:eastAsia="en-AU"/>
        </w:rPr>
        <w:t xml:space="preserve"> 20</w:t>
      </w:r>
      <w:r>
        <w:rPr>
          <w:lang w:eastAsia="en-AU"/>
        </w:rPr>
        <w:t xml:space="preserve">(10), 1971-1979.i.org/10.1093/pm/pnz019 </w:t>
      </w:r>
    </w:p>
    <w:p w14:paraId="0D623258" w14:textId="29540ECE" w:rsidR="002B1D41" w:rsidRDefault="002B1D41" w:rsidP="00BE4358">
      <w:pPr>
        <w:pStyle w:val="References"/>
        <w:rPr>
          <w:lang w:eastAsia="en-AU"/>
        </w:rPr>
      </w:pPr>
      <w:r>
        <w:rPr>
          <w:lang w:eastAsia="en-AU"/>
        </w:rPr>
        <w:t xml:space="preserve">Bordeleau, M., </w:t>
      </w:r>
      <w:proofErr w:type="spellStart"/>
      <w:r>
        <w:rPr>
          <w:lang w:eastAsia="en-AU"/>
        </w:rPr>
        <w:t>Carrondo</w:t>
      </w:r>
      <w:proofErr w:type="spellEnd"/>
      <w:r>
        <w:rPr>
          <w:lang w:eastAsia="en-AU"/>
        </w:rPr>
        <w:t xml:space="preserve"> </w:t>
      </w:r>
      <w:proofErr w:type="spellStart"/>
      <w:r>
        <w:rPr>
          <w:lang w:eastAsia="en-AU"/>
        </w:rPr>
        <w:t>Cottin</w:t>
      </w:r>
      <w:proofErr w:type="spellEnd"/>
      <w:r>
        <w:rPr>
          <w:lang w:eastAsia="en-AU"/>
        </w:rPr>
        <w:t xml:space="preserve">, S., Meier, K., et al. (2019). Effects of Tonic Spinal Cord Stimulation on Sensory Perception in Chronic Pain Patients: A Systematic Review [Review]. </w:t>
      </w:r>
      <w:r>
        <w:rPr>
          <w:i/>
          <w:iCs/>
          <w:lang w:eastAsia="en-AU"/>
        </w:rPr>
        <w:t>Neuromodulation</w:t>
      </w:r>
      <w:r>
        <w:rPr>
          <w:lang w:eastAsia="en-AU"/>
        </w:rPr>
        <w:t>,</w:t>
      </w:r>
      <w:r>
        <w:rPr>
          <w:i/>
          <w:iCs/>
          <w:lang w:eastAsia="en-AU"/>
        </w:rPr>
        <w:t xml:space="preserve"> 22</w:t>
      </w:r>
      <w:r>
        <w:rPr>
          <w:lang w:eastAsia="en-AU"/>
        </w:rPr>
        <w:t xml:space="preserve">(2), 149-162.i.org/10.1111/ner.12893 </w:t>
      </w:r>
    </w:p>
    <w:p w14:paraId="0B321B03" w14:textId="5C213587" w:rsidR="002B1D41" w:rsidRDefault="002B1D41" w:rsidP="00BE4358">
      <w:pPr>
        <w:pStyle w:val="References"/>
        <w:rPr>
          <w:lang w:eastAsia="en-AU"/>
        </w:rPr>
      </w:pPr>
      <w:proofErr w:type="spellStart"/>
      <w:r>
        <w:rPr>
          <w:lang w:eastAsia="en-AU"/>
        </w:rPr>
        <w:t>Breel</w:t>
      </w:r>
      <w:proofErr w:type="spellEnd"/>
      <w:r>
        <w:rPr>
          <w:lang w:eastAsia="en-AU"/>
        </w:rPr>
        <w:t xml:space="preserve">, J., Wille, F., </w:t>
      </w:r>
      <w:proofErr w:type="spellStart"/>
      <w:r>
        <w:rPr>
          <w:lang w:eastAsia="en-AU"/>
        </w:rPr>
        <w:t>Wensing</w:t>
      </w:r>
      <w:proofErr w:type="spellEnd"/>
      <w:r>
        <w:rPr>
          <w:lang w:eastAsia="en-AU"/>
        </w:rPr>
        <w:t xml:space="preserve">, A. G. C. L., et al. (2021). A Comparison of 1000 Hz to 30 Hz Spinal Cord Stimulation Strategies in Patients with Unilateral Neuropathic Leg Pain Due to Failed Back Surgery Syndrome: A </w:t>
      </w:r>
      <w:proofErr w:type="spellStart"/>
      <w:r>
        <w:rPr>
          <w:lang w:eastAsia="en-AU"/>
        </w:rPr>
        <w:t>Multicenter</w:t>
      </w:r>
      <w:proofErr w:type="spellEnd"/>
      <w:r>
        <w:rPr>
          <w:lang w:eastAsia="en-AU"/>
        </w:rPr>
        <w:t xml:space="preserve">, Randomized, Double-Blinded, Crossover Clinical Study (HALO) [Article]. </w:t>
      </w:r>
      <w:r>
        <w:rPr>
          <w:i/>
          <w:iCs/>
          <w:lang w:eastAsia="en-AU"/>
        </w:rPr>
        <w:t>Pain and Therapy</w:t>
      </w:r>
      <w:r>
        <w:rPr>
          <w:lang w:eastAsia="en-AU"/>
        </w:rPr>
        <w:t>,</w:t>
      </w:r>
      <w:r>
        <w:rPr>
          <w:i/>
          <w:iCs/>
          <w:lang w:eastAsia="en-AU"/>
        </w:rPr>
        <w:t xml:space="preserve"> 10</w:t>
      </w:r>
      <w:r>
        <w:rPr>
          <w:lang w:eastAsia="en-AU"/>
        </w:rPr>
        <w:t xml:space="preserve">(2), 1189-1202.i.org/10.1007/s40122-021-00268-7 </w:t>
      </w:r>
    </w:p>
    <w:p w14:paraId="1C42E8AE" w14:textId="69DFB5FB" w:rsidR="002B1D41" w:rsidRDefault="002B1D41" w:rsidP="00BE4358">
      <w:pPr>
        <w:pStyle w:val="References"/>
        <w:rPr>
          <w:lang w:eastAsia="en-AU"/>
        </w:rPr>
      </w:pPr>
      <w:r>
        <w:rPr>
          <w:lang w:eastAsia="en-AU"/>
        </w:rPr>
        <w:t xml:space="preserve">Brill, S., </w:t>
      </w:r>
      <w:proofErr w:type="spellStart"/>
      <w:r>
        <w:rPr>
          <w:lang w:eastAsia="en-AU"/>
        </w:rPr>
        <w:t>Defrin</w:t>
      </w:r>
      <w:proofErr w:type="spellEnd"/>
      <w:r>
        <w:rPr>
          <w:lang w:eastAsia="en-AU"/>
        </w:rPr>
        <w:t xml:space="preserve">, R., Aryeh, I. G., et al. (2022). Short- and long-term effects of conventional spinal cord stimulation on chronic pain and health perceptions: A longitudinal controlled trial [Article]. </w:t>
      </w:r>
      <w:r>
        <w:rPr>
          <w:i/>
          <w:iCs/>
          <w:lang w:eastAsia="en-AU"/>
        </w:rPr>
        <w:t>European Journal of Pain (United Kingdom)</w:t>
      </w:r>
      <w:r>
        <w:rPr>
          <w:lang w:eastAsia="en-AU"/>
        </w:rPr>
        <w:t>,</w:t>
      </w:r>
      <w:r>
        <w:rPr>
          <w:i/>
          <w:iCs/>
          <w:lang w:eastAsia="en-AU"/>
        </w:rPr>
        <w:t xml:space="preserve"> 26</w:t>
      </w:r>
      <w:r>
        <w:rPr>
          <w:lang w:eastAsia="en-AU"/>
        </w:rPr>
        <w:t xml:space="preserve">(9), 1849-1862.i.org/10.1002/ejp.2002 </w:t>
      </w:r>
    </w:p>
    <w:p w14:paraId="4DE52397" w14:textId="54B542B9" w:rsidR="002B1D41" w:rsidRDefault="002B1D41" w:rsidP="00BE4358">
      <w:pPr>
        <w:pStyle w:val="References"/>
        <w:rPr>
          <w:lang w:eastAsia="en-AU"/>
        </w:rPr>
      </w:pPr>
      <w:proofErr w:type="spellStart"/>
      <w:r>
        <w:rPr>
          <w:lang w:eastAsia="en-AU"/>
        </w:rPr>
        <w:t>Brinzeu</w:t>
      </w:r>
      <w:proofErr w:type="spellEnd"/>
      <w:r>
        <w:rPr>
          <w:lang w:eastAsia="en-AU"/>
        </w:rPr>
        <w:t xml:space="preserve">, A., </w:t>
      </w:r>
      <w:proofErr w:type="spellStart"/>
      <w:r>
        <w:rPr>
          <w:lang w:eastAsia="en-AU"/>
        </w:rPr>
        <w:t>Cuny</w:t>
      </w:r>
      <w:proofErr w:type="spellEnd"/>
      <w:r>
        <w:rPr>
          <w:lang w:eastAsia="en-AU"/>
        </w:rPr>
        <w:t xml:space="preserve">, E., Fontaine, D., et al. (2019). Spinal cord stimulation for chronic refractory pain: Long-term effectiveness and safety data from a multicentre registry [Article]. </w:t>
      </w:r>
      <w:r>
        <w:rPr>
          <w:i/>
          <w:iCs/>
          <w:lang w:eastAsia="en-AU"/>
        </w:rPr>
        <w:t>European Journal of Pain (United Kingdom)</w:t>
      </w:r>
      <w:r>
        <w:rPr>
          <w:lang w:eastAsia="en-AU"/>
        </w:rPr>
        <w:t>,</w:t>
      </w:r>
      <w:r>
        <w:rPr>
          <w:i/>
          <w:iCs/>
          <w:lang w:eastAsia="en-AU"/>
        </w:rPr>
        <w:t xml:space="preserve"> 23</w:t>
      </w:r>
      <w:r>
        <w:rPr>
          <w:lang w:eastAsia="en-AU"/>
        </w:rPr>
        <w:t xml:space="preserve">(5), 1031-1044.i.org/10.1002/ejp.1355 </w:t>
      </w:r>
    </w:p>
    <w:p w14:paraId="6A934386" w14:textId="472FD0D6" w:rsidR="002B1D41" w:rsidRDefault="002B1D41" w:rsidP="00BE4358">
      <w:pPr>
        <w:pStyle w:val="References"/>
        <w:rPr>
          <w:lang w:eastAsia="en-AU"/>
        </w:rPr>
      </w:pPr>
      <w:r>
        <w:rPr>
          <w:lang w:eastAsia="en-AU"/>
        </w:rPr>
        <w:t xml:space="preserve">Brooker, C., Russo, M., Cousins, M. J., et al. (2021). ECAP-Controlled Closed-Loop Spinal Cord Stimulation Efficacy and Opioid Reduction Over 24-Months: Final Results of the Prospective, </w:t>
      </w:r>
      <w:proofErr w:type="spellStart"/>
      <w:r>
        <w:rPr>
          <w:lang w:eastAsia="en-AU"/>
        </w:rPr>
        <w:t>Multicenter</w:t>
      </w:r>
      <w:proofErr w:type="spellEnd"/>
      <w:r>
        <w:rPr>
          <w:lang w:eastAsia="en-AU"/>
        </w:rPr>
        <w:t xml:space="preserve">, Open-Label Avalon Study [Article]. </w:t>
      </w:r>
      <w:r>
        <w:rPr>
          <w:i/>
          <w:iCs/>
          <w:lang w:eastAsia="en-AU"/>
        </w:rPr>
        <w:t>Pain Practice</w:t>
      </w:r>
      <w:r>
        <w:rPr>
          <w:lang w:eastAsia="en-AU"/>
        </w:rPr>
        <w:t>,</w:t>
      </w:r>
      <w:r>
        <w:rPr>
          <w:i/>
          <w:iCs/>
          <w:lang w:eastAsia="en-AU"/>
        </w:rPr>
        <w:t xml:space="preserve"> 21</w:t>
      </w:r>
      <w:r>
        <w:rPr>
          <w:lang w:eastAsia="en-AU"/>
        </w:rPr>
        <w:t xml:space="preserve">(6), 680-691.i.org/10.1111/papr.13008 </w:t>
      </w:r>
    </w:p>
    <w:p w14:paraId="2E926C8F" w14:textId="55C752CA" w:rsidR="002B1D41" w:rsidRDefault="002B1D41" w:rsidP="00BE4358">
      <w:pPr>
        <w:pStyle w:val="References"/>
        <w:rPr>
          <w:lang w:eastAsia="en-AU"/>
        </w:rPr>
      </w:pPr>
      <w:r>
        <w:rPr>
          <w:lang w:eastAsia="en-AU"/>
        </w:rPr>
        <w:t xml:space="preserve">Burgher, A., </w:t>
      </w:r>
      <w:proofErr w:type="spellStart"/>
      <w:r>
        <w:rPr>
          <w:lang w:eastAsia="en-AU"/>
        </w:rPr>
        <w:t>Kosek</w:t>
      </w:r>
      <w:proofErr w:type="spellEnd"/>
      <w:r>
        <w:rPr>
          <w:lang w:eastAsia="en-AU"/>
        </w:rPr>
        <w:t xml:space="preserve">, P., </w:t>
      </w:r>
      <w:proofErr w:type="spellStart"/>
      <w:r>
        <w:rPr>
          <w:lang w:eastAsia="en-AU"/>
        </w:rPr>
        <w:t>Surrett</w:t>
      </w:r>
      <w:proofErr w:type="spellEnd"/>
      <w:r>
        <w:rPr>
          <w:lang w:eastAsia="en-AU"/>
        </w:rPr>
        <w:t xml:space="preserve">, S., et al. (2020). Ten kilohertz SCS for treatment of chronic upper extremity pain (UEP): Results from prospective observational study [Article]. </w:t>
      </w:r>
      <w:r>
        <w:rPr>
          <w:i/>
          <w:iCs/>
          <w:lang w:eastAsia="en-AU"/>
        </w:rPr>
        <w:t>Journal of Pain Research</w:t>
      </w:r>
      <w:r>
        <w:rPr>
          <w:lang w:eastAsia="en-AU"/>
        </w:rPr>
        <w:t>,</w:t>
      </w:r>
      <w:r>
        <w:rPr>
          <w:i/>
          <w:iCs/>
          <w:lang w:eastAsia="en-AU"/>
        </w:rPr>
        <w:t xml:space="preserve"> 13</w:t>
      </w:r>
      <w:r>
        <w:rPr>
          <w:lang w:eastAsia="en-AU"/>
        </w:rPr>
        <w:t xml:space="preserve">, 2837-2851.i.org/10.2147/JPR.S278661 </w:t>
      </w:r>
    </w:p>
    <w:p w14:paraId="425B6D9C" w14:textId="58441BE0" w:rsidR="002B1D41" w:rsidRDefault="002B1D41" w:rsidP="00BE4358">
      <w:pPr>
        <w:pStyle w:val="References"/>
        <w:rPr>
          <w:lang w:eastAsia="en-AU"/>
        </w:rPr>
      </w:pPr>
      <w:r>
        <w:rPr>
          <w:lang w:eastAsia="en-AU"/>
        </w:rPr>
        <w:t xml:space="preserve">Cameron, T. (2004). Safety and efficacy of spinal cord stimulation for the treatment of chronic pain: A 20-year literature review [Review]. </w:t>
      </w:r>
      <w:r>
        <w:rPr>
          <w:i/>
          <w:iCs/>
          <w:lang w:eastAsia="en-AU"/>
        </w:rPr>
        <w:t>Journal of Neurosurgery</w:t>
      </w:r>
      <w:r>
        <w:rPr>
          <w:lang w:eastAsia="en-AU"/>
        </w:rPr>
        <w:t>,</w:t>
      </w:r>
      <w:r>
        <w:rPr>
          <w:i/>
          <w:iCs/>
          <w:lang w:eastAsia="en-AU"/>
        </w:rPr>
        <w:t xml:space="preserve"> 100</w:t>
      </w:r>
      <w:r>
        <w:rPr>
          <w:lang w:eastAsia="en-AU"/>
        </w:rPr>
        <w:t xml:space="preserve">(3 SUPPL.), 254-267.i.org/10.3171/spi.2004.100.3.0254 </w:t>
      </w:r>
    </w:p>
    <w:p w14:paraId="4888D456" w14:textId="4882CAF7" w:rsidR="002B1D41" w:rsidRDefault="002B1D41" w:rsidP="00BE4358">
      <w:pPr>
        <w:pStyle w:val="References"/>
        <w:rPr>
          <w:lang w:eastAsia="en-AU"/>
        </w:rPr>
      </w:pPr>
      <w:proofErr w:type="spellStart"/>
      <w:r>
        <w:rPr>
          <w:lang w:eastAsia="en-AU"/>
        </w:rPr>
        <w:t>Canós-Verdecho</w:t>
      </w:r>
      <w:proofErr w:type="spellEnd"/>
      <w:r>
        <w:rPr>
          <w:lang w:eastAsia="en-AU"/>
        </w:rPr>
        <w:t xml:space="preserve">, A., </w:t>
      </w:r>
      <w:proofErr w:type="spellStart"/>
      <w:r>
        <w:rPr>
          <w:lang w:eastAsia="en-AU"/>
        </w:rPr>
        <w:t>Abejón</w:t>
      </w:r>
      <w:proofErr w:type="spellEnd"/>
      <w:r>
        <w:rPr>
          <w:lang w:eastAsia="en-AU"/>
        </w:rPr>
        <w:t xml:space="preserve">, D., Robledo, R., et al. (2021). Randomized Prospective Study in Patients With Complex Regional Pain Syndrome of the Upper Limb With High-Frequency Spinal Cord Stimulation (10-kHz) and Low-Frequency Spinal Cord Stimulation [Article]. </w:t>
      </w:r>
      <w:r>
        <w:rPr>
          <w:i/>
          <w:iCs/>
          <w:lang w:eastAsia="en-AU"/>
        </w:rPr>
        <w:t>Neuromodulation</w:t>
      </w:r>
      <w:r>
        <w:rPr>
          <w:lang w:eastAsia="en-AU"/>
        </w:rPr>
        <w:t>,</w:t>
      </w:r>
      <w:r>
        <w:rPr>
          <w:i/>
          <w:iCs/>
          <w:lang w:eastAsia="en-AU"/>
        </w:rPr>
        <w:t xml:space="preserve"> 24</w:t>
      </w:r>
      <w:r>
        <w:rPr>
          <w:lang w:eastAsia="en-AU"/>
        </w:rPr>
        <w:t xml:space="preserve">(3), 448-458.i.org/10.1111/ner.13358 </w:t>
      </w:r>
    </w:p>
    <w:p w14:paraId="4446B8D7" w14:textId="48C88236" w:rsidR="002B1D41" w:rsidRDefault="002B1D41" w:rsidP="00BE4358">
      <w:pPr>
        <w:pStyle w:val="References"/>
        <w:rPr>
          <w:lang w:eastAsia="en-AU"/>
        </w:rPr>
      </w:pPr>
      <w:r>
        <w:rPr>
          <w:lang w:eastAsia="en-AU"/>
        </w:rPr>
        <w:t xml:space="preserve">Chakravarthy, K., </w:t>
      </w:r>
      <w:proofErr w:type="spellStart"/>
      <w:r>
        <w:rPr>
          <w:lang w:eastAsia="en-AU"/>
        </w:rPr>
        <w:t>Bink</w:t>
      </w:r>
      <w:proofErr w:type="spellEnd"/>
      <w:r>
        <w:rPr>
          <w:lang w:eastAsia="en-AU"/>
        </w:rPr>
        <w:t xml:space="preserve">, H., &amp; </w:t>
      </w:r>
      <w:proofErr w:type="spellStart"/>
      <w:r>
        <w:rPr>
          <w:lang w:eastAsia="en-AU"/>
        </w:rPr>
        <w:t>Dinsmoor</w:t>
      </w:r>
      <w:proofErr w:type="spellEnd"/>
      <w:r>
        <w:rPr>
          <w:lang w:eastAsia="en-AU"/>
        </w:rPr>
        <w:t xml:space="preserve">, D. (2020). Sensing evoked compound action potentials from the spinal cord: Novel preclinical and clinical considerations for the pain management researcher and clinician [Article]. </w:t>
      </w:r>
      <w:r>
        <w:rPr>
          <w:i/>
          <w:iCs/>
          <w:lang w:eastAsia="en-AU"/>
        </w:rPr>
        <w:t>Journal of Pain Research</w:t>
      </w:r>
      <w:r>
        <w:rPr>
          <w:lang w:eastAsia="en-AU"/>
        </w:rPr>
        <w:t>,</w:t>
      </w:r>
      <w:r>
        <w:rPr>
          <w:i/>
          <w:iCs/>
          <w:lang w:eastAsia="en-AU"/>
        </w:rPr>
        <w:t xml:space="preserve"> 13</w:t>
      </w:r>
      <w:r>
        <w:rPr>
          <w:lang w:eastAsia="en-AU"/>
        </w:rPr>
        <w:t xml:space="preserve">, 3269-3279.i.org/10.2147/JPR.S289098 </w:t>
      </w:r>
    </w:p>
    <w:p w14:paraId="682DE286" w14:textId="58378B73" w:rsidR="002B1D41" w:rsidRDefault="002B1D41" w:rsidP="00BE4358">
      <w:pPr>
        <w:pStyle w:val="References"/>
        <w:rPr>
          <w:lang w:eastAsia="en-AU"/>
        </w:rPr>
      </w:pPr>
      <w:r>
        <w:rPr>
          <w:lang w:eastAsia="en-AU"/>
        </w:rPr>
        <w:t xml:space="preserve">Chakravarthy, K., FitzGerald, J., Will, A., et al. (2022). A Clinical Feasibility Study of Spinal Evoked Compound Action Potential Estimation Methods [Article]. </w:t>
      </w:r>
      <w:r>
        <w:rPr>
          <w:i/>
          <w:iCs/>
          <w:lang w:eastAsia="en-AU"/>
        </w:rPr>
        <w:t>Neuromodulation</w:t>
      </w:r>
      <w:r>
        <w:rPr>
          <w:lang w:eastAsia="en-AU"/>
        </w:rPr>
        <w:t>,</w:t>
      </w:r>
      <w:r>
        <w:rPr>
          <w:i/>
          <w:iCs/>
          <w:lang w:eastAsia="en-AU"/>
        </w:rPr>
        <w:t xml:space="preserve"> 25</w:t>
      </w:r>
      <w:r>
        <w:rPr>
          <w:lang w:eastAsia="en-AU"/>
        </w:rPr>
        <w:t xml:space="preserve">(1), 75-84.i.org/10.1111/ner.13510 </w:t>
      </w:r>
    </w:p>
    <w:p w14:paraId="43582764" w14:textId="270641A9" w:rsidR="002B1D41" w:rsidRDefault="002B1D41" w:rsidP="00BE4358">
      <w:pPr>
        <w:pStyle w:val="References"/>
        <w:rPr>
          <w:lang w:eastAsia="en-AU"/>
        </w:rPr>
      </w:pPr>
      <w:r>
        <w:rPr>
          <w:lang w:eastAsia="en-AU"/>
        </w:rPr>
        <w:t xml:space="preserve">Chen, J. L., </w:t>
      </w:r>
      <w:proofErr w:type="spellStart"/>
      <w:r>
        <w:rPr>
          <w:lang w:eastAsia="en-AU"/>
        </w:rPr>
        <w:t>Hesseltine</w:t>
      </w:r>
      <w:proofErr w:type="spellEnd"/>
      <w:r>
        <w:rPr>
          <w:lang w:eastAsia="en-AU"/>
        </w:rPr>
        <w:t xml:space="preserve">, A. W., Nashi, S. E., et al. (2022). A Real-World Analysis of High-Frequency 10 kHz Spinal Cord Stimulation for the Treatment of Painful Diabetic Peripheral Neuropathy [Article]. </w:t>
      </w:r>
      <w:r>
        <w:rPr>
          <w:i/>
          <w:iCs/>
          <w:lang w:eastAsia="en-AU"/>
        </w:rPr>
        <w:t>Journal of Diabetes Science and Technology</w:t>
      </w:r>
      <w:r>
        <w:rPr>
          <w:lang w:eastAsia="en-AU"/>
        </w:rPr>
        <w:t>,</w:t>
      </w:r>
      <w:r>
        <w:rPr>
          <w:i/>
          <w:iCs/>
          <w:lang w:eastAsia="en-AU"/>
        </w:rPr>
        <w:t xml:space="preserve"> 16</w:t>
      </w:r>
      <w:r>
        <w:rPr>
          <w:lang w:eastAsia="en-AU"/>
        </w:rPr>
        <w:t xml:space="preserve">(2), 282-288.i.org/10.1177/19322968211060316 </w:t>
      </w:r>
    </w:p>
    <w:p w14:paraId="445AC029" w14:textId="77777777" w:rsidR="00BE4358" w:rsidRDefault="00BE4358" w:rsidP="00BE4358">
      <w:pPr>
        <w:pStyle w:val="References"/>
        <w:rPr>
          <w:lang w:eastAsia="en-AU"/>
        </w:rPr>
      </w:pPr>
      <w:proofErr w:type="spellStart"/>
      <w:r>
        <w:rPr>
          <w:lang w:eastAsia="en-AU"/>
        </w:rPr>
        <w:t>Claeys</w:t>
      </w:r>
      <w:proofErr w:type="spellEnd"/>
      <w:r>
        <w:rPr>
          <w:lang w:eastAsia="en-AU"/>
        </w:rPr>
        <w:t xml:space="preserve">, L. G., &amp; </w:t>
      </w:r>
      <w:proofErr w:type="spellStart"/>
      <w:r>
        <w:rPr>
          <w:lang w:eastAsia="en-AU"/>
        </w:rPr>
        <w:t>Horsch</w:t>
      </w:r>
      <w:proofErr w:type="spellEnd"/>
      <w:r>
        <w:rPr>
          <w:lang w:eastAsia="en-AU"/>
        </w:rPr>
        <w:t xml:space="preserve">, S. (1996). Transcutaneous oxygen pressure as predictive parameter for ulcer healing in </w:t>
      </w:r>
      <w:proofErr w:type="spellStart"/>
      <w:r>
        <w:rPr>
          <w:lang w:eastAsia="en-AU"/>
        </w:rPr>
        <w:t>endstage</w:t>
      </w:r>
      <w:proofErr w:type="spellEnd"/>
      <w:r>
        <w:rPr>
          <w:lang w:eastAsia="en-AU"/>
        </w:rPr>
        <w:t xml:space="preserve"> vascular patients treated with spinal cord stimulation. </w:t>
      </w:r>
      <w:r>
        <w:rPr>
          <w:i/>
          <w:iCs/>
          <w:lang w:eastAsia="en-AU"/>
        </w:rPr>
        <w:t xml:space="preserve">Int </w:t>
      </w:r>
      <w:proofErr w:type="spellStart"/>
      <w:r>
        <w:rPr>
          <w:i/>
          <w:iCs/>
          <w:lang w:eastAsia="en-AU"/>
        </w:rPr>
        <w:t>Angiol</w:t>
      </w:r>
      <w:proofErr w:type="spellEnd"/>
      <w:r>
        <w:rPr>
          <w:lang w:eastAsia="en-AU"/>
        </w:rPr>
        <w:t>,</w:t>
      </w:r>
      <w:r>
        <w:rPr>
          <w:i/>
          <w:iCs/>
          <w:lang w:eastAsia="en-AU"/>
        </w:rPr>
        <w:t xml:space="preserve"> 15</w:t>
      </w:r>
      <w:r>
        <w:rPr>
          <w:lang w:eastAsia="en-AU"/>
        </w:rPr>
        <w:t xml:space="preserve">(4), 344-349. </w:t>
      </w:r>
    </w:p>
    <w:p w14:paraId="688ABF42" w14:textId="77777777" w:rsidR="00BE4358" w:rsidRDefault="00BE4358" w:rsidP="00BE4358">
      <w:pPr>
        <w:pStyle w:val="References"/>
        <w:rPr>
          <w:lang w:eastAsia="en-AU"/>
        </w:rPr>
      </w:pPr>
      <w:proofErr w:type="spellStart"/>
      <w:r>
        <w:rPr>
          <w:lang w:eastAsia="en-AU"/>
        </w:rPr>
        <w:t>Claeys</w:t>
      </w:r>
      <w:proofErr w:type="spellEnd"/>
      <w:r>
        <w:rPr>
          <w:lang w:eastAsia="en-AU"/>
        </w:rPr>
        <w:t xml:space="preserve">, L., &amp; </w:t>
      </w:r>
      <w:proofErr w:type="spellStart"/>
      <w:r>
        <w:rPr>
          <w:lang w:eastAsia="en-AU"/>
        </w:rPr>
        <w:t>Horsch</w:t>
      </w:r>
      <w:proofErr w:type="spellEnd"/>
      <w:r>
        <w:rPr>
          <w:lang w:eastAsia="en-AU"/>
        </w:rPr>
        <w:t xml:space="preserve">, S. (1997). Effects of spinal cord stimulation on ischemic inflammatory pain and wound healing in patients with peripheral arterial occlusive disease Fontaine stage IV. </w:t>
      </w:r>
      <w:r>
        <w:rPr>
          <w:i/>
          <w:iCs/>
          <w:lang w:eastAsia="en-AU"/>
        </w:rPr>
        <w:t>Pain Digest</w:t>
      </w:r>
      <w:r>
        <w:rPr>
          <w:lang w:eastAsia="en-AU"/>
        </w:rPr>
        <w:t>,</w:t>
      </w:r>
      <w:r>
        <w:rPr>
          <w:i/>
          <w:iCs/>
          <w:lang w:eastAsia="en-AU"/>
        </w:rPr>
        <w:t xml:space="preserve"> 7</w:t>
      </w:r>
      <w:r>
        <w:rPr>
          <w:lang w:eastAsia="en-AU"/>
        </w:rPr>
        <w:t xml:space="preserve">, 200-203. </w:t>
      </w:r>
    </w:p>
    <w:p w14:paraId="2DD82311" w14:textId="77777777" w:rsidR="00BE4358" w:rsidRDefault="00BE4358" w:rsidP="00BE4358">
      <w:pPr>
        <w:pStyle w:val="References"/>
        <w:rPr>
          <w:lang w:eastAsia="en-AU"/>
        </w:rPr>
      </w:pPr>
      <w:proofErr w:type="spellStart"/>
      <w:r>
        <w:rPr>
          <w:lang w:eastAsia="en-AU"/>
        </w:rPr>
        <w:t>Claeys</w:t>
      </w:r>
      <w:proofErr w:type="spellEnd"/>
      <w:r>
        <w:rPr>
          <w:lang w:eastAsia="en-AU"/>
        </w:rPr>
        <w:t xml:space="preserve">, L., &amp; </w:t>
      </w:r>
      <w:proofErr w:type="spellStart"/>
      <w:r>
        <w:rPr>
          <w:lang w:eastAsia="en-AU"/>
        </w:rPr>
        <w:t>Horsch</w:t>
      </w:r>
      <w:proofErr w:type="spellEnd"/>
      <w:r>
        <w:rPr>
          <w:lang w:eastAsia="en-AU"/>
        </w:rPr>
        <w:t xml:space="preserve">, S. (1998). Epidural spinal cord stimulation following intravenous prostaglandin E1 therapy in patients with ischaemic pain (peripheral vascular disease Fontaine stage IV). Preliminary results of a controlled randomized study. </w:t>
      </w:r>
      <w:r>
        <w:rPr>
          <w:i/>
          <w:iCs/>
          <w:lang w:eastAsia="en-AU"/>
        </w:rPr>
        <w:t>PAIN CLINIC-UTRECHT-</w:t>
      </w:r>
      <w:r>
        <w:rPr>
          <w:lang w:eastAsia="en-AU"/>
        </w:rPr>
        <w:t>,</w:t>
      </w:r>
      <w:r>
        <w:rPr>
          <w:i/>
          <w:iCs/>
          <w:lang w:eastAsia="en-AU"/>
        </w:rPr>
        <w:t xml:space="preserve"> 10</w:t>
      </w:r>
      <w:r>
        <w:rPr>
          <w:lang w:eastAsia="en-AU"/>
        </w:rPr>
        <w:t xml:space="preserve">, 165-172. </w:t>
      </w:r>
    </w:p>
    <w:p w14:paraId="57C5FFB7" w14:textId="77777777" w:rsidR="00BE4358" w:rsidRDefault="00BE4358" w:rsidP="00BE4358">
      <w:pPr>
        <w:pStyle w:val="References"/>
        <w:rPr>
          <w:lang w:eastAsia="en-AU"/>
        </w:rPr>
      </w:pPr>
      <w:proofErr w:type="spellStart"/>
      <w:r>
        <w:rPr>
          <w:lang w:eastAsia="en-AU"/>
        </w:rPr>
        <w:t>Claeys</w:t>
      </w:r>
      <w:proofErr w:type="spellEnd"/>
      <w:r>
        <w:rPr>
          <w:lang w:eastAsia="en-AU"/>
        </w:rPr>
        <w:t xml:space="preserve">, L., &amp; </w:t>
      </w:r>
      <w:proofErr w:type="spellStart"/>
      <w:r>
        <w:rPr>
          <w:lang w:eastAsia="en-AU"/>
        </w:rPr>
        <w:t>Horsch</w:t>
      </w:r>
      <w:proofErr w:type="spellEnd"/>
      <w:r>
        <w:rPr>
          <w:lang w:eastAsia="en-AU"/>
        </w:rPr>
        <w:t>, S. (1999). Spinal cord stimulation (SCS) following intravenous prostaglandin El (PGE1) therapy in non-</w:t>
      </w:r>
      <w:proofErr w:type="spellStart"/>
      <w:r>
        <w:rPr>
          <w:lang w:eastAsia="en-AU"/>
        </w:rPr>
        <w:t>reconstructible</w:t>
      </w:r>
      <w:proofErr w:type="spellEnd"/>
      <w:r>
        <w:rPr>
          <w:lang w:eastAsia="en-AU"/>
        </w:rPr>
        <w:t xml:space="preserve"> peripheral vascular disease (PVD): Fontaine stage IV. </w:t>
      </w:r>
      <w:r>
        <w:rPr>
          <w:i/>
          <w:iCs/>
          <w:lang w:eastAsia="en-AU"/>
        </w:rPr>
        <w:t>Pain Clinic</w:t>
      </w:r>
      <w:r>
        <w:rPr>
          <w:lang w:eastAsia="en-AU"/>
        </w:rPr>
        <w:t>,</w:t>
      </w:r>
      <w:r>
        <w:rPr>
          <w:i/>
          <w:iCs/>
          <w:lang w:eastAsia="en-AU"/>
        </w:rPr>
        <w:t xml:space="preserve"> 11</w:t>
      </w:r>
      <w:r>
        <w:rPr>
          <w:lang w:eastAsia="en-AU"/>
        </w:rPr>
        <w:t xml:space="preserve">(3), 235-243. </w:t>
      </w:r>
    </w:p>
    <w:p w14:paraId="27EBF2B5" w14:textId="0EB72EE1" w:rsidR="002B1D41" w:rsidRDefault="002B1D41" w:rsidP="00BE4358">
      <w:pPr>
        <w:pStyle w:val="References"/>
        <w:rPr>
          <w:lang w:eastAsia="en-AU"/>
        </w:rPr>
      </w:pPr>
      <w:r>
        <w:rPr>
          <w:lang w:eastAsia="en-AU"/>
        </w:rPr>
        <w:lastRenderedPageBreak/>
        <w:t xml:space="preserve">Conger, A., Sperry, B. P., Cheney, C. W., et al. (2020). The effectiveness of spinal cord stimulation for the treatment of axial low back pain: A systematic review with narrative synthesis [Review]. </w:t>
      </w:r>
      <w:r>
        <w:rPr>
          <w:i/>
          <w:iCs/>
          <w:lang w:eastAsia="en-AU"/>
        </w:rPr>
        <w:t>Pain Medicine (United States)</w:t>
      </w:r>
      <w:r>
        <w:rPr>
          <w:lang w:eastAsia="en-AU"/>
        </w:rPr>
        <w:t>,</w:t>
      </w:r>
      <w:r>
        <w:rPr>
          <w:i/>
          <w:iCs/>
          <w:lang w:eastAsia="en-AU"/>
        </w:rPr>
        <w:t xml:space="preserve"> 21</w:t>
      </w:r>
      <w:r>
        <w:rPr>
          <w:lang w:eastAsia="en-AU"/>
        </w:rPr>
        <w:t xml:space="preserve">(11), 2699-2712.i.org/10.1093/PM/PNAA142 </w:t>
      </w:r>
    </w:p>
    <w:p w14:paraId="503D8DC4" w14:textId="77777777" w:rsidR="00BE4358" w:rsidRDefault="00BE4358" w:rsidP="00BE4358">
      <w:pPr>
        <w:pStyle w:val="References"/>
        <w:rPr>
          <w:lang w:eastAsia="en-AU"/>
        </w:rPr>
      </w:pPr>
      <w:r>
        <w:rPr>
          <w:lang w:eastAsia="en-AU"/>
        </w:rPr>
        <w:t xml:space="preserve">Copyright © 2023, </w:t>
      </w:r>
      <w:proofErr w:type="spellStart"/>
      <w:r>
        <w:rPr>
          <w:lang w:eastAsia="en-AU"/>
        </w:rPr>
        <w:t>StatPearls</w:t>
      </w:r>
      <w:proofErr w:type="spellEnd"/>
      <w:r>
        <w:rPr>
          <w:lang w:eastAsia="en-AU"/>
        </w:rPr>
        <w:t xml:space="preserve"> Publishing LLC. </w:t>
      </w:r>
    </w:p>
    <w:p w14:paraId="21CAD941" w14:textId="6D471C2D" w:rsidR="002B1D41" w:rsidRDefault="002B1D41" w:rsidP="00BE4358">
      <w:pPr>
        <w:pStyle w:val="References"/>
        <w:rPr>
          <w:lang w:eastAsia="en-AU"/>
        </w:rPr>
      </w:pPr>
      <w:proofErr w:type="spellStart"/>
      <w:r>
        <w:rPr>
          <w:lang w:eastAsia="en-AU"/>
        </w:rPr>
        <w:t>Costandi</w:t>
      </w:r>
      <w:proofErr w:type="spellEnd"/>
      <w:r>
        <w:rPr>
          <w:lang w:eastAsia="en-AU"/>
        </w:rPr>
        <w:t xml:space="preserve">, S., </w:t>
      </w:r>
      <w:proofErr w:type="spellStart"/>
      <w:r>
        <w:rPr>
          <w:lang w:eastAsia="en-AU"/>
        </w:rPr>
        <w:t>Mekhail</w:t>
      </w:r>
      <w:proofErr w:type="spellEnd"/>
      <w:r>
        <w:rPr>
          <w:lang w:eastAsia="en-AU"/>
        </w:rPr>
        <w:t xml:space="preserve">, N., </w:t>
      </w:r>
      <w:proofErr w:type="spellStart"/>
      <w:r>
        <w:rPr>
          <w:lang w:eastAsia="en-AU"/>
        </w:rPr>
        <w:t>Azer</w:t>
      </w:r>
      <w:proofErr w:type="spellEnd"/>
      <w:r>
        <w:rPr>
          <w:lang w:eastAsia="en-AU"/>
        </w:rPr>
        <w:t xml:space="preserve">, G., et al. (2020). Longevity and Utilization Cost of Rechargeable and Non-Rechargeable Spinal Cord Stimulation Implants: A Comparative Study [Review]. </w:t>
      </w:r>
      <w:r>
        <w:rPr>
          <w:i/>
          <w:iCs/>
          <w:lang w:eastAsia="en-AU"/>
        </w:rPr>
        <w:t>Pain Practice</w:t>
      </w:r>
      <w:r>
        <w:rPr>
          <w:lang w:eastAsia="en-AU"/>
        </w:rPr>
        <w:t>,</w:t>
      </w:r>
      <w:r>
        <w:rPr>
          <w:i/>
          <w:iCs/>
          <w:lang w:eastAsia="en-AU"/>
        </w:rPr>
        <w:t xml:space="preserve"> 20</w:t>
      </w:r>
      <w:r>
        <w:rPr>
          <w:lang w:eastAsia="en-AU"/>
        </w:rPr>
        <w:t xml:space="preserve">(8), 937-945.i.org/10.1111/papr.12926 </w:t>
      </w:r>
    </w:p>
    <w:p w14:paraId="7DFD61BC" w14:textId="434833FF" w:rsidR="002B1D41" w:rsidRDefault="002B1D41" w:rsidP="00BE4358">
      <w:pPr>
        <w:pStyle w:val="References"/>
        <w:rPr>
          <w:lang w:eastAsia="en-AU"/>
        </w:rPr>
      </w:pPr>
      <w:r>
        <w:rPr>
          <w:lang w:eastAsia="en-AU"/>
        </w:rPr>
        <w:t xml:space="preserve">Courtney, P., Espinet, A., Mitchell, B., et al. (2015). Improved pain relief with burst spinal cord stimulation for two weeks in patients using tonic stimulation: Results from a small clinical study [Article]. </w:t>
      </w:r>
      <w:r>
        <w:rPr>
          <w:i/>
          <w:iCs/>
          <w:lang w:eastAsia="en-AU"/>
        </w:rPr>
        <w:t>Neuromodulation</w:t>
      </w:r>
      <w:r>
        <w:rPr>
          <w:lang w:eastAsia="en-AU"/>
        </w:rPr>
        <w:t>,</w:t>
      </w:r>
      <w:r>
        <w:rPr>
          <w:i/>
          <w:iCs/>
          <w:lang w:eastAsia="en-AU"/>
        </w:rPr>
        <w:t xml:space="preserve"> 18</w:t>
      </w:r>
      <w:r>
        <w:rPr>
          <w:lang w:eastAsia="en-AU"/>
        </w:rPr>
        <w:t xml:space="preserve">(5), 361-366.i.org/10.1111/ner.12294 </w:t>
      </w:r>
    </w:p>
    <w:p w14:paraId="459B914A" w14:textId="12110753" w:rsidR="00BE4358" w:rsidRDefault="00BE4358" w:rsidP="00BE4358">
      <w:pPr>
        <w:pStyle w:val="References"/>
        <w:rPr>
          <w:lang w:eastAsia="en-AU"/>
        </w:rPr>
      </w:pPr>
      <w:proofErr w:type="spellStart"/>
      <w:r>
        <w:rPr>
          <w:lang w:eastAsia="en-AU"/>
        </w:rPr>
        <w:t>Cruccu</w:t>
      </w:r>
      <w:proofErr w:type="spellEnd"/>
      <w:r>
        <w:rPr>
          <w:lang w:eastAsia="en-AU"/>
        </w:rPr>
        <w:t xml:space="preserve">, G., Garcia-Larrea, L., Hansson, P., et al. (2016). EAN guidelines on central neurostimulation therapy in chronic pain conditions. </w:t>
      </w:r>
      <w:proofErr w:type="spellStart"/>
      <w:r>
        <w:rPr>
          <w:i/>
          <w:iCs/>
          <w:lang w:eastAsia="en-AU"/>
        </w:rPr>
        <w:t>Eur</w:t>
      </w:r>
      <w:proofErr w:type="spellEnd"/>
      <w:r>
        <w:rPr>
          <w:i/>
          <w:iCs/>
          <w:lang w:eastAsia="en-AU"/>
        </w:rPr>
        <w:t xml:space="preserve"> J Neurol</w:t>
      </w:r>
      <w:r>
        <w:rPr>
          <w:lang w:eastAsia="en-AU"/>
        </w:rPr>
        <w:t>,</w:t>
      </w:r>
      <w:r>
        <w:rPr>
          <w:i/>
          <w:iCs/>
          <w:lang w:eastAsia="en-AU"/>
        </w:rPr>
        <w:t xml:space="preserve"> 23</w:t>
      </w:r>
      <w:r>
        <w:rPr>
          <w:lang w:eastAsia="en-AU"/>
        </w:rPr>
        <w:t xml:space="preserve">(10), 1489-1499.i.org/10.1111/ene.13103 </w:t>
      </w:r>
    </w:p>
    <w:p w14:paraId="7C9B624D" w14:textId="3E3A1550" w:rsidR="002B1D41" w:rsidRDefault="002B1D41" w:rsidP="00BE4358">
      <w:pPr>
        <w:pStyle w:val="References"/>
        <w:rPr>
          <w:lang w:eastAsia="en-AU"/>
        </w:rPr>
      </w:pPr>
      <w:r>
        <w:rPr>
          <w:lang w:eastAsia="en-AU"/>
        </w:rPr>
        <w:t>De Andres, J., Monsalve-</w:t>
      </w:r>
      <w:proofErr w:type="spellStart"/>
      <w:r>
        <w:rPr>
          <w:lang w:eastAsia="en-AU"/>
        </w:rPr>
        <w:t>Dolz</w:t>
      </w:r>
      <w:proofErr w:type="spellEnd"/>
      <w:r>
        <w:rPr>
          <w:lang w:eastAsia="en-AU"/>
        </w:rPr>
        <w:t xml:space="preserve">, V., </w:t>
      </w:r>
      <w:proofErr w:type="spellStart"/>
      <w:r>
        <w:rPr>
          <w:lang w:eastAsia="en-AU"/>
        </w:rPr>
        <w:t>Fabregat</w:t>
      </w:r>
      <w:proofErr w:type="spellEnd"/>
      <w:r>
        <w:rPr>
          <w:lang w:eastAsia="en-AU"/>
        </w:rPr>
        <w:t xml:space="preserve">-Cid, G., et al. (2017). Prospective, randomized blind effect-on-outcome study of conventional vs high-frequency spinal cord stimulation in patients with pain and disability due to failed back surgery syndrome [Article]. </w:t>
      </w:r>
      <w:r>
        <w:rPr>
          <w:i/>
          <w:iCs/>
          <w:lang w:eastAsia="en-AU"/>
        </w:rPr>
        <w:t>Pain Medicine (United States)</w:t>
      </w:r>
      <w:r>
        <w:rPr>
          <w:lang w:eastAsia="en-AU"/>
        </w:rPr>
        <w:t>,</w:t>
      </w:r>
      <w:r>
        <w:rPr>
          <w:i/>
          <w:iCs/>
          <w:lang w:eastAsia="en-AU"/>
        </w:rPr>
        <w:t xml:space="preserve"> 18</w:t>
      </w:r>
      <w:r>
        <w:rPr>
          <w:lang w:eastAsia="en-AU"/>
        </w:rPr>
        <w:t xml:space="preserve">(12), 2401-2421.i.org/10.1093/pm/pnx241 </w:t>
      </w:r>
    </w:p>
    <w:p w14:paraId="701731A9" w14:textId="0E4CA4EA" w:rsidR="002B1D41" w:rsidRDefault="002B1D41" w:rsidP="00BE4358">
      <w:pPr>
        <w:pStyle w:val="References"/>
        <w:rPr>
          <w:lang w:eastAsia="en-AU"/>
        </w:rPr>
      </w:pPr>
      <w:r>
        <w:rPr>
          <w:lang w:eastAsia="en-AU"/>
        </w:rPr>
        <w:t xml:space="preserve">De </w:t>
      </w:r>
      <w:proofErr w:type="spellStart"/>
      <w:r>
        <w:rPr>
          <w:lang w:eastAsia="en-AU"/>
        </w:rPr>
        <w:t>Carolis</w:t>
      </w:r>
      <w:proofErr w:type="spellEnd"/>
      <w:r>
        <w:rPr>
          <w:lang w:eastAsia="en-AU"/>
        </w:rPr>
        <w:t xml:space="preserve">, G., </w:t>
      </w:r>
      <w:proofErr w:type="spellStart"/>
      <w:r>
        <w:rPr>
          <w:lang w:eastAsia="en-AU"/>
        </w:rPr>
        <w:t>Paroli</w:t>
      </w:r>
      <w:proofErr w:type="spellEnd"/>
      <w:r>
        <w:rPr>
          <w:lang w:eastAsia="en-AU"/>
        </w:rPr>
        <w:t xml:space="preserve">, M., </w:t>
      </w:r>
      <w:proofErr w:type="spellStart"/>
      <w:r>
        <w:rPr>
          <w:lang w:eastAsia="en-AU"/>
        </w:rPr>
        <w:t>Tollapi</w:t>
      </w:r>
      <w:proofErr w:type="spellEnd"/>
      <w:r>
        <w:rPr>
          <w:lang w:eastAsia="en-AU"/>
        </w:rPr>
        <w:t xml:space="preserve">, L., et al. (2017). </w:t>
      </w:r>
      <w:proofErr w:type="spellStart"/>
      <w:r>
        <w:rPr>
          <w:lang w:eastAsia="en-AU"/>
        </w:rPr>
        <w:t>Paresthesia</w:t>
      </w:r>
      <w:proofErr w:type="spellEnd"/>
      <w:r>
        <w:rPr>
          <w:lang w:eastAsia="en-AU"/>
        </w:rPr>
        <w:t xml:space="preserve">-independence: An assessment of technical factors related to 10 kHz </w:t>
      </w:r>
      <w:proofErr w:type="spellStart"/>
      <w:r>
        <w:rPr>
          <w:lang w:eastAsia="en-AU"/>
        </w:rPr>
        <w:t>paresthesia</w:t>
      </w:r>
      <w:proofErr w:type="spellEnd"/>
      <w:r>
        <w:rPr>
          <w:lang w:eastAsia="en-AU"/>
        </w:rPr>
        <w:t xml:space="preserve">-free spinal cord stimulation [Article]. </w:t>
      </w:r>
      <w:r>
        <w:rPr>
          <w:i/>
          <w:iCs/>
          <w:lang w:eastAsia="en-AU"/>
        </w:rPr>
        <w:t>Pain Physician</w:t>
      </w:r>
      <w:r>
        <w:rPr>
          <w:lang w:eastAsia="en-AU"/>
        </w:rPr>
        <w:t>,</w:t>
      </w:r>
      <w:r>
        <w:rPr>
          <w:i/>
          <w:iCs/>
          <w:lang w:eastAsia="en-AU"/>
        </w:rPr>
        <w:t xml:space="preserve"> 20</w:t>
      </w:r>
      <w:r>
        <w:rPr>
          <w:lang w:eastAsia="en-AU"/>
        </w:rPr>
        <w:t xml:space="preserve">(4), 331-341.w.embase.com/search/results?subaction=viewrecord&amp;id=L616475951&amp;from=export </w:t>
      </w:r>
    </w:p>
    <w:p w14:paraId="44D90CD1" w14:textId="0F7BF708" w:rsidR="002B1D41" w:rsidRDefault="002B1D41" w:rsidP="00BE4358">
      <w:pPr>
        <w:pStyle w:val="References"/>
        <w:rPr>
          <w:lang w:eastAsia="en-AU"/>
        </w:rPr>
      </w:pPr>
      <w:r>
        <w:rPr>
          <w:lang w:eastAsia="en-AU"/>
        </w:rPr>
        <w:t xml:space="preserve">De Jaeger, M., </w:t>
      </w:r>
      <w:proofErr w:type="spellStart"/>
      <w:r>
        <w:rPr>
          <w:lang w:eastAsia="en-AU"/>
        </w:rPr>
        <w:t>Goudman</w:t>
      </w:r>
      <w:proofErr w:type="spellEnd"/>
      <w:r>
        <w:rPr>
          <w:lang w:eastAsia="en-AU"/>
        </w:rPr>
        <w:t xml:space="preserve">, L., </w:t>
      </w:r>
      <w:proofErr w:type="spellStart"/>
      <w:r>
        <w:rPr>
          <w:lang w:eastAsia="en-AU"/>
        </w:rPr>
        <w:t>Brouns</w:t>
      </w:r>
      <w:proofErr w:type="spellEnd"/>
      <w:r>
        <w:rPr>
          <w:lang w:eastAsia="en-AU"/>
        </w:rPr>
        <w:t xml:space="preserve">, R., et al. (2021). The Long-Term Response to High-Dose Spinal Cord Stimulation in Patients With Failed Back Surgery Syndrome After Conversion From Standard Spinal Cord Stimulation: An Effectiveness and Prediction Study [Article]. </w:t>
      </w:r>
      <w:r>
        <w:rPr>
          <w:i/>
          <w:iCs/>
          <w:lang w:eastAsia="en-AU"/>
        </w:rPr>
        <w:t>Neuromodulation</w:t>
      </w:r>
      <w:r>
        <w:rPr>
          <w:lang w:eastAsia="en-AU"/>
        </w:rPr>
        <w:t>,</w:t>
      </w:r>
      <w:r>
        <w:rPr>
          <w:i/>
          <w:iCs/>
          <w:lang w:eastAsia="en-AU"/>
        </w:rPr>
        <w:t xml:space="preserve"> 24</w:t>
      </w:r>
      <w:r>
        <w:rPr>
          <w:lang w:eastAsia="en-AU"/>
        </w:rPr>
        <w:t xml:space="preserve">(3), 546-555.i.org/10.1111/ner.13138 </w:t>
      </w:r>
    </w:p>
    <w:p w14:paraId="55CD8178" w14:textId="707DB652" w:rsidR="002B1D41" w:rsidRDefault="002B1D41" w:rsidP="00BE4358">
      <w:pPr>
        <w:pStyle w:val="References"/>
        <w:rPr>
          <w:lang w:eastAsia="en-AU"/>
        </w:rPr>
      </w:pPr>
      <w:r>
        <w:rPr>
          <w:lang w:eastAsia="en-AU"/>
        </w:rPr>
        <w:t xml:space="preserve">De Jaeger, M., </w:t>
      </w:r>
      <w:proofErr w:type="spellStart"/>
      <w:r>
        <w:rPr>
          <w:lang w:eastAsia="en-AU"/>
        </w:rPr>
        <w:t>Goudman</w:t>
      </w:r>
      <w:proofErr w:type="spellEnd"/>
      <w:r>
        <w:rPr>
          <w:lang w:eastAsia="en-AU"/>
        </w:rPr>
        <w:t xml:space="preserve">, L., Putman, K., et al. (2020). The added value of high dose spinal cord stimulation in patients with failed back surgery syndrome after conversion from standard spinal cord stimulation [Article]. </w:t>
      </w:r>
      <w:r>
        <w:rPr>
          <w:i/>
          <w:iCs/>
          <w:lang w:eastAsia="en-AU"/>
        </w:rPr>
        <w:t>Journal of Clinical Medicine</w:t>
      </w:r>
      <w:r>
        <w:rPr>
          <w:lang w:eastAsia="en-AU"/>
        </w:rPr>
        <w:t>,</w:t>
      </w:r>
      <w:r>
        <w:rPr>
          <w:i/>
          <w:iCs/>
          <w:lang w:eastAsia="en-AU"/>
        </w:rPr>
        <w:t xml:space="preserve"> 9</w:t>
      </w:r>
      <w:r>
        <w:rPr>
          <w:lang w:eastAsia="en-AU"/>
        </w:rPr>
        <w:t xml:space="preserve">(10), 1-11.i.org/10.3390/jcm9103126 </w:t>
      </w:r>
    </w:p>
    <w:p w14:paraId="0FA975F8" w14:textId="1ED179B5" w:rsidR="00BE4358" w:rsidRDefault="00BE4358" w:rsidP="00BE4358">
      <w:pPr>
        <w:pStyle w:val="References"/>
        <w:rPr>
          <w:lang w:eastAsia="en-AU"/>
        </w:rPr>
      </w:pPr>
      <w:r>
        <w:rPr>
          <w:lang w:eastAsia="en-AU"/>
        </w:rPr>
        <w:t xml:space="preserve">de </w:t>
      </w:r>
      <w:proofErr w:type="spellStart"/>
      <w:r>
        <w:rPr>
          <w:lang w:eastAsia="en-AU"/>
        </w:rPr>
        <w:t>Jongste</w:t>
      </w:r>
      <w:proofErr w:type="spellEnd"/>
      <w:r>
        <w:rPr>
          <w:lang w:eastAsia="en-AU"/>
        </w:rPr>
        <w:t xml:space="preserve">, M. J., </w:t>
      </w:r>
      <w:proofErr w:type="spellStart"/>
      <w:r>
        <w:rPr>
          <w:lang w:eastAsia="en-AU"/>
        </w:rPr>
        <w:t>Hautvast</w:t>
      </w:r>
      <w:proofErr w:type="spellEnd"/>
      <w:r>
        <w:rPr>
          <w:lang w:eastAsia="en-AU"/>
        </w:rPr>
        <w:t xml:space="preserve">, R. W., </w:t>
      </w:r>
      <w:proofErr w:type="spellStart"/>
      <w:r>
        <w:rPr>
          <w:lang w:eastAsia="en-AU"/>
        </w:rPr>
        <w:t>Hillege</w:t>
      </w:r>
      <w:proofErr w:type="spellEnd"/>
      <w:r>
        <w:rPr>
          <w:lang w:eastAsia="en-AU"/>
        </w:rPr>
        <w:t xml:space="preserve">, H. L., et al. (1994). Efficacy of spinal cord stimulation as adjuvant therapy for intractable angina pectoris: a prospective, randomized clinical study. Working Group on </w:t>
      </w:r>
      <w:proofErr w:type="spellStart"/>
      <w:r>
        <w:rPr>
          <w:lang w:eastAsia="en-AU"/>
        </w:rPr>
        <w:t>Neurocardiology</w:t>
      </w:r>
      <w:proofErr w:type="spellEnd"/>
      <w:r>
        <w:rPr>
          <w:lang w:eastAsia="en-AU"/>
        </w:rPr>
        <w:t xml:space="preserve">. </w:t>
      </w:r>
      <w:r>
        <w:rPr>
          <w:i/>
          <w:iCs/>
          <w:lang w:eastAsia="en-AU"/>
        </w:rPr>
        <w:t xml:space="preserve">J Am Coll </w:t>
      </w:r>
      <w:proofErr w:type="spellStart"/>
      <w:r>
        <w:rPr>
          <w:i/>
          <w:iCs/>
          <w:lang w:eastAsia="en-AU"/>
        </w:rPr>
        <w:t>Cardiol</w:t>
      </w:r>
      <w:proofErr w:type="spellEnd"/>
      <w:r>
        <w:rPr>
          <w:lang w:eastAsia="en-AU"/>
        </w:rPr>
        <w:t>,</w:t>
      </w:r>
      <w:r>
        <w:rPr>
          <w:i/>
          <w:iCs/>
          <w:lang w:eastAsia="en-AU"/>
        </w:rPr>
        <w:t xml:space="preserve"> 23</w:t>
      </w:r>
      <w:r>
        <w:rPr>
          <w:lang w:eastAsia="en-AU"/>
        </w:rPr>
        <w:t xml:space="preserve">(7), 1592-1597.i.org/10.1016/0735-1097(94)90661-0 </w:t>
      </w:r>
    </w:p>
    <w:p w14:paraId="731F6E14" w14:textId="6D8E3755" w:rsidR="00BE4358" w:rsidRDefault="00BE4358" w:rsidP="00BE4358">
      <w:pPr>
        <w:pStyle w:val="References"/>
        <w:rPr>
          <w:lang w:eastAsia="en-AU"/>
        </w:rPr>
      </w:pPr>
      <w:r>
        <w:rPr>
          <w:lang w:eastAsia="en-AU"/>
        </w:rPr>
        <w:t xml:space="preserve">De Ridder, D. (2023). Semantic Confusion Risks Undermining the Science of Spinal Cord Stimulation. </w:t>
      </w:r>
      <w:r>
        <w:rPr>
          <w:i/>
          <w:iCs/>
          <w:lang w:eastAsia="en-AU"/>
        </w:rPr>
        <w:t>Neuromodulation</w:t>
      </w:r>
      <w:r>
        <w:rPr>
          <w:lang w:eastAsia="en-AU"/>
        </w:rPr>
        <w:t>,</w:t>
      </w:r>
      <w:r>
        <w:rPr>
          <w:i/>
          <w:iCs/>
          <w:lang w:eastAsia="en-AU"/>
        </w:rPr>
        <w:t xml:space="preserve"> 26</w:t>
      </w:r>
      <w:r>
        <w:rPr>
          <w:lang w:eastAsia="en-AU"/>
        </w:rPr>
        <w:t xml:space="preserve">(2), 471-473.i.org/10.1016/j.neurom.2022.12.001 </w:t>
      </w:r>
    </w:p>
    <w:p w14:paraId="17CEDDF1" w14:textId="28D023AA" w:rsidR="00BE4358" w:rsidRDefault="00BE4358" w:rsidP="00BE4358">
      <w:pPr>
        <w:pStyle w:val="References"/>
        <w:rPr>
          <w:lang w:eastAsia="en-AU"/>
        </w:rPr>
      </w:pPr>
      <w:r>
        <w:rPr>
          <w:lang w:eastAsia="en-AU"/>
        </w:rPr>
        <w:t xml:space="preserve">De Ridder, D., &amp; Vanneste, S. (2016). Burst and tonic spinal cord stimulation: Different and common brain mechanisms [Article]. </w:t>
      </w:r>
      <w:r>
        <w:rPr>
          <w:i/>
          <w:iCs/>
          <w:lang w:eastAsia="en-AU"/>
        </w:rPr>
        <w:t>Neuromodulation</w:t>
      </w:r>
      <w:r>
        <w:rPr>
          <w:lang w:eastAsia="en-AU"/>
        </w:rPr>
        <w:t>,</w:t>
      </w:r>
      <w:r>
        <w:rPr>
          <w:i/>
          <w:iCs/>
          <w:lang w:eastAsia="en-AU"/>
        </w:rPr>
        <w:t xml:space="preserve"> 19</w:t>
      </w:r>
      <w:r>
        <w:rPr>
          <w:lang w:eastAsia="en-AU"/>
        </w:rPr>
        <w:t xml:space="preserve">(1), 47-59.i.org/10.1111/ner.12368 </w:t>
      </w:r>
    </w:p>
    <w:p w14:paraId="47ECC6BD" w14:textId="36C20944" w:rsidR="002B1D41" w:rsidRDefault="002B1D41" w:rsidP="00BE4358">
      <w:pPr>
        <w:pStyle w:val="References"/>
        <w:rPr>
          <w:lang w:eastAsia="en-AU"/>
        </w:rPr>
      </w:pPr>
      <w:r>
        <w:rPr>
          <w:lang w:eastAsia="en-AU"/>
        </w:rPr>
        <w:t xml:space="preserve">De Ridder, D., Lenders, M. W. P. M., De Vos, C. C., et al. (2015). A 2-center comparative study on tonic versus burst spinal cord stimulation: Amount of responders and amount of pain suppression [Article]. </w:t>
      </w:r>
      <w:r>
        <w:rPr>
          <w:i/>
          <w:iCs/>
          <w:lang w:eastAsia="en-AU"/>
        </w:rPr>
        <w:t>Clinical Journal of Pain</w:t>
      </w:r>
      <w:r>
        <w:rPr>
          <w:lang w:eastAsia="en-AU"/>
        </w:rPr>
        <w:t>,</w:t>
      </w:r>
      <w:r>
        <w:rPr>
          <w:i/>
          <w:iCs/>
          <w:lang w:eastAsia="en-AU"/>
        </w:rPr>
        <w:t xml:space="preserve"> 31</w:t>
      </w:r>
      <w:r>
        <w:rPr>
          <w:lang w:eastAsia="en-AU"/>
        </w:rPr>
        <w:t xml:space="preserve">(5), 433-437.i.org/10.1097/AJP.0000000000000129 </w:t>
      </w:r>
    </w:p>
    <w:p w14:paraId="61911AF2" w14:textId="20147CF3" w:rsidR="002B1D41" w:rsidRDefault="002B1D41" w:rsidP="00BE4358">
      <w:pPr>
        <w:pStyle w:val="References"/>
        <w:rPr>
          <w:lang w:eastAsia="en-AU"/>
        </w:rPr>
      </w:pPr>
      <w:r>
        <w:rPr>
          <w:lang w:eastAsia="en-AU"/>
        </w:rPr>
        <w:t xml:space="preserve">De Ridder, D., </w:t>
      </w:r>
      <w:proofErr w:type="spellStart"/>
      <w:r>
        <w:rPr>
          <w:lang w:eastAsia="en-AU"/>
        </w:rPr>
        <w:t>Plazier</w:t>
      </w:r>
      <w:proofErr w:type="spellEnd"/>
      <w:r>
        <w:rPr>
          <w:lang w:eastAsia="en-AU"/>
        </w:rPr>
        <w:t xml:space="preserve">, M., </w:t>
      </w:r>
      <w:proofErr w:type="spellStart"/>
      <w:r>
        <w:rPr>
          <w:lang w:eastAsia="en-AU"/>
        </w:rPr>
        <w:t>Kamerling</w:t>
      </w:r>
      <w:proofErr w:type="spellEnd"/>
      <w:r>
        <w:rPr>
          <w:lang w:eastAsia="en-AU"/>
        </w:rPr>
        <w:t xml:space="preserve">, N., et al. (2013). Burst spinal cord stimulation for limb and back pain [Review]. </w:t>
      </w:r>
      <w:r>
        <w:rPr>
          <w:i/>
          <w:iCs/>
          <w:lang w:eastAsia="en-AU"/>
        </w:rPr>
        <w:t>World Neurosurgery</w:t>
      </w:r>
      <w:r>
        <w:rPr>
          <w:lang w:eastAsia="en-AU"/>
        </w:rPr>
        <w:t>,</w:t>
      </w:r>
      <w:r>
        <w:rPr>
          <w:i/>
          <w:iCs/>
          <w:lang w:eastAsia="en-AU"/>
        </w:rPr>
        <w:t xml:space="preserve"> 80</w:t>
      </w:r>
      <w:r>
        <w:rPr>
          <w:lang w:eastAsia="en-AU"/>
        </w:rPr>
        <w:t xml:space="preserve">(5), 642-649.e641.i.org/10.1016/j.wneu.2013.01.040 </w:t>
      </w:r>
    </w:p>
    <w:p w14:paraId="16C3B166" w14:textId="741476C4" w:rsidR="002B1D41" w:rsidRDefault="002B1D41" w:rsidP="00BE4358">
      <w:pPr>
        <w:pStyle w:val="References"/>
        <w:rPr>
          <w:lang w:eastAsia="en-AU"/>
        </w:rPr>
      </w:pPr>
      <w:r>
        <w:rPr>
          <w:lang w:eastAsia="en-AU"/>
        </w:rPr>
        <w:t>De Ridder, D., Vanneste, S</w:t>
      </w:r>
      <w:r w:rsidR="00BE4358">
        <w:rPr>
          <w:lang w:eastAsia="en-AU"/>
        </w:rPr>
        <w:t xml:space="preserve">., </w:t>
      </w:r>
      <w:proofErr w:type="spellStart"/>
      <w:r w:rsidR="00BE4358">
        <w:rPr>
          <w:lang w:eastAsia="en-AU"/>
        </w:rPr>
        <w:t>Plazier</w:t>
      </w:r>
      <w:proofErr w:type="spellEnd"/>
      <w:r w:rsidR="00BE4358">
        <w:rPr>
          <w:lang w:eastAsia="en-AU"/>
        </w:rPr>
        <w:t>, M., et al. (2010).</w:t>
      </w:r>
      <w:r>
        <w:rPr>
          <w:lang w:eastAsia="en-AU"/>
        </w:rPr>
        <w:t xml:space="preserve"> Burst spinal cord stimulation: </w:t>
      </w:r>
      <w:r w:rsidR="00BE4358">
        <w:rPr>
          <w:lang w:eastAsia="en-AU"/>
        </w:rPr>
        <w:t xml:space="preserve">Toward </w:t>
      </w:r>
      <w:proofErr w:type="spellStart"/>
      <w:r w:rsidR="00BE4358">
        <w:rPr>
          <w:lang w:eastAsia="en-AU"/>
        </w:rPr>
        <w:t>paresthesia</w:t>
      </w:r>
      <w:proofErr w:type="spellEnd"/>
      <w:r w:rsidR="00BE4358">
        <w:rPr>
          <w:lang w:eastAsia="en-AU"/>
        </w:rPr>
        <w:t>-free pain suppression</w:t>
      </w:r>
      <w:r>
        <w:rPr>
          <w:lang w:eastAsia="en-AU"/>
        </w:rPr>
        <w:t xml:space="preserve"> [Article]. </w:t>
      </w:r>
      <w:r w:rsidR="00BE4358">
        <w:rPr>
          <w:i/>
          <w:iCs/>
          <w:lang w:eastAsia="en-AU"/>
        </w:rPr>
        <w:t>Neurosurgery</w:t>
      </w:r>
      <w:r w:rsidR="00BE4358">
        <w:rPr>
          <w:lang w:eastAsia="en-AU"/>
        </w:rPr>
        <w:t>,</w:t>
      </w:r>
      <w:r w:rsidR="00BE4358">
        <w:rPr>
          <w:i/>
          <w:iCs/>
          <w:lang w:eastAsia="en-AU"/>
        </w:rPr>
        <w:t xml:space="preserve"> 66</w:t>
      </w:r>
      <w:r w:rsidR="00BE4358">
        <w:rPr>
          <w:lang w:eastAsia="en-AU"/>
        </w:rPr>
        <w:t>(5), 986-990.</w:t>
      </w:r>
      <w:r>
        <w:rPr>
          <w:lang w:eastAsia="en-AU"/>
        </w:rPr>
        <w:t>i.org/10.</w:t>
      </w:r>
      <w:r w:rsidR="00BE4358">
        <w:rPr>
          <w:lang w:eastAsia="en-AU"/>
        </w:rPr>
        <w:t xml:space="preserve">1227/01.NEU.0000368153.44883.B3 </w:t>
      </w:r>
    </w:p>
    <w:p w14:paraId="61397D8F" w14:textId="2900B203" w:rsidR="002B1D41" w:rsidRDefault="002B1D41" w:rsidP="00BE4358">
      <w:pPr>
        <w:pStyle w:val="References"/>
        <w:rPr>
          <w:lang w:eastAsia="en-AU"/>
        </w:rPr>
      </w:pPr>
      <w:r>
        <w:rPr>
          <w:lang w:eastAsia="en-AU"/>
        </w:rPr>
        <w:t xml:space="preserve">De Vos, C. C., Bom, M. J., Vanneste, S., et al. (2014). Burst spinal cord stimulation evaluated in patients with failed back surgery syndrome and painful diabetic neuropathy [Article]. </w:t>
      </w:r>
      <w:r>
        <w:rPr>
          <w:i/>
          <w:iCs/>
          <w:lang w:eastAsia="en-AU"/>
        </w:rPr>
        <w:t>Neuromodulation</w:t>
      </w:r>
      <w:r>
        <w:rPr>
          <w:lang w:eastAsia="en-AU"/>
        </w:rPr>
        <w:t>,</w:t>
      </w:r>
      <w:r>
        <w:rPr>
          <w:i/>
          <w:iCs/>
          <w:lang w:eastAsia="en-AU"/>
        </w:rPr>
        <w:t xml:space="preserve"> 17</w:t>
      </w:r>
      <w:r>
        <w:rPr>
          <w:lang w:eastAsia="en-AU"/>
        </w:rPr>
        <w:t xml:space="preserve">(2), 152-159.i.org/10.1111/ner.12116 </w:t>
      </w:r>
    </w:p>
    <w:p w14:paraId="7592CEAF" w14:textId="2EA38ED9" w:rsidR="002B1D41" w:rsidRDefault="002B1D41" w:rsidP="00BE4358">
      <w:pPr>
        <w:pStyle w:val="References"/>
        <w:rPr>
          <w:lang w:eastAsia="en-AU"/>
        </w:rPr>
      </w:pPr>
      <w:r>
        <w:rPr>
          <w:lang w:eastAsia="en-AU"/>
        </w:rPr>
        <w:t xml:space="preserve">De Vos, C. C., Meier, K., Zaalberg, P. B., et al. (2014). Spinal cord stimulation in patients with painful diabetic neuropathy: A multicentre randomized clinical trial [Article]. </w:t>
      </w:r>
      <w:r>
        <w:rPr>
          <w:i/>
          <w:iCs/>
          <w:lang w:eastAsia="en-AU"/>
        </w:rPr>
        <w:t>Pain</w:t>
      </w:r>
      <w:r>
        <w:rPr>
          <w:lang w:eastAsia="en-AU"/>
        </w:rPr>
        <w:t>,</w:t>
      </w:r>
      <w:r>
        <w:rPr>
          <w:i/>
          <w:iCs/>
          <w:lang w:eastAsia="en-AU"/>
        </w:rPr>
        <w:t xml:space="preserve"> 155</w:t>
      </w:r>
      <w:r>
        <w:rPr>
          <w:lang w:eastAsia="en-AU"/>
        </w:rPr>
        <w:t xml:space="preserve">(11), 2426-2431.i.org/10.1016/j.pain.2014.08.031 </w:t>
      </w:r>
    </w:p>
    <w:p w14:paraId="1EC51360" w14:textId="0B941244" w:rsidR="00BE4358" w:rsidRDefault="00BE4358" w:rsidP="00BE4358">
      <w:pPr>
        <w:pStyle w:val="References"/>
        <w:rPr>
          <w:lang w:eastAsia="en-AU"/>
        </w:rPr>
      </w:pPr>
      <w:r>
        <w:rPr>
          <w:lang w:eastAsia="en-AU"/>
        </w:rPr>
        <w:t xml:space="preserve">De Vos, C., Dijkstra-Scholten, C., Meier, K., et al. (2011). Spinal cord stimulation in patients </w:t>
      </w:r>
      <w:proofErr w:type="spellStart"/>
      <w:r>
        <w:rPr>
          <w:lang w:eastAsia="en-AU"/>
        </w:rPr>
        <w:t>withdiabetic</w:t>
      </w:r>
      <w:proofErr w:type="spellEnd"/>
      <w:r>
        <w:rPr>
          <w:lang w:eastAsia="en-AU"/>
        </w:rPr>
        <w:t xml:space="preserve"> neuropathic pain [Conference Abstract]. </w:t>
      </w:r>
      <w:r>
        <w:rPr>
          <w:i/>
          <w:iCs/>
          <w:lang w:eastAsia="en-AU"/>
        </w:rPr>
        <w:t>Neuromodulation</w:t>
      </w:r>
      <w:r>
        <w:rPr>
          <w:lang w:eastAsia="en-AU"/>
        </w:rPr>
        <w:t>,</w:t>
      </w:r>
      <w:r>
        <w:rPr>
          <w:i/>
          <w:iCs/>
          <w:lang w:eastAsia="en-AU"/>
        </w:rPr>
        <w:t xml:space="preserve"> 14</w:t>
      </w:r>
      <w:r>
        <w:rPr>
          <w:lang w:eastAsia="en-AU"/>
        </w:rPr>
        <w:t xml:space="preserve">(5), 460.i.org/10.1111/j.1525-1403.2011.00364.x </w:t>
      </w:r>
    </w:p>
    <w:p w14:paraId="0984FE8E" w14:textId="1623C141" w:rsidR="00BE4358" w:rsidRDefault="00BE4358" w:rsidP="00BE4358">
      <w:pPr>
        <w:pStyle w:val="References"/>
        <w:rPr>
          <w:lang w:eastAsia="en-AU"/>
        </w:rPr>
      </w:pPr>
      <w:r>
        <w:rPr>
          <w:lang w:eastAsia="en-AU"/>
        </w:rPr>
        <w:t xml:space="preserve">Deer, T. R., </w:t>
      </w:r>
      <w:proofErr w:type="spellStart"/>
      <w:r>
        <w:rPr>
          <w:lang w:eastAsia="en-AU"/>
        </w:rPr>
        <w:t>Falowski</w:t>
      </w:r>
      <w:proofErr w:type="spellEnd"/>
      <w:r>
        <w:rPr>
          <w:lang w:eastAsia="en-AU"/>
        </w:rPr>
        <w:t xml:space="preserve">, S. M., Moore, G. A., et al. (2022). Passive Recharge Burst Spinal Cord Stimulation Provides Sustainable Improvements in Pain and Psychosocial Function: 2-year Results from the TRIUMPH Study [Article]. </w:t>
      </w:r>
      <w:r>
        <w:rPr>
          <w:i/>
          <w:iCs/>
          <w:lang w:eastAsia="en-AU"/>
        </w:rPr>
        <w:t>Spine</w:t>
      </w:r>
      <w:r>
        <w:rPr>
          <w:lang w:eastAsia="en-AU"/>
        </w:rPr>
        <w:t>,</w:t>
      </w:r>
      <w:r>
        <w:rPr>
          <w:i/>
          <w:iCs/>
          <w:lang w:eastAsia="en-AU"/>
        </w:rPr>
        <w:t xml:space="preserve"> 47</w:t>
      </w:r>
      <w:r>
        <w:rPr>
          <w:lang w:eastAsia="en-AU"/>
        </w:rPr>
        <w:t xml:space="preserve">(7), 548-556.i.org/10.1097/BRS.0000000000004283 </w:t>
      </w:r>
    </w:p>
    <w:p w14:paraId="4E26354C" w14:textId="20BFE5FA" w:rsidR="00BE4358" w:rsidRDefault="00BE4358" w:rsidP="00BE4358">
      <w:pPr>
        <w:pStyle w:val="References"/>
        <w:rPr>
          <w:lang w:eastAsia="en-AU"/>
        </w:rPr>
      </w:pPr>
      <w:r>
        <w:rPr>
          <w:lang w:eastAsia="en-AU"/>
        </w:rPr>
        <w:t xml:space="preserve">Deer, T. R., </w:t>
      </w:r>
      <w:proofErr w:type="spellStart"/>
      <w:r>
        <w:rPr>
          <w:lang w:eastAsia="en-AU"/>
        </w:rPr>
        <w:t>Grider</w:t>
      </w:r>
      <w:proofErr w:type="spellEnd"/>
      <w:r>
        <w:rPr>
          <w:lang w:eastAsia="en-AU"/>
        </w:rPr>
        <w:t xml:space="preserve">, J. S., Lamer, T. J., et al. (2020). A systematic literature review of spine neurostimulation therapies for the treatment of pain [Review]. </w:t>
      </w:r>
      <w:r>
        <w:rPr>
          <w:i/>
          <w:iCs/>
          <w:lang w:eastAsia="en-AU"/>
        </w:rPr>
        <w:t>Pain Medicine (United States)</w:t>
      </w:r>
      <w:r>
        <w:rPr>
          <w:lang w:eastAsia="en-AU"/>
        </w:rPr>
        <w:t>,</w:t>
      </w:r>
      <w:r>
        <w:rPr>
          <w:i/>
          <w:iCs/>
          <w:lang w:eastAsia="en-AU"/>
        </w:rPr>
        <w:t xml:space="preserve"> 21</w:t>
      </w:r>
      <w:r>
        <w:rPr>
          <w:lang w:eastAsia="en-AU"/>
        </w:rPr>
        <w:t xml:space="preserve">(7), 1421-1432.i.org/10.1093/PM/PNZ353 </w:t>
      </w:r>
    </w:p>
    <w:p w14:paraId="2AD788CA" w14:textId="74A953C3" w:rsidR="00BE4358" w:rsidRDefault="00BE4358" w:rsidP="00BE4358">
      <w:pPr>
        <w:pStyle w:val="References"/>
        <w:rPr>
          <w:lang w:eastAsia="en-AU"/>
        </w:rPr>
      </w:pPr>
      <w:r>
        <w:rPr>
          <w:lang w:eastAsia="en-AU"/>
        </w:rPr>
        <w:t xml:space="preserve">Deer, T. R., Levy, R. M., Kramer, J., et al. (2017). Dorsal root ganglion stimulation yielded higher treatment success rate for complex regional pain syndrome and causalgia at 3 and 12 months: A randomized comparative trial [Article]. </w:t>
      </w:r>
      <w:r>
        <w:rPr>
          <w:i/>
          <w:iCs/>
          <w:lang w:eastAsia="en-AU"/>
        </w:rPr>
        <w:t>Pain</w:t>
      </w:r>
      <w:r>
        <w:rPr>
          <w:lang w:eastAsia="en-AU"/>
        </w:rPr>
        <w:t>,</w:t>
      </w:r>
      <w:r>
        <w:rPr>
          <w:i/>
          <w:iCs/>
          <w:lang w:eastAsia="en-AU"/>
        </w:rPr>
        <w:t xml:space="preserve"> 158</w:t>
      </w:r>
      <w:r>
        <w:rPr>
          <w:lang w:eastAsia="en-AU"/>
        </w:rPr>
        <w:t xml:space="preserve">(4), 669-681.i.org/10.1097/j.pain.0000000000000814 </w:t>
      </w:r>
    </w:p>
    <w:p w14:paraId="29A7819B" w14:textId="1E852C52" w:rsidR="00BE4358" w:rsidRDefault="00BE4358" w:rsidP="00BE4358">
      <w:pPr>
        <w:pStyle w:val="References"/>
        <w:rPr>
          <w:lang w:eastAsia="en-AU"/>
        </w:rPr>
      </w:pPr>
      <w:r>
        <w:rPr>
          <w:lang w:eastAsia="en-AU"/>
        </w:rPr>
        <w:t xml:space="preserve">Deer, T. R., Levy, R. M., Kramer, J., et al. (2019). Comparison of </w:t>
      </w:r>
      <w:proofErr w:type="spellStart"/>
      <w:r>
        <w:rPr>
          <w:lang w:eastAsia="en-AU"/>
        </w:rPr>
        <w:t>Paresthesia</w:t>
      </w:r>
      <w:proofErr w:type="spellEnd"/>
      <w:r>
        <w:rPr>
          <w:lang w:eastAsia="en-AU"/>
        </w:rPr>
        <w:t xml:space="preserve"> Coverage of Patient's Pain: Dorsal Root Ganglion vs. Spinal Cord Stimulation. An ACCURATE Study Sub-Analysis [Article]. </w:t>
      </w:r>
      <w:r>
        <w:rPr>
          <w:i/>
          <w:iCs/>
          <w:lang w:eastAsia="en-AU"/>
        </w:rPr>
        <w:t>Neuromodulation</w:t>
      </w:r>
      <w:r>
        <w:rPr>
          <w:lang w:eastAsia="en-AU"/>
        </w:rPr>
        <w:t>,</w:t>
      </w:r>
      <w:r>
        <w:rPr>
          <w:i/>
          <w:iCs/>
          <w:lang w:eastAsia="en-AU"/>
        </w:rPr>
        <w:t xml:space="preserve"> 22</w:t>
      </w:r>
      <w:r>
        <w:rPr>
          <w:lang w:eastAsia="en-AU"/>
        </w:rPr>
        <w:t xml:space="preserve">(8), 930-936.i.org/10.1111/ner.12920 </w:t>
      </w:r>
    </w:p>
    <w:p w14:paraId="1A23D115" w14:textId="2E1785EF" w:rsidR="00BE4358" w:rsidRDefault="00BE4358" w:rsidP="00BE4358">
      <w:pPr>
        <w:pStyle w:val="References"/>
        <w:rPr>
          <w:lang w:eastAsia="en-AU"/>
        </w:rPr>
      </w:pPr>
      <w:r>
        <w:rPr>
          <w:lang w:eastAsia="en-AU"/>
        </w:rPr>
        <w:t xml:space="preserve">Deer, T. R., </w:t>
      </w:r>
      <w:proofErr w:type="spellStart"/>
      <w:r>
        <w:rPr>
          <w:lang w:eastAsia="en-AU"/>
        </w:rPr>
        <w:t>Mekhail</w:t>
      </w:r>
      <w:proofErr w:type="spellEnd"/>
      <w:r>
        <w:rPr>
          <w:lang w:eastAsia="en-AU"/>
        </w:rPr>
        <w:t xml:space="preserve">, N., Provenzano, D., et al. (2014). The appropriate use of neurostimulation of the spinal cord and peripheral nervous system for the treatment of chronic pain and ischemic diseases: The neuromodulation appropriateness consensus committee [Review]. </w:t>
      </w:r>
      <w:r>
        <w:rPr>
          <w:i/>
          <w:iCs/>
          <w:lang w:eastAsia="en-AU"/>
        </w:rPr>
        <w:t>Neuromodulation</w:t>
      </w:r>
      <w:r>
        <w:rPr>
          <w:lang w:eastAsia="en-AU"/>
        </w:rPr>
        <w:t>,</w:t>
      </w:r>
      <w:r>
        <w:rPr>
          <w:i/>
          <w:iCs/>
          <w:lang w:eastAsia="en-AU"/>
        </w:rPr>
        <w:t xml:space="preserve"> 17</w:t>
      </w:r>
      <w:r>
        <w:rPr>
          <w:lang w:eastAsia="en-AU"/>
        </w:rPr>
        <w:t xml:space="preserve">(6), 515-550.i.org/10.1111/ner.12208 </w:t>
      </w:r>
    </w:p>
    <w:p w14:paraId="6B18C7D3" w14:textId="1E3B2350" w:rsidR="00BE4358" w:rsidRDefault="00BE4358" w:rsidP="00BE4358">
      <w:pPr>
        <w:pStyle w:val="References"/>
        <w:rPr>
          <w:lang w:eastAsia="en-AU"/>
        </w:rPr>
      </w:pPr>
      <w:r>
        <w:rPr>
          <w:lang w:eastAsia="en-AU"/>
        </w:rPr>
        <w:t xml:space="preserve">Deer, T. R., Patterson, D. G., Baksh, J., et al. (2021). Novel Intermittent Dosing Burst Paradigm in Spinal Cord Stimulation [Article]. </w:t>
      </w:r>
      <w:r>
        <w:rPr>
          <w:i/>
          <w:iCs/>
          <w:lang w:eastAsia="en-AU"/>
        </w:rPr>
        <w:t>Neuromodulation</w:t>
      </w:r>
      <w:r>
        <w:rPr>
          <w:lang w:eastAsia="en-AU"/>
        </w:rPr>
        <w:t>,</w:t>
      </w:r>
      <w:r>
        <w:rPr>
          <w:i/>
          <w:iCs/>
          <w:lang w:eastAsia="en-AU"/>
        </w:rPr>
        <w:t xml:space="preserve"> 24</w:t>
      </w:r>
      <w:r>
        <w:rPr>
          <w:lang w:eastAsia="en-AU"/>
        </w:rPr>
        <w:t xml:space="preserve">(3), 566-573.i.org/10.1111/ner.13143 </w:t>
      </w:r>
    </w:p>
    <w:p w14:paraId="30B6E882" w14:textId="0F24CA4A" w:rsidR="00BE4358" w:rsidRDefault="00BE4358" w:rsidP="00BE4358">
      <w:pPr>
        <w:pStyle w:val="References"/>
        <w:rPr>
          <w:lang w:eastAsia="en-AU"/>
        </w:rPr>
      </w:pPr>
      <w:r>
        <w:rPr>
          <w:lang w:eastAsia="en-AU"/>
        </w:rPr>
        <w:lastRenderedPageBreak/>
        <w:t xml:space="preserve">Deer, T. R., Pope, J. E., </w:t>
      </w:r>
      <w:proofErr w:type="spellStart"/>
      <w:r>
        <w:rPr>
          <w:lang w:eastAsia="en-AU"/>
        </w:rPr>
        <w:t>Falowski</w:t>
      </w:r>
      <w:proofErr w:type="spellEnd"/>
      <w:r>
        <w:rPr>
          <w:lang w:eastAsia="en-AU"/>
        </w:rPr>
        <w:t xml:space="preserve">, S. M., et al. (2023). Clinical Longevity of 106,462 Rechargeable and Primary Cell Spinal Cord Stimulators: Real World Study in the Medicare Population [Article]. </w:t>
      </w:r>
      <w:r>
        <w:rPr>
          <w:i/>
          <w:iCs/>
          <w:lang w:eastAsia="en-AU"/>
        </w:rPr>
        <w:t>Neuromodulation</w:t>
      </w:r>
      <w:r>
        <w:rPr>
          <w:lang w:eastAsia="en-AU"/>
        </w:rPr>
        <w:t>,</w:t>
      </w:r>
      <w:r>
        <w:rPr>
          <w:i/>
          <w:iCs/>
          <w:lang w:eastAsia="en-AU"/>
        </w:rPr>
        <w:t xml:space="preserve"> 26</w:t>
      </w:r>
      <w:r>
        <w:rPr>
          <w:lang w:eastAsia="en-AU"/>
        </w:rPr>
        <w:t xml:space="preserve">(1), 131-138.i.org/10.1016/j.neurom.2022.04.046 </w:t>
      </w:r>
    </w:p>
    <w:p w14:paraId="74028AA1" w14:textId="2A43F4CF" w:rsidR="00BE4358" w:rsidRDefault="00BE4358" w:rsidP="00BE4358">
      <w:pPr>
        <w:pStyle w:val="References"/>
        <w:rPr>
          <w:lang w:eastAsia="en-AU"/>
        </w:rPr>
      </w:pPr>
      <w:r>
        <w:rPr>
          <w:lang w:eastAsia="en-AU"/>
        </w:rPr>
        <w:t xml:space="preserve">Deer, T. R., Pope, J. E., Lamer, T. J., et al. (2019). The Neuromodulation Appropriateness Consensus Committee on Best Practices for Dorsal Root Ganglion Stimulation [Review]. </w:t>
      </w:r>
      <w:r>
        <w:rPr>
          <w:i/>
          <w:iCs/>
          <w:lang w:eastAsia="en-AU"/>
        </w:rPr>
        <w:t>Neuromodulation</w:t>
      </w:r>
      <w:r>
        <w:rPr>
          <w:lang w:eastAsia="en-AU"/>
        </w:rPr>
        <w:t>,</w:t>
      </w:r>
      <w:r>
        <w:rPr>
          <w:i/>
          <w:iCs/>
          <w:lang w:eastAsia="en-AU"/>
        </w:rPr>
        <w:t xml:space="preserve"> 22</w:t>
      </w:r>
      <w:r>
        <w:rPr>
          <w:lang w:eastAsia="en-AU"/>
        </w:rPr>
        <w:t xml:space="preserve">(1), 1-35.i.org/10.1111/ner.12845 </w:t>
      </w:r>
    </w:p>
    <w:p w14:paraId="208D46AA" w14:textId="5C1C7716" w:rsidR="00BE4358" w:rsidRDefault="00BE4358" w:rsidP="00BE4358">
      <w:pPr>
        <w:pStyle w:val="References"/>
        <w:rPr>
          <w:lang w:eastAsia="en-AU"/>
        </w:rPr>
      </w:pPr>
      <w:r>
        <w:rPr>
          <w:lang w:eastAsia="en-AU"/>
        </w:rPr>
        <w:t xml:space="preserve">Deer, T. R., Russo, M., </w:t>
      </w:r>
      <w:proofErr w:type="spellStart"/>
      <w:r>
        <w:rPr>
          <w:lang w:eastAsia="en-AU"/>
        </w:rPr>
        <w:t>Grider</w:t>
      </w:r>
      <w:proofErr w:type="spellEnd"/>
      <w:r>
        <w:rPr>
          <w:lang w:eastAsia="en-AU"/>
        </w:rPr>
        <w:t xml:space="preserve">, J. S., et al. (2022). The Neurostimulation Appropriateness Consensus Committee (NACC): Recommendations on Best Practices for Cervical Neurostimulation [Review]. </w:t>
      </w:r>
      <w:r>
        <w:rPr>
          <w:i/>
          <w:iCs/>
          <w:lang w:eastAsia="en-AU"/>
        </w:rPr>
        <w:t>Neuromodulation</w:t>
      </w:r>
      <w:r>
        <w:rPr>
          <w:lang w:eastAsia="en-AU"/>
        </w:rPr>
        <w:t>,</w:t>
      </w:r>
      <w:r>
        <w:rPr>
          <w:i/>
          <w:iCs/>
          <w:lang w:eastAsia="en-AU"/>
        </w:rPr>
        <w:t xml:space="preserve"> 25</w:t>
      </w:r>
      <w:r>
        <w:rPr>
          <w:lang w:eastAsia="en-AU"/>
        </w:rPr>
        <w:t xml:space="preserve">(1), 35-52.i.org/10.1016/j.neurom.2021.10.013 </w:t>
      </w:r>
    </w:p>
    <w:p w14:paraId="1C0FF375" w14:textId="7E658B06" w:rsidR="002B1D41" w:rsidRDefault="002B1D41" w:rsidP="00BE4358">
      <w:pPr>
        <w:pStyle w:val="References"/>
        <w:rPr>
          <w:lang w:eastAsia="en-AU"/>
        </w:rPr>
      </w:pPr>
      <w:r>
        <w:rPr>
          <w:lang w:eastAsia="en-AU"/>
        </w:rPr>
        <w:t>Deer, T., Abd-</w:t>
      </w:r>
      <w:proofErr w:type="spellStart"/>
      <w:r>
        <w:rPr>
          <w:lang w:eastAsia="en-AU"/>
        </w:rPr>
        <w:t>Elsayed</w:t>
      </w:r>
      <w:proofErr w:type="spellEnd"/>
      <w:r>
        <w:rPr>
          <w:lang w:eastAsia="en-AU"/>
        </w:rPr>
        <w:t xml:space="preserve">, A., Chakravarthy, K., et al. (2023). Serious Issues in Authorship, Design, and Conclusions of JAMA Neurology Real-World Evidence Study on Spinal Cord Stimulation Outcomes and Costs as Compared to Conventional Medical Therapy [Editorial]. </w:t>
      </w:r>
      <w:r>
        <w:rPr>
          <w:i/>
          <w:iCs/>
          <w:lang w:eastAsia="en-AU"/>
        </w:rPr>
        <w:t>Journal of Pain Research</w:t>
      </w:r>
      <w:r>
        <w:rPr>
          <w:lang w:eastAsia="en-AU"/>
        </w:rPr>
        <w:t>,</w:t>
      </w:r>
      <w:r>
        <w:rPr>
          <w:i/>
          <w:iCs/>
          <w:lang w:eastAsia="en-AU"/>
        </w:rPr>
        <w:t xml:space="preserve"> 16</w:t>
      </w:r>
      <w:r>
        <w:rPr>
          <w:lang w:eastAsia="en-AU"/>
        </w:rPr>
        <w:t xml:space="preserve">, 221-224.i.org/10.2147/JPR.S403031 </w:t>
      </w:r>
    </w:p>
    <w:p w14:paraId="2AFB87ED" w14:textId="6E9A3ED8" w:rsidR="002B1D41" w:rsidRDefault="002B1D41" w:rsidP="00BE4358">
      <w:pPr>
        <w:pStyle w:val="References"/>
        <w:rPr>
          <w:lang w:eastAsia="en-AU"/>
        </w:rPr>
      </w:pPr>
      <w:r>
        <w:rPr>
          <w:lang w:eastAsia="en-AU"/>
        </w:rPr>
        <w:t>Deer, T., Levy, R., Grigsby, E., et al. (2015). A prospective, randomized, multi-</w:t>
      </w:r>
      <w:proofErr w:type="spellStart"/>
      <w:r>
        <w:rPr>
          <w:lang w:eastAsia="en-AU"/>
        </w:rPr>
        <w:t>center</w:t>
      </w:r>
      <w:proofErr w:type="spellEnd"/>
      <w:r>
        <w:rPr>
          <w:lang w:eastAsia="en-AU"/>
        </w:rPr>
        <w:t xml:space="preserve">, controlled clinical trial to assess the safety and efficacy of the spinal modulation Axium® neurostimulation system in the treatment of chronic pain (Accurate Trial): Trial design [Conference Abstract]. </w:t>
      </w:r>
      <w:r>
        <w:rPr>
          <w:i/>
          <w:iCs/>
          <w:lang w:eastAsia="en-AU"/>
        </w:rPr>
        <w:t>Neuromodulation</w:t>
      </w:r>
      <w:r>
        <w:rPr>
          <w:lang w:eastAsia="en-AU"/>
        </w:rPr>
        <w:t>,</w:t>
      </w:r>
      <w:r>
        <w:rPr>
          <w:i/>
          <w:iCs/>
          <w:lang w:eastAsia="en-AU"/>
        </w:rPr>
        <w:t xml:space="preserve"> 18</w:t>
      </w:r>
      <w:r>
        <w:rPr>
          <w:lang w:eastAsia="en-AU"/>
        </w:rPr>
        <w:t xml:space="preserve">(2), e99.i.org/10.1111/ner.12277 </w:t>
      </w:r>
    </w:p>
    <w:p w14:paraId="0E9A6053" w14:textId="4490549F" w:rsidR="002B1D41" w:rsidRDefault="002B1D41" w:rsidP="00BE4358">
      <w:pPr>
        <w:pStyle w:val="References"/>
        <w:rPr>
          <w:lang w:eastAsia="en-AU"/>
        </w:rPr>
      </w:pPr>
      <w:r>
        <w:rPr>
          <w:lang w:eastAsia="en-AU"/>
        </w:rPr>
        <w:t xml:space="preserve">Deer, T., Pope, J., Benyamin, R., et al. (2016). Prospective, </w:t>
      </w:r>
      <w:proofErr w:type="spellStart"/>
      <w:r>
        <w:rPr>
          <w:lang w:eastAsia="en-AU"/>
        </w:rPr>
        <w:t>multicenter</w:t>
      </w:r>
      <w:proofErr w:type="spellEnd"/>
      <w:r>
        <w:rPr>
          <w:lang w:eastAsia="en-AU"/>
        </w:rPr>
        <w:t xml:space="preserve">, randomized, double-blinded, partial crossover study to assess the safety and efficacy of the novel neuromodulation system in the treatment of patients with chronic pain of peripheral nerve origin [Article]. </w:t>
      </w:r>
      <w:r>
        <w:rPr>
          <w:i/>
          <w:iCs/>
          <w:lang w:eastAsia="en-AU"/>
        </w:rPr>
        <w:t>Neuromodulation</w:t>
      </w:r>
      <w:r>
        <w:rPr>
          <w:lang w:eastAsia="en-AU"/>
        </w:rPr>
        <w:t>,</w:t>
      </w:r>
      <w:r>
        <w:rPr>
          <w:i/>
          <w:iCs/>
          <w:lang w:eastAsia="en-AU"/>
        </w:rPr>
        <w:t xml:space="preserve"> 19</w:t>
      </w:r>
      <w:r>
        <w:rPr>
          <w:lang w:eastAsia="en-AU"/>
        </w:rPr>
        <w:t xml:space="preserve">(1), 91-100.i.org/10.1111/ner.12381 </w:t>
      </w:r>
    </w:p>
    <w:p w14:paraId="536DFFBB" w14:textId="646ED14D" w:rsidR="002B1D41" w:rsidRDefault="002B1D41" w:rsidP="00BE4358">
      <w:pPr>
        <w:pStyle w:val="References"/>
        <w:rPr>
          <w:lang w:eastAsia="en-AU"/>
        </w:rPr>
      </w:pPr>
      <w:r>
        <w:rPr>
          <w:lang w:eastAsia="en-AU"/>
        </w:rPr>
        <w:t xml:space="preserve">Deer, T., </w:t>
      </w:r>
      <w:proofErr w:type="spellStart"/>
      <w:r>
        <w:rPr>
          <w:lang w:eastAsia="en-AU"/>
        </w:rPr>
        <w:t>Skaribas</w:t>
      </w:r>
      <w:proofErr w:type="spellEnd"/>
      <w:r>
        <w:rPr>
          <w:lang w:eastAsia="en-AU"/>
        </w:rPr>
        <w:t xml:space="preserve">, I., </w:t>
      </w:r>
      <w:proofErr w:type="spellStart"/>
      <w:r>
        <w:rPr>
          <w:lang w:eastAsia="en-AU"/>
        </w:rPr>
        <w:t>McJunkin</w:t>
      </w:r>
      <w:proofErr w:type="spellEnd"/>
      <w:r>
        <w:rPr>
          <w:lang w:eastAsia="en-AU"/>
        </w:rPr>
        <w:t xml:space="preserve">, T., et al. (2016). Results from the Partnership for Advancement in Neuromodulation Registry: A 24-Month Follow-Up [Article]. </w:t>
      </w:r>
      <w:r>
        <w:rPr>
          <w:i/>
          <w:iCs/>
          <w:lang w:eastAsia="en-AU"/>
        </w:rPr>
        <w:t>Neuromodulation</w:t>
      </w:r>
      <w:r>
        <w:rPr>
          <w:lang w:eastAsia="en-AU"/>
        </w:rPr>
        <w:t>,</w:t>
      </w:r>
      <w:r>
        <w:rPr>
          <w:i/>
          <w:iCs/>
          <w:lang w:eastAsia="en-AU"/>
        </w:rPr>
        <w:t xml:space="preserve"> 19</w:t>
      </w:r>
      <w:r>
        <w:rPr>
          <w:lang w:eastAsia="en-AU"/>
        </w:rPr>
        <w:t xml:space="preserve">(2), 179-186.i.org/10.1111/ner.12378 </w:t>
      </w:r>
    </w:p>
    <w:p w14:paraId="3DF88FE3" w14:textId="6B606BA8" w:rsidR="002B1D41" w:rsidRDefault="002B1D41" w:rsidP="00BE4358">
      <w:pPr>
        <w:pStyle w:val="References"/>
        <w:rPr>
          <w:lang w:eastAsia="en-AU"/>
        </w:rPr>
      </w:pPr>
      <w:r>
        <w:rPr>
          <w:lang w:eastAsia="en-AU"/>
        </w:rPr>
        <w:t xml:space="preserve">Deer, T., </w:t>
      </w:r>
      <w:proofErr w:type="spellStart"/>
      <w:r>
        <w:rPr>
          <w:lang w:eastAsia="en-AU"/>
        </w:rPr>
        <w:t>Slavin</w:t>
      </w:r>
      <w:proofErr w:type="spellEnd"/>
      <w:r>
        <w:rPr>
          <w:lang w:eastAsia="en-AU"/>
        </w:rPr>
        <w:t xml:space="preserve">, K. V., </w:t>
      </w:r>
      <w:proofErr w:type="spellStart"/>
      <w:r>
        <w:rPr>
          <w:lang w:eastAsia="en-AU"/>
        </w:rPr>
        <w:t>Amirdelfan</w:t>
      </w:r>
      <w:proofErr w:type="spellEnd"/>
      <w:r>
        <w:rPr>
          <w:lang w:eastAsia="en-AU"/>
        </w:rPr>
        <w:t xml:space="preserve">, K., et al. (2018). Success Using Neuromodulation With BURST (SUNBURST) Study: Results From a Prospective, Randomized Controlled Trial Using a Novel Burst Waveform [Article]. </w:t>
      </w:r>
      <w:r>
        <w:rPr>
          <w:i/>
          <w:iCs/>
          <w:lang w:eastAsia="en-AU"/>
        </w:rPr>
        <w:t>Neuromodulation</w:t>
      </w:r>
      <w:r>
        <w:rPr>
          <w:lang w:eastAsia="en-AU"/>
        </w:rPr>
        <w:t>,</w:t>
      </w:r>
      <w:r>
        <w:rPr>
          <w:i/>
          <w:iCs/>
          <w:lang w:eastAsia="en-AU"/>
        </w:rPr>
        <w:t xml:space="preserve"> 21</w:t>
      </w:r>
      <w:r>
        <w:rPr>
          <w:lang w:eastAsia="en-AU"/>
        </w:rPr>
        <w:t xml:space="preserve">(1), 56-66.i.org/10.1111/ner.12698 </w:t>
      </w:r>
    </w:p>
    <w:p w14:paraId="03B4C0F9" w14:textId="48DC2265" w:rsidR="002B1D41" w:rsidRDefault="002B1D41" w:rsidP="00BE4358">
      <w:pPr>
        <w:pStyle w:val="References"/>
        <w:rPr>
          <w:lang w:eastAsia="en-AU"/>
        </w:rPr>
      </w:pPr>
      <w:r>
        <w:rPr>
          <w:lang w:eastAsia="en-AU"/>
        </w:rPr>
        <w:t xml:space="preserve">Deer, T., Wilson, D., Schultz, D., et al. (2022). Ultra-Low Energy Cycled Burst Spinal Cord Stimulation Yields Robust Outcomes in Pain, Function, and Affective Domains: A </w:t>
      </w:r>
      <w:proofErr w:type="spellStart"/>
      <w:r>
        <w:rPr>
          <w:lang w:eastAsia="en-AU"/>
        </w:rPr>
        <w:t>Subanalysis</w:t>
      </w:r>
      <w:proofErr w:type="spellEnd"/>
      <w:r>
        <w:rPr>
          <w:lang w:eastAsia="en-AU"/>
        </w:rPr>
        <w:t xml:space="preserve"> From Two Prospective, </w:t>
      </w:r>
      <w:proofErr w:type="spellStart"/>
      <w:r>
        <w:rPr>
          <w:lang w:eastAsia="en-AU"/>
        </w:rPr>
        <w:t>Multicenter</w:t>
      </w:r>
      <w:proofErr w:type="spellEnd"/>
      <w:r>
        <w:rPr>
          <w:lang w:eastAsia="en-AU"/>
        </w:rPr>
        <w:t xml:space="preserve">, International Clinical Trials [Article]. </w:t>
      </w:r>
      <w:r>
        <w:rPr>
          <w:i/>
          <w:iCs/>
          <w:lang w:eastAsia="en-AU"/>
        </w:rPr>
        <w:t>Neuromodulation</w:t>
      </w:r>
      <w:r>
        <w:rPr>
          <w:lang w:eastAsia="en-AU"/>
        </w:rPr>
        <w:t>,</w:t>
      </w:r>
      <w:r>
        <w:rPr>
          <w:i/>
          <w:iCs/>
          <w:lang w:eastAsia="en-AU"/>
        </w:rPr>
        <w:t xml:space="preserve"> 25</w:t>
      </w:r>
      <w:r>
        <w:rPr>
          <w:lang w:eastAsia="en-AU"/>
        </w:rPr>
        <w:t xml:space="preserve">(1), 137-144.i.org/10.1111/ner.13507 </w:t>
      </w:r>
    </w:p>
    <w:p w14:paraId="58DA1200" w14:textId="20C3621B" w:rsidR="00BE4358" w:rsidRDefault="00BE4358" w:rsidP="00BE4358">
      <w:pPr>
        <w:pStyle w:val="References"/>
        <w:rPr>
          <w:lang w:eastAsia="en-AU"/>
        </w:rPr>
      </w:pPr>
      <w:r>
        <w:rPr>
          <w:lang w:eastAsia="en-AU"/>
        </w:rPr>
        <w:t xml:space="preserve">Deloitte Access Economics (2019). </w:t>
      </w:r>
      <w:r>
        <w:rPr>
          <w:i/>
          <w:iCs/>
          <w:lang w:eastAsia="en-AU"/>
        </w:rPr>
        <w:t>Cost effectiveness of pain devices.</w:t>
      </w:r>
      <w:r>
        <w:rPr>
          <w:lang w:eastAsia="en-AU"/>
        </w:rPr>
        <w:t xml:space="preserve"> (Neuromodulation Society of Australia and New Zealand) [Report].w.nsanz.org.au/wp-content/uploads/2020/08/DEA_cost-_pain_devices_Mar2019.pdf</w:t>
      </w:r>
    </w:p>
    <w:p w14:paraId="40F160C4" w14:textId="77777777" w:rsidR="00BE4358" w:rsidRDefault="00BE4358" w:rsidP="00BE4358">
      <w:pPr>
        <w:pStyle w:val="References"/>
        <w:rPr>
          <w:lang w:eastAsia="en-AU"/>
        </w:rPr>
      </w:pPr>
      <w:r>
        <w:rPr>
          <w:lang w:eastAsia="en-AU"/>
        </w:rPr>
        <w:t xml:space="preserve">Deloitte Access Economics Australia (2019). </w:t>
      </w:r>
      <w:r>
        <w:rPr>
          <w:i/>
          <w:iCs/>
          <w:lang w:eastAsia="en-AU"/>
        </w:rPr>
        <w:t>Cost effectiveness of pain devices.</w:t>
      </w:r>
      <w:r>
        <w:rPr>
          <w:lang w:eastAsia="en-AU"/>
        </w:rPr>
        <w:t xml:space="preserve"> (Neuromodulation Society of Australia and New Zealand) [Report]. </w:t>
      </w:r>
    </w:p>
    <w:p w14:paraId="2E0329A5" w14:textId="7E9DF301" w:rsidR="002B1D41" w:rsidRDefault="002B1D41" w:rsidP="00BE4358">
      <w:pPr>
        <w:pStyle w:val="References"/>
        <w:rPr>
          <w:lang w:eastAsia="en-AU"/>
        </w:rPr>
      </w:pPr>
      <w:r>
        <w:rPr>
          <w:lang w:eastAsia="en-AU"/>
        </w:rPr>
        <w:t xml:space="preserve">Desai, M. J., </w:t>
      </w:r>
      <w:proofErr w:type="spellStart"/>
      <w:r>
        <w:rPr>
          <w:lang w:eastAsia="en-AU"/>
        </w:rPr>
        <w:t>Hargens</w:t>
      </w:r>
      <w:proofErr w:type="spellEnd"/>
      <w:r>
        <w:rPr>
          <w:lang w:eastAsia="en-AU"/>
        </w:rPr>
        <w:t xml:space="preserve">, L. M., </w:t>
      </w:r>
      <w:proofErr w:type="spellStart"/>
      <w:r>
        <w:rPr>
          <w:lang w:eastAsia="en-AU"/>
        </w:rPr>
        <w:t>Breitenfeldt</w:t>
      </w:r>
      <w:proofErr w:type="spellEnd"/>
      <w:r>
        <w:rPr>
          <w:lang w:eastAsia="en-AU"/>
        </w:rPr>
        <w:t xml:space="preserve">, M. D., et al. (2015). The rate of magnetic resonance imaging in patients with spinal cord stimulation [Article]. </w:t>
      </w:r>
      <w:r>
        <w:rPr>
          <w:i/>
          <w:iCs/>
          <w:lang w:eastAsia="en-AU"/>
        </w:rPr>
        <w:t>Spine</w:t>
      </w:r>
      <w:r>
        <w:rPr>
          <w:lang w:eastAsia="en-AU"/>
        </w:rPr>
        <w:t>,</w:t>
      </w:r>
      <w:r>
        <w:rPr>
          <w:i/>
          <w:iCs/>
          <w:lang w:eastAsia="en-AU"/>
        </w:rPr>
        <w:t xml:space="preserve"> 40</w:t>
      </w:r>
      <w:r>
        <w:rPr>
          <w:lang w:eastAsia="en-AU"/>
        </w:rPr>
        <w:t xml:space="preserve">(9), E531-E537.i.org/10.1097/BRS.0000000000000805 </w:t>
      </w:r>
    </w:p>
    <w:p w14:paraId="4A61666C" w14:textId="65C1BA24" w:rsidR="002B1D41" w:rsidRDefault="002B1D41" w:rsidP="00BE4358">
      <w:pPr>
        <w:pStyle w:val="References"/>
        <w:rPr>
          <w:lang w:eastAsia="en-AU"/>
        </w:rPr>
      </w:pPr>
      <w:r>
        <w:rPr>
          <w:lang w:eastAsia="en-AU"/>
        </w:rPr>
        <w:t xml:space="preserve">Dhruva, S. S., Murillo, J., </w:t>
      </w:r>
      <w:proofErr w:type="spellStart"/>
      <w:r>
        <w:rPr>
          <w:lang w:eastAsia="en-AU"/>
        </w:rPr>
        <w:t>Ameli</w:t>
      </w:r>
      <w:proofErr w:type="spellEnd"/>
      <w:r>
        <w:rPr>
          <w:lang w:eastAsia="en-AU"/>
        </w:rPr>
        <w:t xml:space="preserve">, O., et al. (2023). Long-term Outcomes in Use of Opioids, Nonpharmacologic Pain Interventions, and Total Costs of Spinal Cord Stimulators Compared With Conventional Medical Therapy for Chronic Pain [Note]. </w:t>
      </w:r>
      <w:r>
        <w:rPr>
          <w:i/>
          <w:iCs/>
          <w:lang w:eastAsia="en-AU"/>
        </w:rPr>
        <w:t>JAMA neurology</w:t>
      </w:r>
      <w:r>
        <w:rPr>
          <w:lang w:eastAsia="en-AU"/>
        </w:rPr>
        <w:t>,</w:t>
      </w:r>
      <w:r>
        <w:rPr>
          <w:i/>
          <w:iCs/>
          <w:lang w:eastAsia="en-AU"/>
        </w:rPr>
        <w:t xml:space="preserve"> 80</w:t>
      </w:r>
      <w:r>
        <w:rPr>
          <w:lang w:eastAsia="en-AU"/>
        </w:rPr>
        <w:t xml:space="preserve">(1), 18-29.i.org/10.1001/jamaneurol.2022.4166 </w:t>
      </w:r>
    </w:p>
    <w:p w14:paraId="15A32204" w14:textId="347B33B5" w:rsidR="002B1D41" w:rsidRDefault="002B1D41" w:rsidP="00BE4358">
      <w:pPr>
        <w:pStyle w:val="References"/>
        <w:rPr>
          <w:lang w:eastAsia="en-AU"/>
        </w:rPr>
      </w:pPr>
      <w:r>
        <w:rPr>
          <w:lang w:eastAsia="en-AU"/>
        </w:rPr>
        <w:t xml:space="preserve">Do, T. T., Smet, I., </w:t>
      </w:r>
      <w:proofErr w:type="spellStart"/>
      <w:r>
        <w:rPr>
          <w:lang w:eastAsia="en-AU"/>
        </w:rPr>
        <w:t>Jerjir</w:t>
      </w:r>
      <w:proofErr w:type="spellEnd"/>
      <w:r>
        <w:rPr>
          <w:lang w:eastAsia="en-AU"/>
        </w:rPr>
        <w:t xml:space="preserve">, A., et al. (2021). Real-World Analysis: Long-Term Effect of Spinal Cord Stimulation With Different Waveforms for Patients With Failed Back Surgery Syndrome [Article]. </w:t>
      </w:r>
      <w:r>
        <w:rPr>
          <w:i/>
          <w:iCs/>
          <w:lang w:eastAsia="en-AU"/>
        </w:rPr>
        <w:t>Pain Practice</w:t>
      </w:r>
      <w:r>
        <w:rPr>
          <w:lang w:eastAsia="en-AU"/>
        </w:rPr>
        <w:t>,</w:t>
      </w:r>
      <w:r>
        <w:rPr>
          <w:i/>
          <w:iCs/>
          <w:lang w:eastAsia="en-AU"/>
        </w:rPr>
        <w:t xml:space="preserve"> 21</w:t>
      </w:r>
      <w:r>
        <w:rPr>
          <w:lang w:eastAsia="en-AU"/>
        </w:rPr>
        <w:t xml:space="preserve">(2), 215-225.i.org/10.1111/papr.12952 </w:t>
      </w:r>
    </w:p>
    <w:p w14:paraId="2E5CB2B2" w14:textId="3367BFC6" w:rsidR="002B1D41" w:rsidRDefault="002B1D41" w:rsidP="00BE4358">
      <w:pPr>
        <w:pStyle w:val="References"/>
        <w:rPr>
          <w:lang w:eastAsia="en-AU"/>
        </w:rPr>
      </w:pPr>
      <w:proofErr w:type="spellStart"/>
      <w:r>
        <w:rPr>
          <w:lang w:eastAsia="en-AU"/>
        </w:rPr>
        <w:t>Dones</w:t>
      </w:r>
      <w:proofErr w:type="spellEnd"/>
      <w:r>
        <w:rPr>
          <w:lang w:eastAsia="en-AU"/>
        </w:rPr>
        <w:t xml:space="preserve">, I., &amp; </w:t>
      </w:r>
      <w:proofErr w:type="spellStart"/>
      <w:r>
        <w:rPr>
          <w:lang w:eastAsia="en-AU"/>
        </w:rPr>
        <w:t>Broggi</w:t>
      </w:r>
      <w:proofErr w:type="spellEnd"/>
      <w:r>
        <w:rPr>
          <w:lang w:eastAsia="en-AU"/>
        </w:rPr>
        <w:t xml:space="preserve">, G. (2008). The effects of spinal cord stimulation in neuropathic pain are sustained: A 24-month follow-up of the prospective randomized controlled </w:t>
      </w:r>
      <w:proofErr w:type="spellStart"/>
      <w:r>
        <w:rPr>
          <w:lang w:eastAsia="en-AU"/>
        </w:rPr>
        <w:t>multicenter</w:t>
      </w:r>
      <w:proofErr w:type="spellEnd"/>
      <w:r>
        <w:rPr>
          <w:lang w:eastAsia="en-AU"/>
        </w:rPr>
        <w:t xml:space="preserve"> trial of the effectiveness of spinal cord stimulation: Commentary [Note]. </w:t>
      </w:r>
      <w:r>
        <w:rPr>
          <w:i/>
          <w:iCs/>
          <w:lang w:eastAsia="en-AU"/>
        </w:rPr>
        <w:t>Neurosurgery</w:t>
      </w:r>
      <w:r>
        <w:rPr>
          <w:lang w:eastAsia="en-AU"/>
        </w:rPr>
        <w:t>,</w:t>
      </w:r>
      <w:r>
        <w:rPr>
          <w:i/>
          <w:iCs/>
          <w:lang w:eastAsia="en-AU"/>
        </w:rPr>
        <w:t xml:space="preserve"> 63</w:t>
      </w:r>
      <w:r>
        <w:rPr>
          <w:lang w:eastAsia="en-AU"/>
        </w:rPr>
        <w:t xml:space="preserve">(4), 768-769.i.org/10.1227/01.NEU.0000325731.46702.D9 </w:t>
      </w:r>
    </w:p>
    <w:p w14:paraId="354015D4" w14:textId="164E41C7" w:rsidR="002B1D41" w:rsidRDefault="002B1D41" w:rsidP="00BE4358">
      <w:pPr>
        <w:pStyle w:val="References"/>
        <w:rPr>
          <w:lang w:eastAsia="en-AU"/>
        </w:rPr>
      </w:pPr>
      <w:r>
        <w:rPr>
          <w:lang w:eastAsia="en-AU"/>
        </w:rPr>
        <w:t xml:space="preserve">D'Souza, R. S., &amp; Strand, N. (2021). Neuromodulation With Burst and Tonic Stimulation Decreases Opioid Consumption: A Post Hoc Analysis of the Success Using Neuromodulation With BURST (SUNBURST) Randomized Controlled Trial [Article]. </w:t>
      </w:r>
      <w:r>
        <w:rPr>
          <w:i/>
          <w:iCs/>
          <w:lang w:eastAsia="en-AU"/>
        </w:rPr>
        <w:t>Neuromodulation</w:t>
      </w:r>
      <w:r>
        <w:rPr>
          <w:lang w:eastAsia="en-AU"/>
        </w:rPr>
        <w:t>,</w:t>
      </w:r>
      <w:r>
        <w:rPr>
          <w:i/>
          <w:iCs/>
          <w:lang w:eastAsia="en-AU"/>
        </w:rPr>
        <w:t xml:space="preserve"> 24</w:t>
      </w:r>
      <w:r>
        <w:rPr>
          <w:lang w:eastAsia="en-AU"/>
        </w:rPr>
        <w:t xml:space="preserve">(1), 135-141.i.org/10.1111/ner.13273 </w:t>
      </w:r>
    </w:p>
    <w:p w14:paraId="76924492" w14:textId="473FE58F" w:rsidR="002B1D41" w:rsidRDefault="002B1D41" w:rsidP="00BE4358">
      <w:pPr>
        <w:pStyle w:val="References"/>
        <w:rPr>
          <w:lang w:eastAsia="en-AU"/>
        </w:rPr>
      </w:pPr>
      <w:r>
        <w:rPr>
          <w:lang w:eastAsia="en-AU"/>
        </w:rPr>
        <w:t xml:space="preserve">Duarte, R. V., </w:t>
      </w:r>
      <w:proofErr w:type="spellStart"/>
      <w:r>
        <w:rPr>
          <w:lang w:eastAsia="en-AU"/>
        </w:rPr>
        <w:t>Andronis</w:t>
      </w:r>
      <w:proofErr w:type="spellEnd"/>
      <w:r>
        <w:rPr>
          <w:lang w:eastAsia="en-AU"/>
        </w:rPr>
        <w:t xml:space="preserve">, L., Lenders, M. W. P. M., et al. (2016). Quality of life increases in patients with painful diabetic neuropathy following treatment with spinal cord stimulation [Article]. </w:t>
      </w:r>
      <w:r>
        <w:rPr>
          <w:i/>
          <w:iCs/>
          <w:lang w:eastAsia="en-AU"/>
        </w:rPr>
        <w:t>Quality of Life Research</w:t>
      </w:r>
      <w:r>
        <w:rPr>
          <w:lang w:eastAsia="en-AU"/>
        </w:rPr>
        <w:t>,</w:t>
      </w:r>
      <w:r>
        <w:rPr>
          <w:i/>
          <w:iCs/>
          <w:lang w:eastAsia="en-AU"/>
        </w:rPr>
        <w:t xml:space="preserve"> 25</w:t>
      </w:r>
      <w:r>
        <w:rPr>
          <w:lang w:eastAsia="en-AU"/>
        </w:rPr>
        <w:t xml:space="preserve">(7), 1771-1777.i.org/10.1007/s11136-015-1211-4 </w:t>
      </w:r>
    </w:p>
    <w:p w14:paraId="645D9E15" w14:textId="0735ACB2" w:rsidR="002B1D41" w:rsidRDefault="002B1D41" w:rsidP="00BE4358">
      <w:pPr>
        <w:pStyle w:val="References"/>
        <w:rPr>
          <w:lang w:eastAsia="en-AU"/>
        </w:rPr>
      </w:pPr>
      <w:r>
        <w:rPr>
          <w:lang w:eastAsia="en-AU"/>
        </w:rPr>
        <w:t xml:space="preserve">Duarte, R. V., Nevitt, S., Copley, S., et al. (2022). Systematic Review and Network Meta-analysis of Neurostimulation for Painful Diabetic Neuropathy [Review]. </w:t>
      </w:r>
      <w:r>
        <w:rPr>
          <w:i/>
          <w:iCs/>
          <w:lang w:eastAsia="en-AU"/>
        </w:rPr>
        <w:t>Diabetes Care</w:t>
      </w:r>
      <w:r>
        <w:rPr>
          <w:lang w:eastAsia="en-AU"/>
        </w:rPr>
        <w:t>,</w:t>
      </w:r>
      <w:r>
        <w:rPr>
          <w:i/>
          <w:iCs/>
          <w:lang w:eastAsia="en-AU"/>
        </w:rPr>
        <w:t xml:space="preserve"> 45</w:t>
      </w:r>
      <w:r>
        <w:rPr>
          <w:lang w:eastAsia="en-AU"/>
        </w:rPr>
        <w:t xml:space="preserve">(10), 2466-2475.i.org/10.2337/dc22-0932 </w:t>
      </w:r>
    </w:p>
    <w:p w14:paraId="49F628EE" w14:textId="4C80D1DB" w:rsidR="00BE4358" w:rsidRDefault="00BE4358" w:rsidP="00BE4358">
      <w:pPr>
        <w:pStyle w:val="References"/>
        <w:rPr>
          <w:lang w:eastAsia="en-AU"/>
        </w:rPr>
      </w:pPr>
      <w:r>
        <w:rPr>
          <w:lang w:eastAsia="en-AU"/>
        </w:rPr>
        <w:t xml:space="preserve">Duarte, R. V., Nevitt, S., McNicol, E., et al. (2020). Systematic review and meta-analysis of placebo/sham controlled randomised trials of spinal cord stimulation for neuropathic pain. </w:t>
      </w:r>
      <w:r>
        <w:rPr>
          <w:i/>
          <w:iCs/>
          <w:lang w:eastAsia="en-AU"/>
        </w:rPr>
        <w:t>Pain</w:t>
      </w:r>
      <w:r>
        <w:rPr>
          <w:lang w:eastAsia="en-AU"/>
        </w:rPr>
        <w:t>,</w:t>
      </w:r>
      <w:r>
        <w:rPr>
          <w:i/>
          <w:iCs/>
          <w:lang w:eastAsia="en-AU"/>
        </w:rPr>
        <w:t xml:space="preserve"> 161</w:t>
      </w:r>
      <w:r>
        <w:rPr>
          <w:lang w:eastAsia="en-AU"/>
        </w:rPr>
        <w:t xml:space="preserve">(1), 24-35.i.org/10.1097/j.pain.0000000000001689 </w:t>
      </w:r>
    </w:p>
    <w:p w14:paraId="038CFD2B" w14:textId="21086A3D" w:rsidR="00BE4358" w:rsidRDefault="00BE4358" w:rsidP="00BE4358">
      <w:pPr>
        <w:pStyle w:val="References"/>
        <w:rPr>
          <w:lang w:eastAsia="en-AU"/>
        </w:rPr>
      </w:pPr>
      <w:r>
        <w:rPr>
          <w:lang w:eastAsia="en-AU"/>
        </w:rPr>
        <w:t xml:space="preserve">Dyer, M. T., Goldsmith, K. A., Khan, S. N., et al. (2008). Clinical and cost-effectiveness analysis of an open label, single-centre, randomised trial of spinal cord stimulation (SCS) versus percutaneous myocardial laser revascularisation (PMR) in patients with refractory angina pectoris: The </w:t>
      </w:r>
      <w:proofErr w:type="spellStart"/>
      <w:r w:rsidR="00EC0C44">
        <w:rPr>
          <w:lang w:eastAsia="en-AU"/>
        </w:rPr>
        <w:t>s</w:t>
      </w:r>
      <w:r>
        <w:rPr>
          <w:lang w:eastAsia="en-AU"/>
        </w:rPr>
        <w:t>PiRiT</w:t>
      </w:r>
      <w:proofErr w:type="spellEnd"/>
      <w:r>
        <w:rPr>
          <w:lang w:eastAsia="en-AU"/>
        </w:rPr>
        <w:t xml:space="preserve"> trial [Article]. </w:t>
      </w:r>
      <w:r>
        <w:rPr>
          <w:i/>
          <w:iCs/>
          <w:lang w:eastAsia="en-AU"/>
        </w:rPr>
        <w:t>Trials</w:t>
      </w:r>
      <w:r>
        <w:rPr>
          <w:lang w:eastAsia="en-AU"/>
        </w:rPr>
        <w:t>,</w:t>
      </w:r>
      <w:r>
        <w:rPr>
          <w:i/>
          <w:iCs/>
          <w:lang w:eastAsia="en-AU"/>
        </w:rPr>
        <w:t xml:space="preserve"> 9</w:t>
      </w:r>
      <w:r>
        <w:rPr>
          <w:lang w:eastAsia="en-AU"/>
        </w:rPr>
        <w:t xml:space="preserve">.i.org/10.1186/1745-6215-9-40 </w:t>
      </w:r>
    </w:p>
    <w:p w14:paraId="52D91D3B" w14:textId="6F6069C8" w:rsidR="00BE4358" w:rsidRDefault="00BE4358" w:rsidP="00BE4358">
      <w:pPr>
        <w:pStyle w:val="References"/>
        <w:rPr>
          <w:lang w:eastAsia="en-AU"/>
        </w:rPr>
      </w:pPr>
      <w:proofErr w:type="spellStart"/>
      <w:r>
        <w:rPr>
          <w:lang w:eastAsia="en-AU"/>
        </w:rPr>
        <w:t>Edelbroek</w:t>
      </w:r>
      <w:proofErr w:type="spellEnd"/>
      <w:r>
        <w:rPr>
          <w:lang w:eastAsia="en-AU"/>
        </w:rPr>
        <w:t xml:space="preserve">, C. T. M., </w:t>
      </w:r>
      <w:proofErr w:type="spellStart"/>
      <w:r>
        <w:rPr>
          <w:lang w:eastAsia="en-AU"/>
        </w:rPr>
        <w:t>Kallewaard</w:t>
      </w:r>
      <w:proofErr w:type="spellEnd"/>
      <w:r>
        <w:rPr>
          <w:lang w:eastAsia="en-AU"/>
        </w:rPr>
        <w:t xml:space="preserve">, J. W., </w:t>
      </w:r>
      <w:proofErr w:type="spellStart"/>
      <w:r>
        <w:rPr>
          <w:lang w:eastAsia="en-AU"/>
        </w:rPr>
        <w:t>D'Eer</w:t>
      </w:r>
      <w:proofErr w:type="spellEnd"/>
      <w:r>
        <w:rPr>
          <w:lang w:eastAsia="en-AU"/>
        </w:rPr>
        <w:t xml:space="preserve">, I., et al. (2022). Dutch Consensus Paper: A Consensus View on the Place of Neurostimulation Within the Treatment Arsenal of Five Reimbursed Indications for Neurostimulation in The Netherlands [Review]. </w:t>
      </w:r>
      <w:r>
        <w:rPr>
          <w:i/>
          <w:iCs/>
          <w:lang w:eastAsia="en-AU"/>
        </w:rPr>
        <w:t>Neuromodulation</w:t>
      </w:r>
      <w:r>
        <w:rPr>
          <w:lang w:eastAsia="en-AU"/>
        </w:rPr>
        <w:t>,</w:t>
      </w:r>
      <w:r>
        <w:rPr>
          <w:i/>
          <w:iCs/>
          <w:lang w:eastAsia="en-AU"/>
        </w:rPr>
        <w:t xml:space="preserve"> 25</w:t>
      </w:r>
      <w:r>
        <w:rPr>
          <w:lang w:eastAsia="en-AU"/>
        </w:rPr>
        <w:t xml:space="preserve">(7), 1059-1063.i.org/10.1016/j.neurom.2022.02.232 </w:t>
      </w:r>
    </w:p>
    <w:p w14:paraId="76866E02" w14:textId="3909631B" w:rsidR="002B1D41" w:rsidRDefault="002B1D41" w:rsidP="00BE4358">
      <w:pPr>
        <w:pStyle w:val="References"/>
        <w:rPr>
          <w:lang w:eastAsia="en-AU"/>
        </w:rPr>
      </w:pPr>
      <w:r>
        <w:rPr>
          <w:lang w:eastAsia="en-AU"/>
        </w:rPr>
        <w:t xml:space="preserve">Eisenberg, E., Burstein, Y., Suzan, E., et al. (2015). Spinal cord stimulation attenuates temporal summation in patients with neuropathic pain [Article]. </w:t>
      </w:r>
      <w:r>
        <w:rPr>
          <w:i/>
          <w:iCs/>
          <w:lang w:eastAsia="en-AU"/>
        </w:rPr>
        <w:t>Pain</w:t>
      </w:r>
      <w:r>
        <w:rPr>
          <w:lang w:eastAsia="en-AU"/>
        </w:rPr>
        <w:t>,</w:t>
      </w:r>
      <w:r>
        <w:rPr>
          <w:i/>
          <w:iCs/>
          <w:lang w:eastAsia="en-AU"/>
        </w:rPr>
        <w:t xml:space="preserve"> 156</w:t>
      </w:r>
      <w:r>
        <w:rPr>
          <w:lang w:eastAsia="en-AU"/>
        </w:rPr>
        <w:t xml:space="preserve">(3), 381-385.i.org/10.1097/01.j.pain.0000460342.69718.a2 </w:t>
      </w:r>
    </w:p>
    <w:p w14:paraId="26DFA16B" w14:textId="1C77E1FF" w:rsidR="00BE4358" w:rsidRDefault="00BE4358" w:rsidP="00BE4358">
      <w:pPr>
        <w:pStyle w:val="References"/>
        <w:rPr>
          <w:lang w:eastAsia="en-AU"/>
        </w:rPr>
      </w:pPr>
      <w:proofErr w:type="spellStart"/>
      <w:r>
        <w:rPr>
          <w:lang w:eastAsia="en-AU"/>
        </w:rPr>
        <w:t>Ekre</w:t>
      </w:r>
      <w:proofErr w:type="spellEnd"/>
      <w:r>
        <w:rPr>
          <w:lang w:eastAsia="en-AU"/>
        </w:rPr>
        <w:t xml:space="preserve">, O., Eliasson, T., </w:t>
      </w:r>
      <w:proofErr w:type="spellStart"/>
      <w:r>
        <w:rPr>
          <w:lang w:eastAsia="en-AU"/>
        </w:rPr>
        <w:t>Norrsell</w:t>
      </w:r>
      <w:proofErr w:type="spellEnd"/>
      <w:r>
        <w:rPr>
          <w:lang w:eastAsia="en-AU"/>
        </w:rPr>
        <w:t xml:space="preserve">, H., et al. (2002). Long-term effects of spinal cord stimulation and coronary artery bypass grafting on quality of life and survival in the ESBY study. </w:t>
      </w:r>
      <w:proofErr w:type="spellStart"/>
      <w:r>
        <w:rPr>
          <w:i/>
          <w:iCs/>
          <w:lang w:eastAsia="en-AU"/>
        </w:rPr>
        <w:t>Eur</w:t>
      </w:r>
      <w:proofErr w:type="spellEnd"/>
      <w:r>
        <w:rPr>
          <w:i/>
          <w:iCs/>
          <w:lang w:eastAsia="en-AU"/>
        </w:rPr>
        <w:t xml:space="preserve"> Heart J</w:t>
      </w:r>
      <w:r>
        <w:rPr>
          <w:lang w:eastAsia="en-AU"/>
        </w:rPr>
        <w:t>,</w:t>
      </w:r>
      <w:r>
        <w:rPr>
          <w:i/>
          <w:iCs/>
          <w:lang w:eastAsia="en-AU"/>
        </w:rPr>
        <w:t xml:space="preserve"> 23</w:t>
      </w:r>
      <w:r>
        <w:rPr>
          <w:lang w:eastAsia="en-AU"/>
        </w:rPr>
        <w:t xml:space="preserve">(24), 1938-1945.i.org/10.1053/euhj.2002.3286 </w:t>
      </w:r>
    </w:p>
    <w:p w14:paraId="1E372F86" w14:textId="4B535BDF" w:rsidR="002B1D41" w:rsidRDefault="002B1D41" w:rsidP="00BE4358">
      <w:pPr>
        <w:pStyle w:val="References"/>
        <w:rPr>
          <w:lang w:eastAsia="en-AU"/>
        </w:rPr>
      </w:pPr>
      <w:r>
        <w:rPr>
          <w:lang w:eastAsia="en-AU"/>
        </w:rPr>
        <w:t xml:space="preserve">El </w:t>
      </w:r>
      <w:proofErr w:type="spellStart"/>
      <w:r>
        <w:rPr>
          <w:lang w:eastAsia="en-AU"/>
        </w:rPr>
        <w:t>Majdoub</w:t>
      </w:r>
      <w:proofErr w:type="spellEnd"/>
      <w:r>
        <w:rPr>
          <w:lang w:eastAsia="en-AU"/>
        </w:rPr>
        <w:t xml:space="preserve">, F., </w:t>
      </w:r>
      <w:proofErr w:type="spellStart"/>
      <w:r>
        <w:rPr>
          <w:lang w:eastAsia="en-AU"/>
        </w:rPr>
        <w:t>Neudorfer</w:t>
      </w:r>
      <w:proofErr w:type="spellEnd"/>
      <w:r>
        <w:rPr>
          <w:lang w:eastAsia="en-AU"/>
        </w:rPr>
        <w:t xml:space="preserve">, C., Richter, R., et al. (2019). 10 kHz cervical SCS for chronic neck and upper limb pain: 12 months’ results [Article]. </w:t>
      </w:r>
      <w:r>
        <w:rPr>
          <w:i/>
          <w:iCs/>
          <w:lang w:eastAsia="en-AU"/>
        </w:rPr>
        <w:t>Annals of Clinical and Translational Neurology</w:t>
      </w:r>
      <w:r>
        <w:rPr>
          <w:lang w:eastAsia="en-AU"/>
        </w:rPr>
        <w:t>,</w:t>
      </w:r>
      <w:r>
        <w:rPr>
          <w:i/>
          <w:iCs/>
          <w:lang w:eastAsia="en-AU"/>
        </w:rPr>
        <w:t xml:space="preserve"> 6</w:t>
      </w:r>
      <w:r>
        <w:rPr>
          <w:lang w:eastAsia="en-AU"/>
        </w:rPr>
        <w:t xml:space="preserve">(11), 2223-2229.i.org/10.1002/acn3.50915 </w:t>
      </w:r>
    </w:p>
    <w:p w14:paraId="4626F7A1" w14:textId="4BC6113F" w:rsidR="002B1D41" w:rsidRDefault="002B1D41" w:rsidP="00BE4358">
      <w:pPr>
        <w:pStyle w:val="References"/>
        <w:rPr>
          <w:lang w:eastAsia="en-AU"/>
        </w:rPr>
      </w:pPr>
      <w:proofErr w:type="spellStart"/>
      <w:r>
        <w:rPr>
          <w:lang w:eastAsia="en-AU"/>
        </w:rPr>
        <w:lastRenderedPageBreak/>
        <w:t>Eldabe</w:t>
      </w:r>
      <w:proofErr w:type="spellEnd"/>
      <w:r>
        <w:rPr>
          <w:lang w:eastAsia="en-AU"/>
        </w:rPr>
        <w:t xml:space="preserve">, S., </w:t>
      </w:r>
      <w:proofErr w:type="spellStart"/>
      <w:r>
        <w:rPr>
          <w:lang w:eastAsia="en-AU"/>
        </w:rPr>
        <w:t>Buchser</w:t>
      </w:r>
      <w:proofErr w:type="spellEnd"/>
      <w:r>
        <w:rPr>
          <w:lang w:eastAsia="en-AU"/>
        </w:rPr>
        <w:t xml:space="preserve">, E., &amp; Duarte, R. V. (2016). Complications of spinal cord stimulation and peripheral nerve stimulation techniques: A review of the literature [Review]. </w:t>
      </w:r>
      <w:r>
        <w:rPr>
          <w:i/>
          <w:iCs/>
          <w:lang w:eastAsia="en-AU"/>
        </w:rPr>
        <w:t>Pain Medicine (United States)</w:t>
      </w:r>
      <w:r>
        <w:rPr>
          <w:lang w:eastAsia="en-AU"/>
        </w:rPr>
        <w:t>,</w:t>
      </w:r>
      <w:r>
        <w:rPr>
          <w:i/>
          <w:iCs/>
          <w:lang w:eastAsia="en-AU"/>
        </w:rPr>
        <w:t xml:space="preserve"> 17</w:t>
      </w:r>
      <w:r>
        <w:rPr>
          <w:lang w:eastAsia="en-AU"/>
        </w:rPr>
        <w:t xml:space="preserve">(2), 325-3/doi.org/10.1093/pm/pnv025 </w:t>
      </w:r>
    </w:p>
    <w:p w14:paraId="5FF6AE0F" w14:textId="588FFCF7" w:rsidR="002B1D41" w:rsidRDefault="002B1D41" w:rsidP="00BE4358">
      <w:pPr>
        <w:pStyle w:val="References"/>
        <w:rPr>
          <w:lang w:eastAsia="en-AU"/>
        </w:rPr>
      </w:pPr>
      <w:proofErr w:type="spellStart"/>
      <w:r>
        <w:rPr>
          <w:lang w:eastAsia="en-AU"/>
        </w:rPr>
        <w:t>Eldabe</w:t>
      </w:r>
      <w:proofErr w:type="spellEnd"/>
      <w:r>
        <w:rPr>
          <w:lang w:eastAsia="en-AU"/>
        </w:rPr>
        <w:t xml:space="preserve">, S., </w:t>
      </w:r>
      <w:proofErr w:type="spellStart"/>
      <w:r>
        <w:rPr>
          <w:lang w:eastAsia="en-AU"/>
        </w:rPr>
        <w:t>Buchser</w:t>
      </w:r>
      <w:proofErr w:type="spellEnd"/>
      <w:r>
        <w:rPr>
          <w:lang w:eastAsia="en-AU"/>
        </w:rPr>
        <w:t xml:space="preserve">, E., Kumar, K., et al. (2009). Function and quality of life in failed back surgery syndrome patients following spinal cord stimulation and conventional medical management [Conference Abstract]. </w:t>
      </w:r>
      <w:r>
        <w:rPr>
          <w:i/>
          <w:iCs/>
          <w:lang w:eastAsia="en-AU"/>
        </w:rPr>
        <w:t>European Journal of Pain</w:t>
      </w:r>
      <w:r>
        <w:rPr>
          <w:lang w:eastAsia="en-AU"/>
        </w:rPr>
        <w:t>,</w:t>
      </w:r>
      <w:r>
        <w:rPr>
          <w:i/>
          <w:iCs/>
          <w:lang w:eastAsia="en-AU"/>
        </w:rPr>
        <w:t xml:space="preserve"> 13</w:t>
      </w:r>
      <w:r>
        <w:rPr>
          <w:lang w:eastAsia="en-AU"/>
        </w:rPr>
        <w:t xml:space="preserve">, S/doi.org/10.1016/S1090-3801(09)60128-2 </w:t>
      </w:r>
    </w:p>
    <w:p w14:paraId="158055BC" w14:textId="78E81800" w:rsidR="002B1D41" w:rsidRDefault="002B1D41" w:rsidP="00BE4358">
      <w:pPr>
        <w:pStyle w:val="References"/>
        <w:rPr>
          <w:lang w:eastAsia="en-AU"/>
        </w:rPr>
      </w:pPr>
      <w:proofErr w:type="spellStart"/>
      <w:r>
        <w:rPr>
          <w:lang w:eastAsia="en-AU"/>
        </w:rPr>
        <w:t>Eldabe</w:t>
      </w:r>
      <w:proofErr w:type="spellEnd"/>
      <w:r>
        <w:rPr>
          <w:lang w:eastAsia="en-AU"/>
        </w:rPr>
        <w:t xml:space="preserve">, S., </w:t>
      </w:r>
      <w:proofErr w:type="spellStart"/>
      <w:r>
        <w:rPr>
          <w:lang w:eastAsia="en-AU"/>
        </w:rPr>
        <w:t>Buchser</w:t>
      </w:r>
      <w:proofErr w:type="spellEnd"/>
      <w:r>
        <w:rPr>
          <w:lang w:eastAsia="en-AU"/>
        </w:rPr>
        <w:t xml:space="preserve">, E., Kumar, K., et al. (2009). Pain in failed back surgery syndrome patients following spinal cord stimulation and conventional medical management [Conference Abstract]. </w:t>
      </w:r>
      <w:r>
        <w:rPr>
          <w:i/>
          <w:iCs/>
          <w:lang w:eastAsia="en-AU"/>
        </w:rPr>
        <w:t>European Journal of Pain</w:t>
      </w:r>
      <w:r>
        <w:rPr>
          <w:lang w:eastAsia="en-AU"/>
        </w:rPr>
        <w:t>,</w:t>
      </w:r>
      <w:r>
        <w:rPr>
          <w:i/>
          <w:iCs/>
          <w:lang w:eastAsia="en-AU"/>
        </w:rPr>
        <w:t xml:space="preserve"> 13</w:t>
      </w:r>
      <w:r>
        <w:rPr>
          <w:lang w:eastAsia="en-AU"/>
        </w:rPr>
        <w:t xml:space="preserve">, S1/doi.org/10.1016/S1090-3801(09)60454-7 </w:t>
      </w:r>
    </w:p>
    <w:p w14:paraId="7765D06E" w14:textId="0B57474B" w:rsidR="002B1D41" w:rsidRDefault="002B1D41" w:rsidP="00BE4358">
      <w:pPr>
        <w:pStyle w:val="References"/>
        <w:rPr>
          <w:lang w:eastAsia="en-AU"/>
        </w:rPr>
      </w:pPr>
      <w:proofErr w:type="spellStart"/>
      <w:r>
        <w:rPr>
          <w:lang w:eastAsia="en-AU"/>
        </w:rPr>
        <w:t>Eldabe</w:t>
      </w:r>
      <w:proofErr w:type="spellEnd"/>
      <w:r>
        <w:rPr>
          <w:lang w:eastAsia="en-AU"/>
        </w:rPr>
        <w:t>, S., Duarte, R</w:t>
      </w:r>
      <w:r w:rsidR="00BE4358">
        <w:rPr>
          <w:lang w:eastAsia="en-AU"/>
        </w:rPr>
        <w:t>. V</w:t>
      </w:r>
      <w:r>
        <w:rPr>
          <w:lang w:eastAsia="en-AU"/>
        </w:rPr>
        <w:t xml:space="preserve">., </w:t>
      </w:r>
      <w:proofErr w:type="spellStart"/>
      <w:r>
        <w:rPr>
          <w:lang w:eastAsia="en-AU"/>
        </w:rPr>
        <w:t>Gulve</w:t>
      </w:r>
      <w:proofErr w:type="spellEnd"/>
      <w:r>
        <w:rPr>
          <w:lang w:eastAsia="en-AU"/>
        </w:rPr>
        <w:t xml:space="preserve">, A., et al. </w:t>
      </w:r>
      <w:r w:rsidR="00BE4358">
        <w:rPr>
          <w:lang w:eastAsia="en-AU"/>
        </w:rPr>
        <w:t xml:space="preserve">(2020). Does a screening trial for spinal cord stimulation in patients with chronic pain of neuropathic origin have clinical utility and cost-effectiveness (TRIAL-STIM)? A randomised controlled trial [Article]. </w:t>
      </w:r>
      <w:r w:rsidR="00BE4358">
        <w:rPr>
          <w:i/>
          <w:iCs/>
          <w:lang w:eastAsia="en-AU"/>
        </w:rPr>
        <w:t>Pain</w:t>
      </w:r>
      <w:r w:rsidR="00BE4358">
        <w:rPr>
          <w:lang w:eastAsia="en-AU"/>
        </w:rPr>
        <w:t>,</w:t>
      </w:r>
      <w:r w:rsidR="00BE4358">
        <w:rPr>
          <w:i/>
          <w:iCs/>
          <w:lang w:eastAsia="en-AU"/>
        </w:rPr>
        <w:t xml:space="preserve"> 161</w:t>
      </w:r>
      <w:r w:rsidR="00BE4358">
        <w:rPr>
          <w:lang w:eastAsia="en-AU"/>
        </w:rPr>
        <w:t>(12), 2820-28</w:t>
      </w:r>
      <w:r>
        <w:rPr>
          <w:lang w:eastAsia="en-AU"/>
        </w:rPr>
        <w:t>/doi.org/10.</w:t>
      </w:r>
      <w:r w:rsidR="00BE4358">
        <w:rPr>
          <w:lang w:eastAsia="en-AU"/>
        </w:rPr>
        <w:t xml:space="preserve">1097/j.pain.0000000000001977 </w:t>
      </w:r>
    </w:p>
    <w:p w14:paraId="10B83A76" w14:textId="07796CEC" w:rsidR="00BE4358" w:rsidRDefault="002B1D41" w:rsidP="00BE4358">
      <w:pPr>
        <w:pStyle w:val="References"/>
        <w:rPr>
          <w:lang w:eastAsia="en-AU"/>
        </w:rPr>
      </w:pPr>
      <w:proofErr w:type="spellStart"/>
      <w:r>
        <w:rPr>
          <w:lang w:eastAsia="en-AU"/>
        </w:rPr>
        <w:t>Eldabe</w:t>
      </w:r>
      <w:proofErr w:type="spellEnd"/>
      <w:r>
        <w:rPr>
          <w:lang w:eastAsia="en-AU"/>
        </w:rPr>
        <w:t xml:space="preserve">, S., Duarte, R., </w:t>
      </w:r>
      <w:proofErr w:type="spellStart"/>
      <w:r>
        <w:rPr>
          <w:lang w:eastAsia="en-AU"/>
        </w:rPr>
        <w:t>Gulve</w:t>
      </w:r>
      <w:proofErr w:type="spellEnd"/>
      <w:r>
        <w:rPr>
          <w:lang w:eastAsia="en-AU"/>
        </w:rPr>
        <w:t xml:space="preserve">, A., et al. </w:t>
      </w:r>
      <w:r w:rsidR="00BE4358">
        <w:rPr>
          <w:lang w:eastAsia="en-AU"/>
        </w:rPr>
        <w:t xml:space="preserve">(2021). Analgesic Efficacy of “Burst” and Tonic (500 Hz) Spinal Cord Stimulation Patterns: A Randomized Placebo-Controlled Crossover Study [Article]. </w:t>
      </w:r>
      <w:r w:rsidR="00BE4358">
        <w:rPr>
          <w:i/>
          <w:iCs/>
          <w:lang w:eastAsia="en-AU"/>
        </w:rPr>
        <w:t>Neuromodulation</w:t>
      </w:r>
      <w:r w:rsidR="00BE4358">
        <w:rPr>
          <w:lang w:eastAsia="en-AU"/>
        </w:rPr>
        <w:t>,</w:t>
      </w:r>
      <w:r w:rsidR="00BE4358">
        <w:rPr>
          <w:i/>
          <w:iCs/>
          <w:lang w:eastAsia="en-AU"/>
        </w:rPr>
        <w:t xml:space="preserve"> 24</w:t>
      </w:r>
      <w:r w:rsidR="00BE4358">
        <w:rPr>
          <w:lang w:eastAsia="en-AU"/>
        </w:rPr>
        <w:t xml:space="preserve">(3), 471-4/doi.org/10.1111/ner.13321 </w:t>
      </w:r>
    </w:p>
    <w:p w14:paraId="06A76FC7" w14:textId="08C508FB" w:rsidR="002B1D41" w:rsidRDefault="00BE4358" w:rsidP="00BE4358">
      <w:pPr>
        <w:pStyle w:val="References"/>
        <w:rPr>
          <w:lang w:eastAsia="en-AU"/>
        </w:rPr>
      </w:pPr>
      <w:proofErr w:type="spellStart"/>
      <w:r>
        <w:rPr>
          <w:lang w:eastAsia="en-AU"/>
        </w:rPr>
        <w:t>Eldabe</w:t>
      </w:r>
      <w:proofErr w:type="spellEnd"/>
      <w:r>
        <w:rPr>
          <w:lang w:eastAsia="en-AU"/>
        </w:rPr>
        <w:t xml:space="preserve">, S., Gilligan, C., Taylor, R. S., et al. (2023). Issues in design, conduct, and conclusions of JAMA's Hara et al.'s randomized clinical trial of spinal cord burst stimulation versus placebo stimulation on disability in patients with chronic radicular pain after lumbar spine surgery. </w:t>
      </w:r>
      <w:r>
        <w:rPr>
          <w:i/>
          <w:iCs/>
          <w:lang w:eastAsia="en-AU"/>
        </w:rPr>
        <w:t>Pain Practice</w:t>
      </w:r>
      <w:r>
        <w:rPr>
          <w:lang w:eastAsia="en-AU"/>
        </w:rPr>
        <w:t>,</w:t>
      </w:r>
      <w:r>
        <w:rPr>
          <w:i/>
          <w:iCs/>
          <w:lang w:eastAsia="en-AU"/>
        </w:rPr>
        <w:t xml:space="preserve"> 23</w:t>
      </w:r>
      <w:r>
        <w:rPr>
          <w:lang w:eastAsia="en-AU"/>
        </w:rPr>
        <w:t>(3), 232-2/doi.org/https://doi.org/10.1111/papr.13186</w:t>
      </w:r>
      <w:r w:rsidR="002B1D41">
        <w:rPr>
          <w:lang w:eastAsia="en-AU"/>
        </w:rPr>
        <w:t xml:space="preserve"> </w:t>
      </w:r>
    </w:p>
    <w:p w14:paraId="6D41898E" w14:textId="00E20991" w:rsidR="002B1D41" w:rsidRDefault="002B1D41" w:rsidP="00BE4358">
      <w:pPr>
        <w:pStyle w:val="References"/>
        <w:rPr>
          <w:lang w:eastAsia="en-AU"/>
        </w:rPr>
      </w:pPr>
      <w:proofErr w:type="spellStart"/>
      <w:r>
        <w:rPr>
          <w:lang w:eastAsia="en-AU"/>
        </w:rPr>
        <w:t>Eldabe</w:t>
      </w:r>
      <w:proofErr w:type="spellEnd"/>
      <w:r>
        <w:rPr>
          <w:lang w:eastAsia="en-AU"/>
        </w:rPr>
        <w:t xml:space="preserve">, S., Kumar, K., </w:t>
      </w:r>
      <w:proofErr w:type="spellStart"/>
      <w:r>
        <w:rPr>
          <w:lang w:eastAsia="en-AU"/>
        </w:rPr>
        <w:t>Buchser</w:t>
      </w:r>
      <w:proofErr w:type="spellEnd"/>
      <w:r>
        <w:rPr>
          <w:lang w:eastAsia="en-AU"/>
        </w:rPr>
        <w:t xml:space="preserve">, E., et al. (2010). An analysis of the components of pain, function, and health-related quality of life in patients with failed back surgery syndrome treated with spinal cord stimulation or conventional medical management [Article]. </w:t>
      </w:r>
      <w:r>
        <w:rPr>
          <w:i/>
          <w:iCs/>
          <w:lang w:eastAsia="en-AU"/>
        </w:rPr>
        <w:t>Neuromodulation</w:t>
      </w:r>
      <w:r>
        <w:rPr>
          <w:lang w:eastAsia="en-AU"/>
        </w:rPr>
        <w:t>,</w:t>
      </w:r>
      <w:r>
        <w:rPr>
          <w:i/>
          <w:iCs/>
          <w:lang w:eastAsia="en-AU"/>
        </w:rPr>
        <w:t xml:space="preserve"> 13</w:t>
      </w:r>
      <w:r>
        <w:rPr>
          <w:lang w:eastAsia="en-AU"/>
        </w:rPr>
        <w:t xml:space="preserve">(3), 201-2/doi.org/10.1111/j.1525-1403.2009.00271.x </w:t>
      </w:r>
    </w:p>
    <w:p w14:paraId="064709B8" w14:textId="36C7A4EF" w:rsidR="002B1D41" w:rsidRDefault="002B1D41" w:rsidP="00BE4358">
      <w:pPr>
        <w:pStyle w:val="References"/>
        <w:rPr>
          <w:lang w:eastAsia="en-AU"/>
        </w:rPr>
      </w:pPr>
      <w:r>
        <w:rPr>
          <w:lang w:eastAsia="en-AU"/>
        </w:rPr>
        <w:t xml:space="preserve">El-Naggar, A. O., Reis, C. L., </w:t>
      </w:r>
      <w:proofErr w:type="spellStart"/>
      <w:r>
        <w:rPr>
          <w:lang w:eastAsia="en-AU"/>
        </w:rPr>
        <w:t>Hatheway</w:t>
      </w:r>
      <w:proofErr w:type="spellEnd"/>
      <w:r>
        <w:rPr>
          <w:lang w:eastAsia="en-AU"/>
        </w:rPr>
        <w:t xml:space="preserve">, J. A., et al. (2021). Using Lower Amplitudes to Maintain Effective High Dose Spinal Cord Stimulation Therapy (SCS Dosing Pilot Study) [Article]. </w:t>
      </w:r>
      <w:r>
        <w:rPr>
          <w:i/>
          <w:iCs/>
          <w:lang w:eastAsia="en-AU"/>
        </w:rPr>
        <w:t>Neuromodulation</w:t>
      </w:r>
      <w:r>
        <w:rPr>
          <w:lang w:eastAsia="en-AU"/>
        </w:rPr>
        <w:t>,</w:t>
      </w:r>
      <w:r>
        <w:rPr>
          <w:i/>
          <w:iCs/>
          <w:lang w:eastAsia="en-AU"/>
        </w:rPr>
        <w:t xml:space="preserve"> 24</w:t>
      </w:r>
      <w:r>
        <w:rPr>
          <w:lang w:eastAsia="en-AU"/>
        </w:rPr>
        <w:t xml:space="preserve">(3), 532-5/doi.org/10.1111/ner.13258 </w:t>
      </w:r>
    </w:p>
    <w:p w14:paraId="6E4C9881" w14:textId="3FDCF979" w:rsidR="002B1D41" w:rsidRDefault="002B1D41" w:rsidP="00BE4358">
      <w:pPr>
        <w:pStyle w:val="References"/>
        <w:rPr>
          <w:lang w:eastAsia="en-AU"/>
        </w:rPr>
      </w:pPr>
      <w:r>
        <w:rPr>
          <w:lang w:eastAsia="en-AU"/>
        </w:rPr>
        <w:t xml:space="preserve">Erika, P., Thomas, S., James, S., et al. (2020). 10 kHz Spinal Cord Stimulation for Treatment of Painful Diabetic Neuropathy-A </w:t>
      </w:r>
      <w:proofErr w:type="spellStart"/>
      <w:r>
        <w:rPr>
          <w:lang w:eastAsia="en-AU"/>
        </w:rPr>
        <w:t>Multicenter</w:t>
      </w:r>
      <w:proofErr w:type="spellEnd"/>
      <w:r>
        <w:rPr>
          <w:lang w:eastAsia="en-AU"/>
        </w:rPr>
        <w:t xml:space="preserve"> Randomized Controlled Trial (1612). </w:t>
      </w:r>
      <w:r>
        <w:rPr>
          <w:i/>
          <w:iCs/>
          <w:lang w:eastAsia="en-AU"/>
        </w:rPr>
        <w:t>Neurology</w:t>
      </w:r>
      <w:r>
        <w:rPr>
          <w:lang w:eastAsia="en-AU"/>
        </w:rPr>
        <w:t>,</w:t>
      </w:r>
      <w:r>
        <w:rPr>
          <w:i/>
          <w:iCs/>
          <w:lang w:eastAsia="en-AU"/>
        </w:rPr>
        <w:t xml:space="preserve"> 94</w:t>
      </w:r>
      <w:r>
        <w:rPr>
          <w:lang w:eastAsia="en-AU"/>
        </w:rPr>
        <w:t xml:space="preserve">(15 Supplement), 16://n.neurology.org/content/94/15_Supplement/1612.abstract </w:t>
      </w:r>
    </w:p>
    <w:p w14:paraId="0B8383B4" w14:textId="3A993C6C" w:rsidR="002B1D41" w:rsidRDefault="002B1D41" w:rsidP="00BE4358">
      <w:pPr>
        <w:pStyle w:val="References"/>
        <w:rPr>
          <w:lang w:eastAsia="en-AU"/>
        </w:rPr>
      </w:pPr>
      <w:proofErr w:type="spellStart"/>
      <w:r>
        <w:rPr>
          <w:lang w:eastAsia="en-AU"/>
        </w:rPr>
        <w:t>Falowski</w:t>
      </w:r>
      <w:proofErr w:type="spellEnd"/>
      <w:r>
        <w:rPr>
          <w:lang w:eastAsia="en-AU"/>
        </w:rPr>
        <w:t xml:space="preserve">, S. M., Moore, G. A., </w:t>
      </w:r>
      <w:proofErr w:type="spellStart"/>
      <w:r>
        <w:rPr>
          <w:lang w:eastAsia="en-AU"/>
        </w:rPr>
        <w:t>Cornidez</w:t>
      </w:r>
      <w:proofErr w:type="spellEnd"/>
      <w:r>
        <w:rPr>
          <w:lang w:eastAsia="en-AU"/>
        </w:rPr>
        <w:t xml:space="preserve">, E. G., et al. (2021). Improved Psychosocial and Functional Outcomes and Reduced Opioid Usage Following Burst Spinal Cord Stimulation [Article]. </w:t>
      </w:r>
      <w:r>
        <w:rPr>
          <w:i/>
          <w:iCs/>
          <w:lang w:eastAsia="en-AU"/>
        </w:rPr>
        <w:t>Neuromodulation</w:t>
      </w:r>
      <w:r>
        <w:rPr>
          <w:lang w:eastAsia="en-AU"/>
        </w:rPr>
        <w:t>,</w:t>
      </w:r>
      <w:r>
        <w:rPr>
          <w:i/>
          <w:iCs/>
          <w:lang w:eastAsia="en-AU"/>
        </w:rPr>
        <w:t xml:space="preserve"> 24</w:t>
      </w:r>
      <w:r>
        <w:rPr>
          <w:lang w:eastAsia="en-AU"/>
        </w:rPr>
        <w:t xml:space="preserve">(3), 581-5/doi.org/10.1111/ner.13226 </w:t>
      </w:r>
    </w:p>
    <w:p w14:paraId="4F60472A" w14:textId="51D6E3F9" w:rsidR="002B1D41" w:rsidRDefault="002B1D41" w:rsidP="00BE4358">
      <w:pPr>
        <w:pStyle w:val="References"/>
        <w:rPr>
          <w:lang w:eastAsia="en-AU"/>
        </w:rPr>
      </w:pPr>
      <w:proofErr w:type="spellStart"/>
      <w:r>
        <w:rPr>
          <w:lang w:eastAsia="en-AU"/>
        </w:rPr>
        <w:t>Falowski</w:t>
      </w:r>
      <w:proofErr w:type="spellEnd"/>
      <w:r>
        <w:rPr>
          <w:lang w:eastAsia="en-AU"/>
        </w:rPr>
        <w:t xml:space="preserve">, S. M., Sharan, A., </w:t>
      </w:r>
      <w:proofErr w:type="spellStart"/>
      <w:r>
        <w:rPr>
          <w:lang w:eastAsia="en-AU"/>
        </w:rPr>
        <w:t>McInerney</w:t>
      </w:r>
      <w:proofErr w:type="spellEnd"/>
      <w:r>
        <w:rPr>
          <w:lang w:eastAsia="en-AU"/>
        </w:rPr>
        <w:t xml:space="preserve">, J., et al. (2019). Nonawake vs awake placement of spinal cord stimulators: A prospective, </w:t>
      </w:r>
      <w:proofErr w:type="spellStart"/>
      <w:r>
        <w:rPr>
          <w:lang w:eastAsia="en-AU"/>
        </w:rPr>
        <w:t>multicenter</w:t>
      </w:r>
      <w:proofErr w:type="spellEnd"/>
      <w:r>
        <w:rPr>
          <w:lang w:eastAsia="en-AU"/>
        </w:rPr>
        <w:t xml:space="preserve"> study comparing safety and efficacy [Article]. </w:t>
      </w:r>
      <w:r>
        <w:rPr>
          <w:i/>
          <w:iCs/>
          <w:lang w:eastAsia="en-AU"/>
        </w:rPr>
        <w:t>Neurosurgery</w:t>
      </w:r>
      <w:r>
        <w:rPr>
          <w:lang w:eastAsia="en-AU"/>
        </w:rPr>
        <w:t>,</w:t>
      </w:r>
      <w:r>
        <w:rPr>
          <w:i/>
          <w:iCs/>
          <w:lang w:eastAsia="en-AU"/>
        </w:rPr>
        <w:t xml:space="preserve"> 84</w:t>
      </w:r>
      <w:r>
        <w:rPr>
          <w:lang w:eastAsia="en-AU"/>
        </w:rPr>
        <w:t xml:space="preserve">(1), 198-2/doi.org/10.1093/neuros/nyy062 </w:t>
      </w:r>
    </w:p>
    <w:p w14:paraId="3B96E7A1" w14:textId="08C6820A" w:rsidR="002B1D41" w:rsidRDefault="002B1D41" w:rsidP="00BE4358">
      <w:pPr>
        <w:pStyle w:val="References"/>
        <w:rPr>
          <w:lang w:eastAsia="en-AU"/>
        </w:rPr>
      </w:pPr>
      <w:r>
        <w:rPr>
          <w:lang w:eastAsia="en-AU"/>
        </w:rPr>
        <w:t xml:space="preserve">Farber, S. H., Han, J. L., </w:t>
      </w:r>
      <w:proofErr w:type="spellStart"/>
      <w:r>
        <w:rPr>
          <w:lang w:eastAsia="en-AU"/>
        </w:rPr>
        <w:t>Elsamadicy</w:t>
      </w:r>
      <w:proofErr w:type="spellEnd"/>
      <w:r>
        <w:rPr>
          <w:lang w:eastAsia="en-AU"/>
        </w:rPr>
        <w:t xml:space="preserve">, A. A., et al. (2017). Long-term cost utility of spinal cord stimulation in patients with failed back surgery syndrome [Review]. </w:t>
      </w:r>
      <w:r>
        <w:rPr>
          <w:i/>
          <w:iCs/>
          <w:lang w:eastAsia="en-AU"/>
        </w:rPr>
        <w:t>Pain Physician</w:t>
      </w:r>
      <w:r>
        <w:rPr>
          <w:lang w:eastAsia="en-AU"/>
        </w:rPr>
        <w:t>,</w:t>
      </w:r>
      <w:r>
        <w:rPr>
          <w:i/>
          <w:iCs/>
          <w:lang w:eastAsia="en-AU"/>
        </w:rPr>
        <w:t xml:space="preserve"> 20</w:t>
      </w:r>
      <w:r>
        <w:rPr>
          <w:lang w:eastAsia="en-AU"/>
        </w:rPr>
        <w:t xml:space="preserve">(6), E797-E8/www.embase.com/search/results?subaction=viewrecord&amp;id=L618450266&amp;from=export </w:t>
      </w:r>
    </w:p>
    <w:p w14:paraId="2740EF5F" w14:textId="0D36CB7B" w:rsidR="002B1D41" w:rsidRDefault="002B1D41" w:rsidP="00BE4358">
      <w:pPr>
        <w:pStyle w:val="References"/>
        <w:rPr>
          <w:lang w:eastAsia="en-AU"/>
        </w:rPr>
      </w:pPr>
      <w:r>
        <w:rPr>
          <w:lang w:eastAsia="en-AU"/>
        </w:rPr>
        <w:t xml:space="preserve">Farber, S. H., Han, J. L., </w:t>
      </w:r>
      <w:proofErr w:type="spellStart"/>
      <w:r>
        <w:rPr>
          <w:lang w:eastAsia="en-AU"/>
        </w:rPr>
        <w:t>Petraglia</w:t>
      </w:r>
      <w:proofErr w:type="spellEnd"/>
      <w:r>
        <w:rPr>
          <w:lang w:eastAsia="en-AU"/>
        </w:rPr>
        <w:t xml:space="preserve">, F. W., et al. (2017). Increasing rates of imaging in failed back surgery syndrome patients: Implications for spinal cord stimulation [Article]. </w:t>
      </w:r>
      <w:r>
        <w:rPr>
          <w:i/>
          <w:iCs/>
          <w:lang w:eastAsia="en-AU"/>
        </w:rPr>
        <w:t>Pain Physician</w:t>
      </w:r>
      <w:r>
        <w:rPr>
          <w:lang w:eastAsia="en-AU"/>
        </w:rPr>
        <w:t>,</w:t>
      </w:r>
      <w:r>
        <w:rPr>
          <w:i/>
          <w:iCs/>
          <w:lang w:eastAsia="en-AU"/>
        </w:rPr>
        <w:t xml:space="preserve"> 20</w:t>
      </w:r>
      <w:r>
        <w:rPr>
          <w:lang w:eastAsia="en-AU"/>
        </w:rPr>
        <w:t xml:space="preserve">(6), E969-E9/www.embase.com/search/results?subaction=viewrecord&amp;id=L618450501&amp;from=export </w:t>
      </w:r>
    </w:p>
    <w:p w14:paraId="3A9B4578" w14:textId="28A197B3" w:rsidR="00BE4358" w:rsidRDefault="00BE4358" w:rsidP="00BE4358">
      <w:pPr>
        <w:pStyle w:val="References"/>
        <w:rPr>
          <w:lang w:eastAsia="en-AU"/>
        </w:rPr>
      </w:pPr>
      <w:r>
        <w:rPr>
          <w:lang w:eastAsia="en-AU"/>
        </w:rPr>
        <w:t xml:space="preserve">Fishman, M. A., </w:t>
      </w:r>
      <w:proofErr w:type="spellStart"/>
      <w:r>
        <w:rPr>
          <w:lang w:eastAsia="en-AU"/>
        </w:rPr>
        <w:t>Calodney</w:t>
      </w:r>
      <w:proofErr w:type="spellEnd"/>
      <w:r>
        <w:rPr>
          <w:lang w:eastAsia="en-AU"/>
        </w:rPr>
        <w:t xml:space="preserve">, A., Kim, P., et al. (2020). Prospective, </w:t>
      </w:r>
      <w:proofErr w:type="spellStart"/>
      <w:r>
        <w:rPr>
          <w:lang w:eastAsia="en-AU"/>
        </w:rPr>
        <w:t>Multicenter</w:t>
      </w:r>
      <w:proofErr w:type="spellEnd"/>
      <w:r>
        <w:rPr>
          <w:lang w:eastAsia="en-AU"/>
        </w:rPr>
        <w:t xml:space="preserve"> Feasibility Study to Evaluate Differential Target Multiplexed Spinal Cord Stimulation Programming in Subjects With Chronic Intractable Back Pain With or Without Leg Pain [Article]. </w:t>
      </w:r>
      <w:r>
        <w:rPr>
          <w:i/>
          <w:iCs/>
          <w:lang w:eastAsia="en-AU"/>
        </w:rPr>
        <w:t>Pain Practice</w:t>
      </w:r>
      <w:r>
        <w:rPr>
          <w:lang w:eastAsia="en-AU"/>
        </w:rPr>
        <w:t>,</w:t>
      </w:r>
      <w:r>
        <w:rPr>
          <w:i/>
          <w:iCs/>
          <w:lang w:eastAsia="en-AU"/>
        </w:rPr>
        <w:t xml:space="preserve"> 20</w:t>
      </w:r>
      <w:r>
        <w:rPr>
          <w:lang w:eastAsia="en-AU"/>
        </w:rPr>
        <w:t xml:space="preserve">(7), 761-7/doi.org/10.1111/papr.12908 </w:t>
      </w:r>
    </w:p>
    <w:p w14:paraId="012BC7DD" w14:textId="42B953DC" w:rsidR="002B1D41" w:rsidRDefault="002B1D41" w:rsidP="00BE4358">
      <w:pPr>
        <w:pStyle w:val="References"/>
        <w:rPr>
          <w:lang w:eastAsia="en-AU"/>
        </w:rPr>
      </w:pPr>
      <w:r>
        <w:rPr>
          <w:lang w:eastAsia="en-AU"/>
        </w:rPr>
        <w:t xml:space="preserve">Fishman, M., </w:t>
      </w:r>
      <w:proofErr w:type="spellStart"/>
      <w:r>
        <w:rPr>
          <w:lang w:eastAsia="en-AU"/>
        </w:rPr>
        <w:t>Cordner</w:t>
      </w:r>
      <w:proofErr w:type="spellEnd"/>
      <w:r>
        <w:rPr>
          <w:lang w:eastAsia="en-AU"/>
        </w:rPr>
        <w:t xml:space="preserve">, H., </w:t>
      </w:r>
      <w:proofErr w:type="spellStart"/>
      <w:r>
        <w:rPr>
          <w:lang w:eastAsia="en-AU"/>
        </w:rPr>
        <w:t>Justiz</w:t>
      </w:r>
      <w:proofErr w:type="spellEnd"/>
      <w:r>
        <w:rPr>
          <w:lang w:eastAsia="en-AU"/>
        </w:rPr>
        <w:t xml:space="preserve">, R., et al. (2021). Twelve-Month results from </w:t>
      </w:r>
      <w:proofErr w:type="spellStart"/>
      <w:r>
        <w:rPr>
          <w:lang w:eastAsia="en-AU"/>
        </w:rPr>
        <w:t>multicenter</w:t>
      </w:r>
      <w:proofErr w:type="spellEnd"/>
      <w:r>
        <w:rPr>
          <w:lang w:eastAsia="en-AU"/>
        </w:rPr>
        <w:t xml:space="preserve">, open-label, randomized controlled clinical trial comparing differential target multiplexed spinal cord stimulation and traditional spinal cord stimulation in subjects with chronic intractable back pain and leg pain [Article]. </w:t>
      </w:r>
      <w:r>
        <w:rPr>
          <w:i/>
          <w:iCs/>
          <w:lang w:eastAsia="en-AU"/>
        </w:rPr>
        <w:t>Pain Practice</w:t>
      </w:r>
      <w:r>
        <w:rPr>
          <w:lang w:eastAsia="en-AU"/>
        </w:rPr>
        <w:t>,</w:t>
      </w:r>
      <w:r>
        <w:rPr>
          <w:i/>
          <w:iCs/>
          <w:lang w:eastAsia="en-AU"/>
        </w:rPr>
        <w:t xml:space="preserve"> 21</w:t>
      </w:r>
      <w:r>
        <w:rPr>
          <w:lang w:eastAsia="en-AU"/>
        </w:rPr>
        <w:t xml:space="preserve">(8), 912-9/doi.org/10.1111/papr.13066 </w:t>
      </w:r>
    </w:p>
    <w:p w14:paraId="079F0D2E" w14:textId="58B558C7" w:rsidR="002B1D41" w:rsidRDefault="002B1D41" w:rsidP="00BE4358">
      <w:pPr>
        <w:pStyle w:val="References"/>
        <w:rPr>
          <w:lang w:eastAsia="en-AU"/>
        </w:rPr>
      </w:pPr>
      <w:r>
        <w:rPr>
          <w:lang w:eastAsia="en-AU"/>
        </w:rPr>
        <w:t xml:space="preserve">Fishman, M., Davies, L., Stromberg, K., et al. (2020). Vectors post market study: SCS (HD) </w:t>
      </w:r>
      <w:proofErr w:type="spellStart"/>
      <w:r>
        <w:rPr>
          <w:lang w:eastAsia="en-AU"/>
        </w:rPr>
        <w:t>trialing</w:t>
      </w:r>
      <w:proofErr w:type="spellEnd"/>
      <w:r>
        <w:rPr>
          <w:lang w:eastAsia="en-AU"/>
        </w:rPr>
        <w:t xml:space="preserve"> duration and 12-month pain relief following trial success [Conference Abstract]. </w:t>
      </w:r>
      <w:r>
        <w:rPr>
          <w:i/>
          <w:iCs/>
          <w:lang w:eastAsia="en-AU"/>
        </w:rPr>
        <w:t>Neuromodulation</w:t>
      </w:r>
      <w:r>
        <w:rPr>
          <w:lang w:eastAsia="en-AU"/>
        </w:rPr>
        <w:t>,</w:t>
      </w:r>
      <w:r>
        <w:rPr>
          <w:i/>
          <w:iCs/>
          <w:lang w:eastAsia="en-AU"/>
        </w:rPr>
        <w:t xml:space="preserve"> 23</w:t>
      </w:r>
      <w:r>
        <w:rPr>
          <w:lang w:eastAsia="en-AU"/>
        </w:rPr>
        <w:t xml:space="preserve">(3), e/doi.org/10.1111/ner.13133 </w:t>
      </w:r>
    </w:p>
    <w:p w14:paraId="75451B38" w14:textId="6393186F" w:rsidR="002B1D41" w:rsidRDefault="002B1D41" w:rsidP="00BE4358">
      <w:pPr>
        <w:pStyle w:val="References"/>
        <w:rPr>
          <w:lang w:eastAsia="en-AU"/>
        </w:rPr>
      </w:pPr>
      <w:proofErr w:type="spellStart"/>
      <w:r>
        <w:rPr>
          <w:lang w:eastAsia="en-AU"/>
        </w:rPr>
        <w:t>Fraifeld</w:t>
      </w:r>
      <w:proofErr w:type="spellEnd"/>
      <w:r>
        <w:rPr>
          <w:lang w:eastAsia="en-AU"/>
        </w:rPr>
        <w:t xml:space="preserve">, E. M., </w:t>
      </w:r>
      <w:proofErr w:type="spellStart"/>
      <w:r>
        <w:rPr>
          <w:lang w:eastAsia="en-AU"/>
        </w:rPr>
        <w:t>Hatheway</w:t>
      </w:r>
      <w:proofErr w:type="spellEnd"/>
      <w:r>
        <w:rPr>
          <w:lang w:eastAsia="en-AU"/>
        </w:rPr>
        <w:t xml:space="preserve">, J. A., &amp; Ricker, C. N. (2021). Systemic Opioid Prescribing Patterns and Total Cost of Care in Patients Initiating Spinal Cord Stimulation Therapy: A Retrospective Analysis [Article]. </w:t>
      </w:r>
      <w:r>
        <w:rPr>
          <w:i/>
          <w:iCs/>
          <w:lang w:eastAsia="en-AU"/>
        </w:rPr>
        <w:t>Pain Medicine (United States)</w:t>
      </w:r>
      <w:r>
        <w:rPr>
          <w:lang w:eastAsia="en-AU"/>
        </w:rPr>
        <w:t>,</w:t>
      </w:r>
      <w:r>
        <w:rPr>
          <w:i/>
          <w:iCs/>
          <w:lang w:eastAsia="en-AU"/>
        </w:rPr>
        <w:t xml:space="preserve"> 22</w:t>
      </w:r>
      <w:r>
        <w:rPr>
          <w:lang w:eastAsia="en-AU"/>
        </w:rPr>
        <w:t xml:space="preserve">(4), 784-7/doi.org/10.1093/pm/pnab033 </w:t>
      </w:r>
    </w:p>
    <w:p w14:paraId="7732357E" w14:textId="13B70067" w:rsidR="002B1D41" w:rsidRDefault="002B1D41" w:rsidP="00BE4358">
      <w:pPr>
        <w:pStyle w:val="References"/>
        <w:rPr>
          <w:lang w:eastAsia="en-AU"/>
        </w:rPr>
      </w:pPr>
      <w:r>
        <w:rPr>
          <w:lang w:eastAsia="en-AU"/>
        </w:rPr>
        <w:t xml:space="preserve">Frey, M. E., </w:t>
      </w:r>
      <w:proofErr w:type="spellStart"/>
      <w:r>
        <w:rPr>
          <w:lang w:eastAsia="en-AU"/>
        </w:rPr>
        <w:t>Manchikanti</w:t>
      </w:r>
      <w:proofErr w:type="spellEnd"/>
      <w:r>
        <w:rPr>
          <w:lang w:eastAsia="en-AU"/>
        </w:rPr>
        <w:t xml:space="preserve">, L., Benjamin, R. M., et al. (2009). Spinal cord stimulation for patients with failed back surgery syndrome: A systematic review [Review]. </w:t>
      </w:r>
      <w:r>
        <w:rPr>
          <w:i/>
          <w:iCs/>
          <w:lang w:eastAsia="en-AU"/>
        </w:rPr>
        <w:t>Pain Physician</w:t>
      </w:r>
      <w:r>
        <w:rPr>
          <w:lang w:eastAsia="en-AU"/>
        </w:rPr>
        <w:t>,</w:t>
      </w:r>
      <w:r>
        <w:rPr>
          <w:i/>
          <w:iCs/>
          <w:lang w:eastAsia="en-AU"/>
        </w:rPr>
        <w:t xml:space="preserve"> 12</w:t>
      </w:r>
      <w:r>
        <w:rPr>
          <w:lang w:eastAsia="en-AU"/>
        </w:rPr>
        <w:t xml:space="preserve">(2), 379-3/www.embase.com/search/results?subaction=viewrecord&amp;id=L355357020&amp;from=export </w:t>
      </w:r>
    </w:p>
    <w:p w14:paraId="5C3B103E" w14:textId="03CE0C43" w:rsidR="002B1D41" w:rsidRDefault="002B1D41" w:rsidP="00BE4358">
      <w:pPr>
        <w:pStyle w:val="References"/>
        <w:rPr>
          <w:lang w:eastAsia="en-AU"/>
        </w:rPr>
      </w:pPr>
      <w:r>
        <w:rPr>
          <w:lang w:eastAsia="en-AU"/>
        </w:rPr>
        <w:t xml:space="preserve">Galan, V., Scowcroft, J., Chang, P., et al. (2020). 10-kHz spinal cord stimulation treatment for painful diabetic neuropathy: Results from post-hoc analysis of the SENZA-PPN study [Article]. </w:t>
      </w:r>
      <w:r>
        <w:rPr>
          <w:i/>
          <w:iCs/>
          <w:lang w:eastAsia="en-AU"/>
        </w:rPr>
        <w:t>Pain Management</w:t>
      </w:r>
      <w:r>
        <w:rPr>
          <w:lang w:eastAsia="en-AU"/>
        </w:rPr>
        <w:t>,</w:t>
      </w:r>
      <w:r>
        <w:rPr>
          <w:i/>
          <w:iCs/>
          <w:lang w:eastAsia="en-AU"/>
        </w:rPr>
        <w:t xml:space="preserve"> 10</w:t>
      </w:r>
      <w:r>
        <w:rPr>
          <w:lang w:eastAsia="en-AU"/>
        </w:rPr>
        <w:t xml:space="preserve">(5), 291-3/doi.org/10.2217/pmt-2020-0033 </w:t>
      </w:r>
    </w:p>
    <w:p w14:paraId="60EB02E6" w14:textId="490DB723" w:rsidR="002B1D41" w:rsidRDefault="002B1D41" w:rsidP="00BE4358">
      <w:pPr>
        <w:pStyle w:val="References"/>
        <w:rPr>
          <w:lang w:eastAsia="en-AU"/>
        </w:rPr>
      </w:pPr>
      <w:proofErr w:type="spellStart"/>
      <w:r>
        <w:rPr>
          <w:lang w:eastAsia="en-AU"/>
        </w:rPr>
        <w:t>Gatzinsky</w:t>
      </w:r>
      <w:proofErr w:type="spellEnd"/>
      <w:r>
        <w:rPr>
          <w:lang w:eastAsia="en-AU"/>
        </w:rPr>
        <w:t xml:space="preserve">, K., </w:t>
      </w:r>
      <w:proofErr w:type="spellStart"/>
      <w:r>
        <w:rPr>
          <w:lang w:eastAsia="en-AU"/>
        </w:rPr>
        <w:t>Baardsen</w:t>
      </w:r>
      <w:proofErr w:type="spellEnd"/>
      <w:r>
        <w:rPr>
          <w:lang w:eastAsia="en-AU"/>
        </w:rPr>
        <w:t xml:space="preserve">, R., &amp; </w:t>
      </w:r>
      <w:proofErr w:type="spellStart"/>
      <w:r>
        <w:rPr>
          <w:lang w:eastAsia="en-AU"/>
        </w:rPr>
        <w:t>Buschman</w:t>
      </w:r>
      <w:proofErr w:type="spellEnd"/>
      <w:r>
        <w:rPr>
          <w:lang w:eastAsia="en-AU"/>
        </w:rPr>
        <w:t xml:space="preserve">, H. P. (2017). Evaluation of the Effectiveness of Percutaneous </w:t>
      </w:r>
      <w:proofErr w:type="spellStart"/>
      <w:r>
        <w:rPr>
          <w:lang w:eastAsia="en-AU"/>
        </w:rPr>
        <w:t>Octapolar</w:t>
      </w:r>
      <w:proofErr w:type="spellEnd"/>
      <w:r>
        <w:rPr>
          <w:lang w:eastAsia="en-AU"/>
        </w:rPr>
        <w:t xml:space="preserve"> Leads in Pain Treatment with Spinal Cord Stimulation of Patients with Failed Back Surgery Syndrome During a 1-Year Follow-Up: A Prospective </w:t>
      </w:r>
      <w:proofErr w:type="spellStart"/>
      <w:r>
        <w:rPr>
          <w:lang w:eastAsia="en-AU"/>
        </w:rPr>
        <w:t>Multicenter</w:t>
      </w:r>
      <w:proofErr w:type="spellEnd"/>
      <w:r>
        <w:rPr>
          <w:lang w:eastAsia="en-AU"/>
        </w:rPr>
        <w:t xml:space="preserve"> International Study [Article]. </w:t>
      </w:r>
      <w:r>
        <w:rPr>
          <w:i/>
          <w:iCs/>
          <w:lang w:eastAsia="en-AU"/>
        </w:rPr>
        <w:t>Pain Practice</w:t>
      </w:r>
      <w:r>
        <w:rPr>
          <w:lang w:eastAsia="en-AU"/>
        </w:rPr>
        <w:t>,</w:t>
      </w:r>
      <w:r>
        <w:rPr>
          <w:i/>
          <w:iCs/>
          <w:lang w:eastAsia="en-AU"/>
        </w:rPr>
        <w:t xml:space="preserve"> 17</w:t>
      </w:r>
      <w:r>
        <w:rPr>
          <w:lang w:eastAsia="en-AU"/>
        </w:rPr>
        <w:t xml:space="preserve">(4), 428-4/doi.org/10.1111/papr.12478 </w:t>
      </w:r>
    </w:p>
    <w:p w14:paraId="32DB0C5E" w14:textId="3D9F1222" w:rsidR="002B1D41" w:rsidRDefault="002B1D41" w:rsidP="00BE4358">
      <w:pPr>
        <w:pStyle w:val="References"/>
        <w:rPr>
          <w:lang w:eastAsia="en-AU"/>
        </w:rPr>
      </w:pPr>
      <w:r>
        <w:rPr>
          <w:lang w:eastAsia="en-AU"/>
        </w:rPr>
        <w:t xml:space="preserve">Gilligan, C. (2020). Restorative neurostimulation for refractory mechanical chronic low back pain - Results of a randomized active </w:t>
      </w:r>
      <w:proofErr w:type="spellStart"/>
      <w:r>
        <w:rPr>
          <w:lang w:eastAsia="en-AU"/>
        </w:rPr>
        <w:t>shamcontrolled</w:t>
      </w:r>
      <w:proofErr w:type="spellEnd"/>
      <w:r>
        <w:rPr>
          <w:lang w:eastAsia="en-AU"/>
        </w:rPr>
        <w:t xml:space="preserve"> trial [Conference Abstract]. </w:t>
      </w:r>
      <w:r>
        <w:rPr>
          <w:i/>
          <w:iCs/>
          <w:lang w:eastAsia="en-AU"/>
        </w:rPr>
        <w:t>Pain Practice</w:t>
      </w:r>
      <w:r>
        <w:rPr>
          <w:lang w:eastAsia="en-AU"/>
        </w:rPr>
        <w:t>,</w:t>
      </w:r>
      <w:r>
        <w:rPr>
          <w:i/>
          <w:iCs/>
          <w:lang w:eastAsia="en-AU"/>
        </w:rPr>
        <w:t xml:space="preserve"> 20</w:t>
      </w:r>
      <w:r>
        <w:rPr>
          <w:lang w:eastAsia="en-AU"/>
        </w:rPr>
        <w:t xml:space="preserve">(SUPPL 1), /doi.org/10.1111/papr.12886 </w:t>
      </w:r>
    </w:p>
    <w:p w14:paraId="187651AF" w14:textId="507CAF3A" w:rsidR="002B1D41" w:rsidRDefault="002B1D41" w:rsidP="00BE4358">
      <w:pPr>
        <w:pStyle w:val="References"/>
        <w:rPr>
          <w:lang w:eastAsia="en-AU"/>
        </w:rPr>
      </w:pPr>
      <w:r>
        <w:rPr>
          <w:lang w:eastAsia="en-AU"/>
        </w:rPr>
        <w:t xml:space="preserve">Gilligan, C., </w:t>
      </w:r>
      <w:proofErr w:type="spellStart"/>
      <w:r>
        <w:rPr>
          <w:lang w:eastAsia="en-AU"/>
        </w:rPr>
        <w:t>Volschenk</w:t>
      </w:r>
      <w:proofErr w:type="spellEnd"/>
      <w:r>
        <w:rPr>
          <w:lang w:eastAsia="en-AU"/>
        </w:rPr>
        <w:t xml:space="preserve">, W., Russo, M., et al. (2023). Long-Term Outcomes of Restorative Neurostimulation in Patients With Refractory Chronic Low Back Pain Secondary to Multifidus Dysfunction: Two-Year Results of the ReActiv8-B Pivotal Trial [Article]. </w:t>
      </w:r>
      <w:r>
        <w:rPr>
          <w:i/>
          <w:iCs/>
          <w:lang w:eastAsia="en-AU"/>
        </w:rPr>
        <w:t>Neuromodulation</w:t>
      </w:r>
      <w:r>
        <w:rPr>
          <w:lang w:eastAsia="en-AU"/>
        </w:rPr>
        <w:t>,</w:t>
      </w:r>
      <w:r>
        <w:rPr>
          <w:i/>
          <w:iCs/>
          <w:lang w:eastAsia="en-AU"/>
        </w:rPr>
        <w:t xml:space="preserve"> 26</w:t>
      </w:r>
      <w:r>
        <w:rPr>
          <w:lang w:eastAsia="en-AU"/>
        </w:rPr>
        <w:t xml:space="preserve">(1), 87-/doi.org/10.1016/j.neurom.2021.10.011 </w:t>
      </w:r>
    </w:p>
    <w:p w14:paraId="52DD8016" w14:textId="280A4D99" w:rsidR="00BE4358" w:rsidRDefault="00BE4358" w:rsidP="00BE4358">
      <w:pPr>
        <w:pStyle w:val="References"/>
        <w:rPr>
          <w:lang w:eastAsia="en-AU"/>
        </w:rPr>
      </w:pPr>
      <w:r>
        <w:rPr>
          <w:lang w:eastAsia="en-AU"/>
        </w:rPr>
        <w:t xml:space="preserve">Goel, A., Leong, M., &amp; </w:t>
      </w:r>
      <w:proofErr w:type="spellStart"/>
      <w:r>
        <w:rPr>
          <w:lang w:eastAsia="en-AU"/>
        </w:rPr>
        <w:t>Shanthanna</w:t>
      </w:r>
      <w:proofErr w:type="spellEnd"/>
      <w:r>
        <w:rPr>
          <w:lang w:eastAsia="en-AU"/>
        </w:rPr>
        <w:t xml:space="preserve">, H. (2023). Spinal Cord Burst Stimulation vs Placebo Stimulation for Patients With Chronic Radicular Pain After Lumbar Spine Surgery [Letter]. </w:t>
      </w:r>
      <w:r>
        <w:rPr>
          <w:i/>
          <w:iCs/>
          <w:lang w:eastAsia="en-AU"/>
        </w:rPr>
        <w:t>JAMA</w:t>
      </w:r>
      <w:r>
        <w:rPr>
          <w:lang w:eastAsia="en-AU"/>
        </w:rPr>
        <w:t>,</w:t>
      </w:r>
      <w:r>
        <w:rPr>
          <w:i/>
          <w:iCs/>
          <w:lang w:eastAsia="en-AU"/>
        </w:rPr>
        <w:t xml:space="preserve"> 329</w:t>
      </w:r>
      <w:r>
        <w:rPr>
          <w:lang w:eastAsia="en-AU"/>
        </w:rPr>
        <w:t xml:space="preserve">(10), 846-8/doi.org/10.1001/jama.2022.24748 </w:t>
      </w:r>
    </w:p>
    <w:p w14:paraId="0E2870C2" w14:textId="73172E64" w:rsidR="002B1D41" w:rsidRDefault="002B1D41" w:rsidP="00BE4358">
      <w:pPr>
        <w:pStyle w:val="References"/>
        <w:rPr>
          <w:lang w:eastAsia="en-AU"/>
        </w:rPr>
      </w:pPr>
      <w:proofErr w:type="spellStart"/>
      <w:r>
        <w:rPr>
          <w:lang w:eastAsia="en-AU"/>
        </w:rPr>
        <w:lastRenderedPageBreak/>
        <w:t>Goudman</w:t>
      </w:r>
      <w:proofErr w:type="spellEnd"/>
      <w:r>
        <w:rPr>
          <w:lang w:eastAsia="en-AU"/>
        </w:rPr>
        <w:t xml:space="preserve">, L., De </w:t>
      </w:r>
      <w:proofErr w:type="spellStart"/>
      <w:r>
        <w:rPr>
          <w:lang w:eastAsia="en-AU"/>
        </w:rPr>
        <w:t>Smedt</w:t>
      </w:r>
      <w:proofErr w:type="spellEnd"/>
      <w:r>
        <w:rPr>
          <w:lang w:eastAsia="en-AU"/>
        </w:rPr>
        <w:t xml:space="preserve">, A., Forget, P., et al. (2021). High-Dose Spinal Cord Stimulation Reduces Long-Term Pain Medication Use in Patients With Failed Back Surgery Syndrome Who Obtained at Least 50% Pain Intensity and Medication Reduction During a Trial Period: A Registry-Based Cohort Study [Article]. </w:t>
      </w:r>
      <w:r>
        <w:rPr>
          <w:i/>
          <w:iCs/>
          <w:lang w:eastAsia="en-AU"/>
        </w:rPr>
        <w:t>Neuromodulation</w:t>
      </w:r>
      <w:r>
        <w:rPr>
          <w:lang w:eastAsia="en-AU"/>
        </w:rPr>
        <w:t>,</w:t>
      </w:r>
      <w:r>
        <w:rPr>
          <w:i/>
          <w:iCs/>
          <w:lang w:eastAsia="en-AU"/>
        </w:rPr>
        <w:t xml:space="preserve"> 24</w:t>
      </w:r>
      <w:r>
        <w:rPr>
          <w:lang w:eastAsia="en-AU"/>
        </w:rPr>
        <w:t xml:space="preserve">(3), 520-5/doi.org/10.1111/ner.13363 </w:t>
      </w:r>
    </w:p>
    <w:p w14:paraId="407A6F36" w14:textId="104865C6" w:rsidR="002B1D41" w:rsidRDefault="002B1D41" w:rsidP="00BE4358">
      <w:pPr>
        <w:pStyle w:val="References"/>
        <w:rPr>
          <w:lang w:eastAsia="en-AU"/>
        </w:rPr>
      </w:pPr>
      <w:proofErr w:type="spellStart"/>
      <w:r>
        <w:rPr>
          <w:lang w:eastAsia="en-AU"/>
        </w:rPr>
        <w:t>Goudman</w:t>
      </w:r>
      <w:proofErr w:type="spellEnd"/>
      <w:r>
        <w:rPr>
          <w:lang w:eastAsia="en-AU"/>
        </w:rPr>
        <w:t xml:space="preserve">, L., </w:t>
      </w:r>
      <w:proofErr w:type="spellStart"/>
      <w:r>
        <w:rPr>
          <w:lang w:eastAsia="en-AU"/>
        </w:rPr>
        <w:t>Rigoard</w:t>
      </w:r>
      <w:proofErr w:type="spellEnd"/>
      <w:r>
        <w:rPr>
          <w:lang w:eastAsia="en-AU"/>
        </w:rPr>
        <w:t xml:space="preserve">, P., </w:t>
      </w:r>
      <w:proofErr w:type="spellStart"/>
      <w:r>
        <w:rPr>
          <w:lang w:eastAsia="en-AU"/>
        </w:rPr>
        <w:t>Moens</w:t>
      </w:r>
      <w:proofErr w:type="spellEnd"/>
      <w:r>
        <w:rPr>
          <w:lang w:eastAsia="en-AU"/>
        </w:rPr>
        <w:t xml:space="preserve">, M., et al. (2022). Patient Selection for Spinal Cord Stimulation in Treatment of Pain: Sequential Decision-Making Model — A Narrative Review [Review]. </w:t>
      </w:r>
      <w:r>
        <w:rPr>
          <w:i/>
          <w:iCs/>
          <w:lang w:eastAsia="en-AU"/>
        </w:rPr>
        <w:t>Journal of Pain Research</w:t>
      </w:r>
      <w:r>
        <w:rPr>
          <w:lang w:eastAsia="en-AU"/>
        </w:rPr>
        <w:t>,</w:t>
      </w:r>
      <w:r>
        <w:rPr>
          <w:i/>
          <w:iCs/>
          <w:lang w:eastAsia="en-AU"/>
        </w:rPr>
        <w:t xml:space="preserve"> 15</w:t>
      </w:r>
      <w:r>
        <w:rPr>
          <w:lang w:eastAsia="en-AU"/>
        </w:rPr>
        <w:t xml:space="preserve">, 1163-11/doi.org/10.2147/JPR.S250455 </w:t>
      </w:r>
    </w:p>
    <w:p w14:paraId="34092EF4" w14:textId="4C09133A" w:rsidR="002B1D41" w:rsidRDefault="002B1D41" w:rsidP="00BE4358">
      <w:pPr>
        <w:pStyle w:val="References"/>
        <w:rPr>
          <w:lang w:eastAsia="en-AU"/>
        </w:rPr>
      </w:pPr>
      <w:r>
        <w:rPr>
          <w:lang w:eastAsia="en-AU"/>
        </w:rPr>
        <w:t xml:space="preserve">Gould, H. M., </w:t>
      </w:r>
      <w:proofErr w:type="spellStart"/>
      <w:r>
        <w:rPr>
          <w:lang w:eastAsia="en-AU"/>
        </w:rPr>
        <w:t>D'Eon</w:t>
      </w:r>
      <w:proofErr w:type="spellEnd"/>
      <w:r>
        <w:rPr>
          <w:lang w:eastAsia="en-AU"/>
        </w:rPr>
        <w:t xml:space="preserve">, M. S., Grinberg, A. M., et al. (2021). Psychosocial characteristics of candidates for implantable pain devices: Validation of an assessment model [Article]. </w:t>
      </w:r>
      <w:r>
        <w:rPr>
          <w:i/>
          <w:iCs/>
          <w:lang w:eastAsia="en-AU"/>
        </w:rPr>
        <w:t>Pain Management</w:t>
      </w:r>
      <w:r>
        <w:rPr>
          <w:lang w:eastAsia="en-AU"/>
        </w:rPr>
        <w:t>,</w:t>
      </w:r>
      <w:r>
        <w:rPr>
          <w:i/>
          <w:iCs/>
          <w:lang w:eastAsia="en-AU"/>
        </w:rPr>
        <w:t xml:space="preserve"> 11</w:t>
      </w:r>
      <w:r>
        <w:rPr>
          <w:lang w:eastAsia="en-AU"/>
        </w:rPr>
        <w:t xml:space="preserve">(2), 159-1/doi.org/10.2217/pmt-2020-0025 </w:t>
      </w:r>
    </w:p>
    <w:p w14:paraId="5F5B134A" w14:textId="5A34BC27" w:rsidR="002B1D41" w:rsidRDefault="002B1D41" w:rsidP="00BE4358">
      <w:pPr>
        <w:pStyle w:val="References"/>
        <w:rPr>
          <w:lang w:eastAsia="en-AU"/>
        </w:rPr>
      </w:pPr>
      <w:proofErr w:type="spellStart"/>
      <w:r>
        <w:rPr>
          <w:lang w:eastAsia="en-AU"/>
        </w:rPr>
        <w:t>Grider</w:t>
      </w:r>
      <w:proofErr w:type="spellEnd"/>
      <w:r>
        <w:rPr>
          <w:lang w:eastAsia="en-AU"/>
        </w:rPr>
        <w:t xml:space="preserve">, J., </w:t>
      </w:r>
      <w:proofErr w:type="spellStart"/>
      <w:r>
        <w:rPr>
          <w:lang w:eastAsia="en-AU"/>
        </w:rPr>
        <w:t>Manchikanti</w:t>
      </w:r>
      <w:proofErr w:type="spellEnd"/>
      <w:r>
        <w:rPr>
          <w:lang w:eastAsia="en-AU"/>
        </w:rPr>
        <w:t xml:space="preserve">, L., </w:t>
      </w:r>
      <w:proofErr w:type="spellStart"/>
      <w:r>
        <w:rPr>
          <w:lang w:eastAsia="en-AU"/>
        </w:rPr>
        <w:t>Carayannopoulos</w:t>
      </w:r>
      <w:proofErr w:type="spellEnd"/>
      <w:r>
        <w:rPr>
          <w:lang w:eastAsia="en-AU"/>
        </w:rPr>
        <w:t xml:space="preserve">, A., et al. (2016). Effectiveness of spinal cord stimulation in chronic spinal pain: A systematic review [Review]. </w:t>
      </w:r>
      <w:r>
        <w:rPr>
          <w:i/>
          <w:iCs/>
          <w:lang w:eastAsia="en-AU"/>
        </w:rPr>
        <w:t>Pain Physician</w:t>
      </w:r>
      <w:r>
        <w:rPr>
          <w:lang w:eastAsia="en-AU"/>
        </w:rPr>
        <w:t>,</w:t>
      </w:r>
      <w:r>
        <w:rPr>
          <w:i/>
          <w:iCs/>
          <w:lang w:eastAsia="en-AU"/>
        </w:rPr>
        <w:t xml:space="preserve"> 19</w:t>
      </w:r>
      <w:r>
        <w:rPr>
          <w:lang w:eastAsia="en-AU"/>
        </w:rPr>
        <w:t xml:space="preserve">(1), E33-E/www.embase.com/search/results?subaction=viewrecord&amp;id=L607797657&amp;from=export </w:t>
      </w:r>
    </w:p>
    <w:p w14:paraId="43FFF71E" w14:textId="35F246F5" w:rsidR="002B1D41" w:rsidRDefault="002B1D41" w:rsidP="00BE4358">
      <w:pPr>
        <w:pStyle w:val="References"/>
        <w:rPr>
          <w:lang w:eastAsia="en-AU"/>
        </w:rPr>
      </w:pPr>
      <w:r>
        <w:rPr>
          <w:lang w:eastAsia="en-AU"/>
        </w:rPr>
        <w:t xml:space="preserve">Grinberg, A. M., </w:t>
      </w:r>
      <w:proofErr w:type="spellStart"/>
      <w:r>
        <w:rPr>
          <w:lang w:eastAsia="en-AU"/>
        </w:rPr>
        <w:t>D'Eon</w:t>
      </w:r>
      <w:proofErr w:type="spellEnd"/>
      <w:r>
        <w:rPr>
          <w:lang w:eastAsia="en-AU"/>
        </w:rPr>
        <w:t xml:space="preserve">, M. S., Ellison, J. K., et al. (2019). A revised psychosocial assessment model for implantable pain devices to improve their evidence basis and consensus with updated pain management guidelines [Article]. </w:t>
      </w:r>
      <w:r>
        <w:rPr>
          <w:i/>
          <w:iCs/>
          <w:lang w:eastAsia="en-AU"/>
        </w:rPr>
        <w:t>Pain Management</w:t>
      </w:r>
      <w:r>
        <w:rPr>
          <w:lang w:eastAsia="en-AU"/>
        </w:rPr>
        <w:t>,</w:t>
      </w:r>
      <w:r>
        <w:rPr>
          <w:i/>
          <w:iCs/>
          <w:lang w:eastAsia="en-AU"/>
        </w:rPr>
        <w:t xml:space="preserve"> 9</w:t>
      </w:r>
      <w:r>
        <w:rPr>
          <w:lang w:eastAsia="en-AU"/>
        </w:rPr>
        <w:t xml:space="preserve">(2), 139-1/doi.org/10.2217/pmt-2018-0047 </w:t>
      </w:r>
    </w:p>
    <w:p w14:paraId="30B78CBF" w14:textId="77777777" w:rsidR="00BE4358" w:rsidRDefault="00BE4358" w:rsidP="00BE4358">
      <w:pPr>
        <w:pStyle w:val="References"/>
        <w:rPr>
          <w:lang w:eastAsia="en-AU"/>
        </w:rPr>
      </w:pPr>
      <w:r>
        <w:rPr>
          <w:lang w:eastAsia="en-AU"/>
        </w:rPr>
        <w:t xml:space="preserve">Gulati, S. H., S., &amp; Salvesen, O. O. (2023). Spinal Cord Burst Stimulation vs Placebo Stimulation for Patients With Chronic Radicular Pain After Lumbar Spine Surgery [Letter]. </w:t>
      </w:r>
      <w:r>
        <w:rPr>
          <w:i/>
          <w:iCs/>
          <w:lang w:eastAsia="en-AU"/>
        </w:rPr>
        <w:t>JAMA</w:t>
      </w:r>
      <w:r>
        <w:rPr>
          <w:lang w:eastAsia="en-AU"/>
        </w:rPr>
        <w:t>,</w:t>
      </w:r>
      <w:r>
        <w:rPr>
          <w:i/>
          <w:iCs/>
          <w:lang w:eastAsia="en-AU"/>
        </w:rPr>
        <w:t xml:space="preserve"> 329</w:t>
      </w:r>
      <w:r>
        <w:rPr>
          <w:lang w:eastAsia="en-AU"/>
        </w:rPr>
        <w:t xml:space="preserve">(10), 848-849. </w:t>
      </w:r>
    </w:p>
    <w:p w14:paraId="4DB80FB1" w14:textId="78107CA4" w:rsidR="002B1D41" w:rsidRDefault="002B1D41" w:rsidP="00BE4358">
      <w:pPr>
        <w:pStyle w:val="References"/>
        <w:rPr>
          <w:lang w:eastAsia="en-AU"/>
        </w:rPr>
      </w:pPr>
      <w:r>
        <w:rPr>
          <w:lang w:eastAsia="en-AU"/>
        </w:rPr>
        <w:t xml:space="preserve">Gupta, M., Scowcroft, J., </w:t>
      </w:r>
      <w:proofErr w:type="spellStart"/>
      <w:r>
        <w:rPr>
          <w:lang w:eastAsia="en-AU"/>
        </w:rPr>
        <w:t>Kloster</w:t>
      </w:r>
      <w:proofErr w:type="spellEnd"/>
      <w:r>
        <w:rPr>
          <w:lang w:eastAsia="en-AU"/>
        </w:rPr>
        <w:t xml:space="preserve">, D., et al. (2020). 10-kHz Spinal Cord Stimulation for Chronic Postsurgical Pain: Results From a 12-Month Prospective, </w:t>
      </w:r>
      <w:proofErr w:type="spellStart"/>
      <w:r>
        <w:rPr>
          <w:lang w:eastAsia="en-AU"/>
        </w:rPr>
        <w:t>Multicenter</w:t>
      </w:r>
      <w:proofErr w:type="spellEnd"/>
      <w:r>
        <w:rPr>
          <w:lang w:eastAsia="en-AU"/>
        </w:rPr>
        <w:t xml:space="preserve"> Study [Article]. </w:t>
      </w:r>
      <w:r>
        <w:rPr>
          <w:i/>
          <w:iCs/>
          <w:lang w:eastAsia="en-AU"/>
        </w:rPr>
        <w:t>Pain Practice</w:t>
      </w:r>
      <w:r>
        <w:rPr>
          <w:lang w:eastAsia="en-AU"/>
        </w:rPr>
        <w:t>,</w:t>
      </w:r>
      <w:r>
        <w:rPr>
          <w:i/>
          <w:iCs/>
          <w:lang w:eastAsia="en-AU"/>
        </w:rPr>
        <w:t xml:space="preserve"> 20</w:t>
      </w:r>
      <w:r>
        <w:rPr>
          <w:lang w:eastAsia="en-AU"/>
        </w:rPr>
        <w:t xml:space="preserve">(8), 908-9/doi.org/10.1111/papr.12929 </w:t>
      </w:r>
    </w:p>
    <w:p w14:paraId="293ED251" w14:textId="6D3D8BEF" w:rsidR="002B1D41" w:rsidRDefault="002B1D41" w:rsidP="00BE4358">
      <w:pPr>
        <w:pStyle w:val="References"/>
        <w:rPr>
          <w:lang w:eastAsia="en-AU"/>
        </w:rPr>
      </w:pPr>
      <w:r>
        <w:rPr>
          <w:lang w:eastAsia="en-AU"/>
        </w:rPr>
        <w:t xml:space="preserve">Hagedorn, J. M., </w:t>
      </w:r>
      <w:proofErr w:type="spellStart"/>
      <w:r>
        <w:rPr>
          <w:lang w:eastAsia="en-AU"/>
        </w:rPr>
        <w:t>Canzanello</w:t>
      </w:r>
      <w:proofErr w:type="spellEnd"/>
      <w:r>
        <w:rPr>
          <w:lang w:eastAsia="en-AU"/>
        </w:rPr>
        <w:t xml:space="preserve">, N., Bendel, M. A., et al. (2021). Antibacterial envelope use for the prevention of surgical site infection in spinal cord stimulator implantation surgery: A retrospective review of 52 cases [Article]. </w:t>
      </w:r>
      <w:r>
        <w:rPr>
          <w:i/>
          <w:iCs/>
          <w:lang w:eastAsia="en-AU"/>
        </w:rPr>
        <w:t>Journal of Pain Research</w:t>
      </w:r>
      <w:r>
        <w:rPr>
          <w:lang w:eastAsia="en-AU"/>
        </w:rPr>
        <w:t>,</w:t>
      </w:r>
      <w:r>
        <w:rPr>
          <w:i/>
          <w:iCs/>
          <w:lang w:eastAsia="en-AU"/>
        </w:rPr>
        <w:t xml:space="preserve"> 14</w:t>
      </w:r>
      <w:r>
        <w:rPr>
          <w:lang w:eastAsia="en-AU"/>
        </w:rPr>
        <w:t xml:space="preserve">, 2249-22/doi.org/10.2147/JPR.S318886 </w:t>
      </w:r>
    </w:p>
    <w:p w14:paraId="6A173F2C" w14:textId="3C6FF270" w:rsidR="002B1D41" w:rsidRDefault="002B1D41" w:rsidP="00BE4358">
      <w:pPr>
        <w:pStyle w:val="References"/>
        <w:rPr>
          <w:lang w:eastAsia="en-AU"/>
        </w:rPr>
      </w:pPr>
      <w:r>
        <w:rPr>
          <w:lang w:eastAsia="en-AU"/>
        </w:rPr>
        <w:t xml:space="preserve">Hara, S., Andresen, H., Solheim, O., et al. (2022). Effect of Spinal Cord Burst Stimulation vs Placebo Stimulation on Disability in Patients with Chronic Radicular Pain after Lumbar Spine Surgery: A Randomized Clinical Trial [Article]. </w:t>
      </w:r>
      <w:r>
        <w:rPr>
          <w:i/>
          <w:iCs/>
          <w:lang w:eastAsia="en-AU"/>
        </w:rPr>
        <w:t>JAMA</w:t>
      </w:r>
      <w:r>
        <w:rPr>
          <w:lang w:eastAsia="en-AU"/>
        </w:rPr>
        <w:t>,</w:t>
      </w:r>
      <w:r>
        <w:rPr>
          <w:i/>
          <w:iCs/>
          <w:lang w:eastAsia="en-AU"/>
        </w:rPr>
        <w:t xml:space="preserve"> 328</w:t>
      </w:r>
      <w:r>
        <w:rPr>
          <w:lang w:eastAsia="en-AU"/>
        </w:rPr>
        <w:t xml:space="preserve">(15), 1506-15/doi.org/10.1001/jama.2022.18231 </w:t>
      </w:r>
    </w:p>
    <w:p w14:paraId="18DF5B58" w14:textId="38180F6C" w:rsidR="002B1D41" w:rsidRDefault="002B1D41" w:rsidP="00BE4358">
      <w:pPr>
        <w:pStyle w:val="References"/>
        <w:rPr>
          <w:lang w:eastAsia="en-AU"/>
        </w:rPr>
      </w:pPr>
      <w:proofErr w:type="spellStart"/>
      <w:r>
        <w:rPr>
          <w:lang w:eastAsia="en-AU"/>
        </w:rPr>
        <w:t>Hatheway</w:t>
      </w:r>
      <w:proofErr w:type="spellEnd"/>
      <w:r>
        <w:rPr>
          <w:lang w:eastAsia="en-AU"/>
        </w:rPr>
        <w:t xml:space="preserve">, J. A., Mangal, V., Fishman, M. A., et al. (2021). Long-Term Efficacy of a Novel Spinal Cord Stimulation Clinical Workflow Using Kilohertz Stimulation: Twelve-Month Results From the Vectors Study [Article]. </w:t>
      </w:r>
      <w:r>
        <w:rPr>
          <w:i/>
          <w:iCs/>
          <w:lang w:eastAsia="en-AU"/>
        </w:rPr>
        <w:t>Neuromodulation</w:t>
      </w:r>
      <w:r>
        <w:rPr>
          <w:lang w:eastAsia="en-AU"/>
        </w:rPr>
        <w:t>,</w:t>
      </w:r>
      <w:r>
        <w:rPr>
          <w:i/>
          <w:iCs/>
          <w:lang w:eastAsia="en-AU"/>
        </w:rPr>
        <w:t xml:space="preserve"> 24</w:t>
      </w:r>
      <w:r>
        <w:rPr>
          <w:lang w:eastAsia="en-AU"/>
        </w:rPr>
        <w:t xml:space="preserve">(3), 556-5/doi.org/10.1111/ner.13324 </w:t>
      </w:r>
    </w:p>
    <w:p w14:paraId="4900EEC7" w14:textId="1527748D" w:rsidR="00BE4358" w:rsidRDefault="00BE4358" w:rsidP="00BE4358">
      <w:pPr>
        <w:pStyle w:val="References"/>
        <w:rPr>
          <w:lang w:eastAsia="en-AU"/>
        </w:rPr>
      </w:pPr>
      <w:proofErr w:type="spellStart"/>
      <w:r>
        <w:rPr>
          <w:lang w:eastAsia="en-AU"/>
        </w:rPr>
        <w:t>Hautvast</w:t>
      </w:r>
      <w:proofErr w:type="spellEnd"/>
      <w:r>
        <w:rPr>
          <w:lang w:eastAsia="en-AU"/>
        </w:rPr>
        <w:t xml:space="preserve">, R. W., </w:t>
      </w:r>
      <w:proofErr w:type="spellStart"/>
      <w:r>
        <w:rPr>
          <w:lang w:eastAsia="en-AU"/>
        </w:rPr>
        <w:t>DeJongste</w:t>
      </w:r>
      <w:proofErr w:type="spellEnd"/>
      <w:r>
        <w:rPr>
          <w:lang w:eastAsia="en-AU"/>
        </w:rPr>
        <w:t xml:space="preserve">, M. J., </w:t>
      </w:r>
      <w:proofErr w:type="spellStart"/>
      <w:r>
        <w:rPr>
          <w:lang w:eastAsia="en-AU"/>
        </w:rPr>
        <w:t>Staal</w:t>
      </w:r>
      <w:proofErr w:type="spellEnd"/>
      <w:r>
        <w:rPr>
          <w:lang w:eastAsia="en-AU"/>
        </w:rPr>
        <w:t xml:space="preserve">, M. J., et al. (1998). Spinal cord stimulation in chronic intractable angina pectoris: a randomized, controlled efficacy study. </w:t>
      </w:r>
      <w:r>
        <w:rPr>
          <w:i/>
          <w:iCs/>
          <w:lang w:eastAsia="en-AU"/>
        </w:rPr>
        <w:t>Am Heart J</w:t>
      </w:r>
      <w:r>
        <w:rPr>
          <w:lang w:eastAsia="en-AU"/>
        </w:rPr>
        <w:t>,</w:t>
      </w:r>
      <w:r>
        <w:rPr>
          <w:i/>
          <w:iCs/>
          <w:lang w:eastAsia="en-AU"/>
        </w:rPr>
        <w:t xml:space="preserve"> 136</w:t>
      </w:r>
      <w:r>
        <w:rPr>
          <w:lang w:eastAsia="en-AU"/>
        </w:rPr>
        <w:t xml:space="preserve">(6), 1114-11/doi.org/10.1016/s0002-8703(98)70171-1 </w:t>
      </w:r>
    </w:p>
    <w:p w14:paraId="4BC00913" w14:textId="3C9682F8" w:rsidR="002B1D41" w:rsidRDefault="002B1D41" w:rsidP="00BE4358">
      <w:pPr>
        <w:pStyle w:val="References"/>
        <w:rPr>
          <w:lang w:eastAsia="en-AU"/>
        </w:rPr>
      </w:pPr>
      <w:r>
        <w:rPr>
          <w:lang w:eastAsia="en-AU"/>
        </w:rPr>
        <w:t xml:space="preserve">Hayek, S. M., </w:t>
      </w:r>
      <w:proofErr w:type="spellStart"/>
      <w:r>
        <w:rPr>
          <w:lang w:eastAsia="en-AU"/>
        </w:rPr>
        <w:t>Veizi</w:t>
      </w:r>
      <w:proofErr w:type="spellEnd"/>
      <w:r>
        <w:rPr>
          <w:lang w:eastAsia="en-AU"/>
        </w:rPr>
        <w:t xml:space="preserve">, E., &amp; Hanes, M. (2015). Treatment-limiting complications of percutaneous spinal cord stimulator implants: A review of eight years of experience from an academic </w:t>
      </w:r>
      <w:proofErr w:type="spellStart"/>
      <w:r>
        <w:rPr>
          <w:lang w:eastAsia="en-AU"/>
        </w:rPr>
        <w:t>center</w:t>
      </w:r>
      <w:proofErr w:type="spellEnd"/>
      <w:r>
        <w:rPr>
          <w:lang w:eastAsia="en-AU"/>
        </w:rPr>
        <w:t xml:space="preserve"> database [Article]. </w:t>
      </w:r>
      <w:r>
        <w:rPr>
          <w:i/>
          <w:iCs/>
          <w:lang w:eastAsia="en-AU"/>
        </w:rPr>
        <w:t>Neuromodulation</w:t>
      </w:r>
      <w:r>
        <w:rPr>
          <w:lang w:eastAsia="en-AU"/>
        </w:rPr>
        <w:t>,</w:t>
      </w:r>
      <w:r>
        <w:rPr>
          <w:i/>
          <w:iCs/>
          <w:lang w:eastAsia="en-AU"/>
        </w:rPr>
        <w:t xml:space="preserve"> 18</w:t>
      </w:r>
      <w:r>
        <w:rPr>
          <w:lang w:eastAsia="en-AU"/>
        </w:rPr>
        <w:t xml:space="preserve">(7), 603-6/doi.org/10.1111/ner.12312 </w:t>
      </w:r>
    </w:p>
    <w:p w14:paraId="2128EA08" w14:textId="17F9BBB1" w:rsidR="002B1D41" w:rsidRDefault="002B1D41" w:rsidP="00BE4358">
      <w:pPr>
        <w:pStyle w:val="References"/>
        <w:rPr>
          <w:lang w:eastAsia="en-AU"/>
        </w:rPr>
      </w:pPr>
      <w:proofErr w:type="spellStart"/>
      <w:r>
        <w:rPr>
          <w:lang w:eastAsia="en-AU"/>
        </w:rPr>
        <w:t>Hellström</w:t>
      </w:r>
      <w:proofErr w:type="spellEnd"/>
      <w:r>
        <w:rPr>
          <w:lang w:eastAsia="en-AU"/>
        </w:rPr>
        <w:t xml:space="preserve">, P. M., Lind, G., &amp; </w:t>
      </w:r>
      <w:proofErr w:type="spellStart"/>
      <w:r>
        <w:rPr>
          <w:lang w:eastAsia="en-AU"/>
        </w:rPr>
        <w:t>Linderoth</w:t>
      </w:r>
      <w:proofErr w:type="spellEnd"/>
      <w:r>
        <w:rPr>
          <w:lang w:eastAsia="en-AU"/>
        </w:rPr>
        <w:t xml:space="preserve">, B. (2013). Spinal cord stimulation in the irritable bowel syndrome-a randomized cross-over trial [Conference Abstract]. </w:t>
      </w:r>
      <w:r>
        <w:rPr>
          <w:i/>
          <w:iCs/>
          <w:lang w:eastAsia="en-AU"/>
        </w:rPr>
        <w:t>United European Gastroenterology Journal</w:t>
      </w:r>
      <w:r>
        <w:rPr>
          <w:lang w:eastAsia="en-AU"/>
        </w:rPr>
        <w:t>,</w:t>
      </w:r>
      <w:r>
        <w:rPr>
          <w:i/>
          <w:iCs/>
          <w:lang w:eastAsia="en-AU"/>
        </w:rPr>
        <w:t xml:space="preserve"> 1</w:t>
      </w:r>
      <w:r>
        <w:rPr>
          <w:lang w:eastAsia="en-AU"/>
        </w:rPr>
        <w:t xml:space="preserve">(1), A2/doi.org/10.1177/2050640613502900 </w:t>
      </w:r>
    </w:p>
    <w:p w14:paraId="03AC8750" w14:textId="4527537D" w:rsidR="00BE4358" w:rsidRDefault="00BE4358" w:rsidP="00BE4358">
      <w:pPr>
        <w:pStyle w:val="References"/>
        <w:rPr>
          <w:lang w:eastAsia="en-AU"/>
        </w:rPr>
      </w:pPr>
      <w:r>
        <w:rPr>
          <w:lang w:eastAsia="en-AU"/>
        </w:rPr>
        <w:t xml:space="preserve">Helm, S., </w:t>
      </w:r>
      <w:proofErr w:type="spellStart"/>
      <w:r>
        <w:rPr>
          <w:lang w:eastAsia="en-AU"/>
        </w:rPr>
        <w:t>Shirsat</w:t>
      </w:r>
      <w:proofErr w:type="spellEnd"/>
      <w:r>
        <w:rPr>
          <w:lang w:eastAsia="en-AU"/>
        </w:rPr>
        <w:t xml:space="preserve">, N., </w:t>
      </w:r>
      <w:proofErr w:type="spellStart"/>
      <w:r>
        <w:rPr>
          <w:lang w:eastAsia="en-AU"/>
        </w:rPr>
        <w:t>Calodney</w:t>
      </w:r>
      <w:proofErr w:type="spellEnd"/>
      <w:r>
        <w:rPr>
          <w:lang w:eastAsia="en-AU"/>
        </w:rPr>
        <w:t xml:space="preserve">, A., et al. (2021). Peripheral Nerve Stimulation for Chronic Pain: A Systematic Review of Effectiveness and Safety. </w:t>
      </w:r>
      <w:r>
        <w:rPr>
          <w:i/>
          <w:iCs/>
          <w:lang w:eastAsia="en-AU"/>
        </w:rPr>
        <w:t xml:space="preserve">Pain </w:t>
      </w:r>
      <w:proofErr w:type="spellStart"/>
      <w:r>
        <w:rPr>
          <w:i/>
          <w:iCs/>
          <w:lang w:eastAsia="en-AU"/>
        </w:rPr>
        <w:t>Ther</w:t>
      </w:r>
      <w:proofErr w:type="spellEnd"/>
      <w:r>
        <w:rPr>
          <w:lang w:eastAsia="en-AU"/>
        </w:rPr>
        <w:t>,</w:t>
      </w:r>
      <w:r>
        <w:rPr>
          <w:i/>
          <w:iCs/>
          <w:lang w:eastAsia="en-AU"/>
        </w:rPr>
        <w:t xml:space="preserve"> 10</w:t>
      </w:r>
      <w:r>
        <w:rPr>
          <w:lang w:eastAsia="en-AU"/>
        </w:rPr>
        <w:t xml:space="preserve">(2), 985-10/doi.org/10.1007/s40122-021-00306-4 </w:t>
      </w:r>
    </w:p>
    <w:p w14:paraId="39A6FD5D" w14:textId="5247C16C" w:rsidR="002B1D41" w:rsidRDefault="002B1D41" w:rsidP="00BE4358">
      <w:pPr>
        <w:pStyle w:val="References"/>
        <w:rPr>
          <w:lang w:eastAsia="en-AU"/>
        </w:rPr>
      </w:pPr>
      <w:proofErr w:type="spellStart"/>
      <w:r>
        <w:rPr>
          <w:lang w:eastAsia="en-AU"/>
        </w:rPr>
        <w:t>Hoelzer</w:t>
      </w:r>
      <w:proofErr w:type="spellEnd"/>
      <w:r>
        <w:rPr>
          <w:lang w:eastAsia="en-AU"/>
        </w:rPr>
        <w:t xml:space="preserve">, B. C., Edgar, D., Lu, S. P., et al. (2022). Indirect Comparison of 10 kHz Spinal Cord Stimulation (SCS) versus Traditional Low-Frequency SCS for the Treatment of Painful Diabetic Neuropathy: A Systematic Review of Randomized Controlled Trials. </w:t>
      </w:r>
      <w:r>
        <w:rPr>
          <w:i/>
          <w:iCs/>
          <w:lang w:eastAsia="en-AU"/>
        </w:rPr>
        <w:t>Biomedicines</w:t>
      </w:r>
      <w:r>
        <w:rPr>
          <w:lang w:eastAsia="en-AU"/>
        </w:rPr>
        <w:t>,</w:t>
      </w:r>
      <w:r>
        <w:rPr>
          <w:i/>
          <w:iCs/>
          <w:lang w:eastAsia="en-AU"/>
        </w:rPr>
        <w:t xml:space="preserve"> 10</w:t>
      </w:r>
      <w:r>
        <w:rPr>
          <w:lang w:eastAsia="en-AU"/>
        </w:rPr>
        <w:t xml:space="preserve">(1/doi.org/10.3390/biomedicines10102630 </w:t>
      </w:r>
    </w:p>
    <w:p w14:paraId="5652A510" w14:textId="5A981200" w:rsidR="002B1D41" w:rsidRDefault="002B1D41" w:rsidP="00BE4358">
      <w:pPr>
        <w:pStyle w:val="References"/>
        <w:rPr>
          <w:lang w:eastAsia="en-AU"/>
        </w:rPr>
      </w:pPr>
      <w:r>
        <w:rPr>
          <w:lang w:eastAsia="en-AU"/>
        </w:rPr>
        <w:t xml:space="preserve">Hollingworth, W., Turner, J. A., Welton, N. J., et al. (2011). Costs and cost-effectiveness of spinal cord stimulation (SCS) for failed back surgery syndrome: An observational study in a workers compensation population [Article]. </w:t>
      </w:r>
      <w:r>
        <w:rPr>
          <w:i/>
          <w:iCs/>
          <w:lang w:eastAsia="en-AU"/>
        </w:rPr>
        <w:t>Spine</w:t>
      </w:r>
      <w:r>
        <w:rPr>
          <w:lang w:eastAsia="en-AU"/>
        </w:rPr>
        <w:t>,</w:t>
      </w:r>
      <w:r>
        <w:rPr>
          <w:i/>
          <w:iCs/>
          <w:lang w:eastAsia="en-AU"/>
        </w:rPr>
        <w:t xml:space="preserve"> 36</w:t>
      </w:r>
      <w:r>
        <w:rPr>
          <w:lang w:eastAsia="en-AU"/>
        </w:rPr>
        <w:t xml:space="preserve">(24), 2076-20/doi.org/10.1097/BRS.0b013e31822a867c </w:t>
      </w:r>
    </w:p>
    <w:p w14:paraId="3B932D35" w14:textId="786D12A5" w:rsidR="002B1D41" w:rsidRDefault="002B1D41" w:rsidP="00BE4358">
      <w:pPr>
        <w:pStyle w:val="References"/>
        <w:rPr>
          <w:lang w:eastAsia="en-AU"/>
        </w:rPr>
      </w:pPr>
      <w:r>
        <w:rPr>
          <w:lang w:eastAsia="en-AU"/>
        </w:rPr>
        <w:t xml:space="preserve">Hornberger, J., Kumar, K., Verhulst, E., et al. (2008). Rechargeable spinal cord stimulation versus non-rechargeable system for patients with failed back surgery syndrome: a cost-consequences analysis. </w:t>
      </w:r>
      <w:r>
        <w:rPr>
          <w:i/>
          <w:iCs/>
          <w:lang w:eastAsia="en-AU"/>
        </w:rPr>
        <w:t>Clin J Pain</w:t>
      </w:r>
      <w:r>
        <w:rPr>
          <w:lang w:eastAsia="en-AU"/>
        </w:rPr>
        <w:t>,</w:t>
      </w:r>
      <w:r>
        <w:rPr>
          <w:i/>
          <w:iCs/>
          <w:lang w:eastAsia="en-AU"/>
        </w:rPr>
        <w:t xml:space="preserve"> 24</w:t>
      </w:r>
      <w:r>
        <w:rPr>
          <w:lang w:eastAsia="en-AU"/>
        </w:rPr>
        <w:t xml:space="preserve">(3), 244-2/doi.org/10.1097/AJP.0b013e318160216a </w:t>
      </w:r>
    </w:p>
    <w:p w14:paraId="2A2E465B" w14:textId="3E152F56" w:rsidR="00BE4358" w:rsidRDefault="00BE4358" w:rsidP="00BE4358">
      <w:pPr>
        <w:pStyle w:val="References"/>
        <w:rPr>
          <w:lang w:eastAsia="en-AU"/>
        </w:rPr>
      </w:pPr>
      <w:r>
        <w:rPr>
          <w:lang w:eastAsia="en-AU"/>
        </w:rPr>
        <w:t xml:space="preserve">Hunter, C. W., </w:t>
      </w:r>
      <w:proofErr w:type="spellStart"/>
      <w:r>
        <w:rPr>
          <w:lang w:eastAsia="en-AU"/>
        </w:rPr>
        <w:t>Rosenow</w:t>
      </w:r>
      <w:proofErr w:type="spellEnd"/>
      <w:r>
        <w:rPr>
          <w:lang w:eastAsia="en-AU"/>
        </w:rPr>
        <w:t xml:space="preserve">, J., &amp; Russo, M. (2023). Spinal Cord Burst Stimulation vs Placebo Stimulation for Patients With Chronic Radicular Pain After Lumbar Spine Surgery [Letter]. </w:t>
      </w:r>
      <w:r>
        <w:rPr>
          <w:i/>
          <w:iCs/>
          <w:lang w:eastAsia="en-AU"/>
        </w:rPr>
        <w:t>JAMA</w:t>
      </w:r>
      <w:r>
        <w:rPr>
          <w:lang w:eastAsia="en-AU"/>
        </w:rPr>
        <w:t>,</w:t>
      </w:r>
      <w:r>
        <w:rPr>
          <w:i/>
          <w:iCs/>
          <w:lang w:eastAsia="en-AU"/>
        </w:rPr>
        <w:t xml:space="preserve"> 329</w:t>
      </w:r>
      <w:r>
        <w:rPr>
          <w:lang w:eastAsia="en-AU"/>
        </w:rPr>
        <w:t xml:space="preserve">(10), 847-8/doi.org/10.1001/jama.2022.24751 </w:t>
      </w:r>
    </w:p>
    <w:p w14:paraId="4C4DD40B" w14:textId="72930054" w:rsidR="00BE4358" w:rsidRDefault="00BE4358" w:rsidP="00BE4358">
      <w:pPr>
        <w:pStyle w:val="References"/>
        <w:rPr>
          <w:lang w:eastAsia="en-AU"/>
        </w:rPr>
      </w:pPr>
      <w:r>
        <w:rPr>
          <w:lang w:eastAsia="en-AU"/>
        </w:rPr>
        <w:t xml:space="preserve">Hussain, N., </w:t>
      </w:r>
      <w:proofErr w:type="spellStart"/>
      <w:r>
        <w:rPr>
          <w:lang w:eastAsia="en-AU"/>
        </w:rPr>
        <w:t>Orhurhu</w:t>
      </w:r>
      <w:proofErr w:type="spellEnd"/>
      <w:r>
        <w:rPr>
          <w:lang w:eastAsia="en-AU"/>
        </w:rPr>
        <w:t xml:space="preserve">, V., &amp; D'Souza, R. (2023). Spinal Cord Burst Stimulation vs Placebo Stimulation for Patients With Chronic Radicular Pain After Lumbar Spine Surgery [Letter]. </w:t>
      </w:r>
      <w:r>
        <w:rPr>
          <w:i/>
          <w:iCs/>
          <w:lang w:eastAsia="en-AU"/>
        </w:rPr>
        <w:t>JAMA</w:t>
      </w:r>
      <w:r>
        <w:rPr>
          <w:lang w:eastAsia="en-AU"/>
        </w:rPr>
        <w:t>,</w:t>
      </w:r>
      <w:r>
        <w:rPr>
          <w:i/>
          <w:iCs/>
          <w:lang w:eastAsia="en-AU"/>
        </w:rPr>
        <w:t xml:space="preserve"> 329</w:t>
      </w:r>
      <w:r>
        <w:rPr>
          <w:lang w:eastAsia="en-AU"/>
        </w:rPr>
        <w:t xml:space="preserve">(10), 845-8/doi.org/10.1001/jama.2022.24739 </w:t>
      </w:r>
    </w:p>
    <w:p w14:paraId="183A0E4B" w14:textId="0AC4C1F9" w:rsidR="002B1D41" w:rsidRDefault="002B1D41" w:rsidP="00BE4358">
      <w:pPr>
        <w:pStyle w:val="References"/>
        <w:rPr>
          <w:lang w:eastAsia="en-AU"/>
        </w:rPr>
      </w:pPr>
      <w:proofErr w:type="spellStart"/>
      <w:r>
        <w:rPr>
          <w:lang w:eastAsia="en-AU"/>
        </w:rPr>
        <w:t>Huygen</w:t>
      </w:r>
      <w:proofErr w:type="spellEnd"/>
      <w:r>
        <w:rPr>
          <w:lang w:eastAsia="en-AU"/>
        </w:rPr>
        <w:t xml:space="preserve">, F. J. P. M., </w:t>
      </w:r>
      <w:proofErr w:type="spellStart"/>
      <w:r>
        <w:rPr>
          <w:lang w:eastAsia="en-AU"/>
        </w:rPr>
        <w:t>Liem</w:t>
      </w:r>
      <w:proofErr w:type="spellEnd"/>
      <w:r>
        <w:rPr>
          <w:lang w:eastAsia="en-AU"/>
        </w:rPr>
        <w:t xml:space="preserve">, L., Nijhuis, H., et al. (2019). Evaluating Dorsal Root Ganglion Stimulation in a Prospective Dutch Cohort [Article]. </w:t>
      </w:r>
      <w:r>
        <w:rPr>
          <w:i/>
          <w:iCs/>
          <w:lang w:eastAsia="en-AU"/>
        </w:rPr>
        <w:t>Neuromodulation</w:t>
      </w:r>
      <w:r>
        <w:rPr>
          <w:lang w:eastAsia="en-AU"/>
        </w:rPr>
        <w:t>,</w:t>
      </w:r>
      <w:r>
        <w:rPr>
          <w:i/>
          <w:iCs/>
          <w:lang w:eastAsia="en-AU"/>
        </w:rPr>
        <w:t xml:space="preserve"> 22</w:t>
      </w:r>
      <w:r>
        <w:rPr>
          <w:lang w:eastAsia="en-AU"/>
        </w:rPr>
        <w:t xml:space="preserve">(1), 80-/doi.org/10.1111/ner.12798 </w:t>
      </w:r>
    </w:p>
    <w:p w14:paraId="2323A0CF" w14:textId="36CCE24E" w:rsidR="00BE4358" w:rsidRDefault="00BE4358" w:rsidP="00BE4358">
      <w:pPr>
        <w:pStyle w:val="References"/>
        <w:rPr>
          <w:lang w:eastAsia="en-AU"/>
        </w:rPr>
      </w:pPr>
      <w:proofErr w:type="spellStart"/>
      <w:r>
        <w:rPr>
          <w:lang w:eastAsia="en-AU"/>
        </w:rPr>
        <w:t>Jivegård</w:t>
      </w:r>
      <w:proofErr w:type="spellEnd"/>
      <w:r>
        <w:rPr>
          <w:lang w:eastAsia="en-AU"/>
        </w:rPr>
        <w:t xml:space="preserve">, L. E., </w:t>
      </w:r>
      <w:proofErr w:type="spellStart"/>
      <w:r>
        <w:rPr>
          <w:lang w:eastAsia="en-AU"/>
        </w:rPr>
        <w:t>Augustinsson</w:t>
      </w:r>
      <w:proofErr w:type="spellEnd"/>
      <w:r>
        <w:rPr>
          <w:lang w:eastAsia="en-AU"/>
        </w:rPr>
        <w:t xml:space="preserve">, L. E., Holm, J., et al. (1995). Effects of spinal cord stimulation (SCS) in patients with inoperable severe lower limb </w:t>
      </w:r>
      <w:proofErr w:type="spellStart"/>
      <w:r>
        <w:rPr>
          <w:lang w:eastAsia="en-AU"/>
        </w:rPr>
        <w:t>ischaemia</w:t>
      </w:r>
      <w:proofErr w:type="spellEnd"/>
      <w:r>
        <w:rPr>
          <w:lang w:eastAsia="en-AU"/>
        </w:rPr>
        <w:t xml:space="preserve">: a prospective randomised controlled study. </w:t>
      </w:r>
      <w:proofErr w:type="spellStart"/>
      <w:r>
        <w:rPr>
          <w:i/>
          <w:iCs/>
          <w:lang w:eastAsia="en-AU"/>
        </w:rPr>
        <w:t>Eur</w:t>
      </w:r>
      <w:proofErr w:type="spellEnd"/>
      <w:r>
        <w:rPr>
          <w:i/>
          <w:iCs/>
          <w:lang w:eastAsia="en-AU"/>
        </w:rPr>
        <w:t xml:space="preserve"> J </w:t>
      </w:r>
      <w:proofErr w:type="spellStart"/>
      <w:r>
        <w:rPr>
          <w:i/>
          <w:iCs/>
          <w:lang w:eastAsia="en-AU"/>
        </w:rPr>
        <w:t>Vasc</w:t>
      </w:r>
      <w:proofErr w:type="spellEnd"/>
      <w:r>
        <w:rPr>
          <w:i/>
          <w:iCs/>
          <w:lang w:eastAsia="en-AU"/>
        </w:rPr>
        <w:t xml:space="preserve"> </w:t>
      </w:r>
      <w:proofErr w:type="spellStart"/>
      <w:r>
        <w:rPr>
          <w:i/>
          <w:iCs/>
          <w:lang w:eastAsia="en-AU"/>
        </w:rPr>
        <w:t>Endovasc</w:t>
      </w:r>
      <w:proofErr w:type="spellEnd"/>
      <w:r>
        <w:rPr>
          <w:i/>
          <w:iCs/>
          <w:lang w:eastAsia="en-AU"/>
        </w:rPr>
        <w:t xml:space="preserve"> Surg</w:t>
      </w:r>
      <w:r>
        <w:rPr>
          <w:lang w:eastAsia="en-AU"/>
        </w:rPr>
        <w:t>,</w:t>
      </w:r>
      <w:r>
        <w:rPr>
          <w:i/>
          <w:iCs/>
          <w:lang w:eastAsia="en-AU"/>
        </w:rPr>
        <w:t xml:space="preserve"> 9</w:t>
      </w:r>
      <w:r>
        <w:rPr>
          <w:lang w:eastAsia="en-AU"/>
        </w:rPr>
        <w:t xml:space="preserve">(4), 421-4/doi.org/10.1016/s1078-5884(05)80010-3 </w:t>
      </w:r>
    </w:p>
    <w:p w14:paraId="06430407" w14:textId="38696B11" w:rsidR="002B1D41" w:rsidRDefault="002B1D41" w:rsidP="00BE4358">
      <w:pPr>
        <w:pStyle w:val="References"/>
        <w:rPr>
          <w:lang w:eastAsia="en-AU"/>
        </w:rPr>
      </w:pPr>
      <w:r>
        <w:rPr>
          <w:lang w:eastAsia="en-AU"/>
        </w:rPr>
        <w:t xml:space="preserve">Jones, C. M. P., Shaheed, C. A., Ferreira, G., et al. (2022). Spinal Cord Stimulators: An Analysis of the Adverse Events Reported to the Australian Therapeutic Goods Administration [Article]. </w:t>
      </w:r>
      <w:r>
        <w:rPr>
          <w:i/>
          <w:iCs/>
          <w:lang w:eastAsia="en-AU"/>
        </w:rPr>
        <w:t>Journal of patient safety</w:t>
      </w:r>
      <w:r>
        <w:rPr>
          <w:lang w:eastAsia="en-AU"/>
        </w:rPr>
        <w:t>,</w:t>
      </w:r>
      <w:r>
        <w:rPr>
          <w:i/>
          <w:iCs/>
          <w:lang w:eastAsia="en-AU"/>
        </w:rPr>
        <w:t xml:space="preserve"> 18</w:t>
      </w:r>
      <w:r>
        <w:rPr>
          <w:lang w:eastAsia="en-AU"/>
        </w:rPr>
        <w:t xml:space="preserve">(5), 507-5/doi.org/10.1097/PTS.0000000000000971 </w:t>
      </w:r>
    </w:p>
    <w:p w14:paraId="53FE3D89" w14:textId="2195F1DE" w:rsidR="002B1D41" w:rsidRDefault="002B1D41" w:rsidP="00BE4358">
      <w:pPr>
        <w:pStyle w:val="References"/>
        <w:rPr>
          <w:lang w:eastAsia="en-AU"/>
        </w:rPr>
      </w:pPr>
      <w:r>
        <w:rPr>
          <w:lang w:eastAsia="en-AU"/>
        </w:rPr>
        <w:t xml:space="preserve">Kable, A. K., </w:t>
      </w:r>
      <w:proofErr w:type="spellStart"/>
      <w:r>
        <w:rPr>
          <w:lang w:eastAsia="en-AU"/>
        </w:rPr>
        <w:t>Gibberd</w:t>
      </w:r>
      <w:proofErr w:type="spellEnd"/>
      <w:r>
        <w:rPr>
          <w:lang w:eastAsia="en-AU"/>
        </w:rPr>
        <w:t xml:space="preserve">, R. W., &amp; </w:t>
      </w:r>
      <w:proofErr w:type="spellStart"/>
      <w:r>
        <w:rPr>
          <w:lang w:eastAsia="en-AU"/>
        </w:rPr>
        <w:t>Spigelman</w:t>
      </w:r>
      <w:proofErr w:type="spellEnd"/>
      <w:r>
        <w:rPr>
          <w:lang w:eastAsia="en-AU"/>
        </w:rPr>
        <w:t xml:space="preserve">, A. D. (2002). Adverse events in surgical patients in Australia [Article]. </w:t>
      </w:r>
      <w:r>
        <w:rPr>
          <w:i/>
          <w:iCs/>
          <w:lang w:eastAsia="en-AU"/>
        </w:rPr>
        <w:t>International Journal for Quality in Health Care</w:t>
      </w:r>
      <w:r>
        <w:rPr>
          <w:lang w:eastAsia="en-AU"/>
        </w:rPr>
        <w:t>,</w:t>
      </w:r>
      <w:r>
        <w:rPr>
          <w:i/>
          <w:iCs/>
          <w:lang w:eastAsia="en-AU"/>
        </w:rPr>
        <w:t xml:space="preserve"> 14</w:t>
      </w:r>
      <w:r>
        <w:rPr>
          <w:lang w:eastAsia="en-AU"/>
        </w:rPr>
        <w:t>(4), 269-2/doi.org/10.1093/</w:t>
      </w:r>
      <w:proofErr w:type="spellStart"/>
      <w:r>
        <w:rPr>
          <w:lang w:eastAsia="en-AU"/>
        </w:rPr>
        <w:t>intqhc</w:t>
      </w:r>
      <w:proofErr w:type="spellEnd"/>
      <w:r>
        <w:rPr>
          <w:lang w:eastAsia="en-AU"/>
        </w:rPr>
        <w:t xml:space="preserve">/14.4.269 </w:t>
      </w:r>
    </w:p>
    <w:p w14:paraId="5B8B8510" w14:textId="1894F8B8" w:rsidR="002B1D41" w:rsidRDefault="002B1D41" w:rsidP="00BE4358">
      <w:pPr>
        <w:pStyle w:val="References"/>
        <w:rPr>
          <w:lang w:eastAsia="en-AU"/>
        </w:rPr>
      </w:pPr>
      <w:proofErr w:type="spellStart"/>
      <w:r>
        <w:rPr>
          <w:lang w:eastAsia="en-AU"/>
        </w:rPr>
        <w:t>Kallewaard</w:t>
      </w:r>
      <w:proofErr w:type="spellEnd"/>
      <w:r>
        <w:rPr>
          <w:lang w:eastAsia="en-AU"/>
        </w:rPr>
        <w:t xml:space="preserve">, J. W., Billet, B., Van </w:t>
      </w:r>
      <w:proofErr w:type="spellStart"/>
      <w:r>
        <w:rPr>
          <w:lang w:eastAsia="en-AU"/>
        </w:rPr>
        <w:t>Paesschen</w:t>
      </w:r>
      <w:proofErr w:type="spellEnd"/>
      <w:r>
        <w:rPr>
          <w:lang w:eastAsia="en-AU"/>
        </w:rPr>
        <w:t xml:space="preserve">, R., et al. (2022). / #684 EUROPEAN RANDOMIZED CONTROLLED TRIAL TO STUDY THE EFFECTS OF DIFFERENTIAL TARGET MULTIPLEXED SCS IN TREATING INTRACTABLE CHRONIC BACK PAIN WITHOUT PREVIOUS LUMBAR SPINE SURGERY: TRACK 3: NEUROSTIMULATION FOR BACK AND LEG PAIN [Conference Abstract]. </w:t>
      </w:r>
      <w:r>
        <w:rPr>
          <w:i/>
          <w:iCs/>
          <w:lang w:eastAsia="en-AU"/>
        </w:rPr>
        <w:t>Neuromodulation</w:t>
      </w:r>
      <w:r>
        <w:rPr>
          <w:lang w:eastAsia="en-AU"/>
        </w:rPr>
        <w:t>,</w:t>
      </w:r>
      <w:r>
        <w:rPr>
          <w:i/>
          <w:iCs/>
          <w:lang w:eastAsia="en-AU"/>
        </w:rPr>
        <w:t xml:space="preserve"> 25</w:t>
      </w:r>
      <w:r>
        <w:rPr>
          <w:lang w:eastAsia="en-AU"/>
        </w:rPr>
        <w:t xml:space="preserve">(7), S150-S1/doi.org/10.1016/j.neurom.2022.08.163 </w:t>
      </w:r>
    </w:p>
    <w:p w14:paraId="127C9DEB" w14:textId="7600D4BC" w:rsidR="002B1D41" w:rsidRDefault="002B1D41" w:rsidP="00BE4358">
      <w:pPr>
        <w:pStyle w:val="References"/>
        <w:rPr>
          <w:lang w:eastAsia="en-AU"/>
        </w:rPr>
      </w:pPr>
      <w:proofErr w:type="spellStart"/>
      <w:r>
        <w:rPr>
          <w:lang w:eastAsia="en-AU"/>
        </w:rPr>
        <w:lastRenderedPageBreak/>
        <w:t>Kallewaard</w:t>
      </w:r>
      <w:proofErr w:type="spellEnd"/>
      <w:r>
        <w:rPr>
          <w:lang w:eastAsia="en-AU"/>
        </w:rPr>
        <w:t xml:space="preserve">, J. W., </w:t>
      </w:r>
      <w:proofErr w:type="spellStart"/>
      <w:r>
        <w:rPr>
          <w:lang w:eastAsia="en-AU"/>
        </w:rPr>
        <w:t>Gültuna</w:t>
      </w:r>
      <w:proofErr w:type="spellEnd"/>
      <w:r>
        <w:rPr>
          <w:lang w:eastAsia="en-AU"/>
        </w:rPr>
        <w:t xml:space="preserve">, I., Hoffmann, V., et al. (2021). 10 kHz Spinal Cord Stimulation for the Treatment of Failed Back Surgery Syndrome with Predominant Leg Pain: Results from a Prospective Study in Patients from the Dutch Healthcare System [Article]. </w:t>
      </w:r>
      <w:r>
        <w:rPr>
          <w:i/>
          <w:iCs/>
          <w:lang w:eastAsia="en-AU"/>
        </w:rPr>
        <w:t>Pain Practice</w:t>
      </w:r>
      <w:r>
        <w:rPr>
          <w:lang w:eastAsia="en-AU"/>
        </w:rPr>
        <w:t>,</w:t>
      </w:r>
      <w:r>
        <w:rPr>
          <w:i/>
          <w:iCs/>
          <w:lang w:eastAsia="en-AU"/>
        </w:rPr>
        <w:t xml:space="preserve"> 21</w:t>
      </w:r>
      <w:r>
        <w:rPr>
          <w:lang w:eastAsia="en-AU"/>
        </w:rPr>
        <w:t xml:space="preserve">(5), 490-5/doi.org/10.1111/papr.12973 </w:t>
      </w:r>
    </w:p>
    <w:p w14:paraId="51C2F173" w14:textId="648FD5E3" w:rsidR="002B1D41" w:rsidRDefault="002B1D41" w:rsidP="00BE4358">
      <w:pPr>
        <w:pStyle w:val="References"/>
        <w:rPr>
          <w:lang w:eastAsia="en-AU"/>
        </w:rPr>
      </w:pPr>
      <w:proofErr w:type="spellStart"/>
      <w:r>
        <w:rPr>
          <w:lang w:eastAsia="en-AU"/>
        </w:rPr>
        <w:t>Kapural</w:t>
      </w:r>
      <w:proofErr w:type="spellEnd"/>
      <w:r>
        <w:rPr>
          <w:lang w:eastAsia="en-AU"/>
        </w:rPr>
        <w:t xml:space="preserve">, L., Jameson, J., Johnson, C., et al. (2022). Treatment of nonsurgical refractory back pain with high-frequency spinal cord stimulation at 10 kHz: 12-month results of a pragmatic, </w:t>
      </w:r>
      <w:proofErr w:type="spellStart"/>
      <w:r>
        <w:rPr>
          <w:lang w:eastAsia="en-AU"/>
        </w:rPr>
        <w:t>multicenter</w:t>
      </w:r>
      <w:proofErr w:type="spellEnd"/>
      <w:r>
        <w:rPr>
          <w:lang w:eastAsia="en-AU"/>
        </w:rPr>
        <w:t xml:space="preserve">, randomized controlled trial [Article]. </w:t>
      </w:r>
      <w:r>
        <w:rPr>
          <w:i/>
          <w:iCs/>
          <w:lang w:eastAsia="en-AU"/>
        </w:rPr>
        <w:t>Journal of Neurosurgery: Spine</w:t>
      </w:r>
      <w:r>
        <w:rPr>
          <w:lang w:eastAsia="en-AU"/>
        </w:rPr>
        <w:t>,</w:t>
      </w:r>
      <w:r>
        <w:rPr>
          <w:i/>
          <w:iCs/>
          <w:lang w:eastAsia="en-AU"/>
        </w:rPr>
        <w:t xml:space="preserve"> 37</w:t>
      </w:r>
      <w:r>
        <w:rPr>
          <w:lang w:eastAsia="en-AU"/>
        </w:rPr>
        <w:t xml:space="preserve">(2), 188-1/doi.org/10.3171/2021.12.SPINE211301 </w:t>
      </w:r>
    </w:p>
    <w:p w14:paraId="3EB5A1A5" w14:textId="1D2EA841" w:rsidR="002B1D41" w:rsidRDefault="002B1D41" w:rsidP="00BE4358">
      <w:pPr>
        <w:pStyle w:val="References"/>
        <w:rPr>
          <w:lang w:eastAsia="en-AU"/>
        </w:rPr>
      </w:pPr>
      <w:proofErr w:type="spellStart"/>
      <w:r>
        <w:rPr>
          <w:lang w:eastAsia="en-AU"/>
        </w:rPr>
        <w:t>Kapural</w:t>
      </w:r>
      <w:proofErr w:type="spellEnd"/>
      <w:r>
        <w:rPr>
          <w:lang w:eastAsia="en-AU"/>
        </w:rPr>
        <w:t>, L., Yu, C., Doust, M. W., et al. (</w:t>
      </w:r>
      <w:r w:rsidR="00BE4358">
        <w:rPr>
          <w:lang w:eastAsia="en-AU"/>
        </w:rPr>
        <w:t>2015). Novel</w:t>
      </w:r>
      <w:r>
        <w:rPr>
          <w:lang w:eastAsia="en-AU"/>
        </w:rPr>
        <w:t xml:space="preserve"> 10-kHz High-</w:t>
      </w:r>
      <w:r w:rsidR="00BE4358">
        <w:rPr>
          <w:lang w:eastAsia="en-AU"/>
        </w:rPr>
        <w:t>frequency Therapy (HF10 Therapy) Is Superior to</w:t>
      </w:r>
      <w:r>
        <w:rPr>
          <w:lang w:eastAsia="en-AU"/>
        </w:rPr>
        <w:t xml:space="preserve"> Traditional Low-</w:t>
      </w:r>
      <w:r w:rsidR="00BE4358">
        <w:rPr>
          <w:lang w:eastAsia="en-AU"/>
        </w:rPr>
        <w:t>frequency</w:t>
      </w:r>
      <w:r>
        <w:rPr>
          <w:lang w:eastAsia="en-AU"/>
        </w:rPr>
        <w:t xml:space="preserve"> Spinal Cord Stimulation for the Treatment of Chronic Back and Leg Pain [Article]. </w:t>
      </w:r>
      <w:proofErr w:type="spellStart"/>
      <w:r w:rsidR="00BE4358">
        <w:rPr>
          <w:i/>
          <w:iCs/>
          <w:lang w:eastAsia="en-AU"/>
        </w:rPr>
        <w:t>Anesthesiology</w:t>
      </w:r>
      <w:proofErr w:type="spellEnd"/>
      <w:r w:rsidR="00BE4358">
        <w:rPr>
          <w:lang w:eastAsia="en-AU"/>
        </w:rPr>
        <w:t>,</w:t>
      </w:r>
      <w:r w:rsidR="00BE4358">
        <w:rPr>
          <w:i/>
          <w:iCs/>
          <w:lang w:eastAsia="en-AU"/>
        </w:rPr>
        <w:t xml:space="preserve"> 123</w:t>
      </w:r>
      <w:r w:rsidR="00BE4358">
        <w:rPr>
          <w:lang w:eastAsia="en-AU"/>
        </w:rPr>
        <w:t>(4), 851-8</w:t>
      </w:r>
      <w:r>
        <w:rPr>
          <w:lang w:eastAsia="en-AU"/>
        </w:rPr>
        <w:t>/doi.org/10.</w:t>
      </w:r>
      <w:r w:rsidR="00BE4358">
        <w:rPr>
          <w:lang w:eastAsia="en-AU"/>
        </w:rPr>
        <w:t xml:space="preserve">1097/ALN.0000000000000774 </w:t>
      </w:r>
    </w:p>
    <w:p w14:paraId="7525F9FB" w14:textId="0169DE62" w:rsidR="00BE4358" w:rsidRDefault="002B1D41" w:rsidP="00BE4358">
      <w:pPr>
        <w:pStyle w:val="References"/>
        <w:rPr>
          <w:lang w:eastAsia="en-AU"/>
        </w:rPr>
      </w:pPr>
      <w:proofErr w:type="spellStart"/>
      <w:r>
        <w:rPr>
          <w:lang w:eastAsia="en-AU"/>
        </w:rPr>
        <w:t>Kapural</w:t>
      </w:r>
      <w:proofErr w:type="spellEnd"/>
      <w:r>
        <w:rPr>
          <w:lang w:eastAsia="en-AU"/>
        </w:rPr>
        <w:t>, L., Yu, C., Doust, M. W., et al. (</w:t>
      </w:r>
      <w:r w:rsidR="00BE4358">
        <w:rPr>
          <w:lang w:eastAsia="en-AU"/>
        </w:rPr>
        <w:t xml:space="preserve">2016). Comparison of </w:t>
      </w:r>
      <w:r>
        <w:rPr>
          <w:lang w:eastAsia="en-AU"/>
        </w:rPr>
        <w:t>10-kHz High-</w:t>
      </w:r>
      <w:r w:rsidR="00BE4358">
        <w:rPr>
          <w:lang w:eastAsia="en-AU"/>
        </w:rPr>
        <w:t xml:space="preserve">Frequency and </w:t>
      </w:r>
      <w:r>
        <w:rPr>
          <w:lang w:eastAsia="en-AU"/>
        </w:rPr>
        <w:t>Traditional Low-</w:t>
      </w:r>
      <w:r w:rsidR="00BE4358">
        <w:rPr>
          <w:lang w:eastAsia="en-AU"/>
        </w:rPr>
        <w:t>Frequency</w:t>
      </w:r>
      <w:r>
        <w:rPr>
          <w:lang w:eastAsia="en-AU"/>
        </w:rPr>
        <w:t xml:space="preserve"> Spinal Cord Stimulation for the Treatment of Chronic Back and Leg Pain</w:t>
      </w:r>
      <w:r w:rsidR="00BE4358">
        <w:rPr>
          <w:lang w:eastAsia="en-AU"/>
        </w:rPr>
        <w:t xml:space="preserve">: 24-Month Results from a </w:t>
      </w:r>
      <w:proofErr w:type="spellStart"/>
      <w:r w:rsidR="00BE4358">
        <w:rPr>
          <w:lang w:eastAsia="en-AU"/>
        </w:rPr>
        <w:t>Multicenter</w:t>
      </w:r>
      <w:proofErr w:type="spellEnd"/>
      <w:r w:rsidR="00BE4358">
        <w:rPr>
          <w:lang w:eastAsia="en-AU"/>
        </w:rPr>
        <w:t>, Randomized, Controlled Pivotal Trial</w:t>
      </w:r>
      <w:r>
        <w:rPr>
          <w:lang w:eastAsia="en-AU"/>
        </w:rPr>
        <w:t xml:space="preserve"> [Article]. </w:t>
      </w:r>
      <w:r w:rsidR="00BE4358">
        <w:rPr>
          <w:i/>
          <w:iCs/>
          <w:lang w:eastAsia="en-AU"/>
        </w:rPr>
        <w:t>Neurosurgery</w:t>
      </w:r>
      <w:r w:rsidR="00BE4358">
        <w:rPr>
          <w:lang w:eastAsia="en-AU"/>
        </w:rPr>
        <w:t>,</w:t>
      </w:r>
      <w:r w:rsidR="00BE4358">
        <w:rPr>
          <w:i/>
          <w:iCs/>
          <w:lang w:eastAsia="en-AU"/>
        </w:rPr>
        <w:t xml:space="preserve"> 79</w:t>
      </w:r>
      <w:r w:rsidR="00BE4358">
        <w:rPr>
          <w:lang w:eastAsia="en-AU"/>
        </w:rPr>
        <w:t xml:space="preserve">(5), 667-6/doi.org/10.1227/NEU.0000000000001418 </w:t>
      </w:r>
    </w:p>
    <w:p w14:paraId="4CF4014D" w14:textId="31D2515C" w:rsidR="00BE4358" w:rsidRDefault="00BE4358" w:rsidP="00BE4358">
      <w:pPr>
        <w:pStyle w:val="References"/>
        <w:rPr>
          <w:lang w:eastAsia="en-AU"/>
        </w:rPr>
      </w:pPr>
      <w:r>
        <w:rPr>
          <w:lang w:eastAsia="en-AU"/>
        </w:rPr>
        <w:t xml:space="preserve">Katz, N., Dworkin, R. H., North, R., et al. (2021). Research design considerations for randomized controlled trials of spinal cord stimulation for pain: Initiative on Methods, Measurement, and Pain Assessment in Clinical Trials/Institute of Neuromodulation/International Neuromodulation Society recommendations. </w:t>
      </w:r>
      <w:r>
        <w:rPr>
          <w:i/>
          <w:iCs/>
          <w:lang w:eastAsia="en-AU"/>
        </w:rPr>
        <w:t>Pain</w:t>
      </w:r>
      <w:r>
        <w:rPr>
          <w:lang w:eastAsia="en-AU"/>
        </w:rPr>
        <w:t>,</w:t>
      </w:r>
      <w:r>
        <w:rPr>
          <w:i/>
          <w:iCs/>
          <w:lang w:eastAsia="en-AU"/>
        </w:rPr>
        <w:t xml:space="preserve"> 162</w:t>
      </w:r>
      <w:r>
        <w:rPr>
          <w:lang w:eastAsia="en-AU"/>
        </w:rPr>
        <w:t>(7), 1935-19</w:t>
      </w:r>
      <w:r w:rsidR="002B1D41">
        <w:rPr>
          <w:lang w:eastAsia="en-AU"/>
        </w:rPr>
        <w:t>/doi.org/10.1097/</w:t>
      </w:r>
      <w:r>
        <w:rPr>
          <w:lang w:eastAsia="en-AU"/>
        </w:rPr>
        <w:t xml:space="preserve">j.pain.0000000000002204 </w:t>
      </w:r>
    </w:p>
    <w:p w14:paraId="47E2CF33" w14:textId="620324D9" w:rsidR="00BE4358" w:rsidRDefault="00BE4358" w:rsidP="00BE4358">
      <w:pPr>
        <w:pStyle w:val="References"/>
        <w:rPr>
          <w:lang w:eastAsia="en-AU"/>
        </w:rPr>
      </w:pPr>
      <w:proofErr w:type="spellStart"/>
      <w:r>
        <w:rPr>
          <w:lang w:eastAsia="en-AU"/>
        </w:rPr>
        <w:t>Kemler</w:t>
      </w:r>
      <w:proofErr w:type="spellEnd"/>
      <w:r>
        <w:rPr>
          <w:lang w:eastAsia="en-AU"/>
        </w:rPr>
        <w:t xml:space="preserve">, M. A., &amp; </w:t>
      </w:r>
      <w:proofErr w:type="spellStart"/>
      <w:r>
        <w:rPr>
          <w:lang w:eastAsia="en-AU"/>
        </w:rPr>
        <w:t>Furnée</w:t>
      </w:r>
      <w:proofErr w:type="spellEnd"/>
      <w:r>
        <w:rPr>
          <w:lang w:eastAsia="en-AU"/>
        </w:rPr>
        <w:t xml:space="preserve">, C. A. (2002). Economic evaluation of spinal cord stimulation for chronic reflex sympathetic dystrophy. </w:t>
      </w:r>
      <w:r>
        <w:rPr>
          <w:i/>
          <w:iCs/>
          <w:lang w:eastAsia="en-AU"/>
        </w:rPr>
        <w:t>Neurology</w:t>
      </w:r>
      <w:r>
        <w:rPr>
          <w:lang w:eastAsia="en-AU"/>
        </w:rPr>
        <w:t>,</w:t>
      </w:r>
      <w:r>
        <w:rPr>
          <w:i/>
          <w:iCs/>
          <w:lang w:eastAsia="en-AU"/>
        </w:rPr>
        <w:t xml:space="preserve"> 59</w:t>
      </w:r>
      <w:r>
        <w:rPr>
          <w:lang w:eastAsia="en-AU"/>
        </w:rPr>
        <w:t xml:space="preserve">(8), 1203-12/doi.org/10.1212/01.wnl.0000028686.74056.e3 </w:t>
      </w:r>
    </w:p>
    <w:p w14:paraId="6333A467" w14:textId="2C4CF1FE" w:rsidR="002B1D41" w:rsidRDefault="00BE4358" w:rsidP="00BE4358">
      <w:pPr>
        <w:pStyle w:val="References"/>
        <w:rPr>
          <w:lang w:eastAsia="en-AU"/>
        </w:rPr>
      </w:pPr>
      <w:proofErr w:type="spellStart"/>
      <w:r>
        <w:rPr>
          <w:lang w:eastAsia="en-AU"/>
        </w:rPr>
        <w:t>Kemler</w:t>
      </w:r>
      <w:proofErr w:type="spellEnd"/>
      <w:r>
        <w:rPr>
          <w:lang w:eastAsia="en-AU"/>
        </w:rPr>
        <w:t xml:space="preserve">, M. A., &amp; </w:t>
      </w:r>
      <w:proofErr w:type="spellStart"/>
      <w:r>
        <w:rPr>
          <w:lang w:eastAsia="en-AU"/>
        </w:rPr>
        <w:t>Furnée</w:t>
      </w:r>
      <w:proofErr w:type="spellEnd"/>
      <w:r>
        <w:rPr>
          <w:lang w:eastAsia="en-AU"/>
        </w:rPr>
        <w:t xml:space="preserve">, C. A. (2002). Economic evaluation of spinal cord stimulation for chronic reflex sympathetic dystrophy [Article]. </w:t>
      </w:r>
      <w:r>
        <w:rPr>
          <w:i/>
          <w:iCs/>
          <w:lang w:eastAsia="en-AU"/>
        </w:rPr>
        <w:t>Neurology</w:t>
      </w:r>
      <w:r>
        <w:rPr>
          <w:lang w:eastAsia="en-AU"/>
        </w:rPr>
        <w:t>,</w:t>
      </w:r>
      <w:r>
        <w:rPr>
          <w:i/>
          <w:iCs/>
          <w:lang w:eastAsia="en-AU"/>
        </w:rPr>
        <w:t xml:space="preserve"> 59</w:t>
      </w:r>
      <w:r>
        <w:rPr>
          <w:lang w:eastAsia="en-AU"/>
        </w:rPr>
        <w:t>(8), 1203-12/doi.org/10.1212/01.WNL.0000028686.74056.E3</w:t>
      </w:r>
      <w:r w:rsidR="002B1D41">
        <w:rPr>
          <w:lang w:eastAsia="en-AU"/>
        </w:rPr>
        <w:t xml:space="preserve"> </w:t>
      </w:r>
    </w:p>
    <w:p w14:paraId="7BCE8059" w14:textId="396064C7" w:rsidR="002B1D41" w:rsidRDefault="002B1D41" w:rsidP="00BE4358">
      <w:pPr>
        <w:pStyle w:val="References"/>
        <w:rPr>
          <w:lang w:eastAsia="en-AU"/>
        </w:rPr>
      </w:pPr>
      <w:proofErr w:type="spellStart"/>
      <w:r>
        <w:rPr>
          <w:lang w:eastAsia="en-AU"/>
        </w:rPr>
        <w:t>Kemler</w:t>
      </w:r>
      <w:proofErr w:type="spellEnd"/>
      <w:r>
        <w:rPr>
          <w:lang w:eastAsia="en-AU"/>
        </w:rPr>
        <w:t xml:space="preserve">, M. A., </w:t>
      </w:r>
      <w:proofErr w:type="spellStart"/>
      <w:r>
        <w:rPr>
          <w:lang w:eastAsia="en-AU"/>
        </w:rPr>
        <w:t>Barendse</w:t>
      </w:r>
      <w:proofErr w:type="spellEnd"/>
      <w:r>
        <w:rPr>
          <w:lang w:eastAsia="en-AU"/>
        </w:rPr>
        <w:t xml:space="preserve">, G. A., van </w:t>
      </w:r>
      <w:proofErr w:type="spellStart"/>
      <w:r>
        <w:rPr>
          <w:lang w:eastAsia="en-AU"/>
        </w:rPr>
        <w:t>Kleef</w:t>
      </w:r>
      <w:proofErr w:type="spellEnd"/>
      <w:r>
        <w:rPr>
          <w:lang w:eastAsia="en-AU"/>
        </w:rPr>
        <w:t xml:space="preserve">, M., et al. (2000). Spinal cord stimulation in patients with chronic reflex sympathetic dystrophy. </w:t>
      </w:r>
      <w:r>
        <w:rPr>
          <w:i/>
          <w:iCs/>
          <w:lang w:eastAsia="en-AU"/>
        </w:rPr>
        <w:t>N Engl J Med</w:t>
      </w:r>
      <w:r>
        <w:rPr>
          <w:lang w:eastAsia="en-AU"/>
        </w:rPr>
        <w:t>,</w:t>
      </w:r>
      <w:r>
        <w:rPr>
          <w:i/>
          <w:iCs/>
          <w:lang w:eastAsia="en-AU"/>
        </w:rPr>
        <w:t xml:space="preserve"> 343</w:t>
      </w:r>
      <w:r>
        <w:rPr>
          <w:lang w:eastAsia="en-AU"/>
        </w:rPr>
        <w:t xml:space="preserve">(9), 618-6/doi.org/10.1056/nejm200008313430904 </w:t>
      </w:r>
    </w:p>
    <w:p w14:paraId="3C1EC60D" w14:textId="0BF29F80" w:rsidR="002B1D41" w:rsidRDefault="002B1D41" w:rsidP="00BE4358">
      <w:pPr>
        <w:pStyle w:val="References"/>
        <w:rPr>
          <w:lang w:eastAsia="en-AU"/>
        </w:rPr>
      </w:pPr>
      <w:proofErr w:type="spellStart"/>
      <w:r>
        <w:rPr>
          <w:lang w:eastAsia="en-AU"/>
        </w:rPr>
        <w:t>Kemler</w:t>
      </w:r>
      <w:proofErr w:type="spellEnd"/>
      <w:r>
        <w:rPr>
          <w:lang w:eastAsia="en-AU"/>
        </w:rPr>
        <w:t xml:space="preserve">, M. A., De Vet, H. C., </w:t>
      </w:r>
      <w:proofErr w:type="spellStart"/>
      <w:r>
        <w:rPr>
          <w:lang w:eastAsia="en-AU"/>
        </w:rPr>
        <w:t>Barendse</w:t>
      </w:r>
      <w:proofErr w:type="spellEnd"/>
      <w:r>
        <w:rPr>
          <w:lang w:eastAsia="en-AU"/>
        </w:rPr>
        <w:t xml:space="preserve">, G. A., et al. (2004). The effect of spinal cord stimulation in patients with chronic reflex sympathetic dystrophy: two years' follow-up of the randomized controlled trial. </w:t>
      </w:r>
      <w:r>
        <w:rPr>
          <w:i/>
          <w:iCs/>
          <w:lang w:eastAsia="en-AU"/>
        </w:rPr>
        <w:t>Ann Neurol</w:t>
      </w:r>
      <w:r>
        <w:rPr>
          <w:lang w:eastAsia="en-AU"/>
        </w:rPr>
        <w:t>,</w:t>
      </w:r>
      <w:r>
        <w:rPr>
          <w:i/>
          <w:iCs/>
          <w:lang w:eastAsia="en-AU"/>
        </w:rPr>
        <w:t xml:space="preserve"> 55</w:t>
      </w:r>
      <w:r>
        <w:rPr>
          <w:lang w:eastAsia="en-AU"/>
        </w:rPr>
        <w:t xml:space="preserve">(1), 13-/doi.org/10.1002/ana.10996 </w:t>
      </w:r>
    </w:p>
    <w:p w14:paraId="03A0B3F9" w14:textId="4BEECD8A" w:rsidR="002B1D41" w:rsidRDefault="002B1D41" w:rsidP="00BE4358">
      <w:pPr>
        <w:pStyle w:val="References"/>
        <w:rPr>
          <w:lang w:eastAsia="en-AU"/>
        </w:rPr>
      </w:pPr>
      <w:proofErr w:type="spellStart"/>
      <w:r>
        <w:rPr>
          <w:lang w:eastAsia="en-AU"/>
        </w:rPr>
        <w:t>Kemler</w:t>
      </w:r>
      <w:proofErr w:type="spellEnd"/>
      <w:r>
        <w:rPr>
          <w:lang w:eastAsia="en-AU"/>
        </w:rPr>
        <w:t xml:space="preserve">, M. A., de Vet, H. C., </w:t>
      </w:r>
      <w:proofErr w:type="spellStart"/>
      <w:r>
        <w:rPr>
          <w:lang w:eastAsia="en-AU"/>
        </w:rPr>
        <w:t>Barendse</w:t>
      </w:r>
      <w:proofErr w:type="spellEnd"/>
      <w:r>
        <w:rPr>
          <w:lang w:eastAsia="en-AU"/>
        </w:rPr>
        <w:t xml:space="preserve">, G. A., et al. (2008). Effect of spinal cord stimulation for chronic complex regional pain syndrome Type I: five-year final follow-up of patients in a randomized controlled trial. </w:t>
      </w:r>
      <w:r>
        <w:rPr>
          <w:i/>
          <w:iCs/>
          <w:lang w:eastAsia="en-AU"/>
        </w:rPr>
        <w:t xml:space="preserve">J </w:t>
      </w:r>
      <w:proofErr w:type="spellStart"/>
      <w:r>
        <w:rPr>
          <w:i/>
          <w:iCs/>
          <w:lang w:eastAsia="en-AU"/>
        </w:rPr>
        <w:t>Neurosurg</w:t>
      </w:r>
      <w:proofErr w:type="spellEnd"/>
      <w:r>
        <w:rPr>
          <w:lang w:eastAsia="en-AU"/>
        </w:rPr>
        <w:t>,</w:t>
      </w:r>
      <w:r>
        <w:rPr>
          <w:i/>
          <w:iCs/>
          <w:lang w:eastAsia="en-AU"/>
        </w:rPr>
        <w:t xml:space="preserve"> 108</w:t>
      </w:r>
      <w:r>
        <w:rPr>
          <w:lang w:eastAsia="en-AU"/>
        </w:rPr>
        <w:t>(2), 292-2/doi.org/10.3171/</w:t>
      </w:r>
      <w:proofErr w:type="spellStart"/>
      <w:r>
        <w:rPr>
          <w:lang w:eastAsia="en-AU"/>
        </w:rPr>
        <w:t>jns</w:t>
      </w:r>
      <w:proofErr w:type="spellEnd"/>
      <w:r>
        <w:rPr>
          <w:lang w:eastAsia="en-AU"/>
        </w:rPr>
        <w:t xml:space="preserve">/2008/108/2/0292 </w:t>
      </w:r>
    </w:p>
    <w:p w14:paraId="4725035D" w14:textId="04EAB7E6" w:rsidR="002B1D41" w:rsidRDefault="002B1D41" w:rsidP="00BE4358">
      <w:pPr>
        <w:pStyle w:val="References"/>
        <w:rPr>
          <w:lang w:eastAsia="en-AU"/>
        </w:rPr>
      </w:pPr>
      <w:proofErr w:type="spellStart"/>
      <w:r>
        <w:rPr>
          <w:lang w:eastAsia="en-AU"/>
        </w:rPr>
        <w:t>Kemler</w:t>
      </w:r>
      <w:proofErr w:type="spellEnd"/>
      <w:r>
        <w:rPr>
          <w:lang w:eastAsia="en-AU"/>
        </w:rPr>
        <w:t xml:space="preserve">, M. A., </w:t>
      </w:r>
      <w:r w:rsidR="00BE4358">
        <w:rPr>
          <w:lang w:eastAsia="en-AU"/>
        </w:rPr>
        <w:t xml:space="preserve">Raphael, J. H., Bentley, A., et al. (2010). The cost-effectiveness of spinal cord stimulation for complex regional pain syndrome [Article]. </w:t>
      </w:r>
      <w:r w:rsidR="00BE4358">
        <w:rPr>
          <w:i/>
          <w:iCs/>
          <w:lang w:eastAsia="en-AU"/>
        </w:rPr>
        <w:t>Value in Health</w:t>
      </w:r>
      <w:r w:rsidR="00BE4358">
        <w:rPr>
          <w:lang w:eastAsia="en-AU"/>
        </w:rPr>
        <w:t>,</w:t>
      </w:r>
      <w:r w:rsidR="00BE4358">
        <w:rPr>
          <w:i/>
          <w:iCs/>
          <w:lang w:eastAsia="en-AU"/>
        </w:rPr>
        <w:t xml:space="preserve"> 13</w:t>
      </w:r>
      <w:r w:rsidR="00BE4358">
        <w:rPr>
          <w:lang w:eastAsia="en-AU"/>
        </w:rPr>
        <w:t>(6), 735-7</w:t>
      </w:r>
      <w:r>
        <w:rPr>
          <w:lang w:eastAsia="en-AU"/>
        </w:rPr>
        <w:t>/doi.org/10.</w:t>
      </w:r>
      <w:r w:rsidR="00BE4358">
        <w:rPr>
          <w:lang w:eastAsia="en-AU"/>
        </w:rPr>
        <w:t xml:space="preserve">1111/j.1524-4733.2010.00744.x </w:t>
      </w:r>
    </w:p>
    <w:p w14:paraId="5C85CE91" w14:textId="0690E742" w:rsidR="002B1D41" w:rsidRDefault="002B1D41" w:rsidP="00BE4358">
      <w:pPr>
        <w:pStyle w:val="References"/>
        <w:rPr>
          <w:lang w:eastAsia="en-AU"/>
        </w:rPr>
      </w:pPr>
      <w:proofErr w:type="spellStart"/>
      <w:r>
        <w:rPr>
          <w:lang w:eastAsia="en-AU"/>
        </w:rPr>
        <w:t>Kemler</w:t>
      </w:r>
      <w:proofErr w:type="spellEnd"/>
      <w:r>
        <w:rPr>
          <w:lang w:eastAsia="en-AU"/>
        </w:rPr>
        <w:t xml:space="preserve">, M. A., </w:t>
      </w:r>
      <w:proofErr w:type="spellStart"/>
      <w:r>
        <w:rPr>
          <w:lang w:eastAsia="en-AU"/>
        </w:rPr>
        <w:t>Reulen</w:t>
      </w:r>
      <w:proofErr w:type="spellEnd"/>
      <w:r>
        <w:rPr>
          <w:lang w:eastAsia="en-AU"/>
        </w:rPr>
        <w:t xml:space="preserve">, J. P. H., </w:t>
      </w:r>
      <w:proofErr w:type="spellStart"/>
      <w:r>
        <w:rPr>
          <w:lang w:eastAsia="en-AU"/>
        </w:rPr>
        <w:t>Barendse</w:t>
      </w:r>
      <w:proofErr w:type="spellEnd"/>
      <w:r>
        <w:rPr>
          <w:lang w:eastAsia="en-AU"/>
        </w:rPr>
        <w:t xml:space="preserve">, G. A. M., et al. (2001). Impact of spinal cord stimulation on sensory characteristics in complex regional pain syndrome type I: A randomized trial [Article]. </w:t>
      </w:r>
      <w:proofErr w:type="spellStart"/>
      <w:r>
        <w:rPr>
          <w:i/>
          <w:iCs/>
          <w:lang w:eastAsia="en-AU"/>
        </w:rPr>
        <w:t>Anesthesiology</w:t>
      </w:r>
      <w:proofErr w:type="spellEnd"/>
      <w:r>
        <w:rPr>
          <w:lang w:eastAsia="en-AU"/>
        </w:rPr>
        <w:t>,</w:t>
      </w:r>
      <w:r>
        <w:rPr>
          <w:i/>
          <w:iCs/>
          <w:lang w:eastAsia="en-AU"/>
        </w:rPr>
        <w:t xml:space="preserve"> 95</w:t>
      </w:r>
      <w:r>
        <w:rPr>
          <w:lang w:eastAsia="en-AU"/>
        </w:rPr>
        <w:t xml:space="preserve">(1), 72-/doi.org/10.1097/00000542-200107000-00016 </w:t>
      </w:r>
    </w:p>
    <w:p w14:paraId="145285CB" w14:textId="5B4011E1" w:rsidR="002B1D41" w:rsidRDefault="002B1D41" w:rsidP="00BE4358">
      <w:pPr>
        <w:pStyle w:val="References"/>
        <w:rPr>
          <w:lang w:eastAsia="en-AU"/>
        </w:rPr>
      </w:pPr>
      <w:r>
        <w:rPr>
          <w:lang w:eastAsia="en-AU"/>
        </w:rPr>
        <w:t xml:space="preserve">Kinfe, T. M., Muhammad, S., Link, C., et al. (2017). Burst Spinal Cord Stimulation Increases Peripheral </w:t>
      </w:r>
      <w:proofErr w:type="spellStart"/>
      <w:r>
        <w:rPr>
          <w:lang w:eastAsia="en-AU"/>
        </w:rPr>
        <w:t>Antineuroinflammatory</w:t>
      </w:r>
      <w:proofErr w:type="spellEnd"/>
      <w:r>
        <w:rPr>
          <w:lang w:eastAsia="en-AU"/>
        </w:rPr>
        <w:t xml:space="preserve"> Interleukin 10 Levels in Failed Back Surgery Syndrome Patients With Predominant Back Pain [Article]. </w:t>
      </w:r>
      <w:r>
        <w:rPr>
          <w:i/>
          <w:iCs/>
          <w:lang w:eastAsia="en-AU"/>
        </w:rPr>
        <w:t>Neuromodulation</w:t>
      </w:r>
      <w:r>
        <w:rPr>
          <w:lang w:eastAsia="en-AU"/>
        </w:rPr>
        <w:t>,</w:t>
      </w:r>
      <w:r>
        <w:rPr>
          <w:i/>
          <w:iCs/>
          <w:lang w:eastAsia="en-AU"/>
        </w:rPr>
        <w:t xml:space="preserve"> 20</w:t>
      </w:r>
      <w:r>
        <w:rPr>
          <w:lang w:eastAsia="en-AU"/>
        </w:rPr>
        <w:t xml:space="preserve">(4), 322-3/doi.org/10.1111/ner.12586 </w:t>
      </w:r>
    </w:p>
    <w:p w14:paraId="041B5585" w14:textId="3FE0A2A1" w:rsidR="00BE4358" w:rsidRDefault="00BE4358" w:rsidP="00BE4358">
      <w:pPr>
        <w:pStyle w:val="References"/>
        <w:rPr>
          <w:lang w:eastAsia="en-AU"/>
        </w:rPr>
      </w:pPr>
      <w:r>
        <w:rPr>
          <w:lang w:eastAsia="en-AU"/>
        </w:rPr>
        <w:t xml:space="preserve">Klomp, H. M., </w:t>
      </w:r>
      <w:proofErr w:type="spellStart"/>
      <w:r>
        <w:rPr>
          <w:lang w:eastAsia="en-AU"/>
        </w:rPr>
        <w:t>Spincemaille</w:t>
      </w:r>
      <w:proofErr w:type="spellEnd"/>
      <w:r>
        <w:rPr>
          <w:lang w:eastAsia="en-AU"/>
        </w:rPr>
        <w:t xml:space="preserve">, G. H., </w:t>
      </w:r>
      <w:proofErr w:type="spellStart"/>
      <w:r>
        <w:rPr>
          <w:lang w:eastAsia="en-AU"/>
        </w:rPr>
        <w:t>Steyerberg</w:t>
      </w:r>
      <w:proofErr w:type="spellEnd"/>
      <w:r>
        <w:rPr>
          <w:lang w:eastAsia="en-AU"/>
        </w:rPr>
        <w:t xml:space="preserve">, E. W., et al. (1995). Design issues of a randomised controlled clinical trial on spinal cord stimulation in critical limb </w:t>
      </w:r>
      <w:proofErr w:type="spellStart"/>
      <w:r>
        <w:rPr>
          <w:lang w:eastAsia="en-AU"/>
        </w:rPr>
        <w:t>ischaemia</w:t>
      </w:r>
      <w:proofErr w:type="spellEnd"/>
      <w:r>
        <w:rPr>
          <w:lang w:eastAsia="en-AU"/>
        </w:rPr>
        <w:t xml:space="preserve">. ESES Study Group. </w:t>
      </w:r>
      <w:proofErr w:type="spellStart"/>
      <w:r>
        <w:rPr>
          <w:i/>
          <w:iCs/>
          <w:lang w:eastAsia="en-AU"/>
        </w:rPr>
        <w:t>Eur</w:t>
      </w:r>
      <w:proofErr w:type="spellEnd"/>
      <w:r>
        <w:rPr>
          <w:i/>
          <w:iCs/>
          <w:lang w:eastAsia="en-AU"/>
        </w:rPr>
        <w:t xml:space="preserve"> J </w:t>
      </w:r>
      <w:proofErr w:type="spellStart"/>
      <w:r>
        <w:rPr>
          <w:i/>
          <w:iCs/>
          <w:lang w:eastAsia="en-AU"/>
        </w:rPr>
        <w:t>Vasc</w:t>
      </w:r>
      <w:proofErr w:type="spellEnd"/>
      <w:r>
        <w:rPr>
          <w:i/>
          <w:iCs/>
          <w:lang w:eastAsia="en-AU"/>
        </w:rPr>
        <w:t xml:space="preserve"> </w:t>
      </w:r>
      <w:proofErr w:type="spellStart"/>
      <w:r>
        <w:rPr>
          <w:i/>
          <w:iCs/>
          <w:lang w:eastAsia="en-AU"/>
        </w:rPr>
        <w:t>Endovasc</w:t>
      </w:r>
      <w:proofErr w:type="spellEnd"/>
      <w:r>
        <w:rPr>
          <w:i/>
          <w:iCs/>
          <w:lang w:eastAsia="en-AU"/>
        </w:rPr>
        <w:t xml:space="preserve"> Surg</w:t>
      </w:r>
      <w:r>
        <w:rPr>
          <w:lang w:eastAsia="en-AU"/>
        </w:rPr>
        <w:t>,</w:t>
      </w:r>
      <w:r>
        <w:rPr>
          <w:i/>
          <w:iCs/>
          <w:lang w:eastAsia="en-AU"/>
        </w:rPr>
        <w:t xml:space="preserve"> 10</w:t>
      </w:r>
      <w:r>
        <w:rPr>
          <w:lang w:eastAsia="en-AU"/>
        </w:rPr>
        <w:t xml:space="preserve">(4), 478-4/doi.org/10.1016/s1078-5884(05)80172-8 </w:t>
      </w:r>
    </w:p>
    <w:p w14:paraId="27AC917B" w14:textId="03C3C04E" w:rsidR="00BE4358" w:rsidRDefault="00BE4358" w:rsidP="00BE4358">
      <w:pPr>
        <w:pStyle w:val="References"/>
        <w:rPr>
          <w:lang w:eastAsia="en-AU"/>
        </w:rPr>
      </w:pPr>
      <w:r>
        <w:rPr>
          <w:lang w:eastAsia="en-AU"/>
        </w:rPr>
        <w:t xml:space="preserve">Klomp, H. M., </w:t>
      </w:r>
      <w:proofErr w:type="spellStart"/>
      <w:r>
        <w:rPr>
          <w:lang w:eastAsia="en-AU"/>
        </w:rPr>
        <w:t>Spincemaille</w:t>
      </w:r>
      <w:proofErr w:type="spellEnd"/>
      <w:r>
        <w:rPr>
          <w:lang w:eastAsia="en-AU"/>
        </w:rPr>
        <w:t xml:space="preserve">, G. H., </w:t>
      </w:r>
      <w:proofErr w:type="spellStart"/>
      <w:r>
        <w:rPr>
          <w:lang w:eastAsia="en-AU"/>
        </w:rPr>
        <w:t>Steyerberg</w:t>
      </w:r>
      <w:proofErr w:type="spellEnd"/>
      <w:r>
        <w:rPr>
          <w:lang w:eastAsia="en-AU"/>
        </w:rPr>
        <w:t xml:space="preserve">, E. W., et al. (1999). Spinal-cord stimulation in critical limb </w:t>
      </w:r>
      <w:proofErr w:type="spellStart"/>
      <w:r>
        <w:rPr>
          <w:lang w:eastAsia="en-AU"/>
        </w:rPr>
        <w:t>ischaemia</w:t>
      </w:r>
      <w:proofErr w:type="spellEnd"/>
      <w:r>
        <w:rPr>
          <w:lang w:eastAsia="en-AU"/>
        </w:rPr>
        <w:t xml:space="preserve">: a randomised trial. ESES Study Group. </w:t>
      </w:r>
      <w:r>
        <w:rPr>
          <w:i/>
          <w:iCs/>
          <w:lang w:eastAsia="en-AU"/>
        </w:rPr>
        <w:t>Lancet</w:t>
      </w:r>
      <w:r>
        <w:rPr>
          <w:lang w:eastAsia="en-AU"/>
        </w:rPr>
        <w:t>,</w:t>
      </w:r>
      <w:r>
        <w:rPr>
          <w:i/>
          <w:iCs/>
          <w:lang w:eastAsia="en-AU"/>
        </w:rPr>
        <w:t xml:space="preserve"> 353</w:t>
      </w:r>
      <w:r>
        <w:rPr>
          <w:lang w:eastAsia="en-AU"/>
        </w:rPr>
        <w:t xml:space="preserve">(9158), 1040-10/doi.org/10.1016/s0140-6736(98)05069-7 </w:t>
      </w:r>
    </w:p>
    <w:p w14:paraId="2255DE12" w14:textId="43D423D3" w:rsidR="00BE4358" w:rsidRDefault="00BE4358" w:rsidP="00BE4358">
      <w:pPr>
        <w:pStyle w:val="References"/>
        <w:rPr>
          <w:lang w:eastAsia="en-AU"/>
        </w:rPr>
      </w:pPr>
      <w:r>
        <w:rPr>
          <w:lang w:eastAsia="en-AU"/>
        </w:rPr>
        <w:t xml:space="preserve">Klomp, H. M., </w:t>
      </w:r>
      <w:proofErr w:type="spellStart"/>
      <w:r>
        <w:rPr>
          <w:lang w:eastAsia="en-AU"/>
        </w:rPr>
        <w:t>Steyerberg</w:t>
      </w:r>
      <w:proofErr w:type="spellEnd"/>
      <w:r>
        <w:rPr>
          <w:lang w:eastAsia="en-AU"/>
        </w:rPr>
        <w:t xml:space="preserve">, E. W., van </w:t>
      </w:r>
      <w:proofErr w:type="spellStart"/>
      <w:r>
        <w:rPr>
          <w:lang w:eastAsia="en-AU"/>
        </w:rPr>
        <w:t>Urk</w:t>
      </w:r>
      <w:proofErr w:type="spellEnd"/>
      <w:r>
        <w:rPr>
          <w:lang w:eastAsia="en-AU"/>
        </w:rPr>
        <w:t xml:space="preserve">, H., et al. (2006). Spinal Cord Stimulation is not Cost-effective for Non-surgical Management of Critical Limb </w:t>
      </w:r>
      <w:proofErr w:type="spellStart"/>
      <w:r>
        <w:rPr>
          <w:lang w:eastAsia="en-AU"/>
        </w:rPr>
        <w:t>Ischaemia</w:t>
      </w:r>
      <w:proofErr w:type="spellEnd"/>
      <w:r>
        <w:rPr>
          <w:lang w:eastAsia="en-AU"/>
        </w:rPr>
        <w:t xml:space="preserve"> [Article]. </w:t>
      </w:r>
      <w:r>
        <w:rPr>
          <w:i/>
          <w:iCs/>
          <w:lang w:eastAsia="en-AU"/>
        </w:rPr>
        <w:t>European Journal of Vascular and Endovascular Surgery</w:t>
      </w:r>
      <w:r>
        <w:rPr>
          <w:lang w:eastAsia="en-AU"/>
        </w:rPr>
        <w:t>,</w:t>
      </w:r>
      <w:r>
        <w:rPr>
          <w:i/>
          <w:iCs/>
          <w:lang w:eastAsia="en-AU"/>
        </w:rPr>
        <w:t xml:space="preserve"> 31</w:t>
      </w:r>
      <w:r>
        <w:rPr>
          <w:lang w:eastAsia="en-AU"/>
        </w:rPr>
        <w:t xml:space="preserve">(5), 500-5/doi.org/10.1016/j.ejvs.2005.11.013 </w:t>
      </w:r>
    </w:p>
    <w:p w14:paraId="3CE36C8D" w14:textId="77777777" w:rsidR="002B1D41" w:rsidRDefault="002B1D41" w:rsidP="00BE4358">
      <w:pPr>
        <w:pStyle w:val="References"/>
        <w:rPr>
          <w:lang w:eastAsia="en-AU"/>
        </w:rPr>
      </w:pPr>
      <w:r>
        <w:rPr>
          <w:lang w:eastAsia="en-AU"/>
        </w:rPr>
        <w:t xml:space="preserve">KPMG. (2022). </w:t>
      </w:r>
      <w:r>
        <w:rPr>
          <w:i/>
          <w:iCs/>
          <w:lang w:eastAsia="en-AU"/>
        </w:rPr>
        <w:t>An analysis of the service cost of Spinal Cord Stimulator (SCS) services</w:t>
      </w:r>
      <w:r>
        <w:rPr>
          <w:lang w:eastAsia="en-AU"/>
        </w:rPr>
        <w:t xml:space="preserve">. MTAA. </w:t>
      </w:r>
    </w:p>
    <w:p w14:paraId="7BC832B6" w14:textId="7FBCB162" w:rsidR="002B1D41" w:rsidRDefault="002B1D41" w:rsidP="00BE4358">
      <w:pPr>
        <w:pStyle w:val="References"/>
        <w:rPr>
          <w:lang w:eastAsia="en-AU"/>
        </w:rPr>
      </w:pPr>
      <w:proofErr w:type="spellStart"/>
      <w:r>
        <w:rPr>
          <w:lang w:eastAsia="en-AU"/>
        </w:rPr>
        <w:t>Kriek</w:t>
      </w:r>
      <w:proofErr w:type="spellEnd"/>
      <w:r>
        <w:rPr>
          <w:lang w:eastAsia="en-AU"/>
        </w:rPr>
        <w:t xml:space="preserve">, N., </w:t>
      </w:r>
      <w:proofErr w:type="spellStart"/>
      <w:r>
        <w:rPr>
          <w:lang w:eastAsia="en-AU"/>
        </w:rPr>
        <w:t>Groeneweg</w:t>
      </w:r>
      <w:proofErr w:type="spellEnd"/>
      <w:r>
        <w:rPr>
          <w:lang w:eastAsia="en-AU"/>
        </w:rPr>
        <w:t>, J</w:t>
      </w:r>
      <w:r w:rsidR="00BE4358">
        <w:rPr>
          <w:lang w:eastAsia="en-AU"/>
        </w:rPr>
        <w:t>. G</w:t>
      </w:r>
      <w:r>
        <w:rPr>
          <w:lang w:eastAsia="en-AU"/>
        </w:rPr>
        <w:t xml:space="preserve">., </w:t>
      </w:r>
      <w:proofErr w:type="spellStart"/>
      <w:r>
        <w:rPr>
          <w:lang w:eastAsia="en-AU"/>
        </w:rPr>
        <w:t>Stronks</w:t>
      </w:r>
      <w:proofErr w:type="spellEnd"/>
      <w:r>
        <w:rPr>
          <w:lang w:eastAsia="en-AU"/>
        </w:rPr>
        <w:t>, D</w:t>
      </w:r>
      <w:r w:rsidR="00BE4358">
        <w:rPr>
          <w:lang w:eastAsia="en-AU"/>
        </w:rPr>
        <w:t>. L</w:t>
      </w:r>
      <w:r>
        <w:rPr>
          <w:lang w:eastAsia="en-AU"/>
        </w:rPr>
        <w:t xml:space="preserve">., et al. </w:t>
      </w:r>
      <w:r w:rsidR="00BE4358">
        <w:rPr>
          <w:lang w:eastAsia="en-AU"/>
        </w:rPr>
        <w:t>(2015). Comparison of tonic spinal cord stimulation, high-</w:t>
      </w:r>
      <w:r>
        <w:rPr>
          <w:lang w:eastAsia="en-AU"/>
        </w:rPr>
        <w:t xml:space="preserve">frequency and burst </w:t>
      </w:r>
      <w:r w:rsidR="00BE4358">
        <w:rPr>
          <w:lang w:eastAsia="en-AU"/>
        </w:rPr>
        <w:t>stimulation</w:t>
      </w:r>
      <w:r>
        <w:rPr>
          <w:lang w:eastAsia="en-AU"/>
        </w:rPr>
        <w:t xml:space="preserve"> in patients with complex regional pain syndrome: </w:t>
      </w:r>
      <w:r w:rsidR="00BE4358">
        <w:rPr>
          <w:lang w:eastAsia="en-AU"/>
        </w:rPr>
        <w:t>a double-blind, randomised</w:t>
      </w:r>
      <w:r>
        <w:rPr>
          <w:lang w:eastAsia="en-AU"/>
        </w:rPr>
        <w:t xml:space="preserve"> placebo controlled trial</w:t>
      </w:r>
      <w:r w:rsidR="00BE4358">
        <w:rPr>
          <w:lang w:eastAsia="en-AU"/>
        </w:rPr>
        <w:t xml:space="preserve">. </w:t>
      </w:r>
      <w:r w:rsidR="00BE4358">
        <w:rPr>
          <w:i/>
          <w:iCs/>
          <w:lang w:eastAsia="en-AU"/>
        </w:rPr>
        <w:t xml:space="preserve">BMC </w:t>
      </w:r>
      <w:proofErr w:type="spellStart"/>
      <w:r w:rsidR="00BE4358">
        <w:rPr>
          <w:i/>
          <w:iCs/>
          <w:lang w:eastAsia="en-AU"/>
        </w:rPr>
        <w:t>Musculoskelet</w:t>
      </w:r>
      <w:proofErr w:type="spellEnd"/>
      <w:r w:rsidR="00BE4358">
        <w:rPr>
          <w:i/>
          <w:iCs/>
          <w:lang w:eastAsia="en-AU"/>
        </w:rPr>
        <w:t xml:space="preserve"> </w:t>
      </w:r>
      <w:proofErr w:type="spellStart"/>
      <w:r w:rsidR="00BE4358">
        <w:rPr>
          <w:i/>
          <w:iCs/>
          <w:lang w:eastAsia="en-AU"/>
        </w:rPr>
        <w:t>Disord</w:t>
      </w:r>
      <w:proofErr w:type="spellEnd"/>
      <w:r w:rsidR="00BE4358">
        <w:rPr>
          <w:lang w:eastAsia="en-AU"/>
        </w:rPr>
        <w:t>,</w:t>
      </w:r>
      <w:r w:rsidR="00BE4358">
        <w:rPr>
          <w:i/>
          <w:iCs/>
          <w:lang w:eastAsia="en-AU"/>
        </w:rPr>
        <w:t xml:space="preserve"> 16</w:t>
      </w:r>
      <w:r w:rsidR="00BE4358">
        <w:rPr>
          <w:lang w:eastAsia="en-AU"/>
        </w:rPr>
        <w:t>, 2</w:t>
      </w:r>
      <w:r>
        <w:rPr>
          <w:lang w:eastAsia="en-AU"/>
        </w:rPr>
        <w:t>/doi.org/10.</w:t>
      </w:r>
      <w:r w:rsidR="00BE4358">
        <w:rPr>
          <w:lang w:eastAsia="en-AU"/>
        </w:rPr>
        <w:t xml:space="preserve">1186/s12891-015-0650-y </w:t>
      </w:r>
    </w:p>
    <w:p w14:paraId="4A4E79FC" w14:textId="213A3D04" w:rsidR="002B1D41" w:rsidRDefault="002B1D41" w:rsidP="00BE4358">
      <w:pPr>
        <w:pStyle w:val="References"/>
        <w:rPr>
          <w:lang w:eastAsia="en-AU"/>
        </w:rPr>
      </w:pPr>
      <w:proofErr w:type="spellStart"/>
      <w:r>
        <w:rPr>
          <w:lang w:eastAsia="en-AU"/>
        </w:rPr>
        <w:t>Kriek</w:t>
      </w:r>
      <w:proofErr w:type="spellEnd"/>
      <w:r>
        <w:rPr>
          <w:lang w:eastAsia="en-AU"/>
        </w:rPr>
        <w:t xml:space="preserve">, N., </w:t>
      </w:r>
      <w:proofErr w:type="spellStart"/>
      <w:r>
        <w:rPr>
          <w:lang w:eastAsia="en-AU"/>
        </w:rPr>
        <w:t>Groeneweg</w:t>
      </w:r>
      <w:proofErr w:type="spellEnd"/>
      <w:r>
        <w:rPr>
          <w:lang w:eastAsia="en-AU"/>
        </w:rPr>
        <w:t xml:space="preserve">, J. G., </w:t>
      </w:r>
      <w:proofErr w:type="spellStart"/>
      <w:r>
        <w:rPr>
          <w:lang w:eastAsia="en-AU"/>
        </w:rPr>
        <w:t>Stronks</w:t>
      </w:r>
      <w:proofErr w:type="spellEnd"/>
      <w:r>
        <w:rPr>
          <w:lang w:eastAsia="en-AU"/>
        </w:rPr>
        <w:t xml:space="preserve">, D. L., et al. (2017). Preferred frequencies and waveforms for spinal cord stimulation in patients with complex regional pain syndrome: A multicentre, double-blind, randomized and placebo-controlled crossover trial [Article]. </w:t>
      </w:r>
      <w:r>
        <w:rPr>
          <w:i/>
          <w:iCs/>
          <w:lang w:eastAsia="en-AU"/>
        </w:rPr>
        <w:t>European Journal of Pain (United Kingdom)</w:t>
      </w:r>
      <w:r>
        <w:rPr>
          <w:lang w:eastAsia="en-AU"/>
        </w:rPr>
        <w:t>,</w:t>
      </w:r>
      <w:r>
        <w:rPr>
          <w:i/>
          <w:iCs/>
          <w:lang w:eastAsia="en-AU"/>
        </w:rPr>
        <w:t xml:space="preserve"> 21</w:t>
      </w:r>
      <w:r>
        <w:rPr>
          <w:lang w:eastAsia="en-AU"/>
        </w:rPr>
        <w:t xml:space="preserve">(3), 507-5/doi.org/10.1002/ejp.944 </w:t>
      </w:r>
    </w:p>
    <w:p w14:paraId="3FAA9AC7" w14:textId="44C934D7" w:rsidR="002B1D41" w:rsidRDefault="002B1D41" w:rsidP="00BE4358">
      <w:pPr>
        <w:pStyle w:val="References"/>
        <w:rPr>
          <w:lang w:eastAsia="en-AU"/>
        </w:rPr>
      </w:pPr>
      <w:proofErr w:type="spellStart"/>
      <w:r>
        <w:rPr>
          <w:lang w:eastAsia="en-AU"/>
        </w:rPr>
        <w:t>Kriek</w:t>
      </w:r>
      <w:proofErr w:type="spellEnd"/>
      <w:r>
        <w:rPr>
          <w:lang w:eastAsia="en-AU"/>
        </w:rPr>
        <w:t xml:space="preserve">, N., </w:t>
      </w:r>
      <w:proofErr w:type="spellStart"/>
      <w:r>
        <w:rPr>
          <w:lang w:eastAsia="en-AU"/>
        </w:rPr>
        <w:t>Groeneweg</w:t>
      </w:r>
      <w:proofErr w:type="spellEnd"/>
      <w:r>
        <w:rPr>
          <w:lang w:eastAsia="en-AU"/>
        </w:rPr>
        <w:t xml:space="preserve">, J., </w:t>
      </w:r>
      <w:proofErr w:type="spellStart"/>
      <w:r>
        <w:rPr>
          <w:lang w:eastAsia="en-AU"/>
        </w:rPr>
        <w:t>Stronks</w:t>
      </w:r>
      <w:proofErr w:type="spellEnd"/>
      <w:r>
        <w:rPr>
          <w:lang w:eastAsia="en-AU"/>
        </w:rPr>
        <w:t xml:space="preserve">, D., et al. </w:t>
      </w:r>
      <w:r w:rsidR="00BE4358">
        <w:rPr>
          <w:lang w:eastAsia="en-AU"/>
        </w:rPr>
        <w:t xml:space="preserve">(2014). High </w:t>
      </w:r>
      <w:r>
        <w:rPr>
          <w:lang w:eastAsia="en-AU"/>
        </w:rPr>
        <w:t xml:space="preserve">frequency and burst </w:t>
      </w:r>
      <w:r w:rsidR="00BE4358">
        <w:rPr>
          <w:lang w:eastAsia="en-AU"/>
        </w:rPr>
        <w:t>spinal cord stimulations</w:t>
      </w:r>
      <w:r>
        <w:rPr>
          <w:lang w:eastAsia="en-AU"/>
        </w:rPr>
        <w:t xml:space="preserve"> in patients with complex regional pain syndrome: </w:t>
      </w:r>
      <w:r w:rsidR="00BE4358">
        <w:rPr>
          <w:lang w:eastAsia="en-AU"/>
        </w:rPr>
        <w:t>A randomized</w:t>
      </w:r>
      <w:r>
        <w:rPr>
          <w:lang w:eastAsia="en-AU"/>
        </w:rPr>
        <w:t xml:space="preserve"> placebo controlled trial</w:t>
      </w:r>
      <w:r w:rsidR="00BE4358">
        <w:rPr>
          <w:lang w:eastAsia="en-AU"/>
        </w:rPr>
        <w:t xml:space="preserve"> [Conference Abstract]. </w:t>
      </w:r>
      <w:r w:rsidR="00BE4358">
        <w:rPr>
          <w:i/>
          <w:iCs/>
          <w:lang w:eastAsia="en-AU"/>
        </w:rPr>
        <w:t>Pain Practice</w:t>
      </w:r>
      <w:r w:rsidR="00BE4358">
        <w:rPr>
          <w:lang w:eastAsia="en-AU"/>
        </w:rPr>
        <w:t>,</w:t>
      </w:r>
      <w:r w:rsidR="00BE4358">
        <w:rPr>
          <w:i/>
          <w:iCs/>
          <w:lang w:eastAsia="en-AU"/>
        </w:rPr>
        <w:t xml:space="preserve"> 14</w:t>
      </w:r>
      <w:r w:rsidR="00BE4358">
        <w:rPr>
          <w:lang w:eastAsia="en-AU"/>
        </w:rPr>
        <w:t>, 1</w:t>
      </w:r>
      <w:r>
        <w:rPr>
          <w:lang w:eastAsia="en-AU"/>
        </w:rPr>
        <w:t>/doi.org/10.</w:t>
      </w:r>
      <w:r w:rsidR="00BE4358">
        <w:rPr>
          <w:lang w:eastAsia="en-AU"/>
        </w:rPr>
        <w:t xml:space="preserve">1111/papr.12201 </w:t>
      </w:r>
    </w:p>
    <w:p w14:paraId="0F00A328" w14:textId="442C2EED" w:rsidR="002B1D41" w:rsidRDefault="002B1D41" w:rsidP="00BE4358">
      <w:pPr>
        <w:pStyle w:val="References"/>
        <w:rPr>
          <w:lang w:eastAsia="en-AU"/>
        </w:rPr>
      </w:pPr>
      <w:proofErr w:type="spellStart"/>
      <w:r>
        <w:rPr>
          <w:lang w:eastAsia="en-AU"/>
        </w:rPr>
        <w:t>Kufakwaro</w:t>
      </w:r>
      <w:proofErr w:type="spellEnd"/>
      <w:r>
        <w:rPr>
          <w:lang w:eastAsia="en-AU"/>
        </w:rPr>
        <w:t xml:space="preserve">, N., Kothari, S., Reddy, R., et al. (2012). Neuromodulation of dorsal root ganglion: A comparative study to assess efficacy of pulsed-radiofrequency and neurostimulation in treatment of neuropathic pain [Conference Abstract]. </w:t>
      </w:r>
      <w:r>
        <w:rPr>
          <w:i/>
          <w:iCs/>
          <w:lang w:eastAsia="en-AU"/>
        </w:rPr>
        <w:t>Pain Practice</w:t>
      </w:r>
      <w:r>
        <w:rPr>
          <w:lang w:eastAsia="en-AU"/>
        </w:rPr>
        <w:t>,</w:t>
      </w:r>
      <w:r>
        <w:rPr>
          <w:i/>
          <w:iCs/>
          <w:lang w:eastAsia="en-AU"/>
        </w:rPr>
        <w:t xml:space="preserve"> 12</w:t>
      </w:r>
      <w:r>
        <w:rPr>
          <w:lang w:eastAsia="en-AU"/>
        </w:rPr>
        <w:t xml:space="preserve">, 1/doi.org/10.1111/j.1533-2500.2011.00528.x </w:t>
      </w:r>
    </w:p>
    <w:p w14:paraId="267FE75C" w14:textId="26AD6AA4" w:rsidR="002B1D41" w:rsidRDefault="002B1D41" w:rsidP="00BE4358">
      <w:pPr>
        <w:pStyle w:val="References"/>
        <w:rPr>
          <w:lang w:eastAsia="en-AU"/>
        </w:rPr>
      </w:pPr>
      <w:r>
        <w:rPr>
          <w:lang w:eastAsia="en-AU"/>
        </w:rPr>
        <w:t xml:space="preserve">Kumar, K., &amp; Bishop, S. (2009). Financial impact of spinal cord stimulation on the healthcare budget: A comparative analysis of costs in Canada and the United States [Article]. </w:t>
      </w:r>
      <w:r>
        <w:rPr>
          <w:i/>
          <w:iCs/>
          <w:lang w:eastAsia="en-AU"/>
        </w:rPr>
        <w:t>Journal of Neurosurgery: Spine</w:t>
      </w:r>
      <w:r>
        <w:rPr>
          <w:lang w:eastAsia="en-AU"/>
        </w:rPr>
        <w:t>,</w:t>
      </w:r>
      <w:r>
        <w:rPr>
          <w:i/>
          <w:iCs/>
          <w:lang w:eastAsia="en-AU"/>
        </w:rPr>
        <w:t xml:space="preserve"> 10</w:t>
      </w:r>
      <w:r>
        <w:rPr>
          <w:lang w:eastAsia="en-AU"/>
        </w:rPr>
        <w:t xml:space="preserve">(6), 564-5/doi.org/10.3171/2009.2.SPINE0865 </w:t>
      </w:r>
    </w:p>
    <w:p w14:paraId="24973E78" w14:textId="48C34285" w:rsidR="00BE4358" w:rsidRDefault="00BE4358" w:rsidP="00BE4358">
      <w:pPr>
        <w:pStyle w:val="References"/>
        <w:rPr>
          <w:lang w:eastAsia="en-AU"/>
        </w:rPr>
      </w:pPr>
      <w:r>
        <w:rPr>
          <w:lang w:eastAsia="en-AU"/>
        </w:rPr>
        <w:t xml:space="preserve">Kumar, K., &amp; Rizvi, S. (2013). Cost-effectiveness of spinal cord stimulation therapy in management of chronic pain [Article]. </w:t>
      </w:r>
      <w:r>
        <w:rPr>
          <w:i/>
          <w:iCs/>
          <w:lang w:eastAsia="en-AU"/>
        </w:rPr>
        <w:t>Pain Medicine (United States)</w:t>
      </w:r>
      <w:r>
        <w:rPr>
          <w:lang w:eastAsia="en-AU"/>
        </w:rPr>
        <w:t>,</w:t>
      </w:r>
      <w:r>
        <w:rPr>
          <w:i/>
          <w:iCs/>
          <w:lang w:eastAsia="en-AU"/>
        </w:rPr>
        <w:t xml:space="preserve"> 14</w:t>
      </w:r>
      <w:r>
        <w:rPr>
          <w:lang w:eastAsia="en-AU"/>
        </w:rPr>
        <w:t xml:space="preserve">(11), 1631-16/doi.org/10.1111/pme.12146 </w:t>
      </w:r>
    </w:p>
    <w:p w14:paraId="2B63C64E" w14:textId="201F76B4" w:rsidR="00BE4358" w:rsidRDefault="00BE4358" w:rsidP="00BE4358">
      <w:pPr>
        <w:pStyle w:val="References"/>
        <w:rPr>
          <w:lang w:eastAsia="en-AU"/>
        </w:rPr>
      </w:pPr>
      <w:r>
        <w:rPr>
          <w:lang w:eastAsia="en-AU"/>
        </w:rPr>
        <w:lastRenderedPageBreak/>
        <w:t xml:space="preserve">Kumar, K., &amp; Wilson, J. R. (2007). Factors affecting spinal cord stimulation outcome in chronic benign pain with suggestions to improve success rate [Article]. </w:t>
      </w:r>
      <w:r>
        <w:rPr>
          <w:i/>
          <w:iCs/>
          <w:lang w:eastAsia="en-AU"/>
        </w:rPr>
        <w:t xml:space="preserve">Acta </w:t>
      </w:r>
      <w:proofErr w:type="spellStart"/>
      <w:r>
        <w:rPr>
          <w:i/>
          <w:iCs/>
          <w:lang w:eastAsia="en-AU"/>
        </w:rPr>
        <w:t>neurochirurgica</w:t>
      </w:r>
      <w:proofErr w:type="spellEnd"/>
      <w:r>
        <w:rPr>
          <w:i/>
          <w:iCs/>
          <w:lang w:eastAsia="en-AU"/>
        </w:rPr>
        <w:t>. Supplement</w:t>
      </w:r>
      <w:r>
        <w:rPr>
          <w:lang w:eastAsia="en-AU"/>
        </w:rPr>
        <w:t>,</w:t>
      </w:r>
      <w:r>
        <w:rPr>
          <w:i/>
          <w:iCs/>
          <w:lang w:eastAsia="en-AU"/>
        </w:rPr>
        <w:t xml:space="preserve"> 97</w:t>
      </w:r>
      <w:r>
        <w:rPr>
          <w:lang w:eastAsia="en-AU"/>
        </w:rPr>
        <w:t xml:space="preserve">(Pt 1), 91-/www.embase.com/search/results?subaction=viewrecord&amp;id=L47452489&amp;from=export </w:t>
      </w:r>
    </w:p>
    <w:p w14:paraId="13DB863F" w14:textId="715F619A" w:rsidR="002B1D41" w:rsidRDefault="002B1D41" w:rsidP="00BE4358">
      <w:pPr>
        <w:pStyle w:val="References"/>
        <w:rPr>
          <w:lang w:eastAsia="en-AU"/>
        </w:rPr>
      </w:pPr>
      <w:r>
        <w:rPr>
          <w:lang w:eastAsia="en-AU"/>
        </w:rPr>
        <w:t xml:space="preserve">Kumar, K., </w:t>
      </w:r>
      <w:proofErr w:type="spellStart"/>
      <w:r>
        <w:rPr>
          <w:lang w:eastAsia="en-AU"/>
        </w:rPr>
        <w:t>Eldabe</w:t>
      </w:r>
      <w:proofErr w:type="spellEnd"/>
      <w:r>
        <w:rPr>
          <w:lang w:eastAsia="en-AU"/>
        </w:rPr>
        <w:t xml:space="preserve">, S., </w:t>
      </w:r>
      <w:proofErr w:type="spellStart"/>
      <w:r>
        <w:rPr>
          <w:lang w:eastAsia="en-AU"/>
        </w:rPr>
        <w:t>Buchser</w:t>
      </w:r>
      <w:proofErr w:type="spellEnd"/>
      <w:r>
        <w:rPr>
          <w:lang w:eastAsia="en-AU"/>
        </w:rPr>
        <w:t xml:space="preserve">, E., et al. (2009). Changes in pain, function and quality of life in patients with failed back surgery syndrome treated with spinal cord stimulation or conventional medical management [Conference Abstract]. </w:t>
      </w:r>
      <w:r>
        <w:rPr>
          <w:i/>
          <w:iCs/>
          <w:lang w:eastAsia="en-AU"/>
        </w:rPr>
        <w:t>Pain Practice</w:t>
      </w:r>
      <w:r>
        <w:rPr>
          <w:lang w:eastAsia="en-AU"/>
        </w:rPr>
        <w:t>,</w:t>
      </w:r>
      <w:r>
        <w:rPr>
          <w:i/>
          <w:iCs/>
          <w:lang w:eastAsia="en-AU"/>
        </w:rPr>
        <w:t xml:space="preserve"> 9</w:t>
      </w:r>
      <w:r>
        <w:rPr>
          <w:lang w:eastAsia="en-AU"/>
        </w:rPr>
        <w:t xml:space="preserve">, /doi.org/10.1111/j.1533-2500.2009.00266.x </w:t>
      </w:r>
    </w:p>
    <w:p w14:paraId="67B9DFD9" w14:textId="5A8CB268" w:rsidR="002B1D41" w:rsidRDefault="002B1D41" w:rsidP="00BE4358">
      <w:pPr>
        <w:pStyle w:val="References"/>
        <w:rPr>
          <w:lang w:eastAsia="en-AU"/>
        </w:rPr>
      </w:pPr>
      <w:r>
        <w:rPr>
          <w:lang w:eastAsia="en-AU"/>
        </w:rPr>
        <w:t xml:space="preserve">Kumar, K., </w:t>
      </w:r>
      <w:proofErr w:type="spellStart"/>
      <w:r>
        <w:rPr>
          <w:lang w:eastAsia="en-AU"/>
        </w:rPr>
        <w:t>Eldabe</w:t>
      </w:r>
      <w:proofErr w:type="spellEnd"/>
      <w:r>
        <w:rPr>
          <w:lang w:eastAsia="en-AU"/>
        </w:rPr>
        <w:t xml:space="preserve">, S., </w:t>
      </w:r>
      <w:proofErr w:type="spellStart"/>
      <w:r>
        <w:rPr>
          <w:lang w:eastAsia="en-AU"/>
        </w:rPr>
        <w:t>Buchser</w:t>
      </w:r>
      <w:proofErr w:type="spellEnd"/>
      <w:r>
        <w:rPr>
          <w:lang w:eastAsia="en-AU"/>
        </w:rPr>
        <w:t xml:space="preserve">, E., et al. (2010). Function and health-related quality of life in failed back surgery syndrome patients following spinal cord stimulation and conventional medical management [Conference Abstract]. </w:t>
      </w:r>
      <w:r>
        <w:rPr>
          <w:i/>
          <w:iCs/>
          <w:lang w:eastAsia="en-AU"/>
        </w:rPr>
        <w:t>Pain Medicine</w:t>
      </w:r>
      <w:r>
        <w:rPr>
          <w:lang w:eastAsia="en-AU"/>
        </w:rPr>
        <w:t>,</w:t>
      </w:r>
      <w:r>
        <w:rPr>
          <w:i/>
          <w:iCs/>
          <w:lang w:eastAsia="en-AU"/>
        </w:rPr>
        <w:t xml:space="preserve"> 11</w:t>
      </w:r>
      <w:r>
        <w:rPr>
          <w:lang w:eastAsia="en-AU"/>
        </w:rPr>
        <w:t xml:space="preserve">(2), 294-2/doi.org/10.1111/j1526-4637.2009.00781.x </w:t>
      </w:r>
    </w:p>
    <w:p w14:paraId="60CD742D" w14:textId="5E51E308" w:rsidR="002B1D41" w:rsidRDefault="002B1D41" w:rsidP="00BE4358">
      <w:pPr>
        <w:pStyle w:val="References"/>
        <w:rPr>
          <w:lang w:eastAsia="en-AU"/>
        </w:rPr>
      </w:pPr>
      <w:r>
        <w:rPr>
          <w:lang w:eastAsia="en-AU"/>
        </w:rPr>
        <w:t xml:space="preserve">Kumar, K., </w:t>
      </w:r>
      <w:proofErr w:type="spellStart"/>
      <w:r>
        <w:rPr>
          <w:lang w:eastAsia="en-AU"/>
        </w:rPr>
        <w:t>Eldabe</w:t>
      </w:r>
      <w:proofErr w:type="spellEnd"/>
      <w:r>
        <w:rPr>
          <w:lang w:eastAsia="en-AU"/>
        </w:rPr>
        <w:t xml:space="preserve">, S., </w:t>
      </w:r>
      <w:proofErr w:type="spellStart"/>
      <w:r>
        <w:rPr>
          <w:lang w:eastAsia="en-AU"/>
        </w:rPr>
        <w:t>Buchser</w:t>
      </w:r>
      <w:proofErr w:type="spellEnd"/>
      <w:r>
        <w:rPr>
          <w:lang w:eastAsia="en-AU"/>
        </w:rPr>
        <w:t xml:space="preserve">, E., et al. (2010). Pain outcomes in failed back surgery syndrome patients following spinal cord stimulation and conventional medical management [Conference Abstract]. </w:t>
      </w:r>
      <w:r>
        <w:rPr>
          <w:i/>
          <w:iCs/>
          <w:lang w:eastAsia="en-AU"/>
        </w:rPr>
        <w:t>Pain Medicine</w:t>
      </w:r>
      <w:r>
        <w:rPr>
          <w:lang w:eastAsia="en-AU"/>
        </w:rPr>
        <w:t>,</w:t>
      </w:r>
      <w:r>
        <w:rPr>
          <w:i/>
          <w:iCs/>
          <w:lang w:eastAsia="en-AU"/>
        </w:rPr>
        <w:t xml:space="preserve"> 11</w:t>
      </w:r>
      <w:r>
        <w:rPr>
          <w:lang w:eastAsia="en-AU"/>
        </w:rPr>
        <w:t xml:space="preserve">(2), 2/doi.org/10.1111/j1526-4637.2009.00781.x </w:t>
      </w:r>
    </w:p>
    <w:p w14:paraId="542EC54F" w14:textId="2CB769C2" w:rsidR="00BE4358" w:rsidRDefault="00BE4358" w:rsidP="00BE4358">
      <w:pPr>
        <w:pStyle w:val="References"/>
        <w:rPr>
          <w:lang w:eastAsia="en-AU"/>
        </w:rPr>
      </w:pPr>
      <w:r>
        <w:rPr>
          <w:lang w:eastAsia="en-AU"/>
        </w:rPr>
        <w:t xml:space="preserve">Kumar, K., Malik, S., </w:t>
      </w:r>
      <w:proofErr w:type="spellStart"/>
      <w:r>
        <w:rPr>
          <w:lang w:eastAsia="en-AU"/>
        </w:rPr>
        <w:t>Demeria</w:t>
      </w:r>
      <w:proofErr w:type="spellEnd"/>
      <w:r>
        <w:rPr>
          <w:lang w:eastAsia="en-AU"/>
        </w:rPr>
        <w:t xml:space="preserve">, D., et al. (2002). Treatment of chronic pain with spinal cord stimulation versus alternative therapies: Cost-effectiveness analysis [Article]. </w:t>
      </w:r>
      <w:r>
        <w:rPr>
          <w:i/>
          <w:iCs/>
          <w:lang w:eastAsia="en-AU"/>
        </w:rPr>
        <w:t>Neurosurgery</w:t>
      </w:r>
      <w:r>
        <w:rPr>
          <w:lang w:eastAsia="en-AU"/>
        </w:rPr>
        <w:t>,</w:t>
      </w:r>
      <w:r>
        <w:rPr>
          <w:i/>
          <w:iCs/>
          <w:lang w:eastAsia="en-AU"/>
        </w:rPr>
        <w:t xml:space="preserve"> 51</w:t>
      </w:r>
      <w:r>
        <w:rPr>
          <w:lang w:eastAsia="en-AU"/>
        </w:rPr>
        <w:t xml:space="preserve">(1), 106-1/doi.org/10.1097/00006123-200207000-00016 </w:t>
      </w:r>
    </w:p>
    <w:p w14:paraId="44EED536" w14:textId="125B549F" w:rsidR="002B1D41" w:rsidRDefault="002B1D41" w:rsidP="00BE4358">
      <w:pPr>
        <w:pStyle w:val="References"/>
        <w:rPr>
          <w:lang w:eastAsia="en-AU"/>
        </w:rPr>
      </w:pPr>
      <w:r>
        <w:rPr>
          <w:lang w:eastAsia="en-AU"/>
        </w:rPr>
        <w:t xml:space="preserve">Kumar, K., North, R., Taylor, R., et al. (2005). Spinal Cord Stimulation vs. Conventional Medical Management: A Prospective, Randomized, Controlled, </w:t>
      </w:r>
      <w:proofErr w:type="spellStart"/>
      <w:r>
        <w:rPr>
          <w:lang w:eastAsia="en-AU"/>
        </w:rPr>
        <w:t>Multicenter</w:t>
      </w:r>
      <w:proofErr w:type="spellEnd"/>
      <w:r>
        <w:rPr>
          <w:lang w:eastAsia="en-AU"/>
        </w:rPr>
        <w:t xml:space="preserve"> Study of Patients with Failed Back Surgery Syndrome (PROCESS Study). </w:t>
      </w:r>
      <w:r>
        <w:rPr>
          <w:i/>
          <w:iCs/>
          <w:lang w:eastAsia="en-AU"/>
        </w:rPr>
        <w:t>Neuromodulation</w:t>
      </w:r>
      <w:r>
        <w:rPr>
          <w:lang w:eastAsia="en-AU"/>
        </w:rPr>
        <w:t>,</w:t>
      </w:r>
      <w:r>
        <w:rPr>
          <w:i/>
          <w:iCs/>
          <w:lang w:eastAsia="en-AU"/>
        </w:rPr>
        <w:t xml:space="preserve"> 8</w:t>
      </w:r>
      <w:r>
        <w:rPr>
          <w:lang w:eastAsia="en-AU"/>
        </w:rPr>
        <w:t xml:space="preserve">(4), 213-2/doi.org/10.1111/j.1525-1403.2005.00027.x </w:t>
      </w:r>
    </w:p>
    <w:p w14:paraId="6DE3E60A" w14:textId="07553858" w:rsidR="002B1D41" w:rsidRDefault="002B1D41" w:rsidP="00BE4358">
      <w:pPr>
        <w:pStyle w:val="References"/>
        <w:rPr>
          <w:lang w:eastAsia="en-AU"/>
        </w:rPr>
      </w:pPr>
      <w:r>
        <w:rPr>
          <w:lang w:eastAsia="en-AU"/>
        </w:rPr>
        <w:t xml:space="preserve">Kumar, K., Taylor, R. S., Jacques, L., et al. (2007). Spinal cord stimulation versus conventional medical management for neuropathic pain: A multicentre randomised controlled trial in patients with failed back surgery syndrome [Article]. </w:t>
      </w:r>
      <w:r>
        <w:rPr>
          <w:i/>
          <w:iCs/>
          <w:lang w:eastAsia="en-AU"/>
        </w:rPr>
        <w:t>Pain</w:t>
      </w:r>
      <w:r>
        <w:rPr>
          <w:lang w:eastAsia="en-AU"/>
        </w:rPr>
        <w:t>,</w:t>
      </w:r>
      <w:r>
        <w:rPr>
          <w:i/>
          <w:iCs/>
          <w:lang w:eastAsia="en-AU"/>
        </w:rPr>
        <w:t xml:space="preserve"> 132</w:t>
      </w:r>
      <w:r>
        <w:rPr>
          <w:lang w:eastAsia="en-AU"/>
        </w:rPr>
        <w:t xml:space="preserve">(1-2), 179-1/doi.org/10.1016/j.pain.2007.07.028 </w:t>
      </w:r>
    </w:p>
    <w:p w14:paraId="5AFD0C43" w14:textId="210FE691" w:rsidR="002B1D41" w:rsidRDefault="002B1D41" w:rsidP="00BE4358">
      <w:pPr>
        <w:pStyle w:val="References"/>
        <w:rPr>
          <w:lang w:eastAsia="en-AU"/>
        </w:rPr>
      </w:pPr>
      <w:r>
        <w:rPr>
          <w:lang w:eastAsia="en-AU"/>
        </w:rPr>
        <w:t xml:space="preserve">Kumar, K., Taylor, R. S., Jacques, L., et al. (2008). The effects of spinal cord stimulation in neuropathic pain are sustained: A 24-month follow-up of the prospective randomized controlled </w:t>
      </w:r>
      <w:proofErr w:type="spellStart"/>
      <w:r>
        <w:rPr>
          <w:lang w:eastAsia="en-AU"/>
        </w:rPr>
        <w:t>multicenter</w:t>
      </w:r>
      <w:proofErr w:type="spellEnd"/>
      <w:r>
        <w:rPr>
          <w:lang w:eastAsia="en-AU"/>
        </w:rPr>
        <w:t xml:space="preserve"> trial of the effectiveness of spinal cord stimulation [Article]. </w:t>
      </w:r>
      <w:r>
        <w:rPr>
          <w:i/>
          <w:iCs/>
          <w:lang w:eastAsia="en-AU"/>
        </w:rPr>
        <w:t>Neurosurgery</w:t>
      </w:r>
      <w:r>
        <w:rPr>
          <w:lang w:eastAsia="en-AU"/>
        </w:rPr>
        <w:t>,</w:t>
      </w:r>
      <w:r>
        <w:rPr>
          <w:i/>
          <w:iCs/>
          <w:lang w:eastAsia="en-AU"/>
        </w:rPr>
        <w:t xml:space="preserve"> 63</w:t>
      </w:r>
      <w:r>
        <w:rPr>
          <w:lang w:eastAsia="en-AU"/>
        </w:rPr>
        <w:t xml:space="preserve">(4), 762-7/doi.org/10.1227/01.NEU.0000325731.46702.D9 </w:t>
      </w:r>
    </w:p>
    <w:p w14:paraId="0EA477F0" w14:textId="54F146A9" w:rsidR="002B1D41" w:rsidRDefault="002B1D41" w:rsidP="00BE4358">
      <w:pPr>
        <w:pStyle w:val="References"/>
        <w:rPr>
          <w:lang w:eastAsia="en-AU"/>
        </w:rPr>
      </w:pPr>
      <w:r>
        <w:rPr>
          <w:lang w:eastAsia="en-AU"/>
        </w:rPr>
        <w:t xml:space="preserve">Lad, S. P., </w:t>
      </w:r>
      <w:proofErr w:type="spellStart"/>
      <w:r>
        <w:rPr>
          <w:lang w:eastAsia="en-AU"/>
        </w:rPr>
        <w:t>Petraglia</w:t>
      </w:r>
      <w:proofErr w:type="spellEnd"/>
      <w:r>
        <w:rPr>
          <w:lang w:eastAsia="en-AU"/>
        </w:rPr>
        <w:t xml:space="preserve">, F. W., Kent, A. R., et al. (2016). Longer Delay From Chronic Pain to Spinal Cord Stimulation Results in Higher Healthcare Resource Utilization [Article]. </w:t>
      </w:r>
      <w:r>
        <w:rPr>
          <w:i/>
          <w:iCs/>
          <w:lang w:eastAsia="en-AU"/>
        </w:rPr>
        <w:t>Neuromodulation</w:t>
      </w:r>
      <w:r>
        <w:rPr>
          <w:lang w:eastAsia="en-AU"/>
        </w:rPr>
        <w:t>,</w:t>
      </w:r>
      <w:r>
        <w:rPr>
          <w:i/>
          <w:iCs/>
          <w:lang w:eastAsia="en-AU"/>
        </w:rPr>
        <w:t xml:space="preserve"> 19</w:t>
      </w:r>
      <w:r>
        <w:rPr>
          <w:lang w:eastAsia="en-AU"/>
        </w:rPr>
        <w:t xml:space="preserve">(5), 469-4/doi.org/10.1111/ner.12389 </w:t>
      </w:r>
    </w:p>
    <w:p w14:paraId="5699F04D" w14:textId="089DE266" w:rsidR="002B1D41" w:rsidRDefault="002B1D41" w:rsidP="00BE4358">
      <w:pPr>
        <w:pStyle w:val="References"/>
        <w:rPr>
          <w:lang w:eastAsia="en-AU"/>
        </w:rPr>
      </w:pPr>
      <w:r>
        <w:rPr>
          <w:lang w:eastAsia="en-AU"/>
        </w:rPr>
        <w:t xml:space="preserve">Leong, S. L., De Ridder, D., Deer, T., et al. (2021). Potential Therapeutic Effect of Low Amplitude Burst Spinal Cord Stimulation on Pain [Article]. </w:t>
      </w:r>
      <w:r>
        <w:rPr>
          <w:i/>
          <w:iCs/>
          <w:lang w:eastAsia="en-AU"/>
        </w:rPr>
        <w:t>Neuromodulation</w:t>
      </w:r>
      <w:r>
        <w:rPr>
          <w:lang w:eastAsia="en-AU"/>
        </w:rPr>
        <w:t>,</w:t>
      </w:r>
      <w:r>
        <w:rPr>
          <w:i/>
          <w:iCs/>
          <w:lang w:eastAsia="en-AU"/>
        </w:rPr>
        <w:t xml:space="preserve"> 24</w:t>
      </w:r>
      <w:r>
        <w:rPr>
          <w:lang w:eastAsia="en-AU"/>
        </w:rPr>
        <w:t xml:space="preserve">(3), 574-5/doi.org/10.1111/ner.13090 </w:t>
      </w:r>
    </w:p>
    <w:p w14:paraId="6AA4AA10" w14:textId="39A0236F" w:rsidR="002B1D41" w:rsidRDefault="00BE4358" w:rsidP="00BE4358">
      <w:pPr>
        <w:pStyle w:val="References"/>
        <w:rPr>
          <w:lang w:eastAsia="en-AU"/>
        </w:rPr>
      </w:pPr>
      <w:r>
        <w:rPr>
          <w:lang w:eastAsia="en-AU"/>
        </w:rPr>
        <w:t xml:space="preserve">Levy, R. M., </w:t>
      </w:r>
      <w:proofErr w:type="spellStart"/>
      <w:r>
        <w:rPr>
          <w:lang w:eastAsia="en-AU"/>
        </w:rPr>
        <w:t>Mekhail</w:t>
      </w:r>
      <w:proofErr w:type="spellEnd"/>
      <w:r>
        <w:rPr>
          <w:lang w:eastAsia="en-AU"/>
        </w:rPr>
        <w:t xml:space="preserve">, N., Kramer, J., et al. (2020). Therapy Habituation at 12 Months: Spinal Cord Stimulation Versus Dorsal Root Ganglion Stimulation for Complex Regional Pain Syndrome Type I and II [Article]. </w:t>
      </w:r>
      <w:r>
        <w:rPr>
          <w:i/>
          <w:iCs/>
          <w:lang w:eastAsia="en-AU"/>
        </w:rPr>
        <w:t>Journal of Pain</w:t>
      </w:r>
      <w:r>
        <w:rPr>
          <w:lang w:eastAsia="en-AU"/>
        </w:rPr>
        <w:t>,</w:t>
      </w:r>
      <w:r>
        <w:rPr>
          <w:i/>
          <w:iCs/>
          <w:lang w:eastAsia="en-AU"/>
        </w:rPr>
        <w:t xml:space="preserve"> 21</w:t>
      </w:r>
      <w:r>
        <w:rPr>
          <w:lang w:eastAsia="en-AU"/>
        </w:rPr>
        <w:t xml:space="preserve">(3-4), 399-4/doi.org/10.1016/j.jpain.2019.08.005 </w:t>
      </w:r>
    </w:p>
    <w:p w14:paraId="2F8CD713" w14:textId="684D9BC5" w:rsidR="00BE4358" w:rsidRDefault="00BE4358" w:rsidP="00BE4358">
      <w:pPr>
        <w:pStyle w:val="References"/>
        <w:rPr>
          <w:lang w:eastAsia="en-AU"/>
        </w:rPr>
      </w:pPr>
      <w:r>
        <w:rPr>
          <w:lang w:eastAsia="en-AU"/>
        </w:rPr>
        <w:t xml:space="preserve">Levy, R., Henderson, J., </w:t>
      </w:r>
      <w:proofErr w:type="spellStart"/>
      <w:r>
        <w:rPr>
          <w:lang w:eastAsia="en-AU"/>
        </w:rPr>
        <w:t>Slavin</w:t>
      </w:r>
      <w:proofErr w:type="spellEnd"/>
      <w:r>
        <w:rPr>
          <w:lang w:eastAsia="en-AU"/>
        </w:rPr>
        <w:t xml:space="preserve">, K., et al. (2011). Incidence and avoidance of neurologic complications with paddle type spinal cord stimulation leads [Article]. </w:t>
      </w:r>
      <w:r>
        <w:rPr>
          <w:i/>
          <w:iCs/>
          <w:lang w:eastAsia="en-AU"/>
        </w:rPr>
        <w:t>Neuromodulation</w:t>
      </w:r>
      <w:r>
        <w:rPr>
          <w:lang w:eastAsia="en-AU"/>
        </w:rPr>
        <w:t>,</w:t>
      </w:r>
      <w:r>
        <w:rPr>
          <w:i/>
          <w:iCs/>
          <w:lang w:eastAsia="en-AU"/>
        </w:rPr>
        <w:t xml:space="preserve"> 14</w:t>
      </w:r>
      <w:r>
        <w:rPr>
          <w:lang w:eastAsia="en-AU"/>
        </w:rPr>
        <w:t xml:space="preserve">(5), 412-4/doi.org/10.1111/j.1525-1403.2011.00395.x </w:t>
      </w:r>
    </w:p>
    <w:p w14:paraId="5A0E04B6" w14:textId="19BDFBF9" w:rsidR="002B1D41" w:rsidRDefault="002B1D41" w:rsidP="00BE4358">
      <w:pPr>
        <w:pStyle w:val="References"/>
        <w:rPr>
          <w:lang w:eastAsia="en-AU"/>
        </w:rPr>
      </w:pPr>
      <w:proofErr w:type="spellStart"/>
      <w:r>
        <w:rPr>
          <w:lang w:eastAsia="en-AU"/>
        </w:rPr>
        <w:t>Liem</w:t>
      </w:r>
      <w:proofErr w:type="spellEnd"/>
      <w:r>
        <w:rPr>
          <w:lang w:eastAsia="en-AU"/>
        </w:rPr>
        <w:t xml:space="preserve">, L., Russo, M., </w:t>
      </w:r>
      <w:proofErr w:type="spellStart"/>
      <w:r>
        <w:rPr>
          <w:lang w:eastAsia="en-AU"/>
        </w:rPr>
        <w:t>Huygen</w:t>
      </w:r>
      <w:proofErr w:type="spellEnd"/>
      <w:r>
        <w:rPr>
          <w:lang w:eastAsia="en-AU"/>
        </w:rPr>
        <w:t xml:space="preserve">, F. J. P. M., et al. (2013). A </w:t>
      </w:r>
      <w:proofErr w:type="spellStart"/>
      <w:r>
        <w:rPr>
          <w:lang w:eastAsia="en-AU"/>
        </w:rPr>
        <w:t>multicenter</w:t>
      </w:r>
      <w:proofErr w:type="spellEnd"/>
      <w:r>
        <w:rPr>
          <w:lang w:eastAsia="en-AU"/>
        </w:rPr>
        <w:t xml:space="preserve">, prospective trial to assess the safety and performance of the spinal modulation dorsal root ganglion neurostimulator system in the treatment of chronic pain [Article]. </w:t>
      </w:r>
      <w:r>
        <w:rPr>
          <w:i/>
          <w:iCs/>
          <w:lang w:eastAsia="en-AU"/>
        </w:rPr>
        <w:t>Neuromodulation</w:t>
      </w:r>
      <w:r>
        <w:rPr>
          <w:lang w:eastAsia="en-AU"/>
        </w:rPr>
        <w:t>,</w:t>
      </w:r>
      <w:r>
        <w:rPr>
          <w:i/>
          <w:iCs/>
          <w:lang w:eastAsia="en-AU"/>
        </w:rPr>
        <w:t xml:space="preserve"> 16</w:t>
      </w:r>
      <w:r>
        <w:rPr>
          <w:lang w:eastAsia="en-AU"/>
        </w:rPr>
        <w:t xml:space="preserve">(5), 471-4/doi.org/10.1111/ner.12072 </w:t>
      </w:r>
    </w:p>
    <w:p w14:paraId="66D7AAE2" w14:textId="61C90516" w:rsidR="002B1D41" w:rsidRDefault="002B1D41" w:rsidP="00BE4358">
      <w:pPr>
        <w:pStyle w:val="References"/>
        <w:rPr>
          <w:lang w:eastAsia="en-AU"/>
        </w:rPr>
      </w:pPr>
      <w:r>
        <w:rPr>
          <w:lang w:eastAsia="en-AU"/>
        </w:rPr>
        <w:t xml:space="preserve">Lind, G., Winter, J., </w:t>
      </w:r>
      <w:proofErr w:type="spellStart"/>
      <w:r>
        <w:rPr>
          <w:lang w:eastAsia="en-AU"/>
        </w:rPr>
        <w:t>Linderoth</w:t>
      </w:r>
      <w:proofErr w:type="spellEnd"/>
      <w:r>
        <w:rPr>
          <w:lang w:eastAsia="en-AU"/>
        </w:rPr>
        <w:t xml:space="preserve">, B., et al. (2015). Therapeutic value of spinal cord stimulation in irritable bowel syndrome: a randomized crossover pilot study. </w:t>
      </w:r>
      <w:r>
        <w:rPr>
          <w:i/>
          <w:iCs/>
          <w:lang w:eastAsia="en-AU"/>
        </w:rPr>
        <w:t xml:space="preserve">Am J </w:t>
      </w:r>
      <w:proofErr w:type="spellStart"/>
      <w:r>
        <w:rPr>
          <w:i/>
          <w:iCs/>
          <w:lang w:eastAsia="en-AU"/>
        </w:rPr>
        <w:t>Physiol</w:t>
      </w:r>
      <w:proofErr w:type="spellEnd"/>
      <w:r>
        <w:rPr>
          <w:i/>
          <w:iCs/>
          <w:lang w:eastAsia="en-AU"/>
        </w:rPr>
        <w:t xml:space="preserve"> </w:t>
      </w:r>
      <w:proofErr w:type="spellStart"/>
      <w:r>
        <w:rPr>
          <w:i/>
          <w:iCs/>
          <w:lang w:eastAsia="en-AU"/>
        </w:rPr>
        <w:t>Regul</w:t>
      </w:r>
      <w:proofErr w:type="spellEnd"/>
      <w:r>
        <w:rPr>
          <w:i/>
          <w:iCs/>
          <w:lang w:eastAsia="en-AU"/>
        </w:rPr>
        <w:t xml:space="preserve"> </w:t>
      </w:r>
      <w:proofErr w:type="spellStart"/>
      <w:r>
        <w:rPr>
          <w:i/>
          <w:iCs/>
          <w:lang w:eastAsia="en-AU"/>
        </w:rPr>
        <w:t>Integr</w:t>
      </w:r>
      <w:proofErr w:type="spellEnd"/>
      <w:r>
        <w:rPr>
          <w:i/>
          <w:iCs/>
          <w:lang w:eastAsia="en-AU"/>
        </w:rPr>
        <w:t xml:space="preserve"> Comp </w:t>
      </w:r>
      <w:proofErr w:type="spellStart"/>
      <w:r>
        <w:rPr>
          <w:i/>
          <w:iCs/>
          <w:lang w:eastAsia="en-AU"/>
        </w:rPr>
        <w:t>Physiol</w:t>
      </w:r>
      <w:proofErr w:type="spellEnd"/>
      <w:r>
        <w:rPr>
          <w:lang w:eastAsia="en-AU"/>
        </w:rPr>
        <w:t>,</w:t>
      </w:r>
      <w:r>
        <w:rPr>
          <w:i/>
          <w:iCs/>
          <w:lang w:eastAsia="en-AU"/>
        </w:rPr>
        <w:t xml:space="preserve"> 308</w:t>
      </w:r>
      <w:r>
        <w:rPr>
          <w:lang w:eastAsia="en-AU"/>
        </w:rPr>
        <w:t xml:space="preserve">(10), R887-8/doi.org/10.1152/ajpregu.00022.2015 </w:t>
      </w:r>
    </w:p>
    <w:p w14:paraId="7AC38819" w14:textId="6BD69B2C" w:rsidR="002B1D41" w:rsidRDefault="002B1D41" w:rsidP="00BE4358">
      <w:pPr>
        <w:pStyle w:val="References"/>
        <w:rPr>
          <w:lang w:eastAsia="en-AU"/>
        </w:rPr>
      </w:pPr>
      <w:r>
        <w:rPr>
          <w:lang w:eastAsia="en-AU"/>
        </w:rPr>
        <w:t xml:space="preserve">Liu, B., Yang, Y., Zhang, Z., et al. (2020). Clinical study of spinal cord stimulation and pulsed radiofrequency for management of herpes zoster-related pain persisting beyond acute phase in elderly patients [Article]. </w:t>
      </w:r>
      <w:r>
        <w:rPr>
          <w:i/>
          <w:iCs/>
          <w:lang w:eastAsia="en-AU"/>
        </w:rPr>
        <w:t>Pain Physician</w:t>
      </w:r>
      <w:r>
        <w:rPr>
          <w:lang w:eastAsia="en-AU"/>
        </w:rPr>
        <w:t>,</w:t>
      </w:r>
      <w:r>
        <w:rPr>
          <w:i/>
          <w:iCs/>
          <w:lang w:eastAsia="en-AU"/>
        </w:rPr>
        <w:t xml:space="preserve"> 23</w:t>
      </w:r>
      <w:r>
        <w:rPr>
          <w:lang w:eastAsia="en-AU"/>
        </w:rPr>
        <w:t xml:space="preserve">(3), 263-2/www.embase.com/search/results?subaction=viewrecord&amp;id=L2004500752&amp;from=export </w:t>
      </w:r>
    </w:p>
    <w:p w14:paraId="3A492BC8" w14:textId="65676B9B" w:rsidR="002B1D41" w:rsidRDefault="002B1D41" w:rsidP="00BE4358">
      <w:pPr>
        <w:pStyle w:val="References"/>
        <w:rPr>
          <w:lang w:eastAsia="en-AU"/>
        </w:rPr>
      </w:pPr>
      <w:r>
        <w:rPr>
          <w:lang w:eastAsia="en-AU"/>
        </w:rPr>
        <w:t xml:space="preserve">Liu, J., Zhang, A., Ye, X., et al. (2021). The effect of short-term spinal cord electrical stimulation on patients with postherpetic neuralgia and its effect on sleep quality [Article in Press]. </w:t>
      </w:r>
      <w:r>
        <w:rPr>
          <w:i/>
          <w:iCs/>
          <w:lang w:eastAsia="en-AU"/>
        </w:rPr>
        <w:t>Neuro endocrinology letters</w:t>
      </w:r>
      <w:r>
        <w:rPr>
          <w:lang w:eastAsia="en-AU"/>
        </w:rPr>
        <w:t>,</w:t>
      </w:r>
      <w:r>
        <w:rPr>
          <w:i/>
          <w:iCs/>
          <w:lang w:eastAsia="en-AU"/>
        </w:rPr>
        <w:t xml:space="preserve"> 42</w:t>
      </w:r>
      <w:r>
        <w:rPr>
          <w:lang w:eastAsia="en-AU"/>
        </w:rPr>
        <w:t xml:space="preserve">(2), 81-/www.embase.com/search/results?subaction=viewrecord&amp;id=L635527870&amp;from=export </w:t>
      </w:r>
    </w:p>
    <w:p w14:paraId="24216582" w14:textId="1A8D693B" w:rsidR="002B1D41" w:rsidRDefault="002B1D41" w:rsidP="00BE4358">
      <w:pPr>
        <w:pStyle w:val="References"/>
        <w:rPr>
          <w:lang w:eastAsia="en-AU"/>
        </w:rPr>
      </w:pPr>
      <w:proofErr w:type="spellStart"/>
      <w:r>
        <w:rPr>
          <w:lang w:eastAsia="en-AU"/>
        </w:rPr>
        <w:t>Loeser</w:t>
      </w:r>
      <w:proofErr w:type="spellEnd"/>
      <w:r>
        <w:rPr>
          <w:lang w:eastAsia="en-AU"/>
        </w:rPr>
        <w:t xml:space="preserve">, J. D. (2008). The effects of spinal cord stimulation in neuropathic pain are sustained: A 24-month follow-up of the prospective randomized controlled </w:t>
      </w:r>
      <w:proofErr w:type="spellStart"/>
      <w:r>
        <w:rPr>
          <w:lang w:eastAsia="en-AU"/>
        </w:rPr>
        <w:t>multicenter</w:t>
      </w:r>
      <w:proofErr w:type="spellEnd"/>
      <w:r>
        <w:rPr>
          <w:lang w:eastAsia="en-AU"/>
        </w:rPr>
        <w:t xml:space="preserve"> trial of the effectiveness of spinal cord stimulation: Commentary [Note]. </w:t>
      </w:r>
      <w:r>
        <w:rPr>
          <w:i/>
          <w:iCs/>
          <w:lang w:eastAsia="en-AU"/>
        </w:rPr>
        <w:t>Neurosurgery</w:t>
      </w:r>
      <w:r>
        <w:rPr>
          <w:lang w:eastAsia="en-AU"/>
        </w:rPr>
        <w:t>,</w:t>
      </w:r>
      <w:r>
        <w:rPr>
          <w:i/>
          <w:iCs/>
          <w:lang w:eastAsia="en-AU"/>
        </w:rPr>
        <w:t xml:space="preserve"> 63</w:t>
      </w:r>
      <w:r>
        <w:rPr>
          <w:lang w:eastAsia="en-AU"/>
        </w:rPr>
        <w:t xml:space="preserve">(4), 7/doi.org/10.1227/01.NEU.0000325731.46702.D9 </w:t>
      </w:r>
    </w:p>
    <w:p w14:paraId="303FFB81" w14:textId="1C7EA370" w:rsidR="002B1D41" w:rsidRDefault="002B1D41" w:rsidP="00BE4358">
      <w:pPr>
        <w:pStyle w:val="References"/>
        <w:rPr>
          <w:lang w:eastAsia="en-AU"/>
        </w:rPr>
      </w:pPr>
      <w:proofErr w:type="spellStart"/>
      <w:r>
        <w:rPr>
          <w:lang w:eastAsia="en-AU"/>
        </w:rPr>
        <w:t>Luecke</w:t>
      </w:r>
      <w:proofErr w:type="spellEnd"/>
      <w:r>
        <w:rPr>
          <w:lang w:eastAsia="en-AU"/>
        </w:rPr>
        <w:t xml:space="preserve">, T., Kuhlmann, H., May, M., et al. (2021). Spinal cord stimulation: a real-world data analysis on outcomes and differences between rechargeable and non-rechargeable implantable pulse generators [Article]. </w:t>
      </w:r>
      <w:r>
        <w:rPr>
          <w:i/>
          <w:iCs/>
          <w:lang w:eastAsia="en-AU"/>
        </w:rPr>
        <w:t>Journal of International Medical Research</w:t>
      </w:r>
      <w:r>
        <w:rPr>
          <w:lang w:eastAsia="en-AU"/>
        </w:rPr>
        <w:t>,</w:t>
      </w:r>
      <w:r>
        <w:rPr>
          <w:i/>
          <w:iCs/>
          <w:lang w:eastAsia="en-AU"/>
        </w:rPr>
        <w:t xml:space="preserve"> 49</w:t>
      </w:r>
      <w:r>
        <w:rPr>
          <w:lang w:eastAsia="en-AU"/>
        </w:rPr>
        <w:t xml:space="preserve">(/doi.org/10.1177/03000605211038457 </w:t>
      </w:r>
    </w:p>
    <w:p w14:paraId="21A03E16" w14:textId="2FFB66C8" w:rsidR="002B1D41" w:rsidRDefault="002B1D41" w:rsidP="00BE4358">
      <w:pPr>
        <w:pStyle w:val="References"/>
        <w:rPr>
          <w:lang w:eastAsia="en-AU"/>
        </w:rPr>
      </w:pPr>
      <w:proofErr w:type="spellStart"/>
      <w:r>
        <w:rPr>
          <w:lang w:eastAsia="en-AU"/>
        </w:rPr>
        <w:t>Maclver</w:t>
      </w:r>
      <w:proofErr w:type="spellEnd"/>
      <w:r>
        <w:rPr>
          <w:lang w:eastAsia="en-AU"/>
        </w:rPr>
        <w:t xml:space="preserve">, K., Harmon, D., &amp; </w:t>
      </w:r>
      <w:proofErr w:type="spellStart"/>
      <w:r>
        <w:rPr>
          <w:lang w:eastAsia="en-AU"/>
        </w:rPr>
        <w:t>Nurmikko</w:t>
      </w:r>
      <w:proofErr w:type="spellEnd"/>
      <w:r>
        <w:rPr>
          <w:lang w:eastAsia="en-AU"/>
        </w:rPr>
        <w:t xml:space="preserve">, T. (2010). The effect of spinal cord stimulation (SCS) on sensory changes in neuropathic pain [Conference Abstract]. </w:t>
      </w:r>
      <w:r>
        <w:rPr>
          <w:i/>
          <w:iCs/>
          <w:lang w:eastAsia="en-AU"/>
        </w:rPr>
        <w:t>European Journal of Pain Supplements</w:t>
      </w:r>
      <w:r>
        <w:rPr>
          <w:lang w:eastAsia="en-AU"/>
        </w:rPr>
        <w:t>,</w:t>
      </w:r>
      <w:r>
        <w:rPr>
          <w:i/>
          <w:iCs/>
          <w:lang w:eastAsia="en-AU"/>
        </w:rPr>
        <w:t xml:space="preserve"> 4</w:t>
      </w:r>
      <w:r>
        <w:rPr>
          <w:lang w:eastAsia="en-AU"/>
        </w:rPr>
        <w:t xml:space="preserve">(1), 116-1/doi.org/10.1016/S1754-3207(10)70414-4 </w:t>
      </w:r>
    </w:p>
    <w:p w14:paraId="1B7A8AA4" w14:textId="325443AF" w:rsidR="002B1D41" w:rsidRDefault="002B1D41" w:rsidP="00BE4358">
      <w:pPr>
        <w:pStyle w:val="References"/>
        <w:rPr>
          <w:lang w:eastAsia="en-AU"/>
        </w:rPr>
      </w:pPr>
      <w:proofErr w:type="spellStart"/>
      <w:r>
        <w:rPr>
          <w:lang w:eastAsia="en-AU"/>
        </w:rPr>
        <w:t>Malukiewicz</w:t>
      </w:r>
      <w:proofErr w:type="spellEnd"/>
      <w:r>
        <w:rPr>
          <w:lang w:eastAsia="en-AU"/>
        </w:rPr>
        <w:t xml:space="preserve">, A., &amp; </w:t>
      </w:r>
      <w:proofErr w:type="spellStart"/>
      <w:r>
        <w:rPr>
          <w:lang w:eastAsia="en-AU"/>
        </w:rPr>
        <w:t>Sokal</w:t>
      </w:r>
      <w:proofErr w:type="spellEnd"/>
      <w:r>
        <w:rPr>
          <w:lang w:eastAsia="en-AU"/>
        </w:rPr>
        <w:t xml:space="preserve">, P. (2019). Comparison of tonic, burst and high frequency spinal cord stimulation in chronic pain syndromes: A double-blind, randomised, cross-over, placebo controlled trial [Conference Abstract]. </w:t>
      </w:r>
      <w:r>
        <w:rPr>
          <w:i/>
          <w:iCs/>
          <w:lang w:eastAsia="en-AU"/>
        </w:rPr>
        <w:t>Stereotactic and Functional Neurosurgery</w:t>
      </w:r>
      <w:r>
        <w:rPr>
          <w:lang w:eastAsia="en-AU"/>
        </w:rPr>
        <w:t>,</w:t>
      </w:r>
      <w:r>
        <w:rPr>
          <w:i/>
          <w:iCs/>
          <w:lang w:eastAsia="en-AU"/>
        </w:rPr>
        <w:t xml:space="preserve"> 97</w:t>
      </w:r>
      <w:r>
        <w:rPr>
          <w:lang w:eastAsia="en-AU"/>
        </w:rPr>
        <w:t xml:space="preserve">, /doi.org/10.1159/000501568 </w:t>
      </w:r>
    </w:p>
    <w:p w14:paraId="47257558" w14:textId="639B635A" w:rsidR="002B1D41" w:rsidRDefault="002B1D41" w:rsidP="00BE4358">
      <w:pPr>
        <w:pStyle w:val="References"/>
        <w:rPr>
          <w:lang w:eastAsia="en-AU"/>
        </w:rPr>
      </w:pPr>
      <w:proofErr w:type="spellStart"/>
      <w:r>
        <w:rPr>
          <w:lang w:eastAsia="en-AU"/>
        </w:rPr>
        <w:t>Manca</w:t>
      </w:r>
      <w:proofErr w:type="spellEnd"/>
      <w:r>
        <w:rPr>
          <w:lang w:eastAsia="en-AU"/>
        </w:rPr>
        <w:t xml:space="preserve">, A., Kumar, K., Taylor, R. S., et al. (2008). Quality of life, resource consumption and costs of spinal cord stimulation versus conventional medical management in neuropathic pain patients with failed back surgery syndrome (PROCESS trial) [Article]. </w:t>
      </w:r>
      <w:r>
        <w:rPr>
          <w:i/>
          <w:iCs/>
          <w:lang w:eastAsia="en-AU"/>
        </w:rPr>
        <w:t>European Journal of Pain</w:t>
      </w:r>
      <w:r>
        <w:rPr>
          <w:lang w:eastAsia="en-AU"/>
        </w:rPr>
        <w:t>,</w:t>
      </w:r>
      <w:r>
        <w:rPr>
          <w:i/>
          <w:iCs/>
          <w:lang w:eastAsia="en-AU"/>
        </w:rPr>
        <w:t xml:space="preserve"> 12</w:t>
      </w:r>
      <w:r>
        <w:rPr>
          <w:lang w:eastAsia="en-AU"/>
        </w:rPr>
        <w:t xml:space="preserve">(8), 1047-10/doi.org/10.1016/j.ejpain.2008.01.014 </w:t>
      </w:r>
    </w:p>
    <w:p w14:paraId="7FC20132" w14:textId="278DEFA4" w:rsidR="00BE4358" w:rsidRDefault="00BE4358" w:rsidP="00BE4358">
      <w:pPr>
        <w:pStyle w:val="References"/>
        <w:rPr>
          <w:lang w:eastAsia="en-AU"/>
        </w:rPr>
      </w:pPr>
      <w:proofErr w:type="spellStart"/>
      <w:r>
        <w:rPr>
          <w:lang w:eastAsia="en-AU"/>
        </w:rPr>
        <w:t>Manchikanti</w:t>
      </w:r>
      <w:proofErr w:type="spellEnd"/>
      <w:r>
        <w:rPr>
          <w:lang w:eastAsia="en-AU"/>
        </w:rPr>
        <w:t xml:space="preserve">, L., Abdi, S., Atluri, S., et al. (2013). An update of comprehensive evidence-based guidelines for interventional techniques in chronic spinal pain. Part II: guidance and recommendations [Article]. </w:t>
      </w:r>
      <w:r>
        <w:rPr>
          <w:i/>
          <w:iCs/>
          <w:lang w:eastAsia="en-AU"/>
        </w:rPr>
        <w:t>Pain physician</w:t>
      </w:r>
      <w:r>
        <w:rPr>
          <w:lang w:eastAsia="en-AU"/>
        </w:rPr>
        <w:t>,</w:t>
      </w:r>
      <w:r>
        <w:rPr>
          <w:i/>
          <w:iCs/>
          <w:lang w:eastAsia="en-AU"/>
        </w:rPr>
        <w:t xml:space="preserve"> 16</w:t>
      </w:r>
      <w:r>
        <w:rPr>
          <w:lang w:eastAsia="en-AU"/>
        </w:rPr>
        <w:t xml:space="preserve">(2 Suppl), S49-2/www.embase.com/search/results?subaction=viewrecord&amp;id=L370209722&amp;from=export </w:t>
      </w:r>
    </w:p>
    <w:p w14:paraId="50B4EA20" w14:textId="5515D8E6" w:rsidR="00BE4358" w:rsidRDefault="00BE4358" w:rsidP="00BE4358">
      <w:pPr>
        <w:pStyle w:val="References"/>
        <w:rPr>
          <w:lang w:eastAsia="en-AU"/>
        </w:rPr>
      </w:pPr>
      <w:proofErr w:type="spellStart"/>
      <w:r>
        <w:rPr>
          <w:lang w:eastAsia="en-AU"/>
        </w:rPr>
        <w:lastRenderedPageBreak/>
        <w:t>Manchikanti</w:t>
      </w:r>
      <w:proofErr w:type="spellEnd"/>
      <w:r>
        <w:rPr>
          <w:lang w:eastAsia="en-AU"/>
        </w:rPr>
        <w:t xml:space="preserve">, L., </w:t>
      </w:r>
      <w:proofErr w:type="spellStart"/>
      <w:r>
        <w:rPr>
          <w:lang w:eastAsia="en-AU"/>
        </w:rPr>
        <w:t>Sanapati</w:t>
      </w:r>
      <w:proofErr w:type="spellEnd"/>
      <w:r>
        <w:rPr>
          <w:lang w:eastAsia="en-AU"/>
        </w:rPr>
        <w:t xml:space="preserve">, M., &amp; Hirsch, J. (2023). Spinal Cord Burst Stimulation vs Placebo Stimulation for Patients With Chronic Radicular Pain After Lumbar Spine Surgery [Letter]. </w:t>
      </w:r>
      <w:r>
        <w:rPr>
          <w:i/>
          <w:iCs/>
          <w:lang w:eastAsia="en-AU"/>
        </w:rPr>
        <w:t>JAMA</w:t>
      </w:r>
      <w:r>
        <w:rPr>
          <w:lang w:eastAsia="en-AU"/>
        </w:rPr>
        <w:t>,</w:t>
      </w:r>
      <w:r>
        <w:rPr>
          <w:i/>
          <w:iCs/>
          <w:lang w:eastAsia="en-AU"/>
        </w:rPr>
        <w:t xml:space="preserve"> 329</w:t>
      </w:r>
      <w:r>
        <w:rPr>
          <w:lang w:eastAsia="en-AU"/>
        </w:rPr>
        <w:t xml:space="preserve">(10), 8/doi.org/10.1001/jama.2022.24745 </w:t>
      </w:r>
    </w:p>
    <w:p w14:paraId="03137A8D" w14:textId="26587D90" w:rsidR="002B1D41" w:rsidRDefault="002B1D41" w:rsidP="00BE4358">
      <w:pPr>
        <w:pStyle w:val="References"/>
        <w:rPr>
          <w:lang w:eastAsia="en-AU"/>
        </w:rPr>
      </w:pPr>
      <w:proofErr w:type="spellStart"/>
      <w:r>
        <w:rPr>
          <w:lang w:eastAsia="en-AU"/>
        </w:rPr>
        <w:t>Manfield</w:t>
      </w:r>
      <w:proofErr w:type="spellEnd"/>
      <w:r>
        <w:rPr>
          <w:lang w:eastAsia="en-AU"/>
        </w:rPr>
        <w:t xml:space="preserve">, J., Bartlett, R., &amp; Park, N. (2019). Safety and Utility of Spinal Magnetic Resonance Imaging in Patients with High-Frequency Spinal Cord Stimulators: A Prospective Single-Centre Study [Article]. </w:t>
      </w:r>
      <w:r>
        <w:rPr>
          <w:i/>
          <w:iCs/>
          <w:lang w:eastAsia="en-AU"/>
        </w:rPr>
        <w:t>Stereotactic and Functional Neurosurgery</w:t>
      </w:r>
      <w:r>
        <w:rPr>
          <w:lang w:eastAsia="en-AU"/>
        </w:rPr>
        <w:t>,</w:t>
      </w:r>
      <w:r>
        <w:rPr>
          <w:i/>
          <w:iCs/>
          <w:lang w:eastAsia="en-AU"/>
        </w:rPr>
        <w:t xml:space="preserve"> 97</w:t>
      </w:r>
      <w:r>
        <w:rPr>
          <w:lang w:eastAsia="en-AU"/>
        </w:rPr>
        <w:t xml:space="preserve">(4), 272-2/doi.org/10.1159/000503730 </w:t>
      </w:r>
    </w:p>
    <w:p w14:paraId="171AAC24" w14:textId="524EDEB5" w:rsidR="00BE4358" w:rsidRDefault="00BE4358" w:rsidP="00BE4358">
      <w:pPr>
        <w:pStyle w:val="References"/>
        <w:rPr>
          <w:lang w:eastAsia="en-AU"/>
        </w:rPr>
      </w:pPr>
      <w:proofErr w:type="spellStart"/>
      <w:r>
        <w:rPr>
          <w:lang w:eastAsia="en-AU"/>
        </w:rPr>
        <w:t>Mannheimer</w:t>
      </w:r>
      <w:proofErr w:type="spellEnd"/>
      <w:r>
        <w:rPr>
          <w:lang w:eastAsia="en-AU"/>
        </w:rPr>
        <w:t xml:space="preserve">, C., Eliasson, T., </w:t>
      </w:r>
      <w:proofErr w:type="spellStart"/>
      <w:r>
        <w:rPr>
          <w:lang w:eastAsia="en-AU"/>
        </w:rPr>
        <w:t>Augustinsson</w:t>
      </w:r>
      <w:proofErr w:type="spellEnd"/>
      <w:r>
        <w:rPr>
          <w:lang w:eastAsia="en-AU"/>
        </w:rPr>
        <w:t xml:space="preserve">, L. E., et al. (1998). Electrical stimulation versus coronary artery bypass surgery in severe angina pectoris: the ESBY study. </w:t>
      </w:r>
      <w:r>
        <w:rPr>
          <w:i/>
          <w:iCs/>
          <w:lang w:eastAsia="en-AU"/>
        </w:rPr>
        <w:t>Circulation</w:t>
      </w:r>
      <w:r>
        <w:rPr>
          <w:lang w:eastAsia="en-AU"/>
        </w:rPr>
        <w:t>,</w:t>
      </w:r>
      <w:r>
        <w:rPr>
          <w:i/>
          <w:iCs/>
          <w:lang w:eastAsia="en-AU"/>
        </w:rPr>
        <w:t xml:space="preserve"> 97</w:t>
      </w:r>
      <w:r>
        <w:rPr>
          <w:lang w:eastAsia="en-AU"/>
        </w:rPr>
        <w:t xml:space="preserve">(12), 1157-11/doi.org/10.1161/01.cir.97.12.1157 </w:t>
      </w:r>
    </w:p>
    <w:p w14:paraId="1D5134F0" w14:textId="2163D282" w:rsidR="002B1D41" w:rsidRDefault="002B1D41" w:rsidP="00BE4358">
      <w:pPr>
        <w:pStyle w:val="References"/>
        <w:rPr>
          <w:lang w:eastAsia="en-AU"/>
        </w:rPr>
      </w:pPr>
      <w:r>
        <w:rPr>
          <w:lang w:eastAsia="en-AU"/>
        </w:rPr>
        <w:t xml:space="preserve">Marchand, S., Bushnell, M. C., Molina-Negro, P., et al. (1991). The effects of dorsal column stimulation on measures of clinical and experimental pain in man [Article]. </w:t>
      </w:r>
      <w:r>
        <w:rPr>
          <w:i/>
          <w:iCs/>
          <w:lang w:eastAsia="en-AU"/>
        </w:rPr>
        <w:t>Pain</w:t>
      </w:r>
      <w:r>
        <w:rPr>
          <w:lang w:eastAsia="en-AU"/>
        </w:rPr>
        <w:t>,</w:t>
      </w:r>
      <w:r>
        <w:rPr>
          <w:i/>
          <w:iCs/>
          <w:lang w:eastAsia="en-AU"/>
        </w:rPr>
        <w:t xml:space="preserve"> 45</w:t>
      </w:r>
      <w:r>
        <w:rPr>
          <w:lang w:eastAsia="en-AU"/>
        </w:rPr>
        <w:t xml:space="preserve">(3), 249-2/doi.org/10.1016/0304-3959(91)90049-4 </w:t>
      </w:r>
    </w:p>
    <w:p w14:paraId="4F689A21" w14:textId="04411987" w:rsidR="002B1D41" w:rsidRDefault="002B1D41" w:rsidP="00BE4358">
      <w:pPr>
        <w:pStyle w:val="References"/>
        <w:rPr>
          <w:lang w:eastAsia="en-AU"/>
        </w:rPr>
      </w:pPr>
      <w:r>
        <w:rPr>
          <w:lang w:eastAsia="en-AU"/>
        </w:rPr>
        <w:t xml:space="preserve">McClure, J. J., Desai, B. D., </w:t>
      </w:r>
      <w:proofErr w:type="spellStart"/>
      <w:r>
        <w:rPr>
          <w:lang w:eastAsia="en-AU"/>
        </w:rPr>
        <w:t>Ampie</w:t>
      </w:r>
      <w:proofErr w:type="spellEnd"/>
      <w:r>
        <w:rPr>
          <w:lang w:eastAsia="en-AU"/>
        </w:rPr>
        <w:t xml:space="preserve">, L., et al. (2021). A Systematic Review of the Cost-Utility of Spinal Cord Stimulation for Persistent Low Back Pain in Patients With Failed Back Surgery Syndrome [Article]. </w:t>
      </w:r>
      <w:r>
        <w:rPr>
          <w:i/>
          <w:iCs/>
          <w:lang w:eastAsia="en-AU"/>
        </w:rPr>
        <w:t>Global Spine Journal</w:t>
      </w:r>
      <w:r>
        <w:rPr>
          <w:lang w:eastAsia="en-AU"/>
        </w:rPr>
        <w:t>,</w:t>
      </w:r>
      <w:r>
        <w:rPr>
          <w:i/>
          <w:iCs/>
          <w:lang w:eastAsia="en-AU"/>
        </w:rPr>
        <w:t xml:space="preserve"> 11</w:t>
      </w:r>
      <w:r>
        <w:rPr>
          <w:lang w:eastAsia="en-AU"/>
        </w:rPr>
        <w:t xml:space="preserve">(1_suppl), 66S-7/doi.org/10.1177/2192568220970163 </w:t>
      </w:r>
    </w:p>
    <w:p w14:paraId="14798F9A" w14:textId="418E9958" w:rsidR="00BE4358" w:rsidRDefault="00BE4358" w:rsidP="00BE4358">
      <w:pPr>
        <w:pStyle w:val="References"/>
        <w:rPr>
          <w:lang w:eastAsia="en-AU"/>
        </w:rPr>
      </w:pPr>
      <w:r>
        <w:rPr>
          <w:lang w:eastAsia="en-AU"/>
        </w:rPr>
        <w:t>McNab, D., Khan, S. N., Sharples, L. D., et al. (2006). An open label, single-centre, randomized trial of spinal cord stimulation vs. percutaneous myocardial laser revascularization in patients with refractory angina pectoris: t</w:t>
      </w:r>
      <w:r w:rsidR="00EC0C44">
        <w:rPr>
          <w:lang w:eastAsia="en-AU"/>
        </w:rPr>
        <w:t>h</w:t>
      </w:r>
      <w:r>
        <w:rPr>
          <w:lang w:eastAsia="en-AU"/>
        </w:rPr>
        <w:t xml:space="preserve">e </w:t>
      </w:r>
      <w:proofErr w:type="spellStart"/>
      <w:r>
        <w:rPr>
          <w:lang w:eastAsia="en-AU"/>
        </w:rPr>
        <w:t>SPiRiT</w:t>
      </w:r>
      <w:proofErr w:type="spellEnd"/>
      <w:r>
        <w:rPr>
          <w:lang w:eastAsia="en-AU"/>
        </w:rPr>
        <w:t xml:space="preserve"> trial. </w:t>
      </w:r>
      <w:proofErr w:type="spellStart"/>
      <w:r>
        <w:rPr>
          <w:i/>
          <w:iCs/>
          <w:lang w:eastAsia="en-AU"/>
        </w:rPr>
        <w:t>Eur</w:t>
      </w:r>
      <w:proofErr w:type="spellEnd"/>
      <w:r>
        <w:rPr>
          <w:i/>
          <w:iCs/>
          <w:lang w:eastAsia="en-AU"/>
        </w:rPr>
        <w:t xml:space="preserve"> Heart J</w:t>
      </w:r>
      <w:r>
        <w:rPr>
          <w:lang w:eastAsia="en-AU"/>
        </w:rPr>
        <w:t>,</w:t>
      </w:r>
      <w:r>
        <w:rPr>
          <w:i/>
          <w:iCs/>
          <w:lang w:eastAsia="en-AU"/>
        </w:rPr>
        <w:t xml:space="preserve"> 27</w:t>
      </w:r>
      <w:r>
        <w:rPr>
          <w:lang w:eastAsia="en-AU"/>
        </w:rPr>
        <w:t>(9), 1048-10/doi.org/10.1093/</w:t>
      </w:r>
      <w:proofErr w:type="spellStart"/>
      <w:r>
        <w:rPr>
          <w:lang w:eastAsia="en-AU"/>
        </w:rPr>
        <w:t>eurheartj</w:t>
      </w:r>
      <w:proofErr w:type="spellEnd"/>
      <w:r>
        <w:rPr>
          <w:lang w:eastAsia="en-AU"/>
        </w:rPr>
        <w:t xml:space="preserve">/ehi827 </w:t>
      </w:r>
    </w:p>
    <w:p w14:paraId="1686B2DB" w14:textId="149812D1" w:rsidR="00BE4358" w:rsidRDefault="00BE4358" w:rsidP="00BE4358">
      <w:pPr>
        <w:pStyle w:val="References"/>
        <w:rPr>
          <w:lang w:eastAsia="en-AU"/>
        </w:rPr>
      </w:pPr>
      <w:r>
        <w:rPr>
          <w:lang w:eastAsia="en-AU"/>
        </w:rPr>
        <w:t xml:space="preserve">McNicol, E., Ferguson, M., Bungay, K., et al. (2021). Systematic Review of Research Methods and Reporting Quality of Randomized Clinical Trials of Spinal Cord Stimulation for Pain. </w:t>
      </w:r>
      <w:r>
        <w:rPr>
          <w:i/>
          <w:iCs/>
          <w:lang w:eastAsia="en-AU"/>
        </w:rPr>
        <w:t>J Pain</w:t>
      </w:r>
      <w:r>
        <w:rPr>
          <w:lang w:eastAsia="en-AU"/>
        </w:rPr>
        <w:t>,</w:t>
      </w:r>
      <w:r>
        <w:rPr>
          <w:i/>
          <w:iCs/>
          <w:lang w:eastAsia="en-AU"/>
        </w:rPr>
        <w:t xml:space="preserve"> 22</w:t>
      </w:r>
      <w:r>
        <w:rPr>
          <w:lang w:eastAsia="en-AU"/>
        </w:rPr>
        <w:t xml:space="preserve">(2), 127-1/doi.org/10.1016/j.jpain.2020.05.001 </w:t>
      </w:r>
    </w:p>
    <w:p w14:paraId="48883FF8" w14:textId="7FD44F7F" w:rsidR="00BE4358" w:rsidRDefault="00BE4358" w:rsidP="00BE4358">
      <w:pPr>
        <w:pStyle w:val="References"/>
        <w:rPr>
          <w:lang w:eastAsia="en-AU"/>
        </w:rPr>
      </w:pPr>
      <w:r>
        <w:rPr>
          <w:lang w:eastAsia="en-AU"/>
        </w:rPr>
        <w:t xml:space="preserve">Medicare Benefits Schedule Review Taskforce (2019). </w:t>
      </w:r>
      <w:r>
        <w:rPr>
          <w:i/>
          <w:iCs/>
          <w:lang w:eastAsia="en-AU"/>
        </w:rPr>
        <w:t>Final Report on the Review of Pain Management MBS Items.</w:t>
      </w:r>
      <w:r>
        <w:rPr>
          <w:lang w:eastAsia="en-AU"/>
        </w:rPr>
        <w:t xml:space="preserve"> [Repor</w:t>
      </w:r>
      <w:r w:rsidR="00ED15CA">
        <w:rPr>
          <w:lang w:eastAsia="en-AU"/>
        </w:rPr>
        <w:t>t available at</w:t>
      </w:r>
      <w:r w:rsidR="00D51050">
        <w:rPr>
          <w:lang w:eastAsia="en-AU"/>
        </w:rPr>
        <w:t xml:space="preserve"> </w:t>
      </w:r>
      <w:r>
        <w:rPr>
          <w:lang w:eastAsia="en-AU"/>
        </w:rPr>
        <w:t>/www.health.gov.au/resources/publications/taskforce-final-report-pain-management-mbs-items?language=en</w:t>
      </w:r>
    </w:p>
    <w:p w14:paraId="2E0AE0B7" w14:textId="3D3D0F26" w:rsidR="00BE4358" w:rsidRDefault="00BE4358" w:rsidP="00BE4358">
      <w:pPr>
        <w:pStyle w:val="References"/>
        <w:rPr>
          <w:lang w:eastAsia="en-AU"/>
        </w:rPr>
      </w:pPr>
      <w:r>
        <w:rPr>
          <w:lang w:eastAsia="en-AU"/>
        </w:rPr>
        <w:t xml:space="preserve">Meier, K., </w:t>
      </w:r>
      <w:proofErr w:type="spellStart"/>
      <w:r>
        <w:rPr>
          <w:lang w:eastAsia="en-AU"/>
        </w:rPr>
        <w:t>Nikolajsen</w:t>
      </w:r>
      <w:proofErr w:type="spellEnd"/>
      <w:r>
        <w:rPr>
          <w:lang w:eastAsia="en-AU"/>
        </w:rPr>
        <w:t xml:space="preserve">, L., </w:t>
      </w:r>
      <w:proofErr w:type="spellStart"/>
      <w:r>
        <w:rPr>
          <w:lang w:eastAsia="en-AU"/>
        </w:rPr>
        <w:t>Flink</w:t>
      </w:r>
      <w:proofErr w:type="spellEnd"/>
      <w:r>
        <w:rPr>
          <w:lang w:eastAsia="en-AU"/>
        </w:rPr>
        <w:t xml:space="preserve">, M., et al. (2013). The Aarhus Neuromodulation Database. </w:t>
      </w:r>
      <w:r>
        <w:rPr>
          <w:i/>
          <w:iCs/>
          <w:lang w:eastAsia="en-AU"/>
        </w:rPr>
        <w:t>Neuromodulation</w:t>
      </w:r>
      <w:r>
        <w:rPr>
          <w:lang w:eastAsia="en-AU"/>
        </w:rPr>
        <w:t>,</w:t>
      </w:r>
      <w:r>
        <w:rPr>
          <w:i/>
          <w:iCs/>
          <w:lang w:eastAsia="en-AU"/>
        </w:rPr>
        <w:t xml:space="preserve"> 16</w:t>
      </w:r>
      <w:r>
        <w:rPr>
          <w:lang w:eastAsia="en-AU"/>
        </w:rPr>
        <w:t xml:space="preserve">(6), 506-513; discussion 5/doi.org/10.1111/j.1525-1403.2012.00492.x </w:t>
      </w:r>
    </w:p>
    <w:p w14:paraId="7AEDC4A4" w14:textId="4E68660B" w:rsidR="002B1D41" w:rsidRDefault="002B1D41" w:rsidP="00BE4358">
      <w:pPr>
        <w:pStyle w:val="References"/>
        <w:rPr>
          <w:lang w:eastAsia="en-AU"/>
        </w:rPr>
      </w:pPr>
      <w:r>
        <w:rPr>
          <w:lang w:eastAsia="en-AU"/>
        </w:rPr>
        <w:t xml:space="preserve">Meier, K., </w:t>
      </w:r>
      <w:proofErr w:type="spellStart"/>
      <w:r>
        <w:rPr>
          <w:lang w:eastAsia="en-AU"/>
        </w:rPr>
        <w:t>Nikolajsen</w:t>
      </w:r>
      <w:proofErr w:type="spellEnd"/>
      <w:r>
        <w:rPr>
          <w:lang w:eastAsia="en-AU"/>
        </w:rPr>
        <w:t xml:space="preserve">, L., </w:t>
      </w:r>
      <w:proofErr w:type="spellStart"/>
      <w:r>
        <w:rPr>
          <w:lang w:eastAsia="en-AU"/>
        </w:rPr>
        <w:t>Sørensen</w:t>
      </w:r>
      <w:proofErr w:type="spellEnd"/>
      <w:r>
        <w:rPr>
          <w:lang w:eastAsia="en-AU"/>
        </w:rPr>
        <w:t xml:space="preserve">, J. C., et al. (2015). Effect of spinal cord stimulation on sensory characteristics: A randomized, blinded crossover study [Article]. </w:t>
      </w:r>
      <w:r>
        <w:rPr>
          <w:i/>
          <w:iCs/>
          <w:lang w:eastAsia="en-AU"/>
        </w:rPr>
        <w:t>Clinical Journal of Pain</w:t>
      </w:r>
      <w:r>
        <w:rPr>
          <w:lang w:eastAsia="en-AU"/>
        </w:rPr>
        <w:t>,</w:t>
      </w:r>
      <w:r>
        <w:rPr>
          <w:i/>
          <w:iCs/>
          <w:lang w:eastAsia="en-AU"/>
        </w:rPr>
        <w:t xml:space="preserve"> 31</w:t>
      </w:r>
      <w:r>
        <w:rPr>
          <w:lang w:eastAsia="en-AU"/>
        </w:rPr>
        <w:t xml:space="preserve">(5), 384-3/doi.org/10.1097/AJP.0000000000000131 </w:t>
      </w:r>
    </w:p>
    <w:p w14:paraId="3F5EFC9A" w14:textId="2D69F31B" w:rsidR="00BE4358" w:rsidRDefault="00BE4358" w:rsidP="00BE4358">
      <w:pPr>
        <w:pStyle w:val="References"/>
        <w:rPr>
          <w:lang w:eastAsia="en-AU"/>
        </w:rPr>
      </w:pPr>
      <w:proofErr w:type="spellStart"/>
      <w:r>
        <w:rPr>
          <w:lang w:eastAsia="en-AU"/>
        </w:rPr>
        <w:t>Mekhail</w:t>
      </w:r>
      <w:proofErr w:type="spellEnd"/>
      <w:r>
        <w:rPr>
          <w:lang w:eastAsia="en-AU"/>
        </w:rPr>
        <w:t xml:space="preserve">, N. A., </w:t>
      </w:r>
      <w:proofErr w:type="spellStart"/>
      <w:r>
        <w:rPr>
          <w:lang w:eastAsia="en-AU"/>
        </w:rPr>
        <w:t>Argoff</w:t>
      </w:r>
      <w:proofErr w:type="spellEnd"/>
      <w:r>
        <w:rPr>
          <w:lang w:eastAsia="en-AU"/>
        </w:rPr>
        <w:t xml:space="preserve">, C. E., Taylor, R. S., et al. (2020). High-frequency spinal cord stimulation at 10 kHz for the treatment of painful diabetic neuropathy: design of a </w:t>
      </w:r>
      <w:proofErr w:type="spellStart"/>
      <w:r>
        <w:rPr>
          <w:lang w:eastAsia="en-AU"/>
        </w:rPr>
        <w:t>multicenter</w:t>
      </w:r>
      <w:proofErr w:type="spellEnd"/>
      <w:r>
        <w:rPr>
          <w:lang w:eastAsia="en-AU"/>
        </w:rPr>
        <w:t xml:space="preserve">, randomized controlled trial (SENZA-PDN). </w:t>
      </w:r>
      <w:r>
        <w:rPr>
          <w:i/>
          <w:iCs/>
          <w:lang w:eastAsia="en-AU"/>
        </w:rPr>
        <w:t>Trials</w:t>
      </w:r>
      <w:r>
        <w:rPr>
          <w:lang w:eastAsia="en-AU"/>
        </w:rPr>
        <w:t>,</w:t>
      </w:r>
      <w:r>
        <w:rPr>
          <w:i/>
          <w:iCs/>
          <w:lang w:eastAsia="en-AU"/>
        </w:rPr>
        <w:t xml:space="preserve"> 21</w:t>
      </w:r>
      <w:r>
        <w:rPr>
          <w:lang w:eastAsia="en-AU"/>
        </w:rPr>
        <w:t xml:space="preserve">(1), /doi.org/10.1186/s13063-019-4007-y </w:t>
      </w:r>
    </w:p>
    <w:p w14:paraId="3A0D7597" w14:textId="1B73D3E1" w:rsidR="00BE4358" w:rsidRDefault="00BE4358" w:rsidP="00BE4358">
      <w:pPr>
        <w:pStyle w:val="References"/>
        <w:rPr>
          <w:lang w:eastAsia="en-AU"/>
        </w:rPr>
      </w:pPr>
      <w:proofErr w:type="spellStart"/>
      <w:r>
        <w:rPr>
          <w:lang w:eastAsia="en-AU"/>
        </w:rPr>
        <w:t>Mekhail</w:t>
      </w:r>
      <w:proofErr w:type="spellEnd"/>
      <w:r>
        <w:rPr>
          <w:lang w:eastAsia="en-AU"/>
        </w:rPr>
        <w:t xml:space="preserve">, N. A., Mathews, M., </w:t>
      </w:r>
      <w:proofErr w:type="spellStart"/>
      <w:r>
        <w:rPr>
          <w:lang w:eastAsia="en-AU"/>
        </w:rPr>
        <w:t>Nageeb</w:t>
      </w:r>
      <w:proofErr w:type="spellEnd"/>
      <w:r>
        <w:rPr>
          <w:lang w:eastAsia="en-AU"/>
        </w:rPr>
        <w:t xml:space="preserve">, F., et al. (2011). Retrospective Review of 707 Cases of Spinal Cord Stimulation: Indications and Complications [Article]. </w:t>
      </w:r>
      <w:r>
        <w:rPr>
          <w:i/>
          <w:iCs/>
          <w:lang w:eastAsia="en-AU"/>
        </w:rPr>
        <w:t>Pain Practice</w:t>
      </w:r>
      <w:r>
        <w:rPr>
          <w:lang w:eastAsia="en-AU"/>
        </w:rPr>
        <w:t>,</w:t>
      </w:r>
      <w:r>
        <w:rPr>
          <w:i/>
          <w:iCs/>
          <w:lang w:eastAsia="en-AU"/>
        </w:rPr>
        <w:t xml:space="preserve"> 11</w:t>
      </w:r>
      <w:r>
        <w:rPr>
          <w:lang w:eastAsia="en-AU"/>
        </w:rPr>
        <w:t xml:space="preserve">(2), 148-1/doi.org/10.1111/j.1533-2500.2010.00407.x </w:t>
      </w:r>
    </w:p>
    <w:p w14:paraId="0E9DD3EC" w14:textId="4E57AD4F" w:rsidR="002B1D41" w:rsidRDefault="002B1D41" w:rsidP="00BE4358">
      <w:pPr>
        <w:pStyle w:val="References"/>
        <w:rPr>
          <w:lang w:eastAsia="en-AU"/>
        </w:rPr>
      </w:pPr>
      <w:proofErr w:type="spellStart"/>
      <w:r>
        <w:t>Mekhail</w:t>
      </w:r>
      <w:proofErr w:type="spellEnd"/>
      <w:r>
        <w:t>, N</w:t>
      </w:r>
      <w:r>
        <w:rPr>
          <w:lang w:eastAsia="en-AU"/>
        </w:rPr>
        <w:t xml:space="preserve">., Deer, T. R., </w:t>
      </w:r>
      <w:proofErr w:type="spellStart"/>
      <w:r>
        <w:rPr>
          <w:lang w:eastAsia="en-AU"/>
        </w:rPr>
        <w:t>Poree</w:t>
      </w:r>
      <w:proofErr w:type="spellEnd"/>
      <w:r>
        <w:rPr>
          <w:lang w:eastAsia="en-AU"/>
        </w:rPr>
        <w:t xml:space="preserve">, L., et al. (2021). Cost-Effectiveness of Dorsal Root Ganglion Stimulation or Spinal Cord Stimulation for Complex Regional Pain Syndrome [Article]. </w:t>
      </w:r>
      <w:r>
        <w:rPr>
          <w:i/>
          <w:iCs/>
          <w:lang w:eastAsia="en-AU"/>
        </w:rPr>
        <w:t>Neuromodulation</w:t>
      </w:r>
      <w:r>
        <w:rPr>
          <w:lang w:eastAsia="en-AU"/>
        </w:rPr>
        <w:t>,</w:t>
      </w:r>
      <w:r>
        <w:rPr>
          <w:i/>
          <w:iCs/>
          <w:lang w:eastAsia="en-AU"/>
        </w:rPr>
        <w:t xml:space="preserve"> 24</w:t>
      </w:r>
      <w:r>
        <w:rPr>
          <w:lang w:eastAsia="en-AU"/>
        </w:rPr>
        <w:t xml:space="preserve">(4), 708-7/doi.org/10.1111/ner.13134 </w:t>
      </w:r>
    </w:p>
    <w:p w14:paraId="57D7C073" w14:textId="71BF8D0E" w:rsidR="002B1D41" w:rsidRDefault="002B1D41" w:rsidP="00BE4358">
      <w:pPr>
        <w:pStyle w:val="References"/>
        <w:rPr>
          <w:lang w:eastAsia="en-AU"/>
        </w:rPr>
      </w:pPr>
      <w:proofErr w:type="spellStart"/>
      <w:r>
        <w:rPr>
          <w:lang w:eastAsia="en-AU"/>
        </w:rPr>
        <w:t>Mekhail</w:t>
      </w:r>
      <w:proofErr w:type="spellEnd"/>
      <w:r>
        <w:rPr>
          <w:lang w:eastAsia="en-AU"/>
        </w:rPr>
        <w:t xml:space="preserve">, N., Levy, R. M., Deer, T. R., et al. (2020). Long-term safety and efficacy of closed-loop spinal cord stimulation to treat chronic back and leg pain (Evoke): a double-blind, randomised, controlled trial [Article]. </w:t>
      </w:r>
      <w:r>
        <w:rPr>
          <w:i/>
          <w:iCs/>
          <w:lang w:eastAsia="en-AU"/>
        </w:rPr>
        <w:t>The Lancet Neurology</w:t>
      </w:r>
      <w:r>
        <w:rPr>
          <w:lang w:eastAsia="en-AU"/>
        </w:rPr>
        <w:t>,</w:t>
      </w:r>
      <w:r>
        <w:rPr>
          <w:i/>
          <w:iCs/>
          <w:lang w:eastAsia="en-AU"/>
        </w:rPr>
        <w:t xml:space="preserve"> 19</w:t>
      </w:r>
      <w:r>
        <w:rPr>
          <w:lang w:eastAsia="en-AU"/>
        </w:rPr>
        <w:t xml:space="preserve">(2), 123-1/doi.org/10.1016/S1474-4422(19)30414-4 </w:t>
      </w:r>
    </w:p>
    <w:p w14:paraId="0AFEF311" w14:textId="7A752D70" w:rsidR="002B1D41" w:rsidRDefault="002B1D41" w:rsidP="00BE4358">
      <w:pPr>
        <w:pStyle w:val="References"/>
        <w:rPr>
          <w:lang w:eastAsia="en-AU"/>
        </w:rPr>
      </w:pPr>
      <w:proofErr w:type="spellStart"/>
      <w:r>
        <w:rPr>
          <w:lang w:eastAsia="en-AU"/>
        </w:rPr>
        <w:t>Mekhail</w:t>
      </w:r>
      <w:proofErr w:type="spellEnd"/>
      <w:r>
        <w:rPr>
          <w:lang w:eastAsia="en-AU"/>
        </w:rPr>
        <w:t xml:space="preserve">, N., Levy, R. M., Deer, T. R., et al. (2022). Durability of Clinical and Quality-of-Life Outcomes of Closed-Loop Spinal Cord Stimulation for Chronic Back and Leg Pain: A Secondary Analysis of the Evoke Randomized Clinical Trial [Article]. </w:t>
      </w:r>
      <w:r>
        <w:rPr>
          <w:i/>
          <w:iCs/>
          <w:lang w:eastAsia="en-AU"/>
        </w:rPr>
        <w:t>JAMA Neurology</w:t>
      </w:r>
      <w:r>
        <w:rPr>
          <w:lang w:eastAsia="en-AU"/>
        </w:rPr>
        <w:t>,</w:t>
      </w:r>
      <w:r>
        <w:rPr>
          <w:i/>
          <w:iCs/>
          <w:lang w:eastAsia="en-AU"/>
        </w:rPr>
        <w:t xml:space="preserve"> 79</w:t>
      </w:r>
      <w:r>
        <w:rPr>
          <w:lang w:eastAsia="en-AU"/>
        </w:rPr>
        <w:t xml:space="preserve">(3), 251-2/doi.org/10.1001/jamaneurol.2021.4998 </w:t>
      </w:r>
    </w:p>
    <w:p w14:paraId="2D6BF786" w14:textId="01A389D2" w:rsidR="002B1D41" w:rsidRDefault="002B1D41" w:rsidP="00BE4358">
      <w:pPr>
        <w:pStyle w:val="References"/>
        <w:rPr>
          <w:lang w:eastAsia="en-AU"/>
        </w:rPr>
      </w:pPr>
      <w:r>
        <w:rPr>
          <w:lang w:eastAsia="en-AU"/>
        </w:rPr>
        <w:t xml:space="preserve">Metzger, C. S., Hammond, M. B., Paz-Solis, J. F., et al. (2021). A novel fast-acting sub-perception spinal cord stimulation therapy enables rapid onset of analgesia in patients with chronic pain [Article]. </w:t>
      </w:r>
      <w:r>
        <w:rPr>
          <w:i/>
          <w:iCs/>
          <w:lang w:eastAsia="en-AU"/>
        </w:rPr>
        <w:t>Expert Review of Medical Devices</w:t>
      </w:r>
      <w:r>
        <w:rPr>
          <w:lang w:eastAsia="en-AU"/>
        </w:rPr>
        <w:t>,</w:t>
      </w:r>
      <w:r>
        <w:rPr>
          <w:i/>
          <w:iCs/>
          <w:lang w:eastAsia="en-AU"/>
        </w:rPr>
        <w:t xml:space="preserve"> 18</w:t>
      </w:r>
      <w:r>
        <w:rPr>
          <w:lang w:eastAsia="en-AU"/>
        </w:rPr>
        <w:t xml:space="preserve">(3), 299-3/doi.org/10.1080/17434440.2021.1890580 </w:t>
      </w:r>
    </w:p>
    <w:p w14:paraId="2203A673" w14:textId="0DF735C4" w:rsidR="002B1D41" w:rsidRDefault="002B1D41" w:rsidP="00BE4358">
      <w:pPr>
        <w:pStyle w:val="References"/>
        <w:rPr>
          <w:lang w:eastAsia="en-AU"/>
        </w:rPr>
      </w:pPr>
      <w:r>
        <w:rPr>
          <w:lang w:eastAsia="en-AU"/>
        </w:rPr>
        <w:t xml:space="preserve">Metzger, C. S., Hammond, M. B., Pyles, S. T., et al. (2020). Pain relief outcomes using an SCS device capable of delivering combination therapy with advanced waveforms and field shapes [Article]. </w:t>
      </w:r>
      <w:r>
        <w:rPr>
          <w:i/>
          <w:iCs/>
          <w:lang w:eastAsia="en-AU"/>
        </w:rPr>
        <w:t>Expert Review of Medical Devices</w:t>
      </w:r>
      <w:r>
        <w:rPr>
          <w:lang w:eastAsia="en-AU"/>
        </w:rPr>
        <w:t>,</w:t>
      </w:r>
      <w:r>
        <w:rPr>
          <w:i/>
          <w:iCs/>
          <w:lang w:eastAsia="en-AU"/>
        </w:rPr>
        <w:t xml:space="preserve"> 17</w:t>
      </w:r>
      <w:r>
        <w:rPr>
          <w:lang w:eastAsia="en-AU"/>
        </w:rPr>
        <w:t xml:space="preserve">(9), 951-9/doi.org/10.1080/17434440.2020.1812383 </w:t>
      </w:r>
    </w:p>
    <w:p w14:paraId="01154A4B" w14:textId="0853BE2C" w:rsidR="002B1D41" w:rsidRDefault="002B1D41" w:rsidP="00BE4358">
      <w:pPr>
        <w:pStyle w:val="References"/>
        <w:rPr>
          <w:lang w:eastAsia="en-AU"/>
        </w:rPr>
      </w:pPr>
      <w:proofErr w:type="spellStart"/>
      <w:r>
        <w:rPr>
          <w:lang w:eastAsia="en-AU"/>
        </w:rPr>
        <w:t>Moeschler</w:t>
      </w:r>
      <w:proofErr w:type="spellEnd"/>
      <w:r>
        <w:rPr>
          <w:lang w:eastAsia="en-AU"/>
        </w:rPr>
        <w:t xml:space="preserve">, S. M., Sanders, R. A., Hooten, W. M., et al. (2015). Spinal Cord Stimulator </w:t>
      </w:r>
      <w:proofErr w:type="spellStart"/>
      <w:r>
        <w:rPr>
          <w:lang w:eastAsia="en-AU"/>
        </w:rPr>
        <w:t>Explantation</w:t>
      </w:r>
      <w:proofErr w:type="spellEnd"/>
      <w:r>
        <w:rPr>
          <w:lang w:eastAsia="en-AU"/>
        </w:rPr>
        <w:t xml:space="preserve"> for Magnetic Resonance Imaging: A Case Series [Article]. </w:t>
      </w:r>
      <w:r>
        <w:rPr>
          <w:i/>
          <w:iCs/>
          <w:lang w:eastAsia="en-AU"/>
        </w:rPr>
        <w:t>Neuromodulation</w:t>
      </w:r>
      <w:r>
        <w:rPr>
          <w:lang w:eastAsia="en-AU"/>
        </w:rPr>
        <w:t>,</w:t>
      </w:r>
      <w:r>
        <w:rPr>
          <w:i/>
          <w:iCs/>
          <w:lang w:eastAsia="en-AU"/>
        </w:rPr>
        <w:t xml:space="preserve"> 18</w:t>
      </w:r>
      <w:r>
        <w:rPr>
          <w:lang w:eastAsia="en-AU"/>
        </w:rPr>
        <w:t xml:space="preserve">(4), 285-2/doi.org/10.1111/ner.12254 </w:t>
      </w:r>
    </w:p>
    <w:p w14:paraId="056462D0" w14:textId="596EC92E" w:rsidR="00BE4358" w:rsidRDefault="00BE4358" w:rsidP="00BE4358">
      <w:pPr>
        <w:pStyle w:val="References"/>
        <w:rPr>
          <w:lang w:eastAsia="en-AU"/>
        </w:rPr>
      </w:pPr>
      <w:r>
        <w:rPr>
          <w:lang w:eastAsia="en-AU"/>
        </w:rPr>
        <w:t xml:space="preserve">Moore, D. M., &amp; McCrory, C. (2016). Spinal cord stimulation. </w:t>
      </w:r>
      <w:r>
        <w:rPr>
          <w:i/>
          <w:iCs/>
          <w:lang w:eastAsia="en-AU"/>
        </w:rPr>
        <w:t>BJA Education</w:t>
      </w:r>
      <w:r>
        <w:rPr>
          <w:lang w:eastAsia="en-AU"/>
        </w:rPr>
        <w:t>,</w:t>
      </w:r>
      <w:r>
        <w:rPr>
          <w:i/>
          <w:iCs/>
          <w:lang w:eastAsia="en-AU"/>
        </w:rPr>
        <w:t xml:space="preserve"> 16</w:t>
      </w:r>
      <w:r>
        <w:rPr>
          <w:lang w:eastAsia="en-AU"/>
        </w:rPr>
        <w:t>(8), 258-2/doi.org/10.1093/</w:t>
      </w:r>
      <w:proofErr w:type="spellStart"/>
      <w:r>
        <w:rPr>
          <w:lang w:eastAsia="en-AU"/>
        </w:rPr>
        <w:t>bjaed</w:t>
      </w:r>
      <w:proofErr w:type="spellEnd"/>
      <w:r>
        <w:rPr>
          <w:lang w:eastAsia="en-AU"/>
        </w:rPr>
        <w:t xml:space="preserve">/mkv072 </w:t>
      </w:r>
    </w:p>
    <w:p w14:paraId="28CFE1C9" w14:textId="5EAA69B7" w:rsidR="002B1D41" w:rsidRDefault="002B1D41" w:rsidP="00BE4358">
      <w:pPr>
        <w:pStyle w:val="References"/>
        <w:rPr>
          <w:lang w:eastAsia="en-AU"/>
        </w:rPr>
      </w:pPr>
      <w:proofErr w:type="spellStart"/>
      <w:r>
        <w:rPr>
          <w:lang w:eastAsia="en-AU"/>
        </w:rPr>
        <w:t>Morgalla</w:t>
      </w:r>
      <w:proofErr w:type="spellEnd"/>
      <w:r>
        <w:rPr>
          <w:lang w:eastAsia="en-AU"/>
        </w:rPr>
        <w:t xml:space="preserve">, M. H., Fortunato, M., </w:t>
      </w:r>
      <w:proofErr w:type="spellStart"/>
      <w:r>
        <w:rPr>
          <w:lang w:eastAsia="en-AU"/>
        </w:rPr>
        <w:t>Lepski</w:t>
      </w:r>
      <w:proofErr w:type="spellEnd"/>
      <w:r>
        <w:rPr>
          <w:lang w:eastAsia="en-AU"/>
        </w:rPr>
        <w:t>, G., et al. (2018). Dorsal root ganglion stimulation (DRGS) for the treatment of chronic neuropathic pain: A single-</w:t>
      </w:r>
      <w:proofErr w:type="spellStart"/>
      <w:r>
        <w:rPr>
          <w:lang w:eastAsia="en-AU"/>
        </w:rPr>
        <w:t>center</w:t>
      </w:r>
      <w:proofErr w:type="spellEnd"/>
      <w:r>
        <w:rPr>
          <w:lang w:eastAsia="en-AU"/>
        </w:rPr>
        <w:t xml:space="preserve"> study with long-term prospective results in 62 cases [Article]. </w:t>
      </w:r>
      <w:r>
        <w:rPr>
          <w:i/>
          <w:iCs/>
          <w:lang w:eastAsia="en-AU"/>
        </w:rPr>
        <w:t>Pain Physician</w:t>
      </w:r>
      <w:r>
        <w:rPr>
          <w:lang w:eastAsia="en-AU"/>
        </w:rPr>
        <w:t>,</w:t>
      </w:r>
      <w:r>
        <w:rPr>
          <w:i/>
          <w:iCs/>
          <w:lang w:eastAsia="en-AU"/>
        </w:rPr>
        <w:t xml:space="preserve"> 21</w:t>
      </w:r>
      <w:r>
        <w:rPr>
          <w:lang w:eastAsia="en-AU"/>
        </w:rPr>
        <w:t xml:space="preserve">(4), E377-E3/doi.org/10.36076/ppj.2018.4.e377 </w:t>
      </w:r>
    </w:p>
    <w:p w14:paraId="72744F9D" w14:textId="23BF551B" w:rsidR="00BE4358" w:rsidRDefault="00BE4358" w:rsidP="00BE4358">
      <w:pPr>
        <w:pStyle w:val="References"/>
        <w:rPr>
          <w:lang w:eastAsia="en-AU"/>
        </w:rPr>
      </w:pPr>
      <w:r>
        <w:rPr>
          <w:lang w:eastAsia="en-AU"/>
        </w:rPr>
        <w:t xml:space="preserve">National Institute for Health and Care Excellence (2019). </w:t>
      </w:r>
      <w:r>
        <w:rPr>
          <w:i/>
          <w:iCs/>
          <w:lang w:eastAsia="en-AU"/>
        </w:rPr>
        <w:t>Senza spinal cord stimulation system for delivering HF10 therapy to treat chronic neuropathic pain.</w:t>
      </w:r>
      <w:r>
        <w:rPr>
          <w:lang w:eastAsia="en-AU"/>
        </w:rPr>
        <w:t xml:space="preserve"> [Guidelin/www.nice.org.uk/guidance/MTG41/chapter/1-Recommendations</w:t>
      </w:r>
    </w:p>
    <w:p w14:paraId="731F2FBF" w14:textId="30A6082A" w:rsidR="00BE4358" w:rsidRDefault="00BE4358" w:rsidP="00BE4358">
      <w:pPr>
        <w:pStyle w:val="References"/>
        <w:rPr>
          <w:lang w:eastAsia="en-AU"/>
        </w:rPr>
      </w:pPr>
      <w:r>
        <w:rPr>
          <w:lang w:eastAsia="en-AU"/>
        </w:rPr>
        <w:t xml:space="preserve">National Institute for Health and Care Excellence (2020). </w:t>
      </w:r>
      <w:r>
        <w:rPr>
          <w:i/>
          <w:iCs/>
          <w:lang w:eastAsia="en-AU"/>
        </w:rPr>
        <w:t>Evoke Spinal Cord Stimulator for managing chronic neuropathic or ischaemic pain.</w:t>
      </w:r>
      <w:r>
        <w:rPr>
          <w:lang w:eastAsia="en-AU"/>
        </w:rPr>
        <w:t xml:space="preserve"> [</w:t>
      </w:r>
      <w:proofErr w:type="spellStart"/>
      <w:r>
        <w:rPr>
          <w:lang w:eastAsia="en-AU"/>
        </w:rPr>
        <w:t>Guidelin</w:t>
      </w:r>
      <w:proofErr w:type="spellEnd"/>
      <w:r>
        <w:rPr>
          <w:lang w:eastAsia="en-AU"/>
        </w:rPr>
        <w:t>/www.nice.org.uk/advice/mib238</w:t>
      </w:r>
    </w:p>
    <w:p w14:paraId="0E779A04" w14:textId="2BAB0FB5" w:rsidR="00BE4358" w:rsidRDefault="00BE4358" w:rsidP="00BE4358">
      <w:pPr>
        <w:pStyle w:val="References"/>
        <w:rPr>
          <w:lang w:eastAsia="en-AU"/>
        </w:rPr>
      </w:pPr>
      <w:r>
        <w:rPr>
          <w:lang w:eastAsia="en-AU"/>
        </w:rPr>
        <w:t xml:space="preserve">National Institute for Health and Care Excellence (2022). </w:t>
      </w:r>
      <w:r>
        <w:rPr>
          <w:i/>
          <w:iCs/>
          <w:lang w:eastAsia="en-AU"/>
        </w:rPr>
        <w:t>Differential target multiplexed spinal cord stimulation for chronic lower back and leg pain.</w:t>
      </w:r>
      <w:r>
        <w:rPr>
          <w:lang w:eastAsia="en-AU"/>
        </w:rPr>
        <w:t xml:space="preserve"> [</w:t>
      </w:r>
      <w:proofErr w:type="spellStart"/>
      <w:r>
        <w:rPr>
          <w:lang w:eastAsia="en-AU"/>
        </w:rPr>
        <w:t>Guidelin</w:t>
      </w:r>
      <w:proofErr w:type="spellEnd"/>
      <w:r>
        <w:rPr>
          <w:lang w:eastAsia="en-AU"/>
        </w:rPr>
        <w:t>/www.nice.org.uk/advice/mib305</w:t>
      </w:r>
    </w:p>
    <w:p w14:paraId="1D5C4706" w14:textId="77777777" w:rsidR="00BE4358" w:rsidRDefault="00BE4358" w:rsidP="00BE4358">
      <w:pPr>
        <w:pStyle w:val="References"/>
        <w:rPr>
          <w:lang w:eastAsia="en-AU"/>
        </w:rPr>
      </w:pPr>
      <w:r>
        <w:rPr>
          <w:lang w:eastAsia="en-AU"/>
        </w:rPr>
        <w:t xml:space="preserve">National Institute for Health and Care Excellence (2022). </w:t>
      </w:r>
      <w:r>
        <w:rPr>
          <w:i/>
          <w:iCs/>
          <w:lang w:eastAsia="en-AU"/>
        </w:rPr>
        <w:t>Neurostimulation of lumbar muscles for refractory non-specific chronic low back pain.</w:t>
      </w:r>
      <w:r>
        <w:rPr>
          <w:lang w:eastAsia="en-AU"/>
        </w:rPr>
        <w:t xml:space="preserve"> [Guideline]. </w:t>
      </w:r>
    </w:p>
    <w:p w14:paraId="781D742A" w14:textId="566019D1" w:rsidR="00BE4358" w:rsidRDefault="00BE4358" w:rsidP="00BE4358">
      <w:pPr>
        <w:pStyle w:val="References"/>
        <w:rPr>
          <w:lang w:eastAsia="en-AU"/>
        </w:rPr>
      </w:pPr>
      <w:r>
        <w:rPr>
          <w:lang w:eastAsia="en-AU"/>
        </w:rPr>
        <w:t xml:space="preserve">National Institute of Health and Care Excellence (2008). </w:t>
      </w:r>
      <w:r>
        <w:rPr>
          <w:i/>
          <w:iCs/>
          <w:lang w:eastAsia="en-AU"/>
        </w:rPr>
        <w:t>Spinal cord stimulation for chronic pain of neuropathic or ischaemic origin.</w:t>
      </w:r>
      <w:r>
        <w:rPr>
          <w:lang w:eastAsia="en-AU"/>
        </w:rPr>
        <w:t xml:space="preserve"> [</w:t>
      </w:r>
      <w:proofErr w:type="spellStart"/>
      <w:r>
        <w:rPr>
          <w:lang w:eastAsia="en-AU"/>
        </w:rPr>
        <w:t>Guidelin</w:t>
      </w:r>
      <w:proofErr w:type="spellEnd"/>
      <w:r>
        <w:rPr>
          <w:lang w:eastAsia="en-AU"/>
        </w:rPr>
        <w:t>/www.nice.org.uk/guidance/ta159</w:t>
      </w:r>
    </w:p>
    <w:p w14:paraId="1CFE57EF" w14:textId="77777777" w:rsidR="00BE4358" w:rsidRDefault="00BE4358" w:rsidP="00BE4358">
      <w:pPr>
        <w:pStyle w:val="References"/>
        <w:rPr>
          <w:lang w:eastAsia="en-AU"/>
        </w:rPr>
      </w:pPr>
      <w:r>
        <w:rPr>
          <w:lang w:eastAsia="en-AU"/>
        </w:rPr>
        <w:t xml:space="preserve">Neuromodulation Society of Australia and New Zealand (2022). </w:t>
      </w:r>
      <w:r>
        <w:rPr>
          <w:i/>
          <w:iCs/>
          <w:lang w:eastAsia="en-AU"/>
        </w:rPr>
        <w:t>Response to Recent JAMA Article on Spinal Cord Stimulation.</w:t>
      </w:r>
      <w:r>
        <w:rPr>
          <w:lang w:eastAsia="en-AU"/>
        </w:rPr>
        <w:t xml:space="preserve"> </w:t>
      </w:r>
    </w:p>
    <w:p w14:paraId="64803C38" w14:textId="7DB95FFE" w:rsidR="00BE4358" w:rsidRDefault="00BE4358" w:rsidP="00BE4358">
      <w:pPr>
        <w:pStyle w:val="References"/>
      </w:pPr>
      <w:proofErr w:type="spellStart"/>
      <w:r>
        <w:t>Niyomsri</w:t>
      </w:r>
      <w:proofErr w:type="spellEnd"/>
      <w:r>
        <w:t xml:space="preserve">, S., Duarte, R. V., </w:t>
      </w:r>
      <w:proofErr w:type="spellStart"/>
      <w:r>
        <w:t>Eldabe</w:t>
      </w:r>
      <w:proofErr w:type="spellEnd"/>
      <w:r>
        <w:t xml:space="preserve">, S., et al. (2020). A Systematic Review of Economic Evaluations Reporting the Cost-Effectiveness of Spinal Cord Stimulation [Review]. </w:t>
      </w:r>
      <w:r>
        <w:rPr>
          <w:i/>
          <w:iCs/>
        </w:rPr>
        <w:t>Value in Health</w:t>
      </w:r>
      <w:r>
        <w:t>,</w:t>
      </w:r>
      <w:r>
        <w:rPr>
          <w:i/>
          <w:iCs/>
        </w:rPr>
        <w:t xml:space="preserve"> 23</w:t>
      </w:r>
      <w:r>
        <w:t xml:space="preserve">(5), 656-6/doi.org/10.1016/j.jval.2020.02.005 </w:t>
      </w:r>
    </w:p>
    <w:p w14:paraId="4A159AE3" w14:textId="182C93E8" w:rsidR="002B1D41" w:rsidRDefault="002B1D41" w:rsidP="00BE4358">
      <w:pPr>
        <w:pStyle w:val="References"/>
        <w:rPr>
          <w:lang w:eastAsia="en-AU"/>
        </w:rPr>
      </w:pPr>
      <w:proofErr w:type="spellStart"/>
      <w:r>
        <w:rPr>
          <w:lang w:eastAsia="en-AU"/>
        </w:rPr>
        <w:lastRenderedPageBreak/>
        <w:t>Niyomsri</w:t>
      </w:r>
      <w:proofErr w:type="spellEnd"/>
      <w:r>
        <w:rPr>
          <w:lang w:eastAsia="en-AU"/>
        </w:rPr>
        <w:t xml:space="preserve">, S., Duarte, R. V., </w:t>
      </w:r>
      <w:proofErr w:type="spellStart"/>
      <w:r>
        <w:rPr>
          <w:lang w:eastAsia="en-AU"/>
        </w:rPr>
        <w:t>Eldabe</w:t>
      </w:r>
      <w:proofErr w:type="spellEnd"/>
      <w:r>
        <w:rPr>
          <w:lang w:eastAsia="en-AU"/>
        </w:rPr>
        <w:t xml:space="preserve">, S., et al. (2020). A Systematic Review of Economic Evaluations Reporting the Cost-Effectiveness of Spinal Cord Stimulation [Review]. </w:t>
      </w:r>
      <w:r>
        <w:rPr>
          <w:i/>
          <w:iCs/>
          <w:lang w:eastAsia="en-AU"/>
        </w:rPr>
        <w:t>Value in Health</w:t>
      </w:r>
      <w:r>
        <w:rPr>
          <w:lang w:eastAsia="en-AU"/>
        </w:rPr>
        <w:t>,</w:t>
      </w:r>
      <w:r>
        <w:rPr>
          <w:i/>
          <w:iCs/>
          <w:lang w:eastAsia="en-AU"/>
        </w:rPr>
        <w:t xml:space="preserve"> 23</w:t>
      </w:r>
      <w:r>
        <w:rPr>
          <w:lang w:eastAsia="en-AU"/>
        </w:rPr>
        <w:t xml:space="preserve">(5), 656-6/doi.org/10.1016/j.jval.2020.02.005 </w:t>
      </w:r>
    </w:p>
    <w:p w14:paraId="7727A320" w14:textId="13FCBFC0" w:rsidR="00BE4358" w:rsidRDefault="00BE4358" w:rsidP="00BE4358">
      <w:pPr>
        <w:pStyle w:val="References"/>
        <w:rPr>
          <w:lang w:eastAsia="en-AU"/>
        </w:rPr>
      </w:pPr>
      <w:proofErr w:type="spellStart"/>
      <w:r>
        <w:rPr>
          <w:lang w:eastAsia="en-AU"/>
        </w:rPr>
        <w:t>Norrsell</w:t>
      </w:r>
      <w:proofErr w:type="spellEnd"/>
      <w:r>
        <w:rPr>
          <w:lang w:eastAsia="en-AU"/>
        </w:rPr>
        <w:t xml:space="preserve">, H., </w:t>
      </w:r>
      <w:proofErr w:type="spellStart"/>
      <w:r>
        <w:rPr>
          <w:lang w:eastAsia="en-AU"/>
        </w:rPr>
        <w:t>Pilhall</w:t>
      </w:r>
      <w:proofErr w:type="spellEnd"/>
      <w:r>
        <w:rPr>
          <w:lang w:eastAsia="en-AU"/>
        </w:rPr>
        <w:t xml:space="preserve">, M., Eliasson, T., et al. (2000). Effects of spinal cord stimulation and coronary artery bypass grafting on myocardial ischemia and heart rate variability: further results from the ESBY study. </w:t>
      </w:r>
      <w:r>
        <w:rPr>
          <w:i/>
          <w:iCs/>
          <w:lang w:eastAsia="en-AU"/>
        </w:rPr>
        <w:t>Cardiology</w:t>
      </w:r>
      <w:r>
        <w:rPr>
          <w:lang w:eastAsia="en-AU"/>
        </w:rPr>
        <w:t>,</w:t>
      </w:r>
      <w:r>
        <w:rPr>
          <w:i/>
          <w:iCs/>
          <w:lang w:eastAsia="en-AU"/>
        </w:rPr>
        <w:t xml:space="preserve"> 94</w:t>
      </w:r>
      <w:r>
        <w:rPr>
          <w:lang w:eastAsia="en-AU"/>
        </w:rPr>
        <w:t xml:space="preserve">(1), 12-/doi.org/10.1159/000007040 </w:t>
      </w:r>
    </w:p>
    <w:p w14:paraId="39E3C4A7" w14:textId="420C704C" w:rsidR="002B1D41" w:rsidRDefault="002B1D41" w:rsidP="00BE4358">
      <w:pPr>
        <w:pStyle w:val="References"/>
        <w:rPr>
          <w:lang w:eastAsia="en-AU"/>
        </w:rPr>
      </w:pPr>
      <w:r>
        <w:rPr>
          <w:lang w:eastAsia="en-AU"/>
        </w:rPr>
        <w:t xml:space="preserve">North, J., Loudermilk, E., Lee, A., et al. (2020). Outcomes of a </w:t>
      </w:r>
      <w:proofErr w:type="spellStart"/>
      <w:r>
        <w:rPr>
          <w:lang w:eastAsia="en-AU"/>
        </w:rPr>
        <w:t>Multicenter</w:t>
      </w:r>
      <w:proofErr w:type="spellEnd"/>
      <w:r>
        <w:rPr>
          <w:lang w:eastAsia="en-AU"/>
        </w:rPr>
        <w:t xml:space="preserve">, Prospective, Crossover, Randomized Controlled Trial Evaluating </w:t>
      </w:r>
      <w:proofErr w:type="spellStart"/>
      <w:r>
        <w:rPr>
          <w:lang w:eastAsia="en-AU"/>
        </w:rPr>
        <w:t>Subperception</w:t>
      </w:r>
      <w:proofErr w:type="spellEnd"/>
      <w:r>
        <w:rPr>
          <w:lang w:eastAsia="en-AU"/>
        </w:rPr>
        <w:t xml:space="preserve"> Spinal Cord Stimulation at ≤1.2 kHz in Previously Implanted Subjects [Article]. </w:t>
      </w:r>
      <w:r>
        <w:rPr>
          <w:i/>
          <w:iCs/>
          <w:lang w:eastAsia="en-AU"/>
        </w:rPr>
        <w:t>Neuromodulation</w:t>
      </w:r>
      <w:r>
        <w:rPr>
          <w:lang w:eastAsia="en-AU"/>
        </w:rPr>
        <w:t>,</w:t>
      </w:r>
      <w:r>
        <w:rPr>
          <w:i/>
          <w:iCs/>
          <w:lang w:eastAsia="en-AU"/>
        </w:rPr>
        <w:t xml:space="preserve"> 23</w:t>
      </w:r>
      <w:r>
        <w:rPr>
          <w:lang w:eastAsia="en-AU"/>
        </w:rPr>
        <w:t xml:space="preserve">(1), 102-1/doi.org/10.1111/ner.13015 </w:t>
      </w:r>
    </w:p>
    <w:p w14:paraId="71FC1614" w14:textId="73659F18" w:rsidR="002B1D41" w:rsidRDefault="00BE4358" w:rsidP="00BE4358">
      <w:pPr>
        <w:pStyle w:val="References"/>
        <w:rPr>
          <w:lang w:eastAsia="en-AU"/>
        </w:rPr>
      </w:pPr>
      <w:r>
        <w:rPr>
          <w:lang w:eastAsia="en-AU"/>
        </w:rPr>
        <w:t xml:space="preserve">North, R. B., &amp; Shipley, J. (2023). Spinal Cord Stimulation and Evidence-Based Medicine&amp;#x2014;Cui Bono. </w:t>
      </w:r>
      <w:r>
        <w:rPr>
          <w:i/>
          <w:iCs/>
          <w:lang w:eastAsia="en-AU"/>
        </w:rPr>
        <w:t>Neuromodulation</w:t>
      </w:r>
      <w:r>
        <w:rPr>
          <w:lang w:eastAsia="en-AU"/>
        </w:rPr>
        <w:t>,</w:t>
      </w:r>
      <w:r>
        <w:rPr>
          <w:i/>
          <w:iCs/>
          <w:lang w:eastAsia="en-AU"/>
        </w:rPr>
        <w:t xml:space="preserve"> 26</w:t>
      </w:r>
      <w:r>
        <w:rPr>
          <w:lang w:eastAsia="en-AU"/>
        </w:rPr>
        <w:t xml:space="preserve">(2), 478-4/doi.org/10.1016/j.neurom.2022.12.009 </w:t>
      </w:r>
    </w:p>
    <w:p w14:paraId="6EE7EE2E" w14:textId="5931C2B8" w:rsidR="002B1D41" w:rsidRDefault="002B1D41" w:rsidP="00BE4358">
      <w:pPr>
        <w:pStyle w:val="References"/>
        <w:rPr>
          <w:lang w:eastAsia="en-AU"/>
        </w:rPr>
      </w:pPr>
      <w:r>
        <w:rPr>
          <w:lang w:eastAsia="en-AU"/>
        </w:rPr>
        <w:t xml:space="preserve">North, R. B., </w:t>
      </w:r>
      <w:proofErr w:type="spellStart"/>
      <w:r>
        <w:rPr>
          <w:lang w:eastAsia="en-AU"/>
        </w:rPr>
        <w:t>Deruytter</w:t>
      </w:r>
      <w:proofErr w:type="spellEnd"/>
      <w:r>
        <w:rPr>
          <w:lang w:eastAsia="en-AU"/>
        </w:rPr>
        <w:t xml:space="preserve">, M. M., </w:t>
      </w:r>
      <w:proofErr w:type="spellStart"/>
      <w:r>
        <w:rPr>
          <w:lang w:eastAsia="en-AU"/>
        </w:rPr>
        <w:t>Vangeneugden</w:t>
      </w:r>
      <w:proofErr w:type="spellEnd"/>
      <w:r>
        <w:rPr>
          <w:lang w:eastAsia="en-AU"/>
        </w:rPr>
        <w:t xml:space="preserve">, J. J. M., et al. (2018). Perioperative infections and prolonged SCS trial duration (PROMISE study) [Conference Abstract]. </w:t>
      </w:r>
      <w:r>
        <w:rPr>
          <w:i/>
          <w:iCs/>
          <w:lang w:eastAsia="en-AU"/>
        </w:rPr>
        <w:t>Neuromodulation</w:t>
      </w:r>
      <w:r>
        <w:rPr>
          <w:lang w:eastAsia="en-AU"/>
        </w:rPr>
        <w:t>,</w:t>
      </w:r>
      <w:r>
        <w:rPr>
          <w:i/>
          <w:iCs/>
          <w:lang w:eastAsia="en-AU"/>
        </w:rPr>
        <w:t xml:space="preserve"> 21</w:t>
      </w:r>
      <w:r>
        <w:rPr>
          <w:lang w:eastAsia="en-AU"/>
        </w:rPr>
        <w:t xml:space="preserve">(3), e/doi.org/10.1111/ner.12774 </w:t>
      </w:r>
    </w:p>
    <w:p w14:paraId="448AA658" w14:textId="3969D93C" w:rsidR="002B1D41" w:rsidRDefault="002B1D41" w:rsidP="00BE4358">
      <w:pPr>
        <w:pStyle w:val="References"/>
        <w:rPr>
          <w:lang w:eastAsia="en-AU"/>
        </w:rPr>
      </w:pPr>
      <w:r>
        <w:rPr>
          <w:lang w:eastAsia="en-AU"/>
        </w:rPr>
        <w:t xml:space="preserve">North, R. B., Kidd, D. H., </w:t>
      </w:r>
      <w:proofErr w:type="spellStart"/>
      <w:r>
        <w:rPr>
          <w:lang w:eastAsia="en-AU"/>
        </w:rPr>
        <w:t>Farrokhi</w:t>
      </w:r>
      <w:proofErr w:type="spellEnd"/>
      <w:r>
        <w:rPr>
          <w:lang w:eastAsia="en-AU"/>
        </w:rPr>
        <w:t xml:space="preserve">, F., et al. (2005). Spinal cord stimulation versus repeated lumbosacral spine surgery for chronic pain: A randomized, controlled trial [Article]. </w:t>
      </w:r>
      <w:r>
        <w:rPr>
          <w:i/>
          <w:iCs/>
          <w:lang w:eastAsia="en-AU"/>
        </w:rPr>
        <w:t>Neurosurgery</w:t>
      </w:r>
      <w:r>
        <w:rPr>
          <w:lang w:eastAsia="en-AU"/>
        </w:rPr>
        <w:t>,</w:t>
      </w:r>
      <w:r>
        <w:rPr>
          <w:i/>
          <w:iCs/>
          <w:lang w:eastAsia="en-AU"/>
        </w:rPr>
        <w:t xml:space="preserve"> 56</w:t>
      </w:r>
      <w:r>
        <w:rPr>
          <w:lang w:eastAsia="en-AU"/>
        </w:rPr>
        <w:t xml:space="preserve">(1), 98-1/doi.org/10.1227/01.NEU.0000144839.65524.E0 </w:t>
      </w:r>
    </w:p>
    <w:p w14:paraId="161C4F58" w14:textId="5AA2774B" w:rsidR="002B1D41" w:rsidRDefault="002B1D41" w:rsidP="00BE4358">
      <w:pPr>
        <w:pStyle w:val="References"/>
        <w:rPr>
          <w:lang w:eastAsia="en-AU"/>
        </w:rPr>
      </w:pPr>
      <w:r>
        <w:rPr>
          <w:lang w:eastAsia="en-AU"/>
        </w:rPr>
        <w:t xml:space="preserve">North, R. B., Kidd, D. H., Lee, M. S., et al. (1994). A prospective, randomized study of spinal cord stimulation versus reoperation for failed back surgery syndrome: Initial results [Conference Paper]. </w:t>
      </w:r>
      <w:r>
        <w:rPr>
          <w:i/>
          <w:iCs/>
          <w:lang w:eastAsia="en-AU"/>
        </w:rPr>
        <w:t>Stereotactic and Functional Neurosurgery</w:t>
      </w:r>
      <w:r>
        <w:rPr>
          <w:lang w:eastAsia="en-AU"/>
        </w:rPr>
        <w:t>,</w:t>
      </w:r>
      <w:r>
        <w:rPr>
          <w:i/>
          <w:iCs/>
          <w:lang w:eastAsia="en-AU"/>
        </w:rPr>
        <w:t xml:space="preserve"> 62</w:t>
      </w:r>
      <w:r>
        <w:rPr>
          <w:lang w:eastAsia="en-AU"/>
        </w:rPr>
        <w:t xml:space="preserve">(1-4), 267-2/doi.org/10.1159/000098631 </w:t>
      </w:r>
    </w:p>
    <w:p w14:paraId="0F9EFF7F" w14:textId="77083670" w:rsidR="00BE4358" w:rsidRDefault="00BE4358" w:rsidP="00BE4358">
      <w:pPr>
        <w:pStyle w:val="References"/>
        <w:rPr>
          <w:lang w:eastAsia="en-AU"/>
        </w:rPr>
      </w:pPr>
      <w:r>
        <w:rPr>
          <w:lang w:eastAsia="en-AU"/>
        </w:rPr>
        <w:t xml:space="preserve">North, R. B., Kidd, D., Shipley, J., et al. (2007). Spinal cord stimulation versus reoperation for failed back surgery syndrome: A cost effectiveness and cost utility analysis based on a randomized, controlled trial [Article]. </w:t>
      </w:r>
      <w:r>
        <w:rPr>
          <w:i/>
          <w:iCs/>
          <w:lang w:eastAsia="en-AU"/>
        </w:rPr>
        <w:t>Neurosurgery</w:t>
      </w:r>
      <w:r>
        <w:rPr>
          <w:lang w:eastAsia="en-AU"/>
        </w:rPr>
        <w:t>,</w:t>
      </w:r>
      <w:r>
        <w:rPr>
          <w:i/>
          <w:iCs/>
          <w:lang w:eastAsia="en-AU"/>
        </w:rPr>
        <w:t xml:space="preserve"> 61</w:t>
      </w:r>
      <w:r>
        <w:rPr>
          <w:lang w:eastAsia="en-AU"/>
        </w:rPr>
        <w:t xml:space="preserve">(2), 361-3/doi.org/10.1227/01.NEU.0000255522.42579.EA </w:t>
      </w:r>
    </w:p>
    <w:p w14:paraId="61BC643B" w14:textId="7D38FF49" w:rsidR="00BE4358" w:rsidRDefault="00BE4358" w:rsidP="00BE4358">
      <w:pPr>
        <w:pStyle w:val="References"/>
        <w:rPr>
          <w:lang w:eastAsia="en-AU"/>
        </w:rPr>
      </w:pPr>
      <w:r>
        <w:rPr>
          <w:lang w:eastAsia="en-AU"/>
        </w:rPr>
        <w:t xml:space="preserve">North, R., Desai, M. J., </w:t>
      </w:r>
      <w:proofErr w:type="spellStart"/>
      <w:r>
        <w:rPr>
          <w:lang w:eastAsia="en-AU"/>
        </w:rPr>
        <w:t>Vangeneugden</w:t>
      </w:r>
      <w:proofErr w:type="spellEnd"/>
      <w:r>
        <w:rPr>
          <w:lang w:eastAsia="en-AU"/>
        </w:rPr>
        <w:t xml:space="preserve">, J., et al. (2020). Postoperative Infections Associated With Prolonged Spinal Cord Stimulation Trial Duration (PROMISE RCT) [Article]. </w:t>
      </w:r>
      <w:r>
        <w:rPr>
          <w:i/>
          <w:iCs/>
          <w:lang w:eastAsia="en-AU"/>
        </w:rPr>
        <w:t>Neuromodulation</w:t>
      </w:r>
      <w:r>
        <w:rPr>
          <w:lang w:eastAsia="en-AU"/>
        </w:rPr>
        <w:t>,</w:t>
      </w:r>
      <w:r>
        <w:rPr>
          <w:i/>
          <w:iCs/>
          <w:lang w:eastAsia="en-AU"/>
        </w:rPr>
        <w:t xml:space="preserve"> 23</w:t>
      </w:r>
      <w:r>
        <w:rPr>
          <w:lang w:eastAsia="en-AU"/>
        </w:rPr>
        <w:t xml:space="preserve">(5), 620-6/doi.org/10.1111/ner.13141 </w:t>
      </w:r>
    </w:p>
    <w:p w14:paraId="135E1503" w14:textId="39FCB3FA" w:rsidR="00BE4358" w:rsidRDefault="00BE4358" w:rsidP="00BE4358">
      <w:pPr>
        <w:pStyle w:val="References"/>
        <w:rPr>
          <w:lang w:eastAsia="en-AU"/>
        </w:rPr>
      </w:pPr>
      <w:r>
        <w:rPr>
          <w:lang w:eastAsia="en-AU"/>
        </w:rPr>
        <w:t xml:space="preserve">O'Connell, N. E., Ferraro, M. C., Gibson, W., et al. (2021). Implanted spinal neuromodulation interventions for chronic pain in adults. </w:t>
      </w:r>
      <w:r>
        <w:rPr>
          <w:i/>
          <w:iCs/>
          <w:lang w:eastAsia="en-AU"/>
        </w:rPr>
        <w:t>Cochrane Database of Systematic Reviews</w:t>
      </w:r>
      <w:r>
        <w:rPr>
          <w:lang w:eastAsia="en-AU"/>
        </w:rPr>
        <w:t xml:space="preserve">(1/doi.org/10.1002/14651858.CD013756.pub2 </w:t>
      </w:r>
    </w:p>
    <w:p w14:paraId="571CA07C" w14:textId="01D7E629" w:rsidR="002B1D41" w:rsidRDefault="002B1D41" w:rsidP="00BE4358">
      <w:pPr>
        <w:pStyle w:val="References"/>
        <w:rPr>
          <w:lang w:eastAsia="en-AU"/>
        </w:rPr>
      </w:pPr>
      <w:proofErr w:type="spellStart"/>
      <w:r>
        <w:rPr>
          <w:lang w:eastAsia="en-AU"/>
        </w:rPr>
        <w:t>Odonkor</w:t>
      </w:r>
      <w:proofErr w:type="spellEnd"/>
      <w:r>
        <w:rPr>
          <w:lang w:eastAsia="en-AU"/>
        </w:rPr>
        <w:t xml:space="preserve">, C. A., Orman, S., </w:t>
      </w:r>
      <w:proofErr w:type="spellStart"/>
      <w:r>
        <w:rPr>
          <w:lang w:eastAsia="en-AU"/>
        </w:rPr>
        <w:t>Orhurhu</w:t>
      </w:r>
      <w:proofErr w:type="spellEnd"/>
      <w:r>
        <w:rPr>
          <w:lang w:eastAsia="en-AU"/>
        </w:rPr>
        <w:t xml:space="preserve">, V., et al. (2019). Spinal Cord Stimulation vs Conventional Therapies for the Treatment of Chronic Low Back and Leg Pain: A Systematic Review of Health Care Resource Utilization and Outcomes in the Last Decade [Article]. </w:t>
      </w:r>
      <w:r>
        <w:rPr>
          <w:i/>
          <w:iCs/>
          <w:lang w:eastAsia="en-AU"/>
        </w:rPr>
        <w:t>Pain Medicine (United States)</w:t>
      </w:r>
      <w:r>
        <w:rPr>
          <w:lang w:eastAsia="en-AU"/>
        </w:rPr>
        <w:t>,</w:t>
      </w:r>
      <w:r>
        <w:rPr>
          <w:i/>
          <w:iCs/>
          <w:lang w:eastAsia="en-AU"/>
        </w:rPr>
        <w:t xml:space="preserve"> 20</w:t>
      </w:r>
      <w:r>
        <w:rPr>
          <w:lang w:eastAsia="en-AU"/>
        </w:rPr>
        <w:t xml:space="preserve">(12), 2479-24/doi.org/10.1093/pm/pnz185 </w:t>
      </w:r>
    </w:p>
    <w:p w14:paraId="0D4DDB4E" w14:textId="1BB123C4" w:rsidR="00694088" w:rsidRDefault="00350A02" w:rsidP="00BE4358">
      <w:pPr>
        <w:pStyle w:val="References"/>
        <w:rPr>
          <w:lang w:eastAsia="en-AU"/>
        </w:rPr>
      </w:pPr>
      <w:r w:rsidRPr="00350A02">
        <w:rPr>
          <w:lang w:eastAsia="en-AU"/>
        </w:rPr>
        <w:t xml:space="preserve">Ontario Health (Quality). </w:t>
      </w:r>
      <w:r>
        <w:rPr>
          <w:lang w:eastAsia="en-AU"/>
        </w:rPr>
        <w:t xml:space="preserve">(2020) </w:t>
      </w:r>
      <w:r w:rsidRPr="00350A02">
        <w:rPr>
          <w:lang w:eastAsia="en-AU"/>
        </w:rPr>
        <w:t xml:space="preserve">10-kHz high-frequency spinal cord stimulation for adults with chronic noncancer pain: a health technology assessment. </w:t>
      </w:r>
      <w:proofErr w:type="spellStart"/>
      <w:r w:rsidRPr="009C4F3E">
        <w:rPr>
          <w:i/>
          <w:iCs/>
          <w:lang w:eastAsia="en-AU"/>
        </w:rPr>
        <w:t>Ont</w:t>
      </w:r>
      <w:proofErr w:type="spellEnd"/>
      <w:r w:rsidRPr="009C4F3E">
        <w:rPr>
          <w:i/>
          <w:iCs/>
          <w:lang w:eastAsia="en-AU"/>
        </w:rPr>
        <w:t xml:space="preserve"> Health Technol Assess Ser</w:t>
      </w:r>
      <w:r w:rsidRPr="00350A02">
        <w:rPr>
          <w:lang w:eastAsia="en-AU"/>
        </w:rPr>
        <w:t xml:space="preserve"> [Internet].</w:t>
      </w:r>
      <w:r w:rsidR="006C3A73">
        <w:rPr>
          <w:lang w:eastAsia="en-AU"/>
        </w:rPr>
        <w:t xml:space="preserve"> </w:t>
      </w:r>
      <w:r w:rsidRPr="00350A02">
        <w:rPr>
          <w:lang w:eastAsia="en-AU"/>
        </w:rPr>
        <w:t>20(6)</w:t>
      </w:r>
      <w:r w:rsidR="006C3A73">
        <w:rPr>
          <w:lang w:eastAsia="en-AU"/>
        </w:rPr>
        <w:t xml:space="preserve">, </w:t>
      </w:r>
      <w:r w:rsidRPr="00350A02">
        <w:rPr>
          <w:lang w:eastAsia="en-AU"/>
        </w:rPr>
        <w:t>1–109.</w:t>
      </w:r>
    </w:p>
    <w:p w14:paraId="004593C3" w14:textId="20C778AA" w:rsidR="002B1D41" w:rsidRDefault="002B1D41" w:rsidP="00BE4358">
      <w:pPr>
        <w:pStyle w:val="References"/>
        <w:rPr>
          <w:lang w:eastAsia="en-AU"/>
        </w:rPr>
      </w:pPr>
      <w:r>
        <w:rPr>
          <w:lang w:eastAsia="en-AU"/>
        </w:rPr>
        <w:t xml:space="preserve">Parikh, M., Bhandari, A., &amp; Gilligan, C. (2021). Comparing effectiveness of standard vs hf10 spinal cord stimulator implants for chronic intractable pain [Article]. </w:t>
      </w:r>
      <w:r>
        <w:rPr>
          <w:i/>
          <w:iCs/>
          <w:lang w:eastAsia="en-AU"/>
        </w:rPr>
        <w:t>Interventional Pain Management Reports</w:t>
      </w:r>
      <w:r>
        <w:rPr>
          <w:lang w:eastAsia="en-AU"/>
        </w:rPr>
        <w:t>,</w:t>
      </w:r>
      <w:r>
        <w:rPr>
          <w:i/>
          <w:iCs/>
          <w:lang w:eastAsia="en-AU"/>
        </w:rPr>
        <w:t xml:space="preserve"> 5</w:t>
      </w:r>
      <w:r>
        <w:rPr>
          <w:lang w:eastAsia="en-AU"/>
        </w:rPr>
        <w:t xml:space="preserve">(1), 37-/doi.org/10.36076/PMCR.2021/5/37 </w:t>
      </w:r>
    </w:p>
    <w:p w14:paraId="084243BC" w14:textId="55BB796C" w:rsidR="002B1D41" w:rsidRDefault="00BE4358" w:rsidP="00BE4358">
      <w:pPr>
        <w:pStyle w:val="References"/>
        <w:rPr>
          <w:lang w:eastAsia="en-AU"/>
        </w:rPr>
      </w:pPr>
      <w:r>
        <w:rPr>
          <w:lang w:eastAsia="en-AU"/>
        </w:rPr>
        <w:t>Patel, N</w:t>
      </w:r>
      <w:r>
        <w:t xml:space="preserve">. P., Wu, C., Lad, S. P., et al. (2022). Cost-effectiveness of 10-kHz spinal cord stimulation therapy compared with conventional medical management over the first 12 months of therapy for patients with nonsurgical back pain: randomized controlled trial [Article in Press]. </w:t>
      </w:r>
      <w:r>
        <w:rPr>
          <w:i/>
          <w:iCs/>
        </w:rPr>
        <w:t>Journal of Neurosurgery. Spine</w:t>
      </w:r>
      <w:r>
        <w:t>, 1/doi.org/10.3171/2022.9.SPINE22416</w:t>
      </w:r>
      <w:r>
        <w:rPr>
          <w:lang w:eastAsia="en-AU"/>
        </w:rPr>
        <w:t xml:space="preserve"> </w:t>
      </w:r>
    </w:p>
    <w:p w14:paraId="712D36FF" w14:textId="573038D3" w:rsidR="002B1D41" w:rsidRDefault="002B1D41" w:rsidP="00BE4358">
      <w:pPr>
        <w:pStyle w:val="References"/>
        <w:rPr>
          <w:lang w:eastAsia="en-AU"/>
        </w:rPr>
      </w:pPr>
      <w:r>
        <w:rPr>
          <w:lang w:eastAsia="en-AU"/>
        </w:rPr>
        <w:t xml:space="preserve">Patel, N. P., Wu, C., Lad, S. P., et al. (2023). Cost-effectiveness of 10-kHz spinal cord stimulation therapy compared with conventional medical management over the first 12 months of therapy for patients with nonsurgical back pain: randomized controlled trial [Article]. </w:t>
      </w:r>
      <w:r>
        <w:rPr>
          <w:i/>
          <w:iCs/>
          <w:lang w:eastAsia="en-AU"/>
        </w:rPr>
        <w:t>Journal of Neurosurgery: Spine</w:t>
      </w:r>
      <w:r>
        <w:rPr>
          <w:lang w:eastAsia="en-AU"/>
        </w:rPr>
        <w:t>,</w:t>
      </w:r>
      <w:r>
        <w:rPr>
          <w:i/>
          <w:iCs/>
          <w:lang w:eastAsia="en-AU"/>
        </w:rPr>
        <w:t xml:space="preserve"> 38</w:t>
      </w:r>
      <w:r>
        <w:rPr>
          <w:lang w:eastAsia="en-AU"/>
        </w:rPr>
        <w:t xml:space="preserve">(2), 249-2/doi.org/10.3171/2022.9.SPINE22416 </w:t>
      </w:r>
    </w:p>
    <w:p w14:paraId="16BD212A" w14:textId="70BC1423" w:rsidR="00BE4358" w:rsidRDefault="00BE4358" w:rsidP="00BE4358">
      <w:pPr>
        <w:pStyle w:val="References"/>
        <w:rPr>
          <w:lang w:eastAsia="en-AU"/>
        </w:rPr>
      </w:pPr>
      <w:r>
        <w:rPr>
          <w:lang w:eastAsia="en-AU"/>
        </w:rPr>
        <w:t xml:space="preserve">Patel, N., </w:t>
      </w:r>
      <w:proofErr w:type="spellStart"/>
      <w:r>
        <w:rPr>
          <w:lang w:eastAsia="en-AU"/>
        </w:rPr>
        <w:t>Calodney</w:t>
      </w:r>
      <w:proofErr w:type="spellEnd"/>
      <w:r>
        <w:rPr>
          <w:lang w:eastAsia="en-AU"/>
        </w:rPr>
        <w:t xml:space="preserve">, A., </w:t>
      </w:r>
      <w:proofErr w:type="spellStart"/>
      <w:r>
        <w:rPr>
          <w:lang w:eastAsia="en-AU"/>
        </w:rPr>
        <w:t>Kapural</w:t>
      </w:r>
      <w:proofErr w:type="spellEnd"/>
      <w:r>
        <w:rPr>
          <w:lang w:eastAsia="en-AU"/>
        </w:rPr>
        <w:t xml:space="preserve">, L., et al. (2021). High-Frequency Spinal Cord Stimulation at 10 kHz for the Treatment of Nonsurgical Refractory Back Pain: Design of a Pragmatic, </w:t>
      </w:r>
      <w:proofErr w:type="spellStart"/>
      <w:r>
        <w:rPr>
          <w:lang w:eastAsia="en-AU"/>
        </w:rPr>
        <w:t>Multicenter</w:t>
      </w:r>
      <w:proofErr w:type="spellEnd"/>
      <w:r>
        <w:rPr>
          <w:lang w:eastAsia="en-AU"/>
        </w:rPr>
        <w:t xml:space="preserve">, Randomized Controlled Trial [Article]. </w:t>
      </w:r>
      <w:r>
        <w:rPr>
          <w:i/>
          <w:iCs/>
          <w:lang w:eastAsia="en-AU"/>
        </w:rPr>
        <w:t>Pain Practice</w:t>
      </w:r>
      <w:r>
        <w:rPr>
          <w:lang w:eastAsia="en-AU"/>
        </w:rPr>
        <w:t>,</w:t>
      </w:r>
      <w:r>
        <w:rPr>
          <w:i/>
          <w:iCs/>
          <w:lang w:eastAsia="en-AU"/>
        </w:rPr>
        <w:t xml:space="preserve"> 21</w:t>
      </w:r>
      <w:r>
        <w:rPr>
          <w:lang w:eastAsia="en-AU"/>
        </w:rPr>
        <w:t xml:space="preserve">(2), 171-1/doi.org/10.1111/papr.12945 </w:t>
      </w:r>
    </w:p>
    <w:p w14:paraId="6EA3C997" w14:textId="5CDBCD6B" w:rsidR="002B1D41" w:rsidRDefault="002B1D41" w:rsidP="00BE4358">
      <w:pPr>
        <w:pStyle w:val="References"/>
        <w:rPr>
          <w:lang w:eastAsia="en-AU"/>
        </w:rPr>
      </w:pPr>
      <w:r>
        <w:rPr>
          <w:lang w:eastAsia="en-AU"/>
        </w:rPr>
        <w:t xml:space="preserve">Paz-Solís, J., Thomson, S., Jain, R., et al. (2022). Exploration of High- and Low-Frequency Options for </w:t>
      </w:r>
      <w:proofErr w:type="spellStart"/>
      <w:r>
        <w:rPr>
          <w:lang w:eastAsia="en-AU"/>
        </w:rPr>
        <w:t>Subperception</w:t>
      </w:r>
      <w:proofErr w:type="spellEnd"/>
      <w:r>
        <w:rPr>
          <w:lang w:eastAsia="en-AU"/>
        </w:rPr>
        <w:t xml:space="preserve"> Spinal Cord Stimulation Using Neural Dosing Parameter Relationships: The HALO Study [Article]. </w:t>
      </w:r>
      <w:r>
        <w:rPr>
          <w:i/>
          <w:iCs/>
          <w:lang w:eastAsia="en-AU"/>
        </w:rPr>
        <w:t>Neuromodulation</w:t>
      </w:r>
      <w:r>
        <w:rPr>
          <w:lang w:eastAsia="en-AU"/>
        </w:rPr>
        <w:t>,</w:t>
      </w:r>
      <w:r>
        <w:rPr>
          <w:i/>
          <w:iCs/>
          <w:lang w:eastAsia="en-AU"/>
        </w:rPr>
        <w:t xml:space="preserve"> 25</w:t>
      </w:r>
      <w:r>
        <w:rPr>
          <w:lang w:eastAsia="en-AU"/>
        </w:rPr>
        <w:t xml:space="preserve">(1), 94-1/doi.org/10.1111/ner.13390 </w:t>
      </w:r>
    </w:p>
    <w:p w14:paraId="1C79853E" w14:textId="3319E3E8" w:rsidR="002B1D41" w:rsidRDefault="002B1D41" w:rsidP="00BE4358">
      <w:pPr>
        <w:pStyle w:val="References"/>
        <w:rPr>
          <w:lang w:eastAsia="en-AU"/>
        </w:rPr>
      </w:pPr>
      <w:proofErr w:type="spellStart"/>
      <w:r>
        <w:rPr>
          <w:lang w:eastAsia="en-AU"/>
        </w:rPr>
        <w:t>Perruchoud</w:t>
      </w:r>
      <w:proofErr w:type="spellEnd"/>
      <w:r>
        <w:rPr>
          <w:lang w:eastAsia="en-AU"/>
        </w:rPr>
        <w:t xml:space="preserve">, C., </w:t>
      </w:r>
      <w:proofErr w:type="spellStart"/>
      <w:r>
        <w:rPr>
          <w:lang w:eastAsia="en-AU"/>
        </w:rPr>
        <w:t>Eldabe</w:t>
      </w:r>
      <w:proofErr w:type="spellEnd"/>
      <w:r>
        <w:rPr>
          <w:lang w:eastAsia="en-AU"/>
        </w:rPr>
        <w:t xml:space="preserve">, S., </w:t>
      </w:r>
      <w:proofErr w:type="spellStart"/>
      <w:r>
        <w:rPr>
          <w:lang w:eastAsia="en-AU"/>
        </w:rPr>
        <w:t>Batterham</w:t>
      </w:r>
      <w:proofErr w:type="spellEnd"/>
      <w:r>
        <w:rPr>
          <w:lang w:eastAsia="en-AU"/>
        </w:rPr>
        <w:t xml:space="preserve">, A. M., et al. (2013). Analgesic efficacy of high-frequency spinal cord stimulation: A randomized double-blind placebo-controlled study [Article]. </w:t>
      </w:r>
      <w:r>
        <w:rPr>
          <w:i/>
          <w:iCs/>
          <w:lang w:eastAsia="en-AU"/>
        </w:rPr>
        <w:t>Neuromodulation</w:t>
      </w:r>
      <w:r>
        <w:rPr>
          <w:lang w:eastAsia="en-AU"/>
        </w:rPr>
        <w:t>,</w:t>
      </w:r>
      <w:r>
        <w:rPr>
          <w:i/>
          <w:iCs/>
          <w:lang w:eastAsia="en-AU"/>
        </w:rPr>
        <w:t xml:space="preserve"> 16</w:t>
      </w:r>
      <w:r>
        <w:rPr>
          <w:lang w:eastAsia="en-AU"/>
        </w:rPr>
        <w:t xml:space="preserve">(4), 363-3/doi.org/10.1111/ner.12027 </w:t>
      </w:r>
    </w:p>
    <w:p w14:paraId="7CF957D6" w14:textId="2D677D12" w:rsidR="002B1D41" w:rsidRDefault="002B1D41" w:rsidP="00BE4358">
      <w:pPr>
        <w:pStyle w:val="References"/>
        <w:rPr>
          <w:lang w:eastAsia="en-AU"/>
        </w:rPr>
      </w:pPr>
      <w:r>
        <w:rPr>
          <w:lang w:eastAsia="en-AU"/>
        </w:rPr>
        <w:t xml:space="preserve">Persad, A. R., Ahmed, S. U., Mercure-Cyr, R., et al. (2022). Use of Antibacterial Envelopes for Prevention of Infection in Neuromodulation Implantable Pulse Generators [Conference Abstract]. </w:t>
      </w:r>
      <w:r>
        <w:rPr>
          <w:i/>
          <w:iCs/>
          <w:lang w:eastAsia="en-AU"/>
        </w:rPr>
        <w:t>Neuromodulation</w:t>
      </w:r>
      <w:r>
        <w:rPr>
          <w:lang w:eastAsia="en-AU"/>
        </w:rPr>
        <w:t>,</w:t>
      </w:r>
      <w:r>
        <w:rPr>
          <w:i/>
          <w:iCs/>
          <w:lang w:eastAsia="en-AU"/>
        </w:rPr>
        <w:t xml:space="preserve"> 25</w:t>
      </w:r>
      <w:r>
        <w:rPr>
          <w:lang w:eastAsia="en-AU"/>
        </w:rPr>
        <w:t xml:space="preserve">(6), S/doi.org/10.1016/j.neurom.2022.04.023 </w:t>
      </w:r>
    </w:p>
    <w:p w14:paraId="04ABB56A" w14:textId="3CA14C5E" w:rsidR="002B1D41" w:rsidRDefault="002B1D41" w:rsidP="00BE4358">
      <w:pPr>
        <w:pStyle w:val="References"/>
        <w:rPr>
          <w:lang w:eastAsia="en-AU"/>
        </w:rPr>
      </w:pPr>
      <w:r>
        <w:rPr>
          <w:lang w:eastAsia="en-AU"/>
        </w:rPr>
        <w:t xml:space="preserve">Petersen, E. (2020). Neuromodulation for treatment of painful diabetic neuropathy: A multicentre randomised controlled trial [Conference Abstract]. </w:t>
      </w:r>
      <w:proofErr w:type="spellStart"/>
      <w:r>
        <w:rPr>
          <w:i/>
          <w:iCs/>
          <w:lang w:eastAsia="en-AU"/>
        </w:rPr>
        <w:t>Diabetologia</w:t>
      </w:r>
      <w:proofErr w:type="spellEnd"/>
      <w:r>
        <w:rPr>
          <w:lang w:eastAsia="en-AU"/>
        </w:rPr>
        <w:t>,</w:t>
      </w:r>
      <w:r>
        <w:rPr>
          <w:i/>
          <w:iCs/>
          <w:lang w:eastAsia="en-AU"/>
        </w:rPr>
        <w:t xml:space="preserve"> 63</w:t>
      </w:r>
      <w:r>
        <w:rPr>
          <w:lang w:eastAsia="en-AU"/>
        </w:rPr>
        <w:t xml:space="preserve">(SUPPL 1), S/doi.org/10.1007/s00125-020-05221-5 </w:t>
      </w:r>
    </w:p>
    <w:p w14:paraId="117841ED" w14:textId="1F06E95C" w:rsidR="00BE4358" w:rsidRDefault="00BE4358" w:rsidP="00BE4358">
      <w:pPr>
        <w:pStyle w:val="References"/>
        <w:rPr>
          <w:lang w:eastAsia="en-AU"/>
        </w:rPr>
      </w:pPr>
      <w:r>
        <w:rPr>
          <w:lang w:eastAsia="en-AU"/>
        </w:rPr>
        <w:t xml:space="preserve">Petersen, E. A., </w:t>
      </w:r>
      <w:proofErr w:type="spellStart"/>
      <w:r>
        <w:rPr>
          <w:lang w:eastAsia="en-AU"/>
        </w:rPr>
        <w:t>Stauss</w:t>
      </w:r>
      <w:proofErr w:type="spellEnd"/>
      <w:r>
        <w:rPr>
          <w:lang w:eastAsia="en-AU"/>
        </w:rPr>
        <w:t xml:space="preserve">, T. G., Scowcroft, J. A., et al. (2021). Effect of High-frequency (10-kHz) Spinal Cord Stimulation in Patients With Painful Diabetic Neuropathy: A Randomized Clinical Trial. </w:t>
      </w:r>
      <w:r>
        <w:rPr>
          <w:i/>
          <w:iCs/>
          <w:lang w:eastAsia="en-AU"/>
        </w:rPr>
        <w:t>JAMA Neurol</w:t>
      </w:r>
      <w:r>
        <w:rPr>
          <w:lang w:eastAsia="en-AU"/>
        </w:rPr>
        <w:t>,</w:t>
      </w:r>
      <w:r>
        <w:rPr>
          <w:i/>
          <w:iCs/>
          <w:lang w:eastAsia="en-AU"/>
        </w:rPr>
        <w:t xml:space="preserve"> 78</w:t>
      </w:r>
      <w:r>
        <w:rPr>
          <w:lang w:eastAsia="en-AU"/>
        </w:rPr>
        <w:t xml:space="preserve">(6), 687-6/doi.org/10.1001/jamaneurol.2021.0538 </w:t>
      </w:r>
    </w:p>
    <w:p w14:paraId="4D85E355" w14:textId="04C67AF7" w:rsidR="00BE4358" w:rsidRDefault="00BE4358" w:rsidP="00BE4358">
      <w:pPr>
        <w:pStyle w:val="References"/>
        <w:rPr>
          <w:lang w:eastAsia="en-AU"/>
        </w:rPr>
      </w:pPr>
      <w:r>
        <w:rPr>
          <w:lang w:eastAsia="en-AU"/>
        </w:rPr>
        <w:t xml:space="preserve">Petersen, E. A., </w:t>
      </w:r>
      <w:proofErr w:type="spellStart"/>
      <w:r>
        <w:rPr>
          <w:lang w:eastAsia="en-AU"/>
        </w:rPr>
        <w:t>Stauss</w:t>
      </w:r>
      <w:proofErr w:type="spellEnd"/>
      <w:r>
        <w:rPr>
          <w:lang w:eastAsia="en-AU"/>
        </w:rPr>
        <w:t xml:space="preserve">, T. G., Scowcroft, J. A., et al. (2022). Durability of High-Frequency 10-kHz Spinal Cord Stimulation for Patients With Painful Diabetic Neuropathy Refractory to Conventional Treatments: 12-Month Results From a Randomized Controlled Trial [Note]. </w:t>
      </w:r>
      <w:r>
        <w:rPr>
          <w:i/>
          <w:iCs/>
          <w:lang w:eastAsia="en-AU"/>
        </w:rPr>
        <w:t>Diabetes Care</w:t>
      </w:r>
      <w:r>
        <w:rPr>
          <w:lang w:eastAsia="en-AU"/>
        </w:rPr>
        <w:t>,</w:t>
      </w:r>
      <w:r>
        <w:rPr>
          <w:i/>
          <w:iCs/>
          <w:lang w:eastAsia="en-AU"/>
        </w:rPr>
        <w:t xml:space="preserve"> 45</w:t>
      </w:r>
      <w:r>
        <w:rPr>
          <w:lang w:eastAsia="en-AU"/>
        </w:rPr>
        <w:t xml:space="preserve">(1), e3-/doi.org/10.2337/dc21-1813 </w:t>
      </w:r>
    </w:p>
    <w:p w14:paraId="246F2399" w14:textId="020C4ED9" w:rsidR="00BE4358" w:rsidRDefault="00BE4358" w:rsidP="00BE4358">
      <w:pPr>
        <w:pStyle w:val="References"/>
        <w:rPr>
          <w:lang w:eastAsia="en-AU"/>
        </w:rPr>
      </w:pPr>
      <w:r>
        <w:rPr>
          <w:lang w:eastAsia="en-AU"/>
        </w:rPr>
        <w:t xml:space="preserve">Petersen, E. A., </w:t>
      </w:r>
      <w:proofErr w:type="spellStart"/>
      <w:r>
        <w:rPr>
          <w:lang w:eastAsia="en-AU"/>
        </w:rPr>
        <w:t>Stauss</w:t>
      </w:r>
      <w:proofErr w:type="spellEnd"/>
      <w:r>
        <w:rPr>
          <w:lang w:eastAsia="en-AU"/>
        </w:rPr>
        <w:t xml:space="preserve">, T. G., Scowcroft, J. A., et al. (2022). High-Frequency 10-kHz Spinal Cord Stimulation Improves Health-Related Quality of Life in Patients With Refractory Painful Diabetic Neuropathy: 12-Month Results From a Randomized Controlled Trial [Article]. </w:t>
      </w:r>
      <w:r>
        <w:rPr>
          <w:i/>
          <w:iCs/>
          <w:lang w:eastAsia="en-AU"/>
        </w:rPr>
        <w:t>Mayo Clinic Proceedings: Innovations, Quality and Outcomes</w:t>
      </w:r>
      <w:r>
        <w:rPr>
          <w:lang w:eastAsia="en-AU"/>
        </w:rPr>
        <w:t>,</w:t>
      </w:r>
      <w:r>
        <w:rPr>
          <w:i/>
          <w:iCs/>
          <w:lang w:eastAsia="en-AU"/>
        </w:rPr>
        <w:t xml:space="preserve"> 6</w:t>
      </w:r>
      <w:r>
        <w:rPr>
          <w:lang w:eastAsia="en-AU"/>
        </w:rPr>
        <w:t xml:space="preserve">(4), 347-3/doi.org/10.1016/j.mayocpiqo.2022.05.003 </w:t>
      </w:r>
    </w:p>
    <w:p w14:paraId="56B577C0" w14:textId="4DB6A4D6" w:rsidR="00BE4358" w:rsidRDefault="00BE4358" w:rsidP="00BE4358">
      <w:pPr>
        <w:pStyle w:val="References"/>
        <w:rPr>
          <w:lang w:eastAsia="en-AU"/>
        </w:rPr>
      </w:pPr>
      <w:r>
        <w:rPr>
          <w:lang w:eastAsia="en-AU"/>
        </w:rPr>
        <w:lastRenderedPageBreak/>
        <w:t xml:space="preserve">Petersen, E. A., </w:t>
      </w:r>
      <w:proofErr w:type="spellStart"/>
      <w:r>
        <w:rPr>
          <w:lang w:eastAsia="en-AU"/>
        </w:rPr>
        <w:t>Stauss</w:t>
      </w:r>
      <w:proofErr w:type="spellEnd"/>
      <w:r>
        <w:rPr>
          <w:lang w:eastAsia="en-AU"/>
        </w:rPr>
        <w:t xml:space="preserve">, T., Scowcroft, J., et al. (2020). 10 kHz Spinal Cord Stimulation for Treatment of Painful Diabetic Neuropathy -A </w:t>
      </w:r>
      <w:proofErr w:type="spellStart"/>
      <w:r>
        <w:rPr>
          <w:lang w:eastAsia="en-AU"/>
        </w:rPr>
        <w:t>Multicenter</w:t>
      </w:r>
      <w:proofErr w:type="spellEnd"/>
      <w:r>
        <w:rPr>
          <w:lang w:eastAsia="en-AU"/>
        </w:rPr>
        <w:t xml:space="preserve"> Randomized Controlled Trial [Conference Abstract]. </w:t>
      </w:r>
      <w:r>
        <w:rPr>
          <w:i/>
          <w:iCs/>
          <w:lang w:eastAsia="en-AU"/>
        </w:rPr>
        <w:t>Clinical Neurosurgery</w:t>
      </w:r>
      <w:r>
        <w:rPr>
          <w:lang w:eastAsia="en-AU"/>
        </w:rPr>
        <w:t>,</w:t>
      </w:r>
      <w:r>
        <w:rPr>
          <w:i/>
          <w:iCs/>
          <w:lang w:eastAsia="en-AU"/>
        </w:rPr>
        <w:t xml:space="preserve"> 67</w:t>
      </w:r>
      <w:r>
        <w:rPr>
          <w:lang w:eastAsia="en-AU"/>
        </w:rPr>
        <w:t xml:space="preserve">(SUPPL 1), 1/doi.org/10.1093/neuros/nyaa447-522 </w:t>
      </w:r>
    </w:p>
    <w:p w14:paraId="4A5B62F9" w14:textId="189E04CD" w:rsidR="002B1D41" w:rsidRDefault="002B1D41" w:rsidP="00BE4358">
      <w:pPr>
        <w:pStyle w:val="References"/>
        <w:rPr>
          <w:lang w:eastAsia="en-AU"/>
        </w:rPr>
      </w:pPr>
      <w:r>
        <w:rPr>
          <w:lang w:eastAsia="en-AU"/>
        </w:rPr>
        <w:t xml:space="preserve">Petersen, E., </w:t>
      </w:r>
      <w:proofErr w:type="spellStart"/>
      <w:r>
        <w:rPr>
          <w:lang w:eastAsia="en-AU"/>
        </w:rPr>
        <w:t>Stauss</w:t>
      </w:r>
      <w:proofErr w:type="spellEnd"/>
      <w:r>
        <w:rPr>
          <w:lang w:eastAsia="en-AU"/>
        </w:rPr>
        <w:t xml:space="preserve">, T., Scowcroft, J., et al. (2020). 10 kHz spinal cord stimulation for treatment of painful diabetic neuropathy-a </w:t>
      </w:r>
      <w:proofErr w:type="spellStart"/>
      <w:r>
        <w:rPr>
          <w:lang w:eastAsia="en-AU"/>
        </w:rPr>
        <w:t>multicenter</w:t>
      </w:r>
      <w:proofErr w:type="spellEnd"/>
      <w:r>
        <w:rPr>
          <w:lang w:eastAsia="en-AU"/>
        </w:rPr>
        <w:t xml:space="preserve"> randomized controlled trial [Conference Abstract]. </w:t>
      </w:r>
      <w:r>
        <w:rPr>
          <w:i/>
          <w:iCs/>
          <w:lang w:eastAsia="en-AU"/>
        </w:rPr>
        <w:t>Postgraduate Medicine</w:t>
      </w:r>
      <w:r>
        <w:rPr>
          <w:lang w:eastAsia="en-AU"/>
        </w:rPr>
        <w:t>,</w:t>
      </w:r>
      <w:r>
        <w:rPr>
          <w:i/>
          <w:iCs/>
          <w:lang w:eastAsia="en-AU"/>
        </w:rPr>
        <w:t xml:space="preserve"> 132</w:t>
      </w:r>
      <w:r>
        <w:rPr>
          <w:lang w:eastAsia="en-AU"/>
        </w:rPr>
        <w:t xml:space="preserve">(SUPPL 1), 17-/doi.org/10.1080/00325481.2020.1824967 </w:t>
      </w:r>
    </w:p>
    <w:p w14:paraId="2EF0BE87" w14:textId="2057C93F" w:rsidR="002B1D41" w:rsidRDefault="002B1D41" w:rsidP="00BE4358">
      <w:pPr>
        <w:pStyle w:val="References"/>
        <w:rPr>
          <w:lang w:eastAsia="en-AU"/>
        </w:rPr>
      </w:pPr>
      <w:r>
        <w:rPr>
          <w:lang w:eastAsia="en-AU"/>
        </w:rPr>
        <w:t xml:space="preserve">Petersen, E., </w:t>
      </w:r>
      <w:proofErr w:type="spellStart"/>
      <w:r>
        <w:rPr>
          <w:lang w:eastAsia="en-AU"/>
        </w:rPr>
        <w:t>Stauss</w:t>
      </w:r>
      <w:proofErr w:type="spellEnd"/>
      <w:r>
        <w:rPr>
          <w:lang w:eastAsia="en-AU"/>
        </w:rPr>
        <w:t xml:space="preserve">, T., Scowcroft, J., et al. (2020). 10 kHz spinal cord stimulation for treatment of painful diabetic neuropathy-a </w:t>
      </w:r>
      <w:proofErr w:type="spellStart"/>
      <w:r>
        <w:rPr>
          <w:lang w:eastAsia="en-AU"/>
        </w:rPr>
        <w:t>multicenter</w:t>
      </w:r>
      <w:proofErr w:type="spellEnd"/>
      <w:r>
        <w:rPr>
          <w:lang w:eastAsia="en-AU"/>
        </w:rPr>
        <w:t xml:space="preserve"> randomized controlled trial [Conference Abstract]. </w:t>
      </w:r>
      <w:r>
        <w:rPr>
          <w:i/>
          <w:iCs/>
          <w:lang w:eastAsia="en-AU"/>
        </w:rPr>
        <w:t>Neuromodulation</w:t>
      </w:r>
      <w:r>
        <w:rPr>
          <w:lang w:eastAsia="en-AU"/>
        </w:rPr>
        <w:t>,</w:t>
      </w:r>
      <w:r>
        <w:rPr>
          <w:i/>
          <w:iCs/>
          <w:lang w:eastAsia="en-AU"/>
        </w:rPr>
        <w:t xml:space="preserve"> 23</w:t>
      </w:r>
      <w:r>
        <w:rPr>
          <w:lang w:eastAsia="en-AU"/>
        </w:rPr>
        <w:t xml:space="preserve">(3), e31-e/doi.org/10.1111/ner.13133 </w:t>
      </w:r>
    </w:p>
    <w:p w14:paraId="64CA133D" w14:textId="268CECCC" w:rsidR="002B1D41" w:rsidRDefault="002B1D41" w:rsidP="00BE4358">
      <w:pPr>
        <w:pStyle w:val="References"/>
        <w:rPr>
          <w:lang w:eastAsia="en-AU"/>
        </w:rPr>
      </w:pPr>
      <w:r>
        <w:rPr>
          <w:lang w:eastAsia="en-AU"/>
        </w:rPr>
        <w:t xml:space="preserve">Petersen, E., </w:t>
      </w:r>
      <w:proofErr w:type="spellStart"/>
      <w:r>
        <w:rPr>
          <w:lang w:eastAsia="en-AU"/>
        </w:rPr>
        <w:t>Stauss</w:t>
      </w:r>
      <w:proofErr w:type="spellEnd"/>
      <w:r>
        <w:rPr>
          <w:lang w:eastAsia="en-AU"/>
        </w:rPr>
        <w:t xml:space="preserve">, T., Scowcroft, J., et al. (2020). 10 </w:t>
      </w:r>
      <w:proofErr w:type="spellStart"/>
      <w:r>
        <w:rPr>
          <w:lang w:eastAsia="en-AU"/>
        </w:rPr>
        <w:t>khz</w:t>
      </w:r>
      <w:proofErr w:type="spellEnd"/>
      <w:r>
        <w:rPr>
          <w:lang w:eastAsia="en-AU"/>
        </w:rPr>
        <w:t xml:space="preserve"> spinal cord stimulation for treatment of painful diabetic neuropathy-a </w:t>
      </w:r>
      <w:proofErr w:type="spellStart"/>
      <w:r>
        <w:rPr>
          <w:lang w:eastAsia="en-AU"/>
        </w:rPr>
        <w:t>multicenter</w:t>
      </w:r>
      <w:proofErr w:type="spellEnd"/>
      <w:r>
        <w:rPr>
          <w:lang w:eastAsia="en-AU"/>
        </w:rPr>
        <w:t xml:space="preserve"> randomized controlled trial [Conference Abstract]. </w:t>
      </w:r>
      <w:r>
        <w:rPr>
          <w:i/>
          <w:iCs/>
          <w:lang w:eastAsia="en-AU"/>
        </w:rPr>
        <w:t>Pain Practice</w:t>
      </w:r>
      <w:r>
        <w:rPr>
          <w:lang w:eastAsia="en-AU"/>
        </w:rPr>
        <w:t>,</w:t>
      </w:r>
      <w:r>
        <w:rPr>
          <w:i/>
          <w:iCs/>
          <w:lang w:eastAsia="en-AU"/>
        </w:rPr>
        <w:t xml:space="preserve"> 20</w:t>
      </w:r>
      <w:r>
        <w:rPr>
          <w:lang w:eastAsia="en-AU"/>
        </w:rPr>
        <w:t xml:space="preserve">(SUPPL 1), /doi.org/10.1111/papr.12886 </w:t>
      </w:r>
    </w:p>
    <w:p w14:paraId="3750EEF7" w14:textId="6B8532B5" w:rsidR="002B1D41" w:rsidRDefault="002B1D41" w:rsidP="00BE4358">
      <w:pPr>
        <w:pStyle w:val="References"/>
        <w:rPr>
          <w:lang w:eastAsia="en-AU"/>
        </w:rPr>
      </w:pPr>
      <w:r>
        <w:rPr>
          <w:lang w:eastAsia="en-AU"/>
        </w:rPr>
        <w:t xml:space="preserve">Petersen, E., </w:t>
      </w:r>
      <w:proofErr w:type="spellStart"/>
      <w:r>
        <w:rPr>
          <w:lang w:eastAsia="en-AU"/>
        </w:rPr>
        <w:t>Stauss</w:t>
      </w:r>
      <w:proofErr w:type="spellEnd"/>
      <w:r>
        <w:rPr>
          <w:lang w:eastAsia="en-AU"/>
        </w:rPr>
        <w:t xml:space="preserve">, T., Scowcroft, J., et al. (2020). </w:t>
      </w:r>
      <w:r w:rsidR="00BE4358">
        <w:rPr>
          <w:lang w:eastAsia="en-AU"/>
        </w:rPr>
        <w:t xml:space="preserve">10 kHz spinal cord stimulation </w:t>
      </w:r>
      <w:r>
        <w:rPr>
          <w:lang w:eastAsia="en-AU"/>
        </w:rPr>
        <w:t>for treatment of painful diabetic neuropathy</w:t>
      </w:r>
      <w:r w:rsidR="00BE4358">
        <w:rPr>
          <w:lang w:eastAsia="en-AU"/>
        </w:rPr>
        <w:t>:</w:t>
      </w:r>
      <w:r>
        <w:rPr>
          <w:lang w:eastAsia="en-AU"/>
        </w:rPr>
        <w:t xml:space="preserve"> A </w:t>
      </w:r>
      <w:proofErr w:type="spellStart"/>
      <w:r>
        <w:rPr>
          <w:lang w:eastAsia="en-AU"/>
        </w:rPr>
        <w:t>multicenter</w:t>
      </w:r>
      <w:proofErr w:type="spellEnd"/>
      <w:r>
        <w:rPr>
          <w:lang w:eastAsia="en-AU"/>
        </w:rPr>
        <w:t xml:space="preserve"> randomized controlled trial [Conference Abstract]. </w:t>
      </w:r>
      <w:r w:rsidR="00BE4358">
        <w:rPr>
          <w:i/>
          <w:iCs/>
          <w:lang w:eastAsia="en-AU"/>
        </w:rPr>
        <w:t>Journal of the Peripheral Nervous System</w:t>
      </w:r>
      <w:r w:rsidR="00BE4358">
        <w:rPr>
          <w:lang w:eastAsia="en-AU"/>
        </w:rPr>
        <w:t>,</w:t>
      </w:r>
      <w:r w:rsidR="00BE4358">
        <w:rPr>
          <w:i/>
          <w:iCs/>
          <w:lang w:eastAsia="en-AU"/>
        </w:rPr>
        <w:t xml:space="preserve"> 25</w:t>
      </w:r>
      <w:r w:rsidR="00BE4358">
        <w:rPr>
          <w:lang w:eastAsia="en-AU"/>
        </w:rPr>
        <w:t xml:space="preserve">(4), 5/doi.org/10.1111/jns.12416 </w:t>
      </w:r>
    </w:p>
    <w:p w14:paraId="1A1417DB" w14:textId="7EDF2B3A" w:rsidR="002B1D41" w:rsidRDefault="002B1D41" w:rsidP="00BE4358">
      <w:pPr>
        <w:pStyle w:val="References"/>
        <w:rPr>
          <w:lang w:eastAsia="en-AU"/>
        </w:rPr>
      </w:pPr>
      <w:r>
        <w:rPr>
          <w:lang w:eastAsia="en-AU"/>
        </w:rPr>
        <w:t xml:space="preserve">Petersen, E., </w:t>
      </w:r>
      <w:proofErr w:type="spellStart"/>
      <w:r>
        <w:rPr>
          <w:lang w:eastAsia="en-AU"/>
        </w:rPr>
        <w:t>Stauss</w:t>
      </w:r>
      <w:proofErr w:type="spellEnd"/>
      <w:r>
        <w:rPr>
          <w:lang w:eastAsia="en-AU"/>
        </w:rPr>
        <w:t xml:space="preserve">, T., Scowcroft, J., et al. (2020). </w:t>
      </w:r>
      <w:r w:rsidR="00BE4358">
        <w:rPr>
          <w:lang w:eastAsia="en-AU"/>
        </w:rPr>
        <w:t xml:space="preserve">Neuromodulation </w:t>
      </w:r>
      <w:r>
        <w:rPr>
          <w:lang w:eastAsia="en-AU"/>
        </w:rPr>
        <w:t>for treatment of painful diabetic neuropathy</w:t>
      </w:r>
      <w:r w:rsidR="00BE4358">
        <w:rPr>
          <w:lang w:eastAsia="en-AU"/>
        </w:rPr>
        <w:t xml:space="preserve"> -</w:t>
      </w:r>
      <w:r>
        <w:rPr>
          <w:lang w:eastAsia="en-AU"/>
        </w:rPr>
        <w:t xml:space="preserve"> A </w:t>
      </w:r>
      <w:proofErr w:type="spellStart"/>
      <w:r>
        <w:rPr>
          <w:lang w:eastAsia="en-AU"/>
        </w:rPr>
        <w:t>multicenter</w:t>
      </w:r>
      <w:proofErr w:type="spellEnd"/>
      <w:r>
        <w:rPr>
          <w:lang w:eastAsia="en-AU"/>
        </w:rPr>
        <w:t xml:space="preserve"> randomized controlled trial </w:t>
      </w:r>
      <w:r w:rsidR="00BE4358">
        <w:rPr>
          <w:lang w:eastAsia="en-AU"/>
        </w:rPr>
        <w:t xml:space="preserve">comparing 10 </w:t>
      </w:r>
      <w:proofErr w:type="spellStart"/>
      <w:r w:rsidR="00BE4358">
        <w:rPr>
          <w:lang w:eastAsia="en-AU"/>
        </w:rPr>
        <w:t>khz</w:t>
      </w:r>
      <w:proofErr w:type="spellEnd"/>
      <w:r w:rsidR="00BE4358">
        <w:rPr>
          <w:lang w:eastAsia="en-AU"/>
        </w:rPr>
        <w:t xml:space="preserve"> spinal cord stimulation to conventional medical management </w:t>
      </w:r>
      <w:r>
        <w:rPr>
          <w:lang w:eastAsia="en-AU"/>
        </w:rPr>
        <w:t xml:space="preserve">[Conference Abstract]. </w:t>
      </w:r>
      <w:r w:rsidR="00BE4358">
        <w:rPr>
          <w:i/>
          <w:iCs/>
          <w:lang w:eastAsia="en-AU"/>
        </w:rPr>
        <w:t>Endocrine Practice</w:t>
      </w:r>
      <w:r w:rsidR="00BE4358">
        <w:rPr>
          <w:lang w:eastAsia="en-AU"/>
        </w:rPr>
        <w:t>,</w:t>
      </w:r>
      <w:r w:rsidR="00BE4358">
        <w:rPr>
          <w:i/>
          <w:iCs/>
          <w:lang w:eastAsia="en-AU"/>
        </w:rPr>
        <w:t xml:space="preserve"> 26</w:t>
      </w:r>
      <w:r w:rsidR="00BE4358">
        <w:rPr>
          <w:lang w:eastAsia="en-AU"/>
        </w:rPr>
        <w:t>(SUPPL 2), 1591</w:t>
      </w:r>
      <w:r>
        <w:rPr>
          <w:lang w:eastAsia="en-AU"/>
        </w:rPr>
        <w:t xml:space="preserve"> </w:t>
      </w:r>
    </w:p>
    <w:p w14:paraId="379139CA" w14:textId="4BE5F685" w:rsidR="002B1D41" w:rsidRDefault="002B1D41" w:rsidP="00BE4358">
      <w:pPr>
        <w:pStyle w:val="References"/>
        <w:rPr>
          <w:lang w:eastAsia="en-AU"/>
        </w:rPr>
      </w:pPr>
      <w:r>
        <w:rPr>
          <w:lang w:eastAsia="en-AU"/>
        </w:rPr>
        <w:t xml:space="preserve">Petersen, E., </w:t>
      </w:r>
      <w:proofErr w:type="spellStart"/>
      <w:r>
        <w:rPr>
          <w:lang w:eastAsia="en-AU"/>
        </w:rPr>
        <w:t>Stauss</w:t>
      </w:r>
      <w:proofErr w:type="spellEnd"/>
      <w:r>
        <w:rPr>
          <w:lang w:eastAsia="en-AU"/>
        </w:rPr>
        <w:t xml:space="preserve">, T., White, J. L., et al. (2020). Neuromodulation for treatment of painful diabetic neuropathy: A </w:t>
      </w:r>
      <w:proofErr w:type="spellStart"/>
      <w:r>
        <w:rPr>
          <w:lang w:eastAsia="en-AU"/>
        </w:rPr>
        <w:t>multicenter</w:t>
      </w:r>
      <w:proofErr w:type="spellEnd"/>
      <w:r>
        <w:rPr>
          <w:lang w:eastAsia="en-AU"/>
        </w:rPr>
        <w:t xml:space="preserve"> randomized controlled trial [Conference Abstract]. </w:t>
      </w:r>
      <w:r>
        <w:rPr>
          <w:i/>
          <w:lang w:eastAsia="en-AU"/>
        </w:rPr>
        <w:t>Diabetes</w:t>
      </w:r>
      <w:r>
        <w:rPr>
          <w:lang w:eastAsia="en-AU"/>
        </w:rPr>
        <w:t>,</w:t>
      </w:r>
      <w:r>
        <w:rPr>
          <w:i/>
          <w:lang w:eastAsia="en-AU"/>
        </w:rPr>
        <w:t xml:space="preserve"> </w:t>
      </w:r>
      <w:r>
        <w:rPr>
          <w:lang w:eastAsia="en-AU"/>
        </w:rPr>
        <w:t xml:space="preserve">/doi.org/10.2337/db20-31-LB </w:t>
      </w:r>
    </w:p>
    <w:p w14:paraId="5962CD2D" w14:textId="37EF0B7C" w:rsidR="002B1D41" w:rsidRDefault="002B1D41" w:rsidP="00BE4358">
      <w:pPr>
        <w:pStyle w:val="References"/>
        <w:rPr>
          <w:lang w:eastAsia="en-AU"/>
        </w:rPr>
      </w:pPr>
      <w:proofErr w:type="spellStart"/>
      <w:r>
        <w:rPr>
          <w:lang w:eastAsia="en-AU"/>
        </w:rPr>
        <w:t>Pilitsis</w:t>
      </w:r>
      <w:proofErr w:type="spellEnd"/>
      <w:r>
        <w:rPr>
          <w:lang w:eastAsia="en-AU"/>
        </w:rPr>
        <w:t xml:space="preserve">, J. G., Chakravarthy, K. V., Will, A. J., et al. (2021). The Evoked Compound Action Potential as a Predictor for Perception in Chronic Pain Patients: Tools for Automatic Spinal Cord Stimulator Programming and Control [Article]. </w:t>
      </w:r>
      <w:r>
        <w:rPr>
          <w:i/>
          <w:iCs/>
          <w:lang w:eastAsia="en-AU"/>
        </w:rPr>
        <w:t>Frontiers in Neuroscience</w:t>
      </w:r>
      <w:r>
        <w:rPr>
          <w:lang w:eastAsia="en-AU"/>
        </w:rPr>
        <w:t>,</w:t>
      </w:r>
      <w:r>
        <w:rPr>
          <w:i/>
          <w:iCs/>
          <w:lang w:eastAsia="en-AU"/>
        </w:rPr>
        <w:t xml:space="preserve"> </w:t>
      </w:r>
      <w:r>
        <w:rPr>
          <w:lang w:eastAsia="en-AU"/>
        </w:rPr>
        <w:t xml:space="preserve">/doi.org/10.3389/fnins.2021.673998 </w:t>
      </w:r>
    </w:p>
    <w:p w14:paraId="3E662C89" w14:textId="2E99BBFB" w:rsidR="002B1D41" w:rsidRDefault="002B1D41" w:rsidP="00BE4358">
      <w:pPr>
        <w:pStyle w:val="References"/>
        <w:rPr>
          <w:lang w:eastAsia="en-AU"/>
        </w:rPr>
      </w:pPr>
      <w:r>
        <w:rPr>
          <w:lang w:eastAsia="en-AU"/>
        </w:rPr>
        <w:t xml:space="preserve">Pollard, E. M., Lamer, T. J., </w:t>
      </w:r>
      <w:proofErr w:type="spellStart"/>
      <w:r>
        <w:rPr>
          <w:lang w:eastAsia="en-AU"/>
        </w:rPr>
        <w:t>Moeschler</w:t>
      </w:r>
      <w:proofErr w:type="spellEnd"/>
      <w:r>
        <w:rPr>
          <w:lang w:eastAsia="en-AU"/>
        </w:rPr>
        <w:t xml:space="preserve">, S. M., et al. (2019). The effect of spinal cord stimulation on pain medication reduction in intractable spine and limb pain: A systematic review of randomized controlled trials and meta-analysis [Article]. </w:t>
      </w:r>
      <w:r>
        <w:rPr>
          <w:i/>
          <w:iCs/>
          <w:lang w:eastAsia="en-AU"/>
        </w:rPr>
        <w:t>Journal of Pain Research</w:t>
      </w:r>
      <w:r>
        <w:rPr>
          <w:lang w:eastAsia="en-AU"/>
        </w:rPr>
        <w:t>,</w:t>
      </w:r>
      <w:r>
        <w:rPr>
          <w:i/>
          <w:iCs/>
          <w:lang w:eastAsia="en-AU"/>
        </w:rPr>
        <w:t xml:space="preserve"> 12</w:t>
      </w:r>
      <w:r>
        <w:rPr>
          <w:lang w:eastAsia="en-AU"/>
        </w:rPr>
        <w:t xml:space="preserve">, 1311-13/doi.org/10.2147/JPR.S186662 </w:t>
      </w:r>
    </w:p>
    <w:p w14:paraId="70C760E7" w14:textId="7C196D48" w:rsidR="002B1D41" w:rsidRDefault="002B1D41" w:rsidP="00BE4358">
      <w:pPr>
        <w:pStyle w:val="References"/>
        <w:rPr>
          <w:lang w:eastAsia="en-AU"/>
        </w:rPr>
      </w:pPr>
      <w:r>
        <w:rPr>
          <w:lang w:eastAsia="en-AU"/>
        </w:rPr>
        <w:t xml:space="preserve">Pope, J. E., </w:t>
      </w:r>
      <w:proofErr w:type="spellStart"/>
      <w:r>
        <w:rPr>
          <w:lang w:eastAsia="en-AU"/>
        </w:rPr>
        <w:t>Schu</w:t>
      </w:r>
      <w:proofErr w:type="spellEnd"/>
      <w:r>
        <w:rPr>
          <w:lang w:eastAsia="en-AU"/>
        </w:rPr>
        <w:t xml:space="preserve">, S., Sayed, D., et al. (2020). Anatomic Lead Placement Without </w:t>
      </w:r>
      <w:proofErr w:type="spellStart"/>
      <w:r>
        <w:rPr>
          <w:lang w:eastAsia="en-AU"/>
        </w:rPr>
        <w:t>Paresthesia</w:t>
      </w:r>
      <w:proofErr w:type="spellEnd"/>
      <w:r>
        <w:rPr>
          <w:lang w:eastAsia="en-AU"/>
        </w:rPr>
        <w:t xml:space="preserve"> Mapping Provides Effective and Predictable Therapy During the Trial Evaluation Period: Results From the Prospective, </w:t>
      </w:r>
      <w:proofErr w:type="spellStart"/>
      <w:r>
        <w:rPr>
          <w:lang w:eastAsia="en-AU"/>
        </w:rPr>
        <w:t>Multicenter</w:t>
      </w:r>
      <w:proofErr w:type="spellEnd"/>
      <w:r>
        <w:rPr>
          <w:lang w:eastAsia="en-AU"/>
        </w:rPr>
        <w:t xml:space="preserve">, Randomized, DELIVERY Study [Article]. </w:t>
      </w:r>
      <w:r>
        <w:rPr>
          <w:i/>
          <w:iCs/>
          <w:lang w:eastAsia="en-AU"/>
        </w:rPr>
        <w:t>Neuromodulation</w:t>
      </w:r>
      <w:r>
        <w:rPr>
          <w:lang w:eastAsia="en-AU"/>
        </w:rPr>
        <w:t>,</w:t>
      </w:r>
      <w:r>
        <w:rPr>
          <w:i/>
          <w:iCs/>
          <w:lang w:eastAsia="en-AU"/>
        </w:rPr>
        <w:t xml:space="preserve"> 23</w:t>
      </w:r>
      <w:r>
        <w:rPr>
          <w:lang w:eastAsia="en-AU"/>
        </w:rPr>
        <w:t xml:space="preserve">(1), 109-1/doi.org/10.1111/ner.13019 </w:t>
      </w:r>
    </w:p>
    <w:p w14:paraId="2BDD75A8" w14:textId="0A9B1C41" w:rsidR="002B1D41" w:rsidRDefault="002B1D41" w:rsidP="00BE4358">
      <w:pPr>
        <w:pStyle w:val="References"/>
        <w:rPr>
          <w:lang w:eastAsia="en-AU"/>
        </w:rPr>
      </w:pPr>
      <w:r>
        <w:rPr>
          <w:lang w:eastAsia="en-AU"/>
        </w:rPr>
        <w:t>Province-</w:t>
      </w:r>
      <w:proofErr w:type="spellStart"/>
      <w:r>
        <w:rPr>
          <w:lang w:eastAsia="en-AU"/>
        </w:rPr>
        <w:t>Azalde</w:t>
      </w:r>
      <w:proofErr w:type="spellEnd"/>
      <w:r>
        <w:rPr>
          <w:lang w:eastAsia="en-AU"/>
        </w:rPr>
        <w:t xml:space="preserve">, R., Patel, N. P., Wu, C., et al. (2019). Taking spinal cord stimulation beyond failed back surgery syndrome: Design of a </w:t>
      </w:r>
      <w:proofErr w:type="spellStart"/>
      <w:r>
        <w:rPr>
          <w:lang w:eastAsia="en-AU"/>
        </w:rPr>
        <w:t>multicenter</w:t>
      </w:r>
      <w:proofErr w:type="spellEnd"/>
      <w:r>
        <w:rPr>
          <w:lang w:eastAsia="en-AU"/>
        </w:rPr>
        <w:t xml:space="preserve"> RCT [Conference Abstract]. </w:t>
      </w:r>
      <w:r>
        <w:rPr>
          <w:i/>
          <w:iCs/>
          <w:lang w:eastAsia="en-AU"/>
        </w:rPr>
        <w:t>Neuromodulation</w:t>
      </w:r>
      <w:r>
        <w:rPr>
          <w:lang w:eastAsia="en-AU"/>
        </w:rPr>
        <w:t>,</w:t>
      </w:r>
      <w:r>
        <w:rPr>
          <w:i/>
          <w:iCs/>
          <w:lang w:eastAsia="en-AU"/>
        </w:rPr>
        <w:t xml:space="preserve"> 22</w:t>
      </w:r>
      <w:r>
        <w:rPr>
          <w:lang w:eastAsia="en-AU"/>
        </w:rPr>
        <w:t xml:space="preserve">(3), E2/doi.org/10.1111/ner.12950 </w:t>
      </w:r>
    </w:p>
    <w:p w14:paraId="69F76BB2" w14:textId="391DD0A2" w:rsidR="002B1D41" w:rsidRDefault="002B1D41" w:rsidP="00BE4358">
      <w:pPr>
        <w:pStyle w:val="References"/>
        <w:rPr>
          <w:lang w:eastAsia="en-AU"/>
        </w:rPr>
      </w:pPr>
      <w:r>
        <w:rPr>
          <w:lang w:eastAsia="en-AU"/>
        </w:rPr>
        <w:t xml:space="preserve">Quigley, D. G., Arnold, J., Eldridge, P. R., et al. (2003). Long-Term Outcome of Spinal Cord Stimulation and Hardware Complications [Conference Paper]. </w:t>
      </w:r>
      <w:r>
        <w:rPr>
          <w:i/>
          <w:iCs/>
          <w:lang w:eastAsia="en-AU"/>
        </w:rPr>
        <w:t>Stereotactic and Functional Neurosurgery</w:t>
      </w:r>
      <w:r>
        <w:rPr>
          <w:lang w:eastAsia="en-AU"/>
        </w:rPr>
        <w:t>,</w:t>
      </w:r>
      <w:r>
        <w:rPr>
          <w:i/>
          <w:iCs/>
          <w:lang w:eastAsia="en-AU"/>
        </w:rPr>
        <w:t xml:space="preserve"> 81</w:t>
      </w:r>
      <w:r>
        <w:rPr>
          <w:lang w:eastAsia="en-AU"/>
        </w:rPr>
        <w:t xml:space="preserve">(1-4), 50-/doi.org/10.1159/000075104 </w:t>
      </w:r>
    </w:p>
    <w:p w14:paraId="53EB784F" w14:textId="7A650518" w:rsidR="002B1D41" w:rsidRDefault="002B1D41" w:rsidP="00BE4358">
      <w:pPr>
        <w:pStyle w:val="References"/>
        <w:rPr>
          <w:lang w:eastAsia="en-AU"/>
        </w:rPr>
      </w:pPr>
      <w:r>
        <w:rPr>
          <w:lang w:eastAsia="en-AU"/>
        </w:rPr>
        <w:t xml:space="preserve">Rajkumar, S., Venkatraman, V., </w:t>
      </w:r>
      <w:proofErr w:type="spellStart"/>
      <w:r>
        <w:rPr>
          <w:lang w:eastAsia="en-AU"/>
        </w:rPr>
        <w:t>Zidanyue</w:t>
      </w:r>
      <w:proofErr w:type="spellEnd"/>
      <w:r>
        <w:rPr>
          <w:lang w:eastAsia="en-AU"/>
        </w:rPr>
        <w:t xml:space="preserve"> Yang, L., et al. (2022). Health Care Economics of High-Frequency Spinal Cord Stimulation for Painful Diabetic Peripheral Neuropathy [Article in Press]. </w:t>
      </w:r>
      <w:r>
        <w:rPr>
          <w:i/>
          <w:iCs/>
          <w:lang w:eastAsia="en-AU"/>
        </w:rPr>
        <w:t xml:space="preserve">Journal of Diabetes Science and </w:t>
      </w:r>
      <w:proofErr w:type="spellStart"/>
      <w:r>
        <w:rPr>
          <w:i/>
          <w:iCs/>
          <w:lang w:eastAsia="en-AU"/>
        </w:rPr>
        <w:t>Technolo</w:t>
      </w:r>
      <w:proofErr w:type="spellEnd"/>
      <w:r>
        <w:rPr>
          <w:lang w:eastAsia="en-AU"/>
        </w:rPr>
        <w:t xml:space="preserve">/doi.org/10.1177/19322968221128321 </w:t>
      </w:r>
    </w:p>
    <w:p w14:paraId="0B735714" w14:textId="427A7D41" w:rsidR="002B1D41" w:rsidRDefault="002B1D41" w:rsidP="00BE4358">
      <w:pPr>
        <w:pStyle w:val="References"/>
        <w:rPr>
          <w:lang w:eastAsia="en-AU"/>
        </w:rPr>
      </w:pPr>
      <w:r>
        <w:rPr>
          <w:lang w:eastAsia="en-AU"/>
        </w:rPr>
        <w:t xml:space="preserve">Rajkumar, S., Yang, L. Z., Venkatraman, V., et al. (2023). Health Care Resource Utilization of High-Frequency Spinal Cord Stimulation for Treatment of Chronic Refractory Low Back Pain [Article]. </w:t>
      </w:r>
      <w:r>
        <w:rPr>
          <w:i/>
          <w:iCs/>
          <w:lang w:eastAsia="en-AU"/>
        </w:rPr>
        <w:t>Neuromodulation</w:t>
      </w:r>
      <w:r>
        <w:rPr>
          <w:lang w:eastAsia="en-AU"/>
        </w:rPr>
        <w:t>,</w:t>
      </w:r>
      <w:r>
        <w:rPr>
          <w:i/>
          <w:iCs/>
          <w:lang w:eastAsia="en-AU"/>
        </w:rPr>
        <w:t xml:space="preserve"> 26</w:t>
      </w:r>
      <w:r>
        <w:rPr>
          <w:lang w:eastAsia="en-AU"/>
        </w:rPr>
        <w:t xml:space="preserve">(1), 115-1/doi.org/10.1016/j.neurom.2022.03.013 </w:t>
      </w:r>
    </w:p>
    <w:p w14:paraId="62E04EB7" w14:textId="5AD94160" w:rsidR="002B1D41" w:rsidRDefault="002B1D41" w:rsidP="00BE4358">
      <w:pPr>
        <w:pStyle w:val="References"/>
        <w:rPr>
          <w:lang w:eastAsia="en-AU"/>
        </w:rPr>
      </w:pPr>
      <w:proofErr w:type="spellStart"/>
      <w:r>
        <w:rPr>
          <w:lang w:eastAsia="en-AU"/>
        </w:rPr>
        <w:t>Rauck</w:t>
      </w:r>
      <w:proofErr w:type="spellEnd"/>
      <w:r>
        <w:rPr>
          <w:lang w:eastAsia="en-AU"/>
        </w:rPr>
        <w:t xml:space="preserve">, R. L., Loudermilk, E., Thomson, S. J., et al. (2023). Long-term safety of spinal cord stimulation systems in a prospective, global registry of patients with chronic pain [Article]. </w:t>
      </w:r>
      <w:r>
        <w:rPr>
          <w:i/>
          <w:iCs/>
          <w:lang w:eastAsia="en-AU"/>
        </w:rPr>
        <w:t>Pain Management</w:t>
      </w:r>
      <w:r>
        <w:rPr>
          <w:lang w:eastAsia="en-AU"/>
        </w:rPr>
        <w:t>,</w:t>
      </w:r>
      <w:r>
        <w:rPr>
          <w:i/>
          <w:iCs/>
          <w:lang w:eastAsia="en-AU"/>
        </w:rPr>
        <w:t xml:space="preserve"> 13</w:t>
      </w:r>
      <w:r>
        <w:rPr>
          <w:lang w:eastAsia="en-AU"/>
        </w:rPr>
        <w:t xml:space="preserve">(2), 115-1/doi.org/10.2217/pmt-2022-0091 </w:t>
      </w:r>
    </w:p>
    <w:p w14:paraId="5238A203" w14:textId="1A9937F4" w:rsidR="002B1D41" w:rsidRDefault="002B1D41" w:rsidP="00BE4358">
      <w:pPr>
        <w:pStyle w:val="References"/>
        <w:rPr>
          <w:lang w:eastAsia="en-AU"/>
        </w:rPr>
      </w:pPr>
      <w:proofErr w:type="spellStart"/>
      <w:r>
        <w:rPr>
          <w:lang w:eastAsia="en-AU"/>
        </w:rPr>
        <w:t>Rigoard</w:t>
      </w:r>
      <w:proofErr w:type="spellEnd"/>
      <w:r>
        <w:rPr>
          <w:lang w:eastAsia="en-AU"/>
        </w:rPr>
        <w:t xml:space="preserve">, P., Basu, S., Desai, M., et al. (2019). Multicolumn spinal cord stimulation for predominant back pain in failed back surgery syndrome patients: A </w:t>
      </w:r>
      <w:proofErr w:type="spellStart"/>
      <w:r>
        <w:rPr>
          <w:lang w:eastAsia="en-AU"/>
        </w:rPr>
        <w:t>multicenter</w:t>
      </w:r>
      <w:proofErr w:type="spellEnd"/>
      <w:r>
        <w:rPr>
          <w:lang w:eastAsia="en-AU"/>
        </w:rPr>
        <w:t xml:space="preserve"> randomized controlled trial [Article]. </w:t>
      </w:r>
      <w:r>
        <w:rPr>
          <w:i/>
          <w:iCs/>
          <w:lang w:eastAsia="en-AU"/>
        </w:rPr>
        <w:t>Pain</w:t>
      </w:r>
      <w:r>
        <w:rPr>
          <w:lang w:eastAsia="en-AU"/>
        </w:rPr>
        <w:t>,</w:t>
      </w:r>
      <w:r>
        <w:rPr>
          <w:i/>
          <w:iCs/>
          <w:lang w:eastAsia="en-AU"/>
        </w:rPr>
        <w:t xml:space="preserve"> 160</w:t>
      </w:r>
      <w:r>
        <w:rPr>
          <w:lang w:eastAsia="en-AU"/>
        </w:rPr>
        <w:t xml:space="preserve">(6), 1410-14/doi.org/10.1097/j.pain.0000000000001510 </w:t>
      </w:r>
    </w:p>
    <w:p w14:paraId="61AC3DA1" w14:textId="0101A9C6" w:rsidR="002B1D41" w:rsidRDefault="002B1D41" w:rsidP="00BE4358">
      <w:pPr>
        <w:pStyle w:val="References"/>
        <w:rPr>
          <w:lang w:eastAsia="en-AU"/>
        </w:rPr>
      </w:pPr>
      <w:proofErr w:type="spellStart"/>
      <w:r>
        <w:rPr>
          <w:lang w:eastAsia="en-AU"/>
        </w:rPr>
        <w:t>Rigoard</w:t>
      </w:r>
      <w:proofErr w:type="spellEnd"/>
      <w:r>
        <w:rPr>
          <w:lang w:eastAsia="en-AU"/>
        </w:rPr>
        <w:t xml:space="preserve">, P., </w:t>
      </w:r>
      <w:proofErr w:type="spellStart"/>
      <w:r>
        <w:rPr>
          <w:lang w:eastAsia="en-AU"/>
        </w:rPr>
        <w:t>Billot</w:t>
      </w:r>
      <w:proofErr w:type="spellEnd"/>
      <w:r>
        <w:rPr>
          <w:lang w:eastAsia="en-AU"/>
        </w:rPr>
        <w:t xml:space="preserve">, M., </w:t>
      </w:r>
      <w:proofErr w:type="spellStart"/>
      <w:r>
        <w:rPr>
          <w:lang w:eastAsia="en-AU"/>
        </w:rPr>
        <w:t>Ingrand</w:t>
      </w:r>
      <w:proofErr w:type="spellEnd"/>
      <w:r>
        <w:rPr>
          <w:lang w:eastAsia="en-AU"/>
        </w:rPr>
        <w:t xml:space="preserve">, P., et al. (2021). How Should we Use Multicolumn Spinal Cord Stimulation to Optimize Back Pain Spatial Neural Targeting? A Prospective, </w:t>
      </w:r>
      <w:proofErr w:type="spellStart"/>
      <w:r>
        <w:rPr>
          <w:lang w:eastAsia="en-AU"/>
        </w:rPr>
        <w:t>Multicenter</w:t>
      </w:r>
      <w:proofErr w:type="spellEnd"/>
      <w:r>
        <w:rPr>
          <w:lang w:eastAsia="en-AU"/>
        </w:rPr>
        <w:t xml:space="preserve">, Randomized, Double-Blind, Controlled Trial (ESTIMET Study) [Article]. </w:t>
      </w:r>
      <w:r>
        <w:rPr>
          <w:i/>
          <w:iCs/>
          <w:lang w:eastAsia="en-AU"/>
        </w:rPr>
        <w:t>Neuromodulation</w:t>
      </w:r>
      <w:r>
        <w:rPr>
          <w:lang w:eastAsia="en-AU"/>
        </w:rPr>
        <w:t>,</w:t>
      </w:r>
      <w:r>
        <w:rPr>
          <w:i/>
          <w:iCs/>
          <w:lang w:eastAsia="en-AU"/>
        </w:rPr>
        <w:t xml:space="preserve"> 24</w:t>
      </w:r>
      <w:r>
        <w:rPr>
          <w:lang w:eastAsia="en-AU"/>
        </w:rPr>
        <w:t xml:space="preserve">(1), 86-1/doi.org/10.1111/ner.13251 </w:t>
      </w:r>
    </w:p>
    <w:p w14:paraId="55A6289C" w14:textId="74557020" w:rsidR="002B1D41" w:rsidRDefault="002B1D41" w:rsidP="00BE4358">
      <w:pPr>
        <w:pStyle w:val="References"/>
        <w:rPr>
          <w:lang w:eastAsia="en-AU"/>
        </w:rPr>
      </w:pPr>
      <w:proofErr w:type="spellStart"/>
      <w:r>
        <w:rPr>
          <w:lang w:eastAsia="en-AU"/>
        </w:rPr>
        <w:t>Rigoard</w:t>
      </w:r>
      <w:proofErr w:type="spellEnd"/>
      <w:r>
        <w:rPr>
          <w:lang w:eastAsia="en-AU"/>
        </w:rPr>
        <w:t xml:space="preserve">, P., Desai, M. J., North, R. B., et al. (2013). Spinal cord stimulation for predominant low back pain in failed back surgery syndrome: Study protocol for an international </w:t>
      </w:r>
      <w:proofErr w:type="spellStart"/>
      <w:r>
        <w:rPr>
          <w:lang w:eastAsia="en-AU"/>
        </w:rPr>
        <w:t>multicenter</w:t>
      </w:r>
      <w:proofErr w:type="spellEnd"/>
      <w:r>
        <w:rPr>
          <w:lang w:eastAsia="en-AU"/>
        </w:rPr>
        <w:t xml:space="preserve"> randomized controlled trial (PROMISE study) [Article]. </w:t>
      </w:r>
      <w:r>
        <w:rPr>
          <w:i/>
          <w:iCs/>
          <w:lang w:eastAsia="en-AU"/>
        </w:rPr>
        <w:t>Trials</w:t>
      </w:r>
      <w:r>
        <w:rPr>
          <w:lang w:eastAsia="en-AU"/>
        </w:rPr>
        <w:t>,</w:t>
      </w:r>
      <w:r>
        <w:rPr>
          <w:i/>
          <w:iCs/>
          <w:lang w:eastAsia="en-AU"/>
        </w:rPr>
        <w:t xml:space="preserve"> 14</w:t>
      </w:r>
      <w:r>
        <w:rPr>
          <w:lang w:eastAsia="en-AU"/>
        </w:rPr>
        <w:t xml:space="preserve">(/doi.org/10.1186/1745-6215-14-376 </w:t>
      </w:r>
    </w:p>
    <w:p w14:paraId="6270DBAF" w14:textId="5F373BD0" w:rsidR="002B1D41" w:rsidRDefault="002B1D41" w:rsidP="00BE4358">
      <w:pPr>
        <w:pStyle w:val="References"/>
        <w:rPr>
          <w:lang w:eastAsia="en-AU"/>
        </w:rPr>
      </w:pPr>
      <w:proofErr w:type="spellStart"/>
      <w:r>
        <w:rPr>
          <w:lang w:eastAsia="en-AU"/>
        </w:rPr>
        <w:t>Rigoard</w:t>
      </w:r>
      <w:proofErr w:type="spellEnd"/>
      <w:r>
        <w:rPr>
          <w:lang w:eastAsia="en-AU"/>
        </w:rPr>
        <w:t xml:space="preserve">, P., Desai, M. J., Taylor, R. S., et al. (2017). Multicolumn spinal cord stimulation for predominant back pain in failed back surgery syndrome patients: An international </w:t>
      </w:r>
      <w:proofErr w:type="spellStart"/>
      <w:r>
        <w:rPr>
          <w:lang w:eastAsia="en-AU"/>
        </w:rPr>
        <w:t>multicenter</w:t>
      </w:r>
      <w:proofErr w:type="spellEnd"/>
      <w:r>
        <w:rPr>
          <w:lang w:eastAsia="en-AU"/>
        </w:rPr>
        <w:t xml:space="preserve"> randomized trial (PROMISE study) [Conference Abstract]. </w:t>
      </w:r>
      <w:r>
        <w:rPr>
          <w:i/>
          <w:iCs/>
          <w:lang w:eastAsia="en-AU"/>
        </w:rPr>
        <w:t>Pain Physician</w:t>
      </w:r>
      <w:r>
        <w:rPr>
          <w:lang w:eastAsia="en-AU"/>
        </w:rPr>
        <w:t>,</w:t>
      </w:r>
      <w:r>
        <w:rPr>
          <w:i/>
          <w:iCs/>
          <w:lang w:eastAsia="en-AU"/>
        </w:rPr>
        <w:t xml:space="preserve"> 20</w:t>
      </w:r>
      <w:r>
        <w:rPr>
          <w:lang w:eastAsia="en-AU"/>
        </w:rPr>
        <w:t xml:space="preserve">(4), E6/www.embase.com/search/results?subaction=viewrecord&amp;id=L623151175&amp;from=export </w:t>
      </w:r>
    </w:p>
    <w:p w14:paraId="788E2818" w14:textId="6FB18E22" w:rsidR="00BE4358" w:rsidRDefault="00BE4358" w:rsidP="00BE4358">
      <w:pPr>
        <w:pStyle w:val="References"/>
        <w:rPr>
          <w:lang w:eastAsia="en-AU"/>
        </w:rPr>
      </w:pPr>
      <w:proofErr w:type="spellStart"/>
      <w:r>
        <w:rPr>
          <w:lang w:eastAsia="en-AU"/>
        </w:rPr>
        <w:t>Rigoard</w:t>
      </w:r>
      <w:proofErr w:type="spellEnd"/>
      <w:r>
        <w:rPr>
          <w:lang w:eastAsia="en-AU"/>
        </w:rPr>
        <w:t xml:space="preserve">, P., Desai, M., North, R., et al. (2013). Spinal cord stimulation for predominant low back pain in failed back surgery syndrome: Design and </w:t>
      </w:r>
      <w:proofErr w:type="spellStart"/>
      <w:r>
        <w:rPr>
          <w:lang w:eastAsia="en-AU"/>
        </w:rPr>
        <w:t>enrollment</w:t>
      </w:r>
      <w:proofErr w:type="spellEnd"/>
      <w:r>
        <w:rPr>
          <w:lang w:eastAsia="en-AU"/>
        </w:rPr>
        <w:t xml:space="preserve"> of an international </w:t>
      </w:r>
      <w:proofErr w:type="spellStart"/>
      <w:r>
        <w:rPr>
          <w:lang w:eastAsia="en-AU"/>
        </w:rPr>
        <w:t>multicenter</w:t>
      </w:r>
      <w:proofErr w:type="spellEnd"/>
      <w:r>
        <w:rPr>
          <w:lang w:eastAsia="en-AU"/>
        </w:rPr>
        <w:t xml:space="preserve"> randomized controlled trial (promise study) [Conference Abstract]. </w:t>
      </w:r>
      <w:r>
        <w:rPr>
          <w:i/>
          <w:iCs/>
          <w:lang w:eastAsia="en-AU"/>
        </w:rPr>
        <w:t>Neuromodulation</w:t>
      </w:r>
      <w:r>
        <w:rPr>
          <w:lang w:eastAsia="en-AU"/>
        </w:rPr>
        <w:t>,</w:t>
      </w:r>
      <w:r>
        <w:rPr>
          <w:i/>
          <w:iCs/>
          <w:lang w:eastAsia="en-AU"/>
        </w:rPr>
        <w:t xml:space="preserve"> 16</w:t>
      </w:r>
      <w:r>
        <w:rPr>
          <w:lang w:eastAsia="en-AU"/>
        </w:rPr>
        <w:t xml:space="preserve">(5), e/doi.org/10.1111/ner.12104 </w:t>
      </w:r>
    </w:p>
    <w:p w14:paraId="1EA8C1D0" w14:textId="3366C09D" w:rsidR="002B1D41" w:rsidRDefault="002B1D41" w:rsidP="00BE4358">
      <w:pPr>
        <w:pStyle w:val="References"/>
        <w:rPr>
          <w:lang w:eastAsia="en-AU"/>
        </w:rPr>
      </w:pPr>
      <w:proofErr w:type="spellStart"/>
      <w:r>
        <w:rPr>
          <w:lang w:eastAsia="en-AU"/>
        </w:rPr>
        <w:t>Rigoard</w:t>
      </w:r>
      <w:proofErr w:type="spellEnd"/>
      <w:r>
        <w:rPr>
          <w:lang w:eastAsia="en-AU"/>
        </w:rPr>
        <w:t xml:space="preserve">, P., Jacques, L., </w:t>
      </w:r>
      <w:proofErr w:type="spellStart"/>
      <w:r>
        <w:rPr>
          <w:lang w:eastAsia="en-AU"/>
        </w:rPr>
        <w:t>Monlezun</w:t>
      </w:r>
      <w:proofErr w:type="spellEnd"/>
      <w:r>
        <w:rPr>
          <w:lang w:eastAsia="en-AU"/>
        </w:rPr>
        <w:t xml:space="preserve">, O., et al. (2013). Treatment of the back pain component of failed back surgery syndrome (FBSS) by multi-column spinal cord stimulation: A multicentre prospective study [Conference Abstract]. </w:t>
      </w:r>
      <w:r>
        <w:rPr>
          <w:i/>
          <w:iCs/>
          <w:lang w:eastAsia="en-AU"/>
        </w:rPr>
        <w:t>Neuromodulation</w:t>
      </w:r>
      <w:r>
        <w:rPr>
          <w:lang w:eastAsia="en-AU"/>
        </w:rPr>
        <w:t>,</w:t>
      </w:r>
      <w:r>
        <w:rPr>
          <w:i/>
          <w:iCs/>
          <w:lang w:eastAsia="en-AU"/>
        </w:rPr>
        <w:t xml:space="preserve"> 16</w:t>
      </w:r>
      <w:r>
        <w:rPr>
          <w:lang w:eastAsia="en-AU"/>
        </w:rPr>
        <w:t xml:space="preserve">(5), e2/doi.org/10.1111/ner.12107 </w:t>
      </w:r>
    </w:p>
    <w:p w14:paraId="4B1FF7FE" w14:textId="31165DC1" w:rsidR="002B1D41" w:rsidRDefault="002B1D41" w:rsidP="00BE4358">
      <w:pPr>
        <w:pStyle w:val="References"/>
        <w:rPr>
          <w:lang w:eastAsia="en-AU"/>
        </w:rPr>
      </w:pPr>
      <w:proofErr w:type="spellStart"/>
      <w:r>
        <w:rPr>
          <w:lang w:eastAsia="en-AU"/>
        </w:rPr>
        <w:t>Rigoard</w:t>
      </w:r>
      <w:proofErr w:type="spellEnd"/>
      <w:r>
        <w:rPr>
          <w:lang w:eastAsia="en-AU"/>
        </w:rPr>
        <w:t xml:space="preserve">, P., North, R., Taylor, R. S., et al. (2018). Multicolumn spinal cord stimulation for predominant back pain in failed back surgery syndrome patients: 12-month results of an international </w:t>
      </w:r>
      <w:proofErr w:type="spellStart"/>
      <w:r>
        <w:rPr>
          <w:lang w:eastAsia="en-AU"/>
        </w:rPr>
        <w:t>multicenter</w:t>
      </w:r>
      <w:proofErr w:type="spellEnd"/>
      <w:r>
        <w:rPr>
          <w:lang w:eastAsia="en-AU"/>
        </w:rPr>
        <w:t xml:space="preserve"> randomized trial (PROMISE Study) [Conference Abstract]. </w:t>
      </w:r>
      <w:r>
        <w:rPr>
          <w:i/>
          <w:iCs/>
          <w:lang w:eastAsia="en-AU"/>
        </w:rPr>
        <w:t>Neuromodulation</w:t>
      </w:r>
      <w:r>
        <w:rPr>
          <w:lang w:eastAsia="en-AU"/>
        </w:rPr>
        <w:t>,</w:t>
      </w:r>
      <w:r>
        <w:rPr>
          <w:i/>
          <w:iCs/>
          <w:lang w:eastAsia="en-AU"/>
        </w:rPr>
        <w:t xml:space="preserve"> 21</w:t>
      </w:r>
      <w:r>
        <w:rPr>
          <w:lang w:eastAsia="en-AU"/>
        </w:rPr>
        <w:t xml:space="preserve">(6), e1/doi.org/10.1111/ner.12809 </w:t>
      </w:r>
    </w:p>
    <w:p w14:paraId="39B9C0E3" w14:textId="32A1A5CE" w:rsidR="00BE4358" w:rsidRDefault="00BE4358" w:rsidP="00BE4358">
      <w:pPr>
        <w:pStyle w:val="References"/>
        <w:rPr>
          <w:lang w:eastAsia="en-AU"/>
        </w:rPr>
      </w:pPr>
      <w:proofErr w:type="spellStart"/>
      <w:r>
        <w:rPr>
          <w:lang w:eastAsia="en-AU"/>
        </w:rPr>
        <w:t>Rigoard</w:t>
      </w:r>
      <w:proofErr w:type="spellEnd"/>
      <w:r>
        <w:rPr>
          <w:lang w:eastAsia="en-AU"/>
        </w:rPr>
        <w:t xml:space="preserve">, P., </w:t>
      </w:r>
      <w:proofErr w:type="spellStart"/>
      <w:r>
        <w:rPr>
          <w:lang w:eastAsia="en-AU"/>
        </w:rPr>
        <w:t>Roulaud</w:t>
      </w:r>
      <w:proofErr w:type="spellEnd"/>
      <w:r>
        <w:rPr>
          <w:lang w:eastAsia="en-AU"/>
        </w:rPr>
        <w:t xml:space="preserve">, M., </w:t>
      </w:r>
      <w:proofErr w:type="spellStart"/>
      <w:r>
        <w:rPr>
          <w:lang w:eastAsia="en-AU"/>
        </w:rPr>
        <w:t>Goudman</w:t>
      </w:r>
      <w:proofErr w:type="spellEnd"/>
      <w:r>
        <w:rPr>
          <w:lang w:eastAsia="en-AU"/>
        </w:rPr>
        <w:t xml:space="preserve">, L., et al. (2021). Comparison of Spinal Cord Stimulation vs. Dorsal Root Ganglion Stimulation vs. Association of Both in Patients with Refractory Chronic Back and/or Lower Limb Neuropathic Pain: An International, </w:t>
      </w:r>
      <w:r>
        <w:rPr>
          <w:lang w:eastAsia="en-AU"/>
        </w:rPr>
        <w:lastRenderedPageBreak/>
        <w:t xml:space="preserve">Prospective, Randomized, Double-Blinded, Crossover Trial (BOOST-DRG Study). </w:t>
      </w:r>
      <w:proofErr w:type="spellStart"/>
      <w:r>
        <w:rPr>
          <w:i/>
          <w:iCs/>
          <w:lang w:eastAsia="en-AU"/>
        </w:rPr>
        <w:t>Medicina</w:t>
      </w:r>
      <w:proofErr w:type="spellEnd"/>
      <w:r>
        <w:rPr>
          <w:i/>
          <w:iCs/>
          <w:lang w:eastAsia="en-AU"/>
        </w:rPr>
        <w:t xml:space="preserve"> (Kaunas)</w:t>
      </w:r>
      <w:r>
        <w:rPr>
          <w:lang w:eastAsia="en-AU"/>
        </w:rPr>
        <w:t>,</w:t>
      </w:r>
      <w:r>
        <w:rPr>
          <w:i/>
          <w:iCs/>
          <w:lang w:eastAsia="en-AU"/>
        </w:rPr>
        <w:t xml:space="preserve"> 58</w:t>
      </w:r>
      <w:r>
        <w:rPr>
          <w:lang w:eastAsia="en-AU"/>
        </w:rPr>
        <w:t xml:space="preserve">(/doi.org/10.3390/medicina58010007 </w:t>
      </w:r>
    </w:p>
    <w:p w14:paraId="2479A44A" w14:textId="453B5A3F" w:rsidR="002B1D41" w:rsidRDefault="002B1D41" w:rsidP="00BE4358">
      <w:pPr>
        <w:pStyle w:val="References"/>
        <w:rPr>
          <w:lang w:eastAsia="en-AU"/>
        </w:rPr>
      </w:pPr>
      <w:r>
        <w:rPr>
          <w:lang w:eastAsia="en-AU"/>
        </w:rPr>
        <w:t xml:space="preserve">Rojo, E., Hernández, C. P., Martínez, N. S., et al. (2021). Real-world cost-effectiveness analysis of spinal cord stimulation vs conventional therapy in the management of failed back surgery syndrome [Article]. </w:t>
      </w:r>
      <w:r>
        <w:rPr>
          <w:i/>
          <w:iCs/>
          <w:lang w:eastAsia="en-AU"/>
        </w:rPr>
        <w:t>Journal of Pain Research</w:t>
      </w:r>
      <w:r>
        <w:rPr>
          <w:lang w:eastAsia="en-AU"/>
        </w:rPr>
        <w:t>,</w:t>
      </w:r>
      <w:r>
        <w:rPr>
          <w:i/>
          <w:iCs/>
          <w:lang w:eastAsia="en-AU"/>
        </w:rPr>
        <w:t xml:space="preserve"> 14</w:t>
      </w:r>
      <w:r>
        <w:rPr>
          <w:lang w:eastAsia="en-AU"/>
        </w:rPr>
        <w:t xml:space="preserve">, 3025-30/doi.org/10.2147/JPR.S326092 </w:t>
      </w:r>
    </w:p>
    <w:p w14:paraId="69A07CA1" w14:textId="53B44B30" w:rsidR="002B1D41" w:rsidRDefault="002B1D41" w:rsidP="00BE4358">
      <w:pPr>
        <w:pStyle w:val="References"/>
        <w:rPr>
          <w:lang w:eastAsia="en-AU"/>
        </w:rPr>
      </w:pPr>
      <w:proofErr w:type="spellStart"/>
      <w:r>
        <w:rPr>
          <w:lang w:eastAsia="en-AU"/>
        </w:rPr>
        <w:t>Roulaud</w:t>
      </w:r>
      <w:proofErr w:type="spellEnd"/>
      <w:r>
        <w:rPr>
          <w:lang w:eastAsia="en-AU"/>
        </w:rPr>
        <w:t xml:space="preserve">, M., Durand-Zaleski, I., </w:t>
      </w:r>
      <w:proofErr w:type="spellStart"/>
      <w:r>
        <w:rPr>
          <w:lang w:eastAsia="en-AU"/>
        </w:rPr>
        <w:t>Ingrand</w:t>
      </w:r>
      <w:proofErr w:type="spellEnd"/>
      <w:r>
        <w:rPr>
          <w:lang w:eastAsia="en-AU"/>
        </w:rPr>
        <w:t xml:space="preserve">, P., et al. (2015). Multicolumn spinal cord stimulation for significant low back pain in failed back surgery syndrome: Design of a national, multicentre, randomized, controlled health economics trial (ESTIMET Study) [Article]. </w:t>
      </w:r>
      <w:proofErr w:type="spellStart"/>
      <w:r>
        <w:rPr>
          <w:i/>
          <w:iCs/>
          <w:lang w:eastAsia="en-AU"/>
        </w:rPr>
        <w:t>Neurochirurgie</w:t>
      </w:r>
      <w:proofErr w:type="spellEnd"/>
      <w:r>
        <w:rPr>
          <w:lang w:eastAsia="en-AU"/>
        </w:rPr>
        <w:t>,</w:t>
      </w:r>
      <w:r>
        <w:rPr>
          <w:i/>
          <w:iCs/>
          <w:lang w:eastAsia="en-AU"/>
        </w:rPr>
        <w:t xml:space="preserve"> 61</w:t>
      </w:r>
      <w:r>
        <w:rPr>
          <w:lang w:eastAsia="en-AU"/>
        </w:rPr>
        <w:t xml:space="preserve">(S1), S109-S1/doi.org/10.1016/j.neuchi.2014.10.105 </w:t>
      </w:r>
    </w:p>
    <w:p w14:paraId="642BAAEF" w14:textId="67EB1F76" w:rsidR="002B1D41" w:rsidRDefault="002B1D41" w:rsidP="00BE4358">
      <w:pPr>
        <w:pStyle w:val="References"/>
        <w:rPr>
          <w:lang w:eastAsia="en-AU"/>
        </w:rPr>
      </w:pPr>
      <w:r>
        <w:rPr>
          <w:lang w:eastAsia="en-AU"/>
        </w:rPr>
        <w:t xml:space="preserve">Russo, M., Brooker, C., Cousins, M. J., et al. (2020). Sustained long-term outcomes with closed-loop spinal cord stimulation: 12-month results of the prospective, </w:t>
      </w:r>
      <w:proofErr w:type="spellStart"/>
      <w:r>
        <w:rPr>
          <w:lang w:eastAsia="en-AU"/>
        </w:rPr>
        <w:t>multicenter</w:t>
      </w:r>
      <w:proofErr w:type="spellEnd"/>
      <w:r>
        <w:rPr>
          <w:lang w:eastAsia="en-AU"/>
        </w:rPr>
        <w:t xml:space="preserve">, open-label </w:t>
      </w:r>
      <w:proofErr w:type="spellStart"/>
      <w:r>
        <w:rPr>
          <w:lang w:eastAsia="en-AU"/>
        </w:rPr>
        <w:t>avalon</w:t>
      </w:r>
      <w:proofErr w:type="spellEnd"/>
      <w:r>
        <w:rPr>
          <w:lang w:eastAsia="en-AU"/>
        </w:rPr>
        <w:t xml:space="preserve"> study [Article]. </w:t>
      </w:r>
      <w:r>
        <w:rPr>
          <w:i/>
          <w:iCs/>
          <w:lang w:eastAsia="en-AU"/>
        </w:rPr>
        <w:t>Neurosurgery</w:t>
      </w:r>
      <w:r>
        <w:rPr>
          <w:lang w:eastAsia="en-AU"/>
        </w:rPr>
        <w:t>,</w:t>
      </w:r>
      <w:r>
        <w:rPr>
          <w:i/>
          <w:iCs/>
          <w:lang w:eastAsia="en-AU"/>
        </w:rPr>
        <w:t xml:space="preserve"> 87</w:t>
      </w:r>
      <w:r>
        <w:rPr>
          <w:lang w:eastAsia="en-AU"/>
        </w:rPr>
        <w:t xml:space="preserve">(4), E485-E4/doi.org/10.1093/neuros/nyaa003 </w:t>
      </w:r>
    </w:p>
    <w:p w14:paraId="7A498550" w14:textId="0CC9D6E9" w:rsidR="002B1D41" w:rsidRDefault="002B1D41" w:rsidP="00BE4358">
      <w:pPr>
        <w:pStyle w:val="References"/>
        <w:rPr>
          <w:lang w:eastAsia="en-AU"/>
        </w:rPr>
      </w:pPr>
      <w:proofErr w:type="spellStart"/>
      <w:r>
        <w:rPr>
          <w:lang w:eastAsia="en-AU"/>
        </w:rPr>
        <w:t>Sagher</w:t>
      </w:r>
      <w:proofErr w:type="spellEnd"/>
      <w:r>
        <w:rPr>
          <w:lang w:eastAsia="en-AU"/>
        </w:rPr>
        <w:t xml:space="preserve">, O. (2008). The effects of spinal cord stimulation in neuropathic pain are sustained: A 24-month follow-up of the prospective randomized controlled </w:t>
      </w:r>
      <w:proofErr w:type="spellStart"/>
      <w:r>
        <w:rPr>
          <w:lang w:eastAsia="en-AU"/>
        </w:rPr>
        <w:t>multicenter</w:t>
      </w:r>
      <w:proofErr w:type="spellEnd"/>
      <w:r>
        <w:rPr>
          <w:lang w:eastAsia="en-AU"/>
        </w:rPr>
        <w:t xml:space="preserve"> trial of the effectiveness of spinal cord stimulation: Commentary [Note]. </w:t>
      </w:r>
      <w:r>
        <w:rPr>
          <w:i/>
          <w:iCs/>
          <w:lang w:eastAsia="en-AU"/>
        </w:rPr>
        <w:t>Neurosurgery</w:t>
      </w:r>
      <w:r>
        <w:rPr>
          <w:lang w:eastAsia="en-AU"/>
        </w:rPr>
        <w:t>,</w:t>
      </w:r>
      <w:r>
        <w:rPr>
          <w:i/>
          <w:iCs/>
          <w:lang w:eastAsia="en-AU"/>
        </w:rPr>
        <w:t xml:space="preserve"> 63</w:t>
      </w:r>
      <w:r>
        <w:rPr>
          <w:lang w:eastAsia="en-AU"/>
        </w:rPr>
        <w:t xml:space="preserve">(4), 7/doi.org/10.1227/01.NEU.0000325731.46702.D9 </w:t>
      </w:r>
    </w:p>
    <w:p w14:paraId="4675EBB6" w14:textId="7227AFC3" w:rsidR="00BE4358" w:rsidRDefault="00BE4358" w:rsidP="00BE4358">
      <w:pPr>
        <w:pStyle w:val="References"/>
        <w:rPr>
          <w:lang w:eastAsia="en-AU"/>
        </w:rPr>
      </w:pPr>
      <w:r>
        <w:rPr>
          <w:lang w:eastAsia="en-AU"/>
        </w:rPr>
        <w:t xml:space="preserve">Sayed, D., </w:t>
      </w:r>
      <w:proofErr w:type="spellStart"/>
      <w:r>
        <w:rPr>
          <w:lang w:eastAsia="en-AU"/>
        </w:rPr>
        <w:t>Grider</w:t>
      </w:r>
      <w:proofErr w:type="spellEnd"/>
      <w:r>
        <w:rPr>
          <w:lang w:eastAsia="en-AU"/>
        </w:rPr>
        <w:t xml:space="preserve">, J., Strand, N., et al. (2022). The American Society of Pain and Neuroscience (ASPN) Evidence-Based Clinical Guideline of Interventional Treatments for Low Back Pain. </w:t>
      </w:r>
      <w:r>
        <w:rPr>
          <w:i/>
          <w:iCs/>
          <w:lang w:eastAsia="en-AU"/>
        </w:rPr>
        <w:t>J Pain Res</w:t>
      </w:r>
      <w:r>
        <w:rPr>
          <w:lang w:eastAsia="en-AU"/>
        </w:rPr>
        <w:t>,</w:t>
      </w:r>
      <w:r>
        <w:rPr>
          <w:i/>
          <w:iCs/>
          <w:lang w:eastAsia="en-AU"/>
        </w:rPr>
        <w:t xml:space="preserve"> 15</w:t>
      </w:r>
      <w:r>
        <w:rPr>
          <w:lang w:eastAsia="en-AU"/>
        </w:rPr>
        <w:t xml:space="preserve">, 3729-38/doi.org/10.2147/jpr.S386879 </w:t>
      </w:r>
    </w:p>
    <w:p w14:paraId="718C3CE1" w14:textId="37D283ED" w:rsidR="002B1D41" w:rsidRDefault="002B1D41" w:rsidP="00BE4358">
      <w:pPr>
        <w:pStyle w:val="References"/>
        <w:rPr>
          <w:lang w:eastAsia="en-AU"/>
        </w:rPr>
      </w:pPr>
      <w:r>
        <w:rPr>
          <w:lang w:eastAsia="en-AU"/>
        </w:rPr>
        <w:t xml:space="preserve">Sayed, D., Salmon, J., Khan, T. W., et al. (2020). Retrospective analysis of real-world outcomes of 10 </w:t>
      </w:r>
      <w:proofErr w:type="spellStart"/>
      <w:r>
        <w:rPr>
          <w:lang w:eastAsia="en-AU"/>
        </w:rPr>
        <w:t>khz</w:t>
      </w:r>
      <w:proofErr w:type="spellEnd"/>
      <w:r>
        <w:rPr>
          <w:lang w:eastAsia="en-AU"/>
        </w:rPr>
        <w:t xml:space="preserve"> SCS in patients with upper limb and neck pain [Article]. </w:t>
      </w:r>
      <w:r>
        <w:rPr>
          <w:i/>
          <w:iCs/>
          <w:lang w:eastAsia="en-AU"/>
        </w:rPr>
        <w:t>Journal of Pain Research</w:t>
      </w:r>
      <w:r>
        <w:rPr>
          <w:lang w:eastAsia="en-AU"/>
        </w:rPr>
        <w:t>,</w:t>
      </w:r>
      <w:r>
        <w:rPr>
          <w:i/>
          <w:iCs/>
          <w:lang w:eastAsia="en-AU"/>
        </w:rPr>
        <w:t xml:space="preserve"> 13</w:t>
      </w:r>
      <w:r>
        <w:rPr>
          <w:lang w:eastAsia="en-AU"/>
        </w:rPr>
        <w:t xml:space="preserve">, 1441-14/doi.org/10.2147/JPR.S257071 </w:t>
      </w:r>
    </w:p>
    <w:p w14:paraId="2C087674" w14:textId="373F1234" w:rsidR="002B1D41" w:rsidRDefault="002B1D41" w:rsidP="00BE4358">
      <w:pPr>
        <w:pStyle w:val="References"/>
        <w:rPr>
          <w:lang w:eastAsia="en-AU"/>
        </w:rPr>
      </w:pPr>
      <w:proofErr w:type="spellStart"/>
      <w:r>
        <w:rPr>
          <w:lang w:eastAsia="en-AU"/>
        </w:rPr>
        <w:t>Schu</w:t>
      </w:r>
      <w:proofErr w:type="spellEnd"/>
      <w:r>
        <w:rPr>
          <w:lang w:eastAsia="en-AU"/>
        </w:rPr>
        <w:t xml:space="preserve">, S., Bara, G., &amp; Vesper, J. (2014). Burst or tonic stimulation' first results of a placebo controlled, doubled blinded, randomized study for the treatment of </w:t>
      </w:r>
      <w:proofErr w:type="spellStart"/>
      <w:r>
        <w:rPr>
          <w:lang w:eastAsia="en-AU"/>
        </w:rPr>
        <w:t>fbss</w:t>
      </w:r>
      <w:proofErr w:type="spellEnd"/>
      <w:r>
        <w:rPr>
          <w:lang w:eastAsia="en-AU"/>
        </w:rPr>
        <w:t xml:space="preserve"> patients [Conference Abstract]. </w:t>
      </w:r>
      <w:r>
        <w:rPr>
          <w:i/>
          <w:iCs/>
          <w:lang w:eastAsia="en-AU"/>
        </w:rPr>
        <w:t>Pain Practice</w:t>
      </w:r>
      <w:r>
        <w:rPr>
          <w:lang w:eastAsia="en-AU"/>
        </w:rPr>
        <w:t>,</w:t>
      </w:r>
      <w:r>
        <w:rPr>
          <w:i/>
          <w:iCs/>
          <w:lang w:eastAsia="en-AU"/>
        </w:rPr>
        <w:t xml:space="preserve"> 14</w:t>
      </w:r>
      <w:r>
        <w:rPr>
          <w:lang w:eastAsia="en-AU"/>
        </w:rPr>
        <w:t xml:space="preserve">, /doi.org/10.1111/papr.12201 </w:t>
      </w:r>
    </w:p>
    <w:p w14:paraId="5BB51D93" w14:textId="6F6938B8" w:rsidR="002B1D41" w:rsidRDefault="002B1D41" w:rsidP="00BE4358">
      <w:pPr>
        <w:pStyle w:val="References"/>
        <w:rPr>
          <w:lang w:eastAsia="en-AU"/>
        </w:rPr>
      </w:pPr>
      <w:proofErr w:type="spellStart"/>
      <w:r>
        <w:rPr>
          <w:lang w:eastAsia="en-AU"/>
        </w:rPr>
        <w:t>Schu</w:t>
      </w:r>
      <w:proofErr w:type="spellEnd"/>
      <w:r>
        <w:rPr>
          <w:lang w:eastAsia="en-AU"/>
        </w:rPr>
        <w:t xml:space="preserve">, S., </w:t>
      </w:r>
      <w:proofErr w:type="spellStart"/>
      <w:r>
        <w:rPr>
          <w:lang w:eastAsia="en-AU"/>
        </w:rPr>
        <w:t>Slotty</w:t>
      </w:r>
      <w:proofErr w:type="spellEnd"/>
      <w:r>
        <w:rPr>
          <w:lang w:eastAsia="en-AU"/>
        </w:rPr>
        <w:t xml:space="preserve">, P. J., Bara, G., et al. (2014). A prospective, randomised, double-blind, placebo-controlled study to examine the effectiveness of burst spinal cord stimulation patterns for the treatment of failed back surgery syndrome [Article]. </w:t>
      </w:r>
      <w:r>
        <w:rPr>
          <w:i/>
          <w:iCs/>
          <w:lang w:eastAsia="en-AU"/>
        </w:rPr>
        <w:t>Neuromodulation</w:t>
      </w:r>
      <w:r>
        <w:rPr>
          <w:lang w:eastAsia="en-AU"/>
        </w:rPr>
        <w:t>,</w:t>
      </w:r>
      <w:r>
        <w:rPr>
          <w:i/>
          <w:iCs/>
          <w:lang w:eastAsia="en-AU"/>
        </w:rPr>
        <w:t xml:space="preserve"> 17</w:t>
      </w:r>
      <w:r>
        <w:rPr>
          <w:lang w:eastAsia="en-AU"/>
        </w:rPr>
        <w:t xml:space="preserve">(5), 443-4/doi.org/10.1111/ner.12197 </w:t>
      </w:r>
    </w:p>
    <w:p w14:paraId="4E3C7DA6" w14:textId="61E9E55C" w:rsidR="002B1D41" w:rsidRDefault="002B1D41" w:rsidP="00BE4358">
      <w:pPr>
        <w:pStyle w:val="References"/>
        <w:rPr>
          <w:lang w:eastAsia="en-AU"/>
        </w:rPr>
      </w:pPr>
      <w:r>
        <w:rPr>
          <w:lang w:eastAsia="en-AU"/>
        </w:rPr>
        <w:t xml:space="preserve">Schultz, D. M., Webster, L., </w:t>
      </w:r>
      <w:proofErr w:type="spellStart"/>
      <w:r>
        <w:rPr>
          <w:lang w:eastAsia="en-AU"/>
        </w:rPr>
        <w:t>Kosek</w:t>
      </w:r>
      <w:proofErr w:type="spellEnd"/>
      <w:r>
        <w:rPr>
          <w:lang w:eastAsia="en-AU"/>
        </w:rPr>
        <w:t xml:space="preserve">, P., et al. (2012). Sensor-driven position-adaptive spinal cord stimulation for chronic pain [Article]. </w:t>
      </w:r>
      <w:r>
        <w:rPr>
          <w:i/>
          <w:iCs/>
          <w:lang w:eastAsia="en-AU"/>
        </w:rPr>
        <w:t>Pain Physician</w:t>
      </w:r>
      <w:r>
        <w:rPr>
          <w:lang w:eastAsia="en-AU"/>
        </w:rPr>
        <w:t>,</w:t>
      </w:r>
      <w:r>
        <w:rPr>
          <w:i/>
          <w:iCs/>
          <w:lang w:eastAsia="en-AU"/>
        </w:rPr>
        <w:t xml:space="preserve"> 15</w:t>
      </w:r>
      <w:r>
        <w:rPr>
          <w:lang w:eastAsia="en-AU"/>
        </w:rPr>
        <w:t xml:space="preserve">(1), 1-/www.embase.com/search/results?subaction=viewrecord&amp;id=L364178871&amp;from=export </w:t>
      </w:r>
    </w:p>
    <w:p w14:paraId="2968160D" w14:textId="7FC0C03C" w:rsidR="00BE4358" w:rsidRDefault="00BE4358" w:rsidP="00BE4358">
      <w:pPr>
        <w:pStyle w:val="References"/>
        <w:rPr>
          <w:lang w:eastAsia="en-AU"/>
        </w:rPr>
      </w:pPr>
      <w:r>
        <w:rPr>
          <w:lang w:eastAsia="en-AU"/>
        </w:rPr>
        <w:t xml:space="preserve">Scottish Intercollegiate Guidelines Network (2018). </w:t>
      </w:r>
      <w:r>
        <w:rPr>
          <w:i/>
          <w:iCs/>
          <w:lang w:eastAsia="en-AU"/>
        </w:rPr>
        <w:t>Management of stable angina.</w:t>
      </w:r>
      <w:r>
        <w:rPr>
          <w:lang w:eastAsia="en-AU"/>
        </w:rPr>
        <w:t xml:space="preserve"> [Guidelin/www.sign.ac.uk/our-guidelines/management-of-stable-angina/</w:t>
      </w:r>
    </w:p>
    <w:p w14:paraId="1922BB34" w14:textId="710FD502" w:rsidR="00BE4358" w:rsidRDefault="00BE4358" w:rsidP="00BE4358">
      <w:pPr>
        <w:pStyle w:val="References"/>
        <w:rPr>
          <w:lang w:eastAsia="en-AU"/>
        </w:rPr>
      </w:pPr>
      <w:r>
        <w:rPr>
          <w:lang w:eastAsia="en-AU"/>
        </w:rPr>
        <w:t xml:space="preserve">Sharan, A. D., Riley, J., </w:t>
      </w:r>
      <w:proofErr w:type="spellStart"/>
      <w:r>
        <w:rPr>
          <w:lang w:eastAsia="en-AU"/>
        </w:rPr>
        <w:t>Falowski</w:t>
      </w:r>
      <w:proofErr w:type="spellEnd"/>
      <w:r>
        <w:rPr>
          <w:lang w:eastAsia="en-AU"/>
        </w:rPr>
        <w:t xml:space="preserve">, S., et al. (2018). Association of Opioid Usage with Spinal Cord Stimulation Outcomes. </w:t>
      </w:r>
      <w:r>
        <w:rPr>
          <w:i/>
          <w:iCs/>
          <w:lang w:eastAsia="en-AU"/>
        </w:rPr>
        <w:t>Pain Med</w:t>
      </w:r>
      <w:r>
        <w:rPr>
          <w:lang w:eastAsia="en-AU"/>
        </w:rPr>
        <w:t>,</w:t>
      </w:r>
      <w:r>
        <w:rPr>
          <w:i/>
          <w:iCs/>
          <w:lang w:eastAsia="en-AU"/>
        </w:rPr>
        <w:t xml:space="preserve"> 19</w:t>
      </w:r>
      <w:r>
        <w:rPr>
          <w:lang w:eastAsia="en-AU"/>
        </w:rPr>
        <w:t xml:space="preserve">(4), 699-7/doi.org/10.1093/pm/pnx262 </w:t>
      </w:r>
    </w:p>
    <w:p w14:paraId="6474827F" w14:textId="604B5AFB" w:rsidR="00BE4358" w:rsidRDefault="00BE4358" w:rsidP="00BE4358">
      <w:pPr>
        <w:pStyle w:val="References"/>
        <w:rPr>
          <w:lang w:eastAsia="en-AU"/>
        </w:rPr>
      </w:pPr>
      <w:r>
        <w:rPr>
          <w:lang w:eastAsia="en-AU"/>
        </w:rPr>
        <w:t xml:space="preserve">Simpson, E. L., Duenas, A., Holmes, M. W., et al. (2009). Spinal cord stimulation for chronic pain of neuropathic or ischaemic origin: Systematic review and economic evaluation [Review]. </w:t>
      </w:r>
      <w:r>
        <w:rPr>
          <w:i/>
          <w:iCs/>
          <w:lang w:eastAsia="en-AU"/>
        </w:rPr>
        <w:t>Health Technology Assessment</w:t>
      </w:r>
      <w:r>
        <w:rPr>
          <w:lang w:eastAsia="en-AU"/>
        </w:rPr>
        <w:t>,</w:t>
      </w:r>
      <w:r>
        <w:rPr>
          <w:i/>
          <w:iCs/>
          <w:lang w:eastAsia="en-AU"/>
        </w:rPr>
        <w:t xml:space="preserve"> 13</w:t>
      </w:r>
      <w:r>
        <w:rPr>
          <w:lang w:eastAsia="en-AU"/>
        </w:rPr>
        <w:t xml:space="preserve">(17), iii-/doi.org/10.3310/hta13170 </w:t>
      </w:r>
    </w:p>
    <w:p w14:paraId="6932DF3C" w14:textId="48EA0AF6" w:rsidR="002B1D41" w:rsidRDefault="002B1D41" w:rsidP="00BE4358">
      <w:pPr>
        <w:pStyle w:val="References"/>
        <w:rPr>
          <w:lang w:eastAsia="en-AU"/>
        </w:rPr>
      </w:pPr>
      <w:proofErr w:type="spellStart"/>
      <w:r>
        <w:rPr>
          <w:lang w:eastAsia="en-AU"/>
        </w:rPr>
        <w:t>Slangen</w:t>
      </w:r>
      <w:proofErr w:type="spellEnd"/>
      <w:r>
        <w:rPr>
          <w:lang w:eastAsia="en-AU"/>
        </w:rPr>
        <w:t xml:space="preserve">, R., Faber, C. G., Schaper, N. C., et al. (2017). A Trial-Based Economic Evaluation Comparing Spinal Cord Stimulation With Best Medical Treatment in Painful Diabetic Peripheral Neuropathy. </w:t>
      </w:r>
      <w:r>
        <w:rPr>
          <w:i/>
          <w:iCs/>
          <w:lang w:eastAsia="en-AU"/>
        </w:rPr>
        <w:t>J Pain</w:t>
      </w:r>
      <w:r>
        <w:rPr>
          <w:lang w:eastAsia="en-AU"/>
        </w:rPr>
        <w:t>,</w:t>
      </w:r>
      <w:r>
        <w:rPr>
          <w:i/>
          <w:iCs/>
          <w:lang w:eastAsia="en-AU"/>
        </w:rPr>
        <w:t xml:space="preserve"> 18</w:t>
      </w:r>
      <w:r>
        <w:rPr>
          <w:lang w:eastAsia="en-AU"/>
        </w:rPr>
        <w:t xml:space="preserve">(4), 405-4/doi.org/10.1016/j.jpain.2016.11.014 </w:t>
      </w:r>
    </w:p>
    <w:p w14:paraId="706F279D" w14:textId="330F2DEB" w:rsidR="00BE4358" w:rsidRDefault="00BE4358" w:rsidP="00BE4358">
      <w:pPr>
        <w:pStyle w:val="References"/>
        <w:rPr>
          <w:lang w:eastAsia="en-AU"/>
        </w:rPr>
      </w:pPr>
      <w:proofErr w:type="spellStart"/>
      <w:r>
        <w:rPr>
          <w:lang w:eastAsia="en-AU"/>
        </w:rPr>
        <w:t>Slangen</w:t>
      </w:r>
      <w:proofErr w:type="spellEnd"/>
      <w:r>
        <w:rPr>
          <w:lang w:eastAsia="en-AU"/>
        </w:rPr>
        <w:t xml:space="preserve">, R., Faber, C. G., Schaper, N. C., et al. (2017). A Trial-Based Economic Evaluation Comparing Spinal Cord Stimulation With Best Medical Treatment in Painful Diabetic Peripheral Neuropathy [Article]. </w:t>
      </w:r>
      <w:r>
        <w:rPr>
          <w:i/>
          <w:iCs/>
          <w:lang w:eastAsia="en-AU"/>
        </w:rPr>
        <w:t>Journal of Pain</w:t>
      </w:r>
      <w:r>
        <w:rPr>
          <w:lang w:eastAsia="en-AU"/>
        </w:rPr>
        <w:t>,</w:t>
      </w:r>
      <w:r>
        <w:rPr>
          <w:i/>
          <w:iCs/>
          <w:lang w:eastAsia="en-AU"/>
        </w:rPr>
        <w:t xml:space="preserve"> 18</w:t>
      </w:r>
      <w:r>
        <w:rPr>
          <w:lang w:eastAsia="en-AU"/>
        </w:rPr>
        <w:t xml:space="preserve">(4), 405-4/doi.org/10.1016/j.jpain.2016.11.014 </w:t>
      </w:r>
    </w:p>
    <w:p w14:paraId="5FAAE354" w14:textId="223E1411" w:rsidR="002B1D41" w:rsidRDefault="002B1D41" w:rsidP="00BE4358">
      <w:pPr>
        <w:pStyle w:val="References"/>
        <w:rPr>
          <w:lang w:eastAsia="en-AU"/>
        </w:rPr>
      </w:pPr>
      <w:proofErr w:type="spellStart"/>
      <w:r>
        <w:rPr>
          <w:lang w:eastAsia="en-AU"/>
        </w:rPr>
        <w:t>Slangen</w:t>
      </w:r>
      <w:proofErr w:type="spellEnd"/>
      <w:r>
        <w:rPr>
          <w:lang w:eastAsia="en-AU"/>
        </w:rPr>
        <w:t>, R., Schaper, N. C., Faber, C. G., et al. (2014). Spinal cord stimulation and pain relief in painful diabetic peripheral neuropathy: a prospective two-</w:t>
      </w:r>
      <w:proofErr w:type="spellStart"/>
      <w:r>
        <w:rPr>
          <w:lang w:eastAsia="en-AU"/>
        </w:rPr>
        <w:t>center</w:t>
      </w:r>
      <w:proofErr w:type="spellEnd"/>
      <w:r>
        <w:rPr>
          <w:lang w:eastAsia="en-AU"/>
        </w:rPr>
        <w:t xml:space="preserve"> randomized controlled trial. </w:t>
      </w:r>
      <w:r>
        <w:rPr>
          <w:i/>
          <w:iCs/>
          <w:lang w:eastAsia="en-AU"/>
        </w:rPr>
        <w:t>Diabetes Care</w:t>
      </w:r>
      <w:r>
        <w:rPr>
          <w:lang w:eastAsia="en-AU"/>
        </w:rPr>
        <w:t>,</w:t>
      </w:r>
      <w:r>
        <w:rPr>
          <w:i/>
          <w:iCs/>
          <w:lang w:eastAsia="en-AU"/>
        </w:rPr>
        <w:t xml:space="preserve"> 37</w:t>
      </w:r>
      <w:r>
        <w:rPr>
          <w:lang w:eastAsia="en-AU"/>
        </w:rPr>
        <w:t xml:space="preserve">(11), 3016-30/doi.org/10.2337/dc14-0684 </w:t>
      </w:r>
    </w:p>
    <w:p w14:paraId="39DFF8E3" w14:textId="4E3424E7" w:rsidR="002B1D41" w:rsidRDefault="002B1D41" w:rsidP="00BE4358">
      <w:pPr>
        <w:pStyle w:val="References"/>
        <w:rPr>
          <w:lang w:eastAsia="en-AU"/>
        </w:rPr>
      </w:pPr>
      <w:proofErr w:type="spellStart"/>
      <w:r>
        <w:rPr>
          <w:lang w:eastAsia="en-AU"/>
        </w:rPr>
        <w:t>Slavin</w:t>
      </w:r>
      <w:proofErr w:type="spellEnd"/>
      <w:r>
        <w:rPr>
          <w:lang w:eastAsia="en-AU"/>
        </w:rPr>
        <w:t xml:space="preserve">, K. V., </w:t>
      </w:r>
      <w:proofErr w:type="spellStart"/>
      <w:r>
        <w:rPr>
          <w:lang w:eastAsia="en-AU"/>
        </w:rPr>
        <w:t>Vaisman</w:t>
      </w:r>
      <w:proofErr w:type="spellEnd"/>
      <w:r>
        <w:rPr>
          <w:lang w:eastAsia="en-AU"/>
        </w:rPr>
        <w:t xml:space="preserve">, J., Pollack, K. L., et al. (2013). Treatment of chronic, intractable pain with a conventional implantable pulse generator: A meta-analysis of 4 clinical studies [Article]. </w:t>
      </w:r>
      <w:r>
        <w:rPr>
          <w:i/>
          <w:iCs/>
          <w:lang w:eastAsia="en-AU"/>
        </w:rPr>
        <w:t>Clinical Journal of Pain</w:t>
      </w:r>
      <w:r>
        <w:rPr>
          <w:lang w:eastAsia="en-AU"/>
        </w:rPr>
        <w:t>,</w:t>
      </w:r>
      <w:r>
        <w:rPr>
          <w:i/>
          <w:iCs/>
          <w:lang w:eastAsia="en-AU"/>
        </w:rPr>
        <w:t xml:space="preserve"> 29</w:t>
      </w:r>
      <w:r>
        <w:rPr>
          <w:lang w:eastAsia="en-AU"/>
        </w:rPr>
        <w:t xml:space="preserve">(1), 78-/doi.org/10.1097/AJP.0b013e318247309a </w:t>
      </w:r>
    </w:p>
    <w:p w14:paraId="605C0177" w14:textId="269E8D8A" w:rsidR="002B1D41" w:rsidRDefault="002B1D41" w:rsidP="00BE4358">
      <w:pPr>
        <w:pStyle w:val="References"/>
        <w:rPr>
          <w:lang w:eastAsia="en-AU"/>
        </w:rPr>
      </w:pPr>
      <w:proofErr w:type="spellStart"/>
      <w:r>
        <w:rPr>
          <w:lang w:eastAsia="en-AU"/>
        </w:rPr>
        <w:t>Sokal</w:t>
      </w:r>
      <w:proofErr w:type="spellEnd"/>
      <w:r>
        <w:rPr>
          <w:lang w:eastAsia="en-AU"/>
        </w:rPr>
        <w:t xml:space="preserve">, P., </w:t>
      </w:r>
      <w:proofErr w:type="spellStart"/>
      <w:r>
        <w:rPr>
          <w:lang w:eastAsia="en-AU"/>
        </w:rPr>
        <w:t>Malukiewicz</w:t>
      </w:r>
      <w:proofErr w:type="spellEnd"/>
      <w:r>
        <w:rPr>
          <w:lang w:eastAsia="en-AU"/>
        </w:rPr>
        <w:t xml:space="preserve">, A., </w:t>
      </w:r>
      <w:proofErr w:type="spellStart"/>
      <w:r>
        <w:rPr>
          <w:lang w:eastAsia="en-AU"/>
        </w:rPr>
        <w:t>Kierońska</w:t>
      </w:r>
      <w:proofErr w:type="spellEnd"/>
      <w:r>
        <w:rPr>
          <w:lang w:eastAsia="en-AU"/>
        </w:rPr>
        <w:t xml:space="preserve">, S., et al. (2020). Sub-perception and supra-perception spinal cord stimulation in chronic pain syndrome: A randomized, semi-double-blind, crossover, placebo-controlled trial [Article]. </w:t>
      </w:r>
      <w:r>
        <w:rPr>
          <w:i/>
          <w:iCs/>
          <w:lang w:eastAsia="en-AU"/>
        </w:rPr>
        <w:t>Journal of Clinical Medicine</w:t>
      </w:r>
      <w:r>
        <w:rPr>
          <w:lang w:eastAsia="en-AU"/>
        </w:rPr>
        <w:t>,</w:t>
      </w:r>
      <w:r>
        <w:rPr>
          <w:i/>
          <w:iCs/>
          <w:lang w:eastAsia="en-AU"/>
        </w:rPr>
        <w:t xml:space="preserve"> 9</w:t>
      </w:r>
      <w:r>
        <w:rPr>
          <w:lang w:eastAsia="en-AU"/>
        </w:rPr>
        <w:t xml:space="preserve">(9), 1-/doi.org/10.3390/jcm9092810 </w:t>
      </w:r>
    </w:p>
    <w:p w14:paraId="44B12CBD" w14:textId="7D86B5FB" w:rsidR="002B1D41" w:rsidRDefault="002B1D41" w:rsidP="00BE4358">
      <w:pPr>
        <w:pStyle w:val="References"/>
        <w:rPr>
          <w:lang w:eastAsia="en-AU"/>
        </w:rPr>
      </w:pPr>
      <w:r>
        <w:rPr>
          <w:lang w:eastAsia="en-AU"/>
        </w:rPr>
        <w:t xml:space="preserve">Soldati, E. (2002). National Italian Register of implantable systems for spinal cord stimulation (SCS): Analysis of preliminary data [Article]. </w:t>
      </w:r>
      <w:r>
        <w:rPr>
          <w:i/>
          <w:iCs/>
          <w:lang w:eastAsia="en-AU"/>
        </w:rPr>
        <w:t>Neuromodulation</w:t>
      </w:r>
      <w:r>
        <w:rPr>
          <w:lang w:eastAsia="en-AU"/>
        </w:rPr>
        <w:t>,</w:t>
      </w:r>
      <w:r>
        <w:rPr>
          <w:i/>
          <w:iCs/>
          <w:lang w:eastAsia="en-AU"/>
        </w:rPr>
        <w:t xml:space="preserve"> 5</w:t>
      </w:r>
      <w:r>
        <w:rPr>
          <w:lang w:eastAsia="en-AU"/>
        </w:rPr>
        <w:t xml:space="preserve">(1), 7-/doi.org/10.1046/j.1525-1403.2002._2003.x </w:t>
      </w:r>
    </w:p>
    <w:p w14:paraId="0720B9A0" w14:textId="15293972" w:rsidR="00BE4358" w:rsidRDefault="00BE4358" w:rsidP="00BE4358">
      <w:pPr>
        <w:pStyle w:val="References"/>
        <w:rPr>
          <w:lang w:eastAsia="en-AU"/>
        </w:rPr>
      </w:pPr>
      <w:proofErr w:type="spellStart"/>
      <w:r>
        <w:rPr>
          <w:lang w:eastAsia="en-AU"/>
        </w:rPr>
        <w:t>Spincemaille</w:t>
      </w:r>
      <w:proofErr w:type="spellEnd"/>
      <w:r>
        <w:rPr>
          <w:lang w:eastAsia="en-AU"/>
        </w:rPr>
        <w:t xml:space="preserve">, G. H., Klomp, H. M., </w:t>
      </w:r>
      <w:proofErr w:type="spellStart"/>
      <w:r>
        <w:rPr>
          <w:lang w:eastAsia="en-AU"/>
        </w:rPr>
        <w:t>Steyerberg</w:t>
      </w:r>
      <w:proofErr w:type="spellEnd"/>
      <w:r>
        <w:rPr>
          <w:lang w:eastAsia="en-AU"/>
        </w:rPr>
        <w:t xml:space="preserve">, E. W., et al. (2000). Pain and quality of life in patients with critical limb </w:t>
      </w:r>
      <w:proofErr w:type="spellStart"/>
      <w:r>
        <w:rPr>
          <w:lang w:eastAsia="en-AU"/>
        </w:rPr>
        <w:t>ischaemia</w:t>
      </w:r>
      <w:proofErr w:type="spellEnd"/>
      <w:r>
        <w:rPr>
          <w:lang w:eastAsia="en-AU"/>
        </w:rPr>
        <w:t xml:space="preserve">: results of a randomized controlled multicentre study on the effect of spinal cord stimulation. ESES study group. </w:t>
      </w:r>
      <w:proofErr w:type="spellStart"/>
      <w:r>
        <w:rPr>
          <w:i/>
          <w:iCs/>
          <w:lang w:eastAsia="en-AU"/>
        </w:rPr>
        <w:t>Eur</w:t>
      </w:r>
      <w:proofErr w:type="spellEnd"/>
      <w:r>
        <w:rPr>
          <w:i/>
          <w:iCs/>
          <w:lang w:eastAsia="en-AU"/>
        </w:rPr>
        <w:t xml:space="preserve"> J Pain</w:t>
      </w:r>
      <w:r>
        <w:rPr>
          <w:lang w:eastAsia="en-AU"/>
        </w:rPr>
        <w:t>,</w:t>
      </w:r>
      <w:r>
        <w:rPr>
          <w:i/>
          <w:iCs/>
          <w:lang w:eastAsia="en-AU"/>
        </w:rPr>
        <w:t xml:space="preserve"> 4</w:t>
      </w:r>
      <w:r>
        <w:rPr>
          <w:lang w:eastAsia="en-AU"/>
        </w:rPr>
        <w:t xml:space="preserve">(2), 173-1/doi.org/10.1053/eujp.2000.0170 </w:t>
      </w:r>
    </w:p>
    <w:p w14:paraId="0D7DF137" w14:textId="3B4F3792" w:rsidR="00BE4358" w:rsidRDefault="00BE4358" w:rsidP="00BE4358">
      <w:pPr>
        <w:pStyle w:val="References"/>
        <w:rPr>
          <w:lang w:eastAsia="en-AU"/>
        </w:rPr>
      </w:pPr>
      <w:proofErr w:type="spellStart"/>
      <w:r>
        <w:rPr>
          <w:lang w:eastAsia="en-AU"/>
        </w:rPr>
        <w:t>Spincemaille</w:t>
      </w:r>
      <w:proofErr w:type="spellEnd"/>
      <w:r>
        <w:rPr>
          <w:lang w:eastAsia="en-AU"/>
        </w:rPr>
        <w:t xml:space="preserve">, G. H., Klomp, H. M., </w:t>
      </w:r>
      <w:proofErr w:type="spellStart"/>
      <w:r>
        <w:rPr>
          <w:lang w:eastAsia="en-AU"/>
        </w:rPr>
        <w:t>Steyerberg</w:t>
      </w:r>
      <w:proofErr w:type="spellEnd"/>
      <w:r>
        <w:rPr>
          <w:lang w:eastAsia="en-AU"/>
        </w:rPr>
        <w:t xml:space="preserve">, E. W., et al. (2000). Spinal cord stimulation in patients with critical limb ischemia: A preliminary evaluation of a multicentre trial [Article]. </w:t>
      </w:r>
      <w:r>
        <w:rPr>
          <w:i/>
          <w:iCs/>
          <w:lang w:eastAsia="en-AU"/>
        </w:rPr>
        <w:t xml:space="preserve">Acta </w:t>
      </w:r>
      <w:proofErr w:type="spellStart"/>
      <w:r>
        <w:rPr>
          <w:i/>
          <w:iCs/>
          <w:lang w:eastAsia="en-AU"/>
        </w:rPr>
        <w:t>Chirurgica</w:t>
      </w:r>
      <w:proofErr w:type="spellEnd"/>
      <w:r>
        <w:rPr>
          <w:i/>
          <w:iCs/>
          <w:lang w:eastAsia="en-AU"/>
        </w:rPr>
        <w:t xml:space="preserve"> </w:t>
      </w:r>
      <w:proofErr w:type="spellStart"/>
      <w:r>
        <w:rPr>
          <w:i/>
          <w:iCs/>
          <w:lang w:eastAsia="en-AU"/>
        </w:rPr>
        <w:t>Austriaca</w:t>
      </w:r>
      <w:proofErr w:type="spellEnd"/>
      <w:r>
        <w:rPr>
          <w:lang w:eastAsia="en-AU"/>
        </w:rPr>
        <w:t>,</w:t>
      </w:r>
      <w:r>
        <w:rPr>
          <w:i/>
          <w:iCs/>
          <w:lang w:eastAsia="en-AU"/>
        </w:rPr>
        <w:t xml:space="preserve"> 32</w:t>
      </w:r>
      <w:r>
        <w:rPr>
          <w:lang w:eastAsia="en-AU"/>
        </w:rPr>
        <w:t xml:space="preserve">(2), 49-/doi.org/10.1046/j.1563-2563.2000.00049.x </w:t>
      </w:r>
    </w:p>
    <w:p w14:paraId="339B8666" w14:textId="665100A2" w:rsidR="00BE4358" w:rsidRDefault="00BE4358" w:rsidP="00BE4358">
      <w:pPr>
        <w:pStyle w:val="References"/>
        <w:rPr>
          <w:lang w:eastAsia="en-AU"/>
        </w:rPr>
      </w:pPr>
      <w:proofErr w:type="spellStart"/>
      <w:r>
        <w:rPr>
          <w:lang w:eastAsia="en-AU"/>
        </w:rPr>
        <w:t>Spincemaille</w:t>
      </w:r>
      <w:proofErr w:type="spellEnd"/>
      <w:r>
        <w:rPr>
          <w:lang w:eastAsia="en-AU"/>
        </w:rPr>
        <w:t xml:space="preserve">, G. H., Klomp, H. M., </w:t>
      </w:r>
      <w:proofErr w:type="spellStart"/>
      <w:r>
        <w:rPr>
          <w:lang w:eastAsia="en-AU"/>
        </w:rPr>
        <w:t>Steyerberg</w:t>
      </w:r>
      <w:proofErr w:type="spellEnd"/>
      <w:r>
        <w:rPr>
          <w:lang w:eastAsia="en-AU"/>
        </w:rPr>
        <w:t xml:space="preserve">, E. W., et al. (2000). Technical data and complications of spinal cord stimulation: data from a randomized trial on critical limb ischemia. </w:t>
      </w:r>
      <w:proofErr w:type="spellStart"/>
      <w:r>
        <w:rPr>
          <w:i/>
          <w:iCs/>
          <w:lang w:eastAsia="en-AU"/>
        </w:rPr>
        <w:t>Stereotact</w:t>
      </w:r>
      <w:proofErr w:type="spellEnd"/>
      <w:r>
        <w:rPr>
          <w:i/>
          <w:iCs/>
          <w:lang w:eastAsia="en-AU"/>
        </w:rPr>
        <w:t xml:space="preserve"> </w:t>
      </w:r>
      <w:proofErr w:type="spellStart"/>
      <w:r>
        <w:rPr>
          <w:i/>
          <w:iCs/>
          <w:lang w:eastAsia="en-AU"/>
        </w:rPr>
        <w:t>Funct</w:t>
      </w:r>
      <w:proofErr w:type="spellEnd"/>
      <w:r>
        <w:rPr>
          <w:i/>
          <w:iCs/>
          <w:lang w:eastAsia="en-AU"/>
        </w:rPr>
        <w:t xml:space="preserve"> </w:t>
      </w:r>
      <w:proofErr w:type="spellStart"/>
      <w:r>
        <w:rPr>
          <w:i/>
          <w:iCs/>
          <w:lang w:eastAsia="en-AU"/>
        </w:rPr>
        <w:t>Neurosurg</w:t>
      </w:r>
      <w:proofErr w:type="spellEnd"/>
      <w:r>
        <w:rPr>
          <w:lang w:eastAsia="en-AU"/>
        </w:rPr>
        <w:t>,</w:t>
      </w:r>
      <w:r>
        <w:rPr>
          <w:i/>
          <w:iCs/>
          <w:lang w:eastAsia="en-AU"/>
        </w:rPr>
        <w:t xml:space="preserve"> 74</w:t>
      </w:r>
      <w:r>
        <w:rPr>
          <w:lang w:eastAsia="en-AU"/>
        </w:rPr>
        <w:t xml:space="preserve">(2), 63-/doi.org/10.1159/000056465 </w:t>
      </w:r>
    </w:p>
    <w:p w14:paraId="5C0E27D3" w14:textId="24AFB097" w:rsidR="002B1D41" w:rsidRDefault="002B1D41" w:rsidP="00BE4358">
      <w:pPr>
        <w:pStyle w:val="References"/>
        <w:rPr>
          <w:lang w:eastAsia="en-AU"/>
        </w:rPr>
      </w:pPr>
      <w:proofErr w:type="spellStart"/>
      <w:r>
        <w:rPr>
          <w:lang w:eastAsia="en-AU"/>
        </w:rPr>
        <w:t>Stauss</w:t>
      </w:r>
      <w:proofErr w:type="spellEnd"/>
      <w:r>
        <w:rPr>
          <w:lang w:eastAsia="en-AU"/>
        </w:rPr>
        <w:t xml:space="preserve">, T., El </w:t>
      </w:r>
      <w:proofErr w:type="spellStart"/>
      <w:r>
        <w:rPr>
          <w:lang w:eastAsia="en-AU"/>
        </w:rPr>
        <w:t>Majdoub</w:t>
      </w:r>
      <w:proofErr w:type="spellEnd"/>
      <w:r>
        <w:rPr>
          <w:lang w:eastAsia="en-AU"/>
        </w:rPr>
        <w:t xml:space="preserve">, F., Sayed, D., et al. (2019). A </w:t>
      </w:r>
      <w:proofErr w:type="spellStart"/>
      <w:r>
        <w:rPr>
          <w:lang w:eastAsia="en-AU"/>
        </w:rPr>
        <w:t>multicenter</w:t>
      </w:r>
      <w:proofErr w:type="spellEnd"/>
      <w:r>
        <w:rPr>
          <w:lang w:eastAsia="en-AU"/>
        </w:rPr>
        <w:t xml:space="preserve"> real-world review of 10 kHz SCS outcomes for treatment of chronic trunk and/or limb pain [Article]. </w:t>
      </w:r>
      <w:r>
        <w:rPr>
          <w:i/>
          <w:iCs/>
          <w:lang w:eastAsia="en-AU"/>
        </w:rPr>
        <w:t>Annals of Clinical and Translational Neurology</w:t>
      </w:r>
      <w:r>
        <w:rPr>
          <w:lang w:eastAsia="en-AU"/>
        </w:rPr>
        <w:t>,</w:t>
      </w:r>
      <w:r>
        <w:rPr>
          <w:i/>
          <w:iCs/>
          <w:lang w:eastAsia="en-AU"/>
        </w:rPr>
        <w:t xml:space="preserve"> 6</w:t>
      </w:r>
      <w:r>
        <w:rPr>
          <w:lang w:eastAsia="en-AU"/>
        </w:rPr>
        <w:t xml:space="preserve">(3), 496-5/doi.org/10.1002/acn3.720 </w:t>
      </w:r>
    </w:p>
    <w:p w14:paraId="261AA956" w14:textId="6849BDEF" w:rsidR="002B1D41" w:rsidRDefault="002B1D41" w:rsidP="00BE4358">
      <w:pPr>
        <w:pStyle w:val="References"/>
        <w:rPr>
          <w:lang w:eastAsia="en-AU"/>
        </w:rPr>
      </w:pPr>
      <w:r>
        <w:rPr>
          <w:lang w:eastAsia="en-AU"/>
        </w:rPr>
        <w:t xml:space="preserve">Steinbach, K., </w:t>
      </w:r>
      <w:proofErr w:type="spellStart"/>
      <w:r>
        <w:rPr>
          <w:lang w:eastAsia="en-AU"/>
        </w:rPr>
        <w:t>Bettstetter</w:t>
      </w:r>
      <w:proofErr w:type="spellEnd"/>
      <w:r>
        <w:rPr>
          <w:lang w:eastAsia="en-AU"/>
        </w:rPr>
        <w:t xml:space="preserve">, H., &amp; Link, C. (2017). High-frequency spinal cord stimulation at 10 kHz for the treatment of chronic neuropathic pain after a II-III degree burn [Letter]. </w:t>
      </w:r>
      <w:r>
        <w:rPr>
          <w:i/>
          <w:iCs/>
          <w:lang w:eastAsia="en-AU"/>
        </w:rPr>
        <w:t>Pain Medicine (United States)</w:t>
      </w:r>
      <w:r>
        <w:rPr>
          <w:lang w:eastAsia="en-AU"/>
        </w:rPr>
        <w:t>,</w:t>
      </w:r>
      <w:r>
        <w:rPr>
          <w:i/>
          <w:iCs/>
          <w:lang w:eastAsia="en-AU"/>
        </w:rPr>
        <w:t xml:space="preserve"> 18</w:t>
      </w:r>
      <w:r>
        <w:rPr>
          <w:lang w:eastAsia="en-AU"/>
        </w:rPr>
        <w:t xml:space="preserve">(9), 1826-18/doi.org/10.1093/pm/pnx012 </w:t>
      </w:r>
    </w:p>
    <w:p w14:paraId="67DF205B" w14:textId="396A290F" w:rsidR="002B1D41" w:rsidRDefault="002B1D41" w:rsidP="00BE4358">
      <w:pPr>
        <w:pStyle w:val="References"/>
        <w:rPr>
          <w:lang w:eastAsia="en-AU"/>
        </w:rPr>
      </w:pPr>
      <w:r>
        <w:rPr>
          <w:lang w:eastAsia="en-AU"/>
        </w:rPr>
        <w:lastRenderedPageBreak/>
        <w:t xml:space="preserve">Sullivan, R., Russo, M., Taylor, N., et al. (2023). Spinal Cord Stimulator Complications Reported to the Australian Therapeutic Goods Administration [Article]. </w:t>
      </w:r>
      <w:r>
        <w:rPr>
          <w:i/>
          <w:iCs/>
          <w:lang w:eastAsia="en-AU"/>
        </w:rPr>
        <w:t>Journal of patient safety</w:t>
      </w:r>
      <w:r>
        <w:rPr>
          <w:lang w:eastAsia="en-AU"/>
        </w:rPr>
        <w:t>,</w:t>
      </w:r>
      <w:r>
        <w:rPr>
          <w:i/>
          <w:iCs/>
          <w:lang w:eastAsia="en-AU"/>
        </w:rPr>
        <w:t xml:space="preserve"> 19</w:t>
      </w:r>
      <w:r>
        <w:rPr>
          <w:lang w:eastAsia="en-AU"/>
        </w:rPr>
        <w:t xml:space="preserve">(2), e53-e/doi.org/10.1097/PTS.0000000000001075 </w:t>
      </w:r>
    </w:p>
    <w:p w14:paraId="11E3AC48" w14:textId="77777777" w:rsidR="00BE4358" w:rsidRDefault="00BE4358" w:rsidP="00BE4358">
      <w:pPr>
        <w:pStyle w:val="References"/>
        <w:rPr>
          <w:lang w:eastAsia="en-AU"/>
        </w:rPr>
      </w:pPr>
      <w:proofErr w:type="spellStart"/>
      <w:r>
        <w:rPr>
          <w:lang w:eastAsia="en-AU"/>
        </w:rPr>
        <w:t>Suy</w:t>
      </w:r>
      <w:proofErr w:type="spellEnd"/>
      <w:r>
        <w:rPr>
          <w:lang w:eastAsia="en-AU"/>
        </w:rPr>
        <w:t xml:space="preserve">, R., </w:t>
      </w:r>
      <w:proofErr w:type="spellStart"/>
      <w:r>
        <w:rPr>
          <w:lang w:eastAsia="en-AU"/>
        </w:rPr>
        <w:t>Gybels</w:t>
      </w:r>
      <w:proofErr w:type="spellEnd"/>
      <w:r>
        <w:rPr>
          <w:lang w:eastAsia="en-AU"/>
        </w:rPr>
        <w:t xml:space="preserve">, J., Van Damme, H., et al. (1994). Spinal cord Stimulation for ischemic rest pain. The Belgian randomized study. </w:t>
      </w:r>
      <w:r>
        <w:rPr>
          <w:i/>
          <w:iCs/>
          <w:lang w:eastAsia="en-AU"/>
        </w:rPr>
        <w:t>Spinal Cord Stimulation</w:t>
      </w:r>
      <w:r>
        <w:rPr>
          <w:lang w:eastAsia="en-AU"/>
        </w:rPr>
        <w:t xml:space="preserve">, 197-202. </w:t>
      </w:r>
    </w:p>
    <w:p w14:paraId="75E93446" w14:textId="353B6D11" w:rsidR="002B1D41" w:rsidRDefault="002B1D41" w:rsidP="00BE4358">
      <w:pPr>
        <w:pStyle w:val="References"/>
        <w:rPr>
          <w:lang w:eastAsia="en-AU"/>
        </w:rPr>
      </w:pPr>
      <w:r>
        <w:rPr>
          <w:lang w:eastAsia="en-AU"/>
        </w:rPr>
        <w:t xml:space="preserve">Sweet, J., </w:t>
      </w:r>
      <w:proofErr w:type="spellStart"/>
      <w:r>
        <w:rPr>
          <w:lang w:eastAsia="en-AU"/>
        </w:rPr>
        <w:t>Badjatiya</w:t>
      </w:r>
      <w:proofErr w:type="spellEnd"/>
      <w:r>
        <w:rPr>
          <w:lang w:eastAsia="en-AU"/>
        </w:rPr>
        <w:t xml:space="preserve">, A., Tan, D., et al. (2016). </w:t>
      </w:r>
      <w:proofErr w:type="spellStart"/>
      <w:r>
        <w:rPr>
          <w:lang w:eastAsia="en-AU"/>
        </w:rPr>
        <w:t>Paresthesia</w:t>
      </w:r>
      <w:proofErr w:type="spellEnd"/>
      <w:r>
        <w:rPr>
          <w:lang w:eastAsia="en-AU"/>
        </w:rPr>
        <w:t xml:space="preserve">-Free High-Density Spinal Cord Stimulation for </w:t>
      </w:r>
      <w:proofErr w:type="spellStart"/>
      <w:r>
        <w:rPr>
          <w:lang w:eastAsia="en-AU"/>
        </w:rPr>
        <w:t>Postlaminectomy</w:t>
      </w:r>
      <w:proofErr w:type="spellEnd"/>
      <w:r>
        <w:rPr>
          <w:lang w:eastAsia="en-AU"/>
        </w:rPr>
        <w:t xml:space="preserve"> Syndrome in a </w:t>
      </w:r>
      <w:proofErr w:type="spellStart"/>
      <w:r>
        <w:rPr>
          <w:lang w:eastAsia="en-AU"/>
        </w:rPr>
        <w:t>Prescreened</w:t>
      </w:r>
      <w:proofErr w:type="spellEnd"/>
      <w:r>
        <w:rPr>
          <w:lang w:eastAsia="en-AU"/>
        </w:rPr>
        <w:t xml:space="preserve"> Population: A Prospective Case Series [Article]. </w:t>
      </w:r>
      <w:r>
        <w:rPr>
          <w:i/>
          <w:iCs/>
          <w:lang w:eastAsia="en-AU"/>
        </w:rPr>
        <w:t>Neuromodulation</w:t>
      </w:r>
      <w:r>
        <w:rPr>
          <w:lang w:eastAsia="en-AU"/>
        </w:rPr>
        <w:t>,</w:t>
      </w:r>
      <w:r>
        <w:rPr>
          <w:i/>
          <w:iCs/>
          <w:lang w:eastAsia="en-AU"/>
        </w:rPr>
        <w:t xml:space="preserve"> 19</w:t>
      </w:r>
      <w:r>
        <w:rPr>
          <w:lang w:eastAsia="en-AU"/>
        </w:rPr>
        <w:t xml:space="preserve">(3), 260-2/doi.org/10.1111/ner.12357 </w:t>
      </w:r>
    </w:p>
    <w:p w14:paraId="0E874CE1" w14:textId="35D65DC7" w:rsidR="002B1D41" w:rsidRDefault="002B1D41" w:rsidP="00BE4358">
      <w:pPr>
        <w:pStyle w:val="References"/>
        <w:rPr>
          <w:lang w:eastAsia="en-AU"/>
        </w:rPr>
      </w:pPr>
      <w:r>
        <w:rPr>
          <w:lang w:eastAsia="en-AU"/>
        </w:rPr>
        <w:t xml:space="preserve">Tariq, A., </w:t>
      </w:r>
      <w:proofErr w:type="spellStart"/>
      <w:r>
        <w:rPr>
          <w:lang w:eastAsia="en-AU"/>
        </w:rPr>
        <w:t>Eldabe</w:t>
      </w:r>
      <w:proofErr w:type="spellEnd"/>
      <w:r>
        <w:rPr>
          <w:lang w:eastAsia="en-AU"/>
        </w:rPr>
        <w:t xml:space="preserve">, S., </w:t>
      </w:r>
      <w:proofErr w:type="spellStart"/>
      <w:r>
        <w:rPr>
          <w:lang w:eastAsia="en-AU"/>
        </w:rPr>
        <w:t>Madzinga</w:t>
      </w:r>
      <w:proofErr w:type="spellEnd"/>
      <w:r>
        <w:rPr>
          <w:lang w:eastAsia="en-AU"/>
        </w:rPr>
        <w:t xml:space="preserve">, G., et al. (2020). Analgesic efficacy of “burst” and tonic (500 Hz) spinal cord stimulation patterns: A randomised placebo-controlled study [Conference Abstract]. </w:t>
      </w:r>
      <w:r>
        <w:rPr>
          <w:i/>
          <w:iCs/>
          <w:lang w:eastAsia="en-AU"/>
        </w:rPr>
        <w:t>Neuromodulation</w:t>
      </w:r>
      <w:r>
        <w:rPr>
          <w:lang w:eastAsia="en-AU"/>
        </w:rPr>
        <w:t>,</w:t>
      </w:r>
      <w:r>
        <w:rPr>
          <w:i/>
          <w:iCs/>
          <w:lang w:eastAsia="en-AU"/>
        </w:rPr>
        <w:t xml:space="preserve"> 23</w:t>
      </w:r>
      <w:r>
        <w:rPr>
          <w:lang w:eastAsia="en-AU"/>
        </w:rPr>
        <w:t xml:space="preserve">(3), e2/doi.org/10.1111/ner.13133 </w:t>
      </w:r>
    </w:p>
    <w:p w14:paraId="779D197E" w14:textId="62C05C0E" w:rsidR="002B1D41" w:rsidRDefault="002B1D41" w:rsidP="00BE4358">
      <w:pPr>
        <w:pStyle w:val="References"/>
        <w:rPr>
          <w:lang w:eastAsia="en-AU"/>
        </w:rPr>
      </w:pPr>
      <w:r>
        <w:rPr>
          <w:lang w:eastAsia="en-AU"/>
        </w:rPr>
        <w:t xml:space="preserve">Taylor, R. J., &amp; Taylor, R. S. (2005). Spinal cord stimulation for failed back surgery syndrome: A decision-analytic model and cost-effectiveness analysis [Review]. </w:t>
      </w:r>
      <w:r>
        <w:rPr>
          <w:i/>
          <w:iCs/>
          <w:lang w:eastAsia="en-AU"/>
        </w:rPr>
        <w:t>International Journal of Technology Assessment in Health Care</w:t>
      </w:r>
      <w:r>
        <w:rPr>
          <w:lang w:eastAsia="en-AU"/>
        </w:rPr>
        <w:t>,</w:t>
      </w:r>
      <w:r>
        <w:rPr>
          <w:i/>
          <w:iCs/>
          <w:lang w:eastAsia="en-AU"/>
        </w:rPr>
        <w:t xml:space="preserve"> 21</w:t>
      </w:r>
      <w:r>
        <w:rPr>
          <w:lang w:eastAsia="en-AU"/>
        </w:rPr>
        <w:t xml:space="preserve">(3), 351-3/doi.org/10.1017/S0266462305050464 </w:t>
      </w:r>
    </w:p>
    <w:p w14:paraId="60E7FB18" w14:textId="658D5788" w:rsidR="002B1D41" w:rsidRDefault="002B1D41" w:rsidP="00BE4358">
      <w:pPr>
        <w:pStyle w:val="References"/>
        <w:rPr>
          <w:lang w:eastAsia="en-AU"/>
        </w:rPr>
      </w:pPr>
      <w:r>
        <w:rPr>
          <w:lang w:eastAsia="en-AU"/>
        </w:rPr>
        <w:t xml:space="preserve">Taylor, R. S., Bentley, A., Campbell, B., et al. (2020). High-frequency 10 kHz Spinal Cord Stimulation for Chronic Back and Leg Pain: Cost-consequence and Cost-effectiveness Analyses [Article]. </w:t>
      </w:r>
      <w:r>
        <w:rPr>
          <w:i/>
          <w:iCs/>
          <w:lang w:eastAsia="en-AU"/>
        </w:rPr>
        <w:t>Clinical Journal of Pain</w:t>
      </w:r>
      <w:r>
        <w:rPr>
          <w:lang w:eastAsia="en-AU"/>
        </w:rPr>
        <w:t>,</w:t>
      </w:r>
      <w:r>
        <w:rPr>
          <w:i/>
          <w:iCs/>
          <w:lang w:eastAsia="en-AU"/>
        </w:rPr>
        <w:t xml:space="preserve"> 36</w:t>
      </w:r>
      <w:r>
        <w:rPr>
          <w:lang w:eastAsia="en-AU"/>
        </w:rPr>
        <w:t xml:space="preserve">(11), 852-8/doi.org/10.1097/AJP.0000000000000866 </w:t>
      </w:r>
    </w:p>
    <w:p w14:paraId="3E98BF88" w14:textId="434C09DB" w:rsidR="002B1D41" w:rsidRDefault="002B1D41" w:rsidP="00BE4358">
      <w:pPr>
        <w:pStyle w:val="References"/>
        <w:rPr>
          <w:lang w:eastAsia="en-AU"/>
        </w:rPr>
      </w:pPr>
      <w:r>
        <w:rPr>
          <w:lang w:eastAsia="en-AU"/>
        </w:rPr>
        <w:t xml:space="preserve">Taylor, R. S., Ryan, J., O'Donnell, R., et al. (2010). The cost-effectiveness of spinal cord stimulation in the treatment of failed back surgery syndrome [Article]. </w:t>
      </w:r>
      <w:r>
        <w:rPr>
          <w:i/>
          <w:iCs/>
          <w:lang w:eastAsia="en-AU"/>
        </w:rPr>
        <w:t>Clinical Journal of Pain</w:t>
      </w:r>
      <w:r>
        <w:rPr>
          <w:lang w:eastAsia="en-AU"/>
        </w:rPr>
        <w:t>,</w:t>
      </w:r>
      <w:r>
        <w:rPr>
          <w:i/>
          <w:iCs/>
          <w:lang w:eastAsia="en-AU"/>
        </w:rPr>
        <w:t xml:space="preserve"> 26</w:t>
      </w:r>
      <w:r>
        <w:rPr>
          <w:lang w:eastAsia="en-AU"/>
        </w:rPr>
        <w:t xml:space="preserve">(6), 463-4/doi.org/10.1097/AJP.0b013e3181daccec </w:t>
      </w:r>
    </w:p>
    <w:p w14:paraId="04F888E5" w14:textId="1771A77A" w:rsidR="002B1D41" w:rsidRDefault="002B1D41" w:rsidP="00BE4358">
      <w:pPr>
        <w:pStyle w:val="References"/>
        <w:rPr>
          <w:lang w:eastAsia="en-AU"/>
        </w:rPr>
      </w:pPr>
      <w:r>
        <w:rPr>
          <w:lang w:eastAsia="en-AU"/>
        </w:rPr>
        <w:t xml:space="preserve">Taylor, R. S., Taylor, R. J., Van </w:t>
      </w:r>
      <w:proofErr w:type="spellStart"/>
      <w:r>
        <w:rPr>
          <w:lang w:eastAsia="en-AU"/>
        </w:rPr>
        <w:t>Buyten</w:t>
      </w:r>
      <w:proofErr w:type="spellEnd"/>
      <w:r>
        <w:rPr>
          <w:lang w:eastAsia="en-AU"/>
        </w:rPr>
        <w:t xml:space="preserve">, J. P., et al. (2004). The cost effectiveness of spinal cord stimulation in the treatment of pain: A systematic review of the literature [Review]. </w:t>
      </w:r>
      <w:r>
        <w:rPr>
          <w:i/>
          <w:iCs/>
          <w:lang w:eastAsia="en-AU"/>
        </w:rPr>
        <w:t>Journal of Pain and Symptom Management</w:t>
      </w:r>
      <w:r>
        <w:rPr>
          <w:lang w:eastAsia="en-AU"/>
        </w:rPr>
        <w:t>,</w:t>
      </w:r>
      <w:r>
        <w:rPr>
          <w:i/>
          <w:iCs/>
          <w:lang w:eastAsia="en-AU"/>
        </w:rPr>
        <w:t xml:space="preserve"> 27</w:t>
      </w:r>
      <w:r>
        <w:rPr>
          <w:lang w:eastAsia="en-AU"/>
        </w:rPr>
        <w:t xml:space="preserve">(4), 370-3/doi.org/10.1016/j.jpainsymman.2003.09.009 </w:t>
      </w:r>
    </w:p>
    <w:p w14:paraId="4DA86D6A" w14:textId="0DE778FB" w:rsidR="002B1D41" w:rsidRDefault="002B1D41" w:rsidP="00BE4358">
      <w:pPr>
        <w:pStyle w:val="References"/>
        <w:rPr>
          <w:lang w:eastAsia="en-AU"/>
        </w:rPr>
      </w:pPr>
      <w:r>
        <w:rPr>
          <w:lang w:eastAsia="en-AU"/>
        </w:rPr>
        <w:t xml:space="preserve">Taylor, R. S., Van </w:t>
      </w:r>
      <w:proofErr w:type="spellStart"/>
      <w:r>
        <w:rPr>
          <w:lang w:eastAsia="en-AU"/>
        </w:rPr>
        <w:t>Buyten</w:t>
      </w:r>
      <w:proofErr w:type="spellEnd"/>
      <w:r>
        <w:rPr>
          <w:lang w:eastAsia="en-AU"/>
        </w:rPr>
        <w:t xml:space="preserve">, J. P., &amp; </w:t>
      </w:r>
      <w:proofErr w:type="spellStart"/>
      <w:r>
        <w:rPr>
          <w:lang w:eastAsia="en-AU"/>
        </w:rPr>
        <w:t>Buchser</w:t>
      </w:r>
      <w:proofErr w:type="spellEnd"/>
      <w:r>
        <w:rPr>
          <w:lang w:eastAsia="en-AU"/>
        </w:rPr>
        <w:t xml:space="preserve">, E. (2005). Spinal cord stimulation for chronic back and leg pain and failed back surgery syndrome: A systematic review and analysis of prognostic factors [Review]. </w:t>
      </w:r>
      <w:r>
        <w:rPr>
          <w:i/>
          <w:iCs/>
          <w:lang w:eastAsia="en-AU"/>
        </w:rPr>
        <w:t>Spine</w:t>
      </w:r>
      <w:r>
        <w:rPr>
          <w:lang w:eastAsia="en-AU"/>
        </w:rPr>
        <w:t>,</w:t>
      </w:r>
      <w:r>
        <w:rPr>
          <w:i/>
          <w:iCs/>
          <w:lang w:eastAsia="en-AU"/>
        </w:rPr>
        <w:t xml:space="preserve"> 30</w:t>
      </w:r>
      <w:r>
        <w:rPr>
          <w:lang w:eastAsia="en-AU"/>
        </w:rPr>
        <w:t xml:space="preserve">(1), 152-1/doi.org/10.1097/01.brs.0000149199.68381.fe </w:t>
      </w:r>
    </w:p>
    <w:p w14:paraId="4B45270E" w14:textId="739A986A" w:rsidR="00BE4358" w:rsidRDefault="00BE4358" w:rsidP="00BE4358">
      <w:pPr>
        <w:pStyle w:val="References"/>
        <w:rPr>
          <w:lang w:eastAsia="en-AU"/>
        </w:rPr>
      </w:pPr>
      <w:r>
        <w:rPr>
          <w:lang w:eastAsia="en-AU"/>
        </w:rPr>
        <w:t xml:space="preserve">Thomson, S. J., </w:t>
      </w:r>
      <w:proofErr w:type="spellStart"/>
      <w:r>
        <w:rPr>
          <w:lang w:eastAsia="en-AU"/>
        </w:rPr>
        <w:t>Tavakkolizadeh</w:t>
      </w:r>
      <w:proofErr w:type="spellEnd"/>
      <w:r>
        <w:rPr>
          <w:lang w:eastAsia="en-AU"/>
        </w:rPr>
        <w:t xml:space="preserve">, M., Love-Jones, S., et al. (2018). Effects of Rate on Analgesia in Kilohertz Frequency Spinal Cord Stimulation: Results of the PROCO Randomized Controlled Trial [Article]. </w:t>
      </w:r>
      <w:r>
        <w:rPr>
          <w:i/>
          <w:iCs/>
          <w:lang w:eastAsia="en-AU"/>
        </w:rPr>
        <w:t>Neuromodulation</w:t>
      </w:r>
      <w:r>
        <w:rPr>
          <w:lang w:eastAsia="en-AU"/>
        </w:rPr>
        <w:t>,</w:t>
      </w:r>
      <w:r>
        <w:rPr>
          <w:i/>
          <w:iCs/>
          <w:lang w:eastAsia="en-AU"/>
        </w:rPr>
        <w:t xml:space="preserve"> 21</w:t>
      </w:r>
      <w:r>
        <w:rPr>
          <w:lang w:eastAsia="en-AU"/>
        </w:rPr>
        <w:t xml:space="preserve">(1), 67-/doi.org/10.1111/ner.12746 </w:t>
      </w:r>
    </w:p>
    <w:p w14:paraId="517A6C80" w14:textId="60D5D7D9" w:rsidR="002B1D41" w:rsidRDefault="002B1D41" w:rsidP="00BE4358">
      <w:pPr>
        <w:pStyle w:val="References"/>
        <w:rPr>
          <w:lang w:eastAsia="en-AU"/>
        </w:rPr>
      </w:pPr>
      <w:r>
        <w:rPr>
          <w:lang w:eastAsia="en-AU"/>
        </w:rPr>
        <w:t xml:space="preserve">Thomson, S., </w:t>
      </w:r>
      <w:proofErr w:type="spellStart"/>
      <w:r>
        <w:rPr>
          <w:lang w:eastAsia="en-AU"/>
        </w:rPr>
        <w:t>Huygen</w:t>
      </w:r>
      <w:proofErr w:type="spellEnd"/>
      <w:r>
        <w:rPr>
          <w:lang w:eastAsia="en-AU"/>
        </w:rPr>
        <w:t xml:space="preserve">, F., </w:t>
      </w:r>
      <w:proofErr w:type="spellStart"/>
      <w:r>
        <w:rPr>
          <w:lang w:eastAsia="en-AU"/>
        </w:rPr>
        <w:t>Prangnell</w:t>
      </w:r>
      <w:proofErr w:type="spellEnd"/>
      <w:r>
        <w:rPr>
          <w:lang w:eastAsia="en-AU"/>
        </w:rPr>
        <w:t xml:space="preserve">, S., et al. (2020). Appropriate referral and selection of patients with chronic pain for spinal cord stimulation: European consensus recommendations and e-health tool [Article]. </w:t>
      </w:r>
      <w:r>
        <w:rPr>
          <w:i/>
          <w:iCs/>
          <w:lang w:eastAsia="en-AU"/>
        </w:rPr>
        <w:t>European Journal of Pain (United Kingdom)</w:t>
      </w:r>
      <w:r>
        <w:rPr>
          <w:lang w:eastAsia="en-AU"/>
        </w:rPr>
        <w:t>,</w:t>
      </w:r>
      <w:r>
        <w:rPr>
          <w:i/>
          <w:iCs/>
          <w:lang w:eastAsia="en-AU"/>
        </w:rPr>
        <w:t xml:space="preserve"> 24</w:t>
      </w:r>
      <w:r>
        <w:rPr>
          <w:lang w:eastAsia="en-AU"/>
        </w:rPr>
        <w:t xml:space="preserve">(6), 1169-11/doi.org/10.1002/ejp.1562 </w:t>
      </w:r>
    </w:p>
    <w:p w14:paraId="60A1410A" w14:textId="15A0DCDA" w:rsidR="002B1D41" w:rsidRDefault="00BE4358" w:rsidP="00BE4358">
      <w:pPr>
        <w:pStyle w:val="References"/>
        <w:rPr>
          <w:lang w:eastAsia="en-AU"/>
        </w:rPr>
      </w:pPr>
      <w:r>
        <w:rPr>
          <w:lang w:eastAsia="en-AU"/>
        </w:rPr>
        <w:t xml:space="preserve">Thomson, S., </w:t>
      </w:r>
      <w:proofErr w:type="spellStart"/>
      <w:r>
        <w:rPr>
          <w:lang w:eastAsia="en-AU"/>
        </w:rPr>
        <w:t>Kallewaard</w:t>
      </w:r>
      <w:proofErr w:type="spellEnd"/>
      <w:r>
        <w:rPr>
          <w:lang w:eastAsia="en-AU"/>
        </w:rPr>
        <w:t xml:space="preserve">, J. W., &amp; </w:t>
      </w:r>
      <w:proofErr w:type="spellStart"/>
      <w:r>
        <w:rPr>
          <w:lang w:eastAsia="en-AU"/>
        </w:rPr>
        <w:t>Gatzinsky</w:t>
      </w:r>
      <w:proofErr w:type="spellEnd"/>
      <w:r>
        <w:rPr>
          <w:lang w:eastAsia="en-AU"/>
        </w:rPr>
        <w:t xml:space="preserve">, K. (2023). Spinal Cord Burst Stimulation vs Placebo Stimulation for Patients With Chronic Radicular Pain After Lumbar Spine Surgery [Letter]. </w:t>
      </w:r>
      <w:r>
        <w:rPr>
          <w:i/>
          <w:iCs/>
          <w:lang w:eastAsia="en-AU"/>
        </w:rPr>
        <w:t>JAMA</w:t>
      </w:r>
      <w:r>
        <w:rPr>
          <w:lang w:eastAsia="en-AU"/>
        </w:rPr>
        <w:t>,</w:t>
      </w:r>
      <w:r>
        <w:rPr>
          <w:i/>
          <w:iCs/>
          <w:lang w:eastAsia="en-AU"/>
        </w:rPr>
        <w:t xml:space="preserve"> 329</w:t>
      </w:r>
      <w:r>
        <w:rPr>
          <w:lang w:eastAsia="en-AU"/>
        </w:rPr>
        <w:t xml:space="preserve">(10), 8/doi.org/10.1001/jama.2022.24742 </w:t>
      </w:r>
    </w:p>
    <w:p w14:paraId="254914F8" w14:textId="6C9FA67A" w:rsidR="002B1D41" w:rsidRDefault="002B1D41" w:rsidP="00BE4358">
      <w:pPr>
        <w:pStyle w:val="References"/>
        <w:rPr>
          <w:lang w:eastAsia="en-AU"/>
        </w:rPr>
      </w:pPr>
      <w:proofErr w:type="spellStart"/>
      <w:r>
        <w:rPr>
          <w:lang w:eastAsia="en-AU"/>
        </w:rPr>
        <w:t>Tiede</w:t>
      </w:r>
      <w:proofErr w:type="spellEnd"/>
      <w:r>
        <w:rPr>
          <w:lang w:eastAsia="en-AU"/>
        </w:rPr>
        <w:t xml:space="preserve">, J., Brown, L., </w:t>
      </w:r>
      <w:proofErr w:type="spellStart"/>
      <w:r>
        <w:rPr>
          <w:lang w:eastAsia="en-AU"/>
        </w:rPr>
        <w:t>Gekht</w:t>
      </w:r>
      <w:proofErr w:type="spellEnd"/>
      <w:r>
        <w:rPr>
          <w:lang w:eastAsia="en-AU"/>
        </w:rPr>
        <w:t xml:space="preserve">, G., et al. (2013). Novel spinal cord stimulation parameters in patients with predominant back pain [Article]. </w:t>
      </w:r>
      <w:r>
        <w:rPr>
          <w:i/>
          <w:iCs/>
          <w:lang w:eastAsia="en-AU"/>
        </w:rPr>
        <w:t>Neuromodulation</w:t>
      </w:r>
      <w:r>
        <w:rPr>
          <w:lang w:eastAsia="en-AU"/>
        </w:rPr>
        <w:t>,</w:t>
      </w:r>
      <w:r>
        <w:rPr>
          <w:i/>
          <w:iCs/>
          <w:lang w:eastAsia="en-AU"/>
        </w:rPr>
        <w:t xml:space="preserve"> 16</w:t>
      </w:r>
      <w:r>
        <w:rPr>
          <w:lang w:eastAsia="en-AU"/>
        </w:rPr>
        <w:t xml:space="preserve">(4), 370-3/doi.org/10.1111/ner.12032 </w:t>
      </w:r>
    </w:p>
    <w:p w14:paraId="7FB63CFD" w14:textId="21143736" w:rsidR="002B1D41" w:rsidRDefault="002B1D41" w:rsidP="00BE4358">
      <w:pPr>
        <w:pStyle w:val="References"/>
        <w:rPr>
          <w:lang w:eastAsia="en-AU"/>
        </w:rPr>
      </w:pPr>
      <w:proofErr w:type="spellStart"/>
      <w:r>
        <w:rPr>
          <w:lang w:eastAsia="en-AU"/>
        </w:rPr>
        <w:t>Tjepkema-Cloostermans</w:t>
      </w:r>
      <w:proofErr w:type="spellEnd"/>
      <w:r>
        <w:rPr>
          <w:lang w:eastAsia="en-AU"/>
        </w:rPr>
        <w:t xml:space="preserve">, M. C., de Vos, C. C., Wolters, R., et al. (2016). Effect of Burst Stimulation Evaluated in Patients Familiar With Spinal Cord Stimulation [Article]. </w:t>
      </w:r>
      <w:r>
        <w:rPr>
          <w:i/>
          <w:iCs/>
          <w:lang w:eastAsia="en-AU"/>
        </w:rPr>
        <w:t>Neuromodulation</w:t>
      </w:r>
      <w:r>
        <w:rPr>
          <w:lang w:eastAsia="en-AU"/>
        </w:rPr>
        <w:t>,</w:t>
      </w:r>
      <w:r>
        <w:rPr>
          <w:i/>
          <w:iCs/>
          <w:lang w:eastAsia="en-AU"/>
        </w:rPr>
        <w:t xml:space="preserve"> 19</w:t>
      </w:r>
      <w:r>
        <w:rPr>
          <w:lang w:eastAsia="en-AU"/>
        </w:rPr>
        <w:t xml:space="preserve">(5), 492-4/doi.org/10.1111/ner.12429 </w:t>
      </w:r>
    </w:p>
    <w:p w14:paraId="213D45A0" w14:textId="11C0D973" w:rsidR="00BE4358" w:rsidRDefault="00BE4358" w:rsidP="00BE4358">
      <w:pPr>
        <w:pStyle w:val="References"/>
        <w:rPr>
          <w:lang w:eastAsia="en-AU"/>
        </w:rPr>
      </w:pPr>
      <w:r>
        <w:rPr>
          <w:lang w:eastAsia="en-AU"/>
        </w:rPr>
        <w:t xml:space="preserve">Traeger, A. C., Gilbert, S. E., Harris, I. A., et al. (2023). Spinal cord stimulation for low back pain. </w:t>
      </w:r>
      <w:r>
        <w:rPr>
          <w:i/>
          <w:iCs/>
          <w:lang w:eastAsia="en-AU"/>
        </w:rPr>
        <w:t>Cochrane Database of Systematic Reviews</w:t>
      </w:r>
      <w:r>
        <w:rPr>
          <w:lang w:eastAsia="en-AU"/>
        </w:rPr>
        <w:t xml:space="preserve">(/doi.org/10.1002/14651858.CD014789.pub2 </w:t>
      </w:r>
    </w:p>
    <w:p w14:paraId="46A4C079" w14:textId="1360CFAB" w:rsidR="00BE4358" w:rsidRDefault="00BE4358" w:rsidP="00BE4358">
      <w:pPr>
        <w:pStyle w:val="References"/>
        <w:rPr>
          <w:lang w:eastAsia="en-AU"/>
        </w:rPr>
      </w:pPr>
      <w:r>
        <w:rPr>
          <w:lang w:eastAsia="en-AU"/>
        </w:rPr>
        <w:t xml:space="preserve">U.S Food and Drug Administration (2020). </w:t>
      </w:r>
      <w:r>
        <w:rPr>
          <w:i/>
          <w:iCs/>
          <w:lang w:eastAsia="en-AU"/>
        </w:rPr>
        <w:t>Conduct a Trial Stimulation Period Before Implanting a Spinal Cord Stimulator (SCS).</w:t>
      </w:r>
      <w:r>
        <w:rPr>
          <w:lang w:eastAsia="en-AU"/>
        </w:rPr>
        <w:t xml:space="preserve"> [Letter to Health Care Provider/www.fda.gov/medical-devices/letters-health-care-providers/conduct-trial-stimulation-period-implanting-spinal-cord-stimulator-scs-letter-health-care-providers#:~:text=Recommendations%20for%20Health%20Care%20Providers&amp;text=Permanent%20SCS%20should%20only%20be,percent%20reduction%20in%20pain%20symptoms.</w:t>
      </w:r>
    </w:p>
    <w:p w14:paraId="3978C862" w14:textId="19E67754" w:rsidR="00BE4358" w:rsidRDefault="00BE4358" w:rsidP="00BE4358">
      <w:pPr>
        <w:pStyle w:val="References"/>
        <w:rPr>
          <w:lang w:eastAsia="en-AU"/>
        </w:rPr>
      </w:pPr>
      <w:proofErr w:type="spellStart"/>
      <w:r>
        <w:rPr>
          <w:lang w:eastAsia="en-AU"/>
        </w:rPr>
        <w:t>Ubbink</w:t>
      </w:r>
      <w:proofErr w:type="spellEnd"/>
      <w:r>
        <w:rPr>
          <w:lang w:eastAsia="en-AU"/>
        </w:rPr>
        <w:t xml:space="preserve">, D. T., </w:t>
      </w:r>
      <w:proofErr w:type="spellStart"/>
      <w:r>
        <w:rPr>
          <w:lang w:eastAsia="en-AU"/>
        </w:rPr>
        <w:t>Spincemaille</w:t>
      </w:r>
      <w:proofErr w:type="spellEnd"/>
      <w:r>
        <w:rPr>
          <w:lang w:eastAsia="en-AU"/>
        </w:rPr>
        <w:t xml:space="preserve">, G. H., Prins, M. H., et al. (1999). Microcirculatory investigations to determine the effect of spinal cord stimulation for critical leg ischemia: the Dutch </w:t>
      </w:r>
      <w:proofErr w:type="spellStart"/>
      <w:r>
        <w:rPr>
          <w:lang w:eastAsia="en-AU"/>
        </w:rPr>
        <w:t>multicenter</w:t>
      </w:r>
      <w:proofErr w:type="spellEnd"/>
      <w:r>
        <w:rPr>
          <w:lang w:eastAsia="en-AU"/>
        </w:rPr>
        <w:t xml:space="preserve"> randomized controlled trial. </w:t>
      </w:r>
      <w:r>
        <w:rPr>
          <w:i/>
          <w:iCs/>
          <w:lang w:eastAsia="en-AU"/>
        </w:rPr>
        <w:t xml:space="preserve">J </w:t>
      </w:r>
      <w:proofErr w:type="spellStart"/>
      <w:r>
        <w:rPr>
          <w:i/>
          <w:iCs/>
          <w:lang w:eastAsia="en-AU"/>
        </w:rPr>
        <w:t>Vasc</w:t>
      </w:r>
      <w:proofErr w:type="spellEnd"/>
      <w:r>
        <w:rPr>
          <w:i/>
          <w:iCs/>
          <w:lang w:eastAsia="en-AU"/>
        </w:rPr>
        <w:t xml:space="preserve"> Surg</w:t>
      </w:r>
      <w:r>
        <w:rPr>
          <w:lang w:eastAsia="en-AU"/>
        </w:rPr>
        <w:t>,</w:t>
      </w:r>
      <w:r>
        <w:rPr>
          <w:i/>
          <w:iCs/>
          <w:lang w:eastAsia="en-AU"/>
        </w:rPr>
        <w:t xml:space="preserve"> 30</w:t>
      </w:r>
      <w:r>
        <w:rPr>
          <w:lang w:eastAsia="en-AU"/>
        </w:rPr>
        <w:t xml:space="preserve">(2), 236-2/doi.org/10.1016/s0741-5214(99)70133-3 </w:t>
      </w:r>
    </w:p>
    <w:p w14:paraId="0D4EC062" w14:textId="41142458" w:rsidR="002B1D41" w:rsidRDefault="002B1D41" w:rsidP="00BE4358">
      <w:pPr>
        <w:pStyle w:val="References"/>
        <w:rPr>
          <w:lang w:eastAsia="en-AU"/>
        </w:rPr>
      </w:pPr>
      <w:r>
        <w:rPr>
          <w:lang w:eastAsia="en-AU"/>
        </w:rPr>
        <w:t xml:space="preserve">Vallejo, R., Chakravarthy, K., Will, A., et al. (2021). A New Direction for Closed-Loop Spinal Cord Stimulation: Combining Contemporary Therapy Paradigms with Evoked Compound Action Potential Sensing [Article]. </w:t>
      </w:r>
      <w:r>
        <w:rPr>
          <w:i/>
          <w:iCs/>
          <w:lang w:eastAsia="en-AU"/>
        </w:rPr>
        <w:t>Journal of Pain Research</w:t>
      </w:r>
      <w:r>
        <w:rPr>
          <w:lang w:eastAsia="en-AU"/>
        </w:rPr>
        <w:t>,</w:t>
      </w:r>
      <w:r>
        <w:rPr>
          <w:i/>
          <w:iCs/>
          <w:lang w:eastAsia="en-AU"/>
        </w:rPr>
        <w:t xml:space="preserve"> 14</w:t>
      </w:r>
      <w:r>
        <w:rPr>
          <w:lang w:eastAsia="en-AU"/>
        </w:rPr>
        <w:t xml:space="preserve">, 3909-39/doi.org/10.2147/JPR.S344568 </w:t>
      </w:r>
    </w:p>
    <w:p w14:paraId="2137167E" w14:textId="2888F56D" w:rsidR="002B1D41" w:rsidRDefault="002B1D41" w:rsidP="00BE4358">
      <w:pPr>
        <w:pStyle w:val="References"/>
        <w:rPr>
          <w:lang w:eastAsia="en-AU"/>
        </w:rPr>
      </w:pPr>
      <w:r>
        <w:rPr>
          <w:lang w:eastAsia="en-AU"/>
        </w:rPr>
        <w:t xml:space="preserve">Van Beek, M., </w:t>
      </w:r>
      <w:proofErr w:type="spellStart"/>
      <w:r>
        <w:rPr>
          <w:lang w:eastAsia="en-AU"/>
        </w:rPr>
        <w:t>Geurts</w:t>
      </w:r>
      <w:proofErr w:type="spellEnd"/>
      <w:r>
        <w:rPr>
          <w:lang w:eastAsia="en-AU"/>
        </w:rPr>
        <w:t xml:space="preserve">, J. W., </w:t>
      </w:r>
      <w:proofErr w:type="spellStart"/>
      <w:r>
        <w:rPr>
          <w:lang w:eastAsia="en-AU"/>
        </w:rPr>
        <w:t>Slangen</w:t>
      </w:r>
      <w:proofErr w:type="spellEnd"/>
      <w:r>
        <w:rPr>
          <w:lang w:eastAsia="en-AU"/>
        </w:rPr>
        <w:t>, R., et al. (2018). Severity of neuropathy is associated with long-term spinal cord stimulation outcome in painful diabetic peripheral neuropathy: Five-year follow-up of a prospective two-</w:t>
      </w:r>
      <w:proofErr w:type="spellStart"/>
      <w:r>
        <w:rPr>
          <w:lang w:eastAsia="en-AU"/>
        </w:rPr>
        <w:t>center</w:t>
      </w:r>
      <w:proofErr w:type="spellEnd"/>
      <w:r>
        <w:rPr>
          <w:lang w:eastAsia="en-AU"/>
        </w:rPr>
        <w:t xml:space="preserve"> clinical trial [Article]. </w:t>
      </w:r>
      <w:r>
        <w:rPr>
          <w:i/>
          <w:iCs/>
          <w:lang w:eastAsia="en-AU"/>
        </w:rPr>
        <w:t>Diabetes Care</w:t>
      </w:r>
      <w:r>
        <w:rPr>
          <w:lang w:eastAsia="en-AU"/>
        </w:rPr>
        <w:t>,</w:t>
      </w:r>
      <w:r>
        <w:rPr>
          <w:i/>
          <w:iCs/>
          <w:lang w:eastAsia="en-AU"/>
        </w:rPr>
        <w:t xml:space="preserve"> 41</w:t>
      </w:r>
      <w:r>
        <w:rPr>
          <w:lang w:eastAsia="en-AU"/>
        </w:rPr>
        <w:t xml:space="preserve">(1), 32-/doi.org/10.2337/dc17-0983 </w:t>
      </w:r>
    </w:p>
    <w:p w14:paraId="59669DAA" w14:textId="54C5CD78" w:rsidR="002B1D41" w:rsidRDefault="002B1D41" w:rsidP="00BE4358">
      <w:pPr>
        <w:pStyle w:val="References"/>
        <w:rPr>
          <w:lang w:eastAsia="en-AU"/>
        </w:rPr>
      </w:pPr>
      <w:r>
        <w:rPr>
          <w:lang w:eastAsia="en-AU"/>
        </w:rPr>
        <w:t xml:space="preserve">Van Beek, M., </w:t>
      </w:r>
      <w:proofErr w:type="spellStart"/>
      <w:r>
        <w:rPr>
          <w:lang w:eastAsia="en-AU"/>
        </w:rPr>
        <w:t>Slangen</w:t>
      </w:r>
      <w:proofErr w:type="spellEnd"/>
      <w:r>
        <w:rPr>
          <w:lang w:eastAsia="en-AU"/>
        </w:rPr>
        <w:t>, R., Schaper, N. C., et al. (2015). Sustained treatment effect of spinal cord stimulation in painful diabetic peripheral Neuropathy: 24-Month Follow-up of a prospective Two-</w:t>
      </w:r>
      <w:proofErr w:type="spellStart"/>
      <w:r>
        <w:rPr>
          <w:lang w:eastAsia="en-AU"/>
        </w:rPr>
        <w:t>Center</w:t>
      </w:r>
      <w:proofErr w:type="spellEnd"/>
      <w:r>
        <w:rPr>
          <w:lang w:eastAsia="en-AU"/>
        </w:rPr>
        <w:t xml:space="preserve"> randomized controlled trial [Note]. </w:t>
      </w:r>
      <w:r>
        <w:rPr>
          <w:i/>
          <w:iCs/>
          <w:lang w:eastAsia="en-AU"/>
        </w:rPr>
        <w:t>Diabetes Care</w:t>
      </w:r>
      <w:r>
        <w:rPr>
          <w:lang w:eastAsia="en-AU"/>
        </w:rPr>
        <w:t>,</w:t>
      </w:r>
      <w:r>
        <w:rPr>
          <w:i/>
          <w:iCs/>
          <w:lang w:eastAsia="en-AU"/>
        </w:rPr>
        <w:t xml:space="preserve"> 38</w:t>
      </w:r>
      <w:r>
        <w:rPr>
          <w:lang w:eastAsia="en-AU"/>
        </w:rPr>
        <w:t xml:space="preserve">(9), e132-e1/doi.org/10.2337/dc15-0740 </w:t>
      </w:r>
    </w:p>
    <w:p w14:paraId="50BB5DF2" w14:textId="0DFFC0BE" w:rsidR="002B1D41" w:rsidRDefault="002B1D41" w:rsidP="00BE4358">
      <w:pPr>
        <w:pStyle w:val="References"/>
        <w:rPr>
          <w:lang w:eastAsia="en-AU"/>
        </w:rPr>
      </w:pPr>
      <w:r>
        <w:rPr>
          <w:lang w:eastAsia="en-AU"/>
        </w:rPr>
        <w:t xml:space="preserve">Van </w:t>
      </w:r>
      <w:proofErr w:type="spellStart"/>
      <w:r>
        <w:rPr>
          <w:lang w:eastAsia="en-AU"/>
        </w:rPr>
        <w:t>Buyten</w:t>
      </w:r>
      <w:proofErr w:type="spellEnd"/>
      <w:r>
        <w:rPr>
          <w:lang w:eastAsia="en-AU"/>
        </w:rPr>
        <w:t xml:space="preserve">, J. P. (2003). The Performance and Safety of an Implantable Spinal Cord Stimulation System in Patients with Chronic Pain: A 5-Year Study [Article]. </w:t>
      </w:r>
      <w:r>
        <w:rPr>
          <w:i/>
          <w:iCs/>
          <w:lang w:eastAsia="en-AU"/>
        </w:rPr>
        <w:t>Neuromodulation</w:t>
      </w:r>
      <w:r>
        <w:rPr>
          <w:lang w:eastAsia="en-AU"/>
        </w:rPr>
        <w:t>,</w:t>
      </w:r>
      <w:r>
        <w:rPr>
          <w:i/>
          <w:iCs/>
          <w:lang w:eastAsia="en-AU"/>
        </w:rPr>
        <w:t xml:space="preserve"> 6</w:t>
      </w:r>
      <w:r>
        <w:rPr>
          <w:lang w:eastAsia="en-AU"/>
        </w:rPr>
        <w:t xml:space="preserve">(2), 79-/doi.org/10.1046/j.1525-1403.2003.03012.x </w:t>
      </w:r>
    </w:p>
    <w:p w14:paraId="3F0FE8ED" w14:textId="57BDAB59" w:rsidR="002B1D41" w:rsidRDefault="002B1D41" w:rsidP="00BE4358">
      <w:pPr>
        <w:pStyle w:val="References"/>
        <w:rPr>
          <w:lang w:eastAsia="en-AU"/>
        </w:rPr>
      </w:pPr>
      <w:r>
        <w:rPr>
          <w:lang w:eastAsia="en-AU"/>
        </w:rPr>
        <w:t xml:space="preserve">Van </w:t>
      </w:r>
      <w:proofErr w:type="spellStart"/>
      <w:r>
        <w:rPr>
          <w:lang w:eastAsia="en-AU"/>
        </w:rPr>
        <w:t>Buyten</w:t>
      </w:r>
      <w:proofErr w:type="spellEnd"/>
      <w:r>
        <w:rPr>
          <w:lang w:eastAsia="en-AU"/>
        </w:rPr>
        <w:t>, J. P., Al-</w:t>
      </w:r>
      <w:proofErr w:type="spellStart"/>
      <w:r>
        <w:rPr>
          <w:lang w:eastAsia="en-AU"/>
        </w:rPr>
        <w:t>Kaisy</w:t>
      </w:r>
      <w:proofErr w:type="spellEnd"/>
      <w:r>
        <w:rPr>
          <w:lang w:eastAsia="en-AU"/>
        </w:rPr>
        <w:t xml:space="preserve">, A., Smet, I., et al. (2013). High-frequency spinal cord stimulation for the treatment of chronic back pain patients: Results of a prospective </w:t>
      </w:r>
      <w:proofErr w:type="spellStart"/>
      <w:r>
        <w:rPr>
          <w:lang w:eastAsia="en-AU"/>
        </w:rPr>
        <w:t>multicenter</w:t>
      </w:r>
      <w:proofErr w:type="spellEnd"/>
      <w:r>
        <w:rPr>
          <w:lang w:eastAsia="en-AU"/>
        </w:rPr>
        <w:t xml:space="preserve"> European clinical study [Review]. </w:t>
      </w:r>
      <w:r>
        <w:rPr>
          <w:i/>
          <w:iCs/>
          <w:lang w:eastAsia="en-AU"/>
        </w:rPr>
        <w:t>Neuromodulation</w:t>
      </w:r>
      <w:r>
        <w:rPr>
          <w:lang w:eastAsia="en-AU"/>
        </w:rPr>
        <w:t>,</w:t>
      </w:r>
      <w:r>
        <w:rPr>
          <w:i/>
          <w:iCs/>
          <w:lang w:eastAsia="en-AU"/>
        </w:rPr>
        <w:t xml:space="preserve"> 16</w:t>
      </w:r>
      <w:r>
        <w:rPr>
          <w:lang w:eastAsia="en-AU"/>
        </w:rPr>
        <w:t xml:space="preserve">(1), 59-/doi.org/10.1111/ner.12006 </w:t>
      </w:r>
    </w:p>
    <w:p w14:paraId="6067A808" w14:textId="774E1D00" w:rsidR="002B1D41" w:rsidRDefault="002B1D41" w:rsidP="00BE4358">
      <w:pPr>
        <w:pStyle w:val="References"/>
        <w:rPr>
          <w:lang w:eastAsia="en-AU"/>
        </w:rPr>
      </w:pPr>
      <w:r>
        <w:rPr>
          <w:lang w:eastAsia="en-AU"/>
        </w:rPr>
        <w:t xml:space="preserve">Van </w:t>
      </w:r>
      <w:proofErr w:type="spellStart"/>
      <w:r>
        <w:rPr>
          <w:lang w:eastAsia="en-AU"/>
        </w:rPr>
        <w:t>Buyten</w:t>
      </w:r>
      <w:proofErr w:type="spellEnd"/>
      <w:r>
        <w:rPr>
          <w:lang w:eastAsia="en-AU"/>
        </w:rPr>
        <w:t xml:space="preserve">, J. P., Van Zundert, J., </w:t>
      </w:r>
      <w:proofErr w:type="spellStart"/>
      <w:r>
        <w:rPr>
          <w:lang w:eastAsia="en-AU"/>
        </w:rPr>
        <w:t>Vueghs</w:t>
      </w:r>
      <w:proofErr w:type="spellEnd"/>
      <w:r>
        <w:rPr>
          <w:lang w:eastAsia="en-AU"/>
        </w:rPr>
        <w:t xml:space="preserve">, P., et al. (2001). Efficacy of spinal cord stimulation: 10 Years of experience in a pain centre in Belgium [Article]. </w:t>
      </w:r>
      <w:r>
        <w:rPr>
          <w:i/>
          <w:iCs/>
          <w:lang w:eastAsia="en-AU"/>
        </w:rPr>
        <w:t>European Journal of Pain</w:t>
      </w:r>
      <w:r>
        <w:rPr>
          <w:lang w:eastAsia="en-AU"/>
        </w:rPr>
        <w:t>,</w:t>
      </w:r>
      <w:r>
        <w:rPr>
          <w:i/>
          <w:iCs/>
          <w:lang w:eastAsia="en-AU"/>
        </w:rPr>
        <w:t xml:space="preserve"> 5</w:t>
      </w:r>
      <w:r>
        <w:rPr>
          <w:lang w:eastAsia="en-AU"/>
        </w:rPr>
        <w:t xml:space="preserve">(3), 299-3/doi.org/10.1053/eujp.2001.0249 </w:t>
      </w:r>
    </w:p>
    <w:p w14:paraId="03A6363E" w14:textId="3DB7F80B" w:rsidR="002B1D41" w:rsidRDefault="002B1D41" w:rsidP="00BE4358">
      <w:pPr>
        <w:pStyle w:val="References"/>
        <w:rPr>
          <w:lang w:eastAsia="en-AU"/>
        </w:rPr>
      </w:pPr>
      <w:r>
        <w:rPr>
          <w:lang w:eastAsia="en-AU"/>
        </w:rPr>
        <w:t xml:space="preserve">Van </w:t>
      </w:r>
      <w:proofErr w:type="spellStart"/>
      <w:r>
        <w:rPr>
          <w:lang w:eastAsia="en-AU"/>
        </w:rPr>
        <w:t>Buyten</w:t>
      </w:r>
      <w:proofErr w:type="spellEnd"/>
      <w:r>
        <w:rPr>
          <w:lang w:eastAsia="en-AU"/>
        </w:rPr>
        <w:t xml:space="preserve">, J. P., Wille, F., Smet, I., et al. (2017). Therapy-Related Explants After Spinal Cord Stimulation: Results of an International Retrospective Chart Review Study [Article]. </w:t>
      </w:r>
      <w:r>
        <w:rPr>
          <w:i/>
          <w:iCs/>
          <w:lang w:eastAsia="en-AU"/>
        </w:rPr>
        <w:t>Neuromodulation</w:t>
      </w:r>
      <w:r>
        <w:rPr>
          <w:lang w:eastAsia="en-AU"/>
        </w:rPr>
        <w:t>,</w:t>
      </w:r>
      <w:r>
        <w:rPr>
          <w:i/>
          <w:iCs/>
          <w:lang w:eastAsia="en-AU"/>
        </w:rPr>
        <w:t xml:space="preserve"> 20</w:t>
      </w:r>
      <w:r>
        <w:rPr>
          <w:lang w:eastAsia="en-AU"/>
        </w:rPr>
        <w:t xml:space="preserve">(7), 642-6/doi.org/10.1111/ner.12642 </w:t>
      </w:r>
    </w:p>
    <w:p w14:paraId="1A7B9B41" w14:textId="245615C5" w:rsidR="002B1D41" w:rsidRDefault="002B1D41" w:rsidP="00BE4358">
      <w:pPr>
        <w:pStyle w:val="References"/>
        <w:rPr>
          <w:lang w:eastAsia="en-AU"/>
        </w:rPr>
      </w:pPr>
      <w:r>
        <w:rPr>
          <w:lang w:eastAsia="en-AU"/>
        </w:rPr>
        <w:lastRenderedPageBreak/>
        <w:t xml:space="preserve">van Gorp, E. J. J. A. A., </w:t>
      </w:r>
      <w:proofErr w:type="spellStart"/>
      <w:r>
        <w:rPr>
          <w:lang w:eastAsia="en-AU"/>
        </w:rPr>
        <w:t>Teernstra</w:t>
      </w:r>
      <w:proofErr w:type="spellEnd"/>
      <w:r>
        <w:rPr>
          <w:lang w:eastAsia="en-AU"/>
        </w:rPr>
        <w:t xml:space="preserve">, O., </w:t>
      </w:r>
      <w:proofErr w:type="spellStart"/>
      <w:r>
        <w:rPr>
          <w:lang w:eastAsia="en-AU"/>
        </w:rPr>
        <w:t>Aukes</w:t>
      </w:r>
      <w:proofErr w:type="spellEnd"/>
      <w:r>
        <w:rPr>
          <w:lang w:eastAsia="en-AU"/>
        </w:rPr>
        <w:t xml:space="preserve">, H. J., et al. (2019). Long-Term Effect of Peripheral Nerve Field Stimulation as Add-On Therapy to Spinal Cord Stimulation to Treat Low Back Pain in Failed Back Surgery Syndrome Patients: A 12-Month Follow-Up of a Randomized Controlled Study [Article]. </w:t>
      </w:r>
      <w:r>
        <w:rPr>
          <w:i/>
          <w:iCs/>
          <w:lang w:eastAsia="en-AU"/>
        </w:rPr>
        <w:t>Neuromodulation</w:t>
      </w:r>
      <w:r>
        <w:rPr>
          <w:lang w:eastAsia="en-AU"/>
        </w:rPr>
        <w:t>,</w:t>
      </w:r>
      <w:r>
        <w:rPr>
          <w:i/>
          <w:iCs/>
          <w:lang w:eastAsia="en-AU"/>
        </w:rPr>
        <w:t xml:space="preserve"> 22</w:t>
      </w:r>
      <w:r>
        <w:rPr>
          <w:lang w:eastAsia="en-AU"/>
        </w:rPr>
        <w:t xml:space="preserve">(8), 970-9/doi.org/10.1111/ner.12776 </w:t>
      </w:r>
    </w:p>
    <w:p w14:paraId="12FFBEF8" w14:textId="61BB07C5" w:rsidR="002B1D41" w:rsidRDefault="002B1D41" w:rsidP="00BE4358">
      <w:pPr>
        <w:pStyle w:val="References"/>
        <w:rPr>
          <w:lang w:eastAsia="en-AU"/>
        </w:rPr>
      </w:pPr>
      <w:r>
        <w:rPr>
          <w:lang w:eastAsia="en-AU"/>
        </w:rPr>
        <w:t xml:space="preserve">Van </w:t>
      </w:r>
      <w:proofErr w:type="spellStart"/>
      <w:r>
        <w:rPr>
          <w:lang w:eastAsia="en-AU"/>
        </w:rPr>
        <w:t>Heteren</w:t>
      </w:r>
      <w:proofErr w:type="spellEnd"/>
      <w:r>
        <w:rPr>
          <w:lang w:eastAsia="en-AU"/>
        </w:rPr>
        <w:t xml:space="preserve">, E. (2022). SPINAL CORD STIMULATION WITH ADDITIONAL PERIPHERAL NERVE FIELD STIMULATION VERSUS SPINAL CORD STIMULATION ALONE ON BACK PAIN AND QUALITY OF LIFE IN PATIENTS WITH FAILED BACK SURGERY SYNDROME [Conference Abstract]. </w:t>
      </w:r>
      <w:r>
        <w:rPr>
          <w:i/>
          <w:iCs/>
          <w:lang w:eastAsia="en-AU"/>
        </w:rPr>
        <w:t>Pain Practice</w:t>
      </w:r>
      <w:r>
        <w:rPr>
          <w:lang w:eastAsia="en-AU"/>
        </w:rPr>
        <w:t>,</w:t>
      </w:r>
      <w:r>
        <w:rPr>
          <w:i/>
          <w:iCs/>
          <w:lang w:eastAsia="en-AU"/>
        </w:rPr>
        <w:t xml:space="preserve"> 22</w:t>
      </w:r>
      <w:r>
        <w:rPr>
          <w:lang w:eastAsia="en-AU"/>
        </w:rPr>
        <w:t xml:space="preserve">, /doi.org/10.1111/papr.13148 </w:t>
      </w:r>
    </w:p>
    <w:p w14:paraId="784DE5F7" w14:textId="1643557E" w:rsidR="002B1D41" w:rsidRDefault="002B1D41" w:rsidP="00BE4358">
      <w:pPr>
        <w:pStyle w:val="References"/>
        <w:rPr>
          <w:lang w:eastAsia="en-AU"/>
        </w:rPr>
      </w:pPr>
      <w:r>
        <w:rPr>
          <w:lang w:eastAsia="en-AU"/>
        </w:rPr>
        <w:t xml:space="preserve">van Roosendaal, B. K. W. P., van </w:t>
      </w:r>
      <w:proofErr w:type="spellStart"/>
      <w:r>
        <w:rPr>
          <w:lang w:eastAsia="en-AU"/>
        </w:rPr>
        <w:t>Heteren</w:t>
      </w:r>
      <w:proofErr w:type="spellEnd"/>
      <w:r>
        <w:rPr>
          <w:lang w:eastAsia="en-AU"/>
        </w:rPr>
        <w:t xml:space="preserve">, E. P. Z., van Gorp, E. J., et al. (2023). Subcutaneous Stimulation as Add-on Therapy to Spinal Cord Stimulation in Patients With Persistent Spinal Pain Syndrome Significantly Increases the Total Electrical Charge per Second: Aspects on Stimulation Parameters and Energy Requirements of the Implanted Neurostimulators [Article]. </w:t>
      </w:r>
      <w:r>
        <w:rPr>
          <w:i/>
          <w:iCs/>
          <w:lang w:eastAsia="en-AU"/>
        </w:rPr>
        <w:t>Neuromodulation</w:t>
      </w:r>
      <w:r>
        <w:rPr>
          <w:lang w:eastAsia="en-AU"/>
        </w:rPr>
        <w:t>,</w:t>
      </w:r>
      <w:r>
        <w:rPr>
          <w:i/>
          <w:iCs/>
          <w:lang w:eastAsia="en-AU"/>
        </w:rPr>
        <w:t xml:space="preserve"> 26</w:t>
      </w:r>
      <w:r>
        <w:rPr>
          <w:lang w:eastAsia="en-AU"/>
        </w:rPr>
        <w:t xml:space="preserve">(3), 666-6/doi.org/10.1016/j.neurom.2021.12.005 </w:t>
      </w:r>
    </w:p>
    <w:p w14:paraId="5F7C2592" w14:textId="4BF253E6" w:rsidR="002B1D41" w:rsidRDefault="002B1D41" w:rsidP="00BE4358">
      <w:pPr>
        <w:pStyle w:val="References"/>
        <w:rPr>
          <w:lang w:eastAsia="en-AU"/>
        </w:rPr>
      </w:pPr>
      <w:proofErr w:type="spellStart"/>
      <w:r>
        <w:rPr>
          <w:lang w:eastAsia="en-AU"/>
        </w:rPr>
        <w:t>Veizi</w:t>
      </w:r>
      <w:proofErr w:type="spellEnd"/>
      <w:r>
        <w:rPr>
          <w:lang w:eastAsia="en-AU"/>
        </w:rPr>
        <w:t xml:space="preserve">, E., Hayek, S. M., North, J., et al. (2017). Spinal Cord Stimulation (SCS) with Anatomically Guided (3D) Neural Targeting Shows Superior Chronic Axial Low Back Pain Relief Compared to Traditional SCS-LUMINA Study [Article]. </w:t>
      </w:r>
      <w:r>
        <w:rPr>
          <w:i/>
          <w:iCs/>
          <w:lang w:eastAsia="en-AU"/>
        </w:rPr>
        <w:t>Pain Medicine (United States)</w:t>
      </w:r>
      <w:r>
        <w:rPr>
          <w:lang w:eastAsia="en-AU"/>
        </w:rPr>
        <w:t>,</w:t>
      </w:r>
      <w:r>
        <w:rPr>
          <w:i/>
          <w:iCs/>
          <w:lang w:eastAsia="en-AU"/>
        </w:rPr>
        <w:t xml:space="preserve"> 18</w:t>
      </w:r>
      <w:r>
        <w:rPr>
          <w:lang w:eastAsia="en-AU"/>
        </w:rPr>
        <w:t xml:space="preserve">(8), 1534-15/doi.org/10.1093/pm/pnw286 </w:t>
      </w:r>
    </w:p>
    <w:p w14:paraId="38BA4129" w14:textId="691375BA" w:rsidR="002B1D41" w:rsidRDefault="002B1D41" w:rsidP="00BE4358">
      <w:pPr>
        <w:pStyle w:val="References"/>
        <w:rPr>
          <w:lang w:eastAsia="en-AU"/>
        </w:rPr>
      </w:pPr>
      <w:proofErr w:type="spellStart"/>
      <w:r>
        <w:rPr>
          <w:lang w:eastAsia="en-AU"/>
        </w:rPr>
        <w:t>Verrills</w:t>
      </w:r>
      <w:proofErr w:type="spellEnd"/>
      <w:r>
        <w:rPr>
          <w:lang w:eastAsia="en-AU"/>
        </w:rPr>
        <w:t xml:space="preserve">, P., Mitchell, B., Vivian, D., et al. (2019). Dorsal Root Ganglion Stimulation Is </w:t>
      </w:r>
      <w:proofErr w:type="spellStart"/>
      <w:r>
        <w:rPr>
          <w:lang w:eastAsia="en-AU"/>
        </w:rPr>
        <w:t>Paresthesia</w:t>
      </w:r>
      <w:proofErr w:type="spellEnd"/>
      <w:r>
        <w:rPr>
          <w:lang w:eastAsia="en-AU"/>
        </w:rPr>
        <w:t xml:space="preserve">-Independent: A Retrospective Study [Article]. </w:t>
      </w:r>
      <w:r>
        <w:rPr>
          <w:i/>
          <w:iCs/>
          <w:lang w:eastAsia="en-AU"/>
        </w:rPr>
        <w:t>Neuromodulation</w:t>
      </w:r>
      <w:r>
        <w:rPr>
          <w:lang w:eastAsia="en-AU"/>
        </w:rPr>
        <w:t>,</w:t>
      </w:r>
      <w:r>
        <w:rPr>
          <w:i/>
          <w:iCs/>
          <w:lang w:eastAsia="en-AU"/>
        </w:rPr>
        <w:t xml:space="preserve"> 22</w:t>
      </w:r>
      <w:r>
        <w:rPr>
          <w:lang w:eastAsia="en-AU"/>
        </w:rPr>
        <w:t xml:space="preserve">(8), 937-9/doi.org/10.1111/ner.12921 </w:t>
      </w:r>
    </w:p>
    <w:p w14:paraId="5C6283AE" w14:textId="0B11DD58" w:rsidR="002B1D41" w:rsidRDefault="002B1D41" w:rsidP="00BE4358">
      <w:pPr>
        <w:pStyle w:val="References"/>
        <w:rPr>
          <w:lang w:eastAsia="en-AU"/>
        </w:rPr>
      </w:pPr>
      <w:proofErr w:type="spellStart"/>
      <w:r>
        <w:rPr>
          <w:lang w:eastAsia="en-AU"/>
        </w:rPr>
        <w:t>Verrills</w:t>
      </w:r>
      <w:proofErr w:type="spellEnd"/>
      <w:r>
        <w:rPr>
          <w:lang w:eastAsia="en-AU"/>
        </w:rPr>
        <w:t xml:space="preserve">, P., Sinclair, C., &amp; Barnard, A. (2016). A review of spinal cord stimulation systems for chronic pain [Review]. </w:t>
      </w:r>
      <w:r>
        <w:rPr>
          <w:i/>
          <w:iCs/>
          <w:lang w:eastAsia="en-AU"/>
        </w:rPr>
        <w:t>Journal of Pain Research</w:t>
      </w:r>
      <w:r>
        <w:rPr>
          <w:lang w:eastAsia="en-AU"/>
        </w:rPr>
        <w:t>,</w:t>
      </w:r>
      <w:r>
        <w:rPr>
          <w:i/>
          <w:iCs/>
          <w:lang w:eastAsia="en-AU"/>
        </w:rPr>
        <w:t xml:space="preserve"> 9</w:t>
      </w:r>
      <w:r>
        <w:rPr>
          <w:lang w:eastAsia="en-AU"/>
        </w:rPr>
        <w:t xml:space="preserve">, 481-4/doi.org/10.2147/JPR.S108884 </w:t>
      </w:r>
    </w:p>
    <w:p w14:paraId="2984C987" w14:textId="0CA09275" w:rsidR="000729C6" w:rsidRDefault="000729C6" w:rsidP="00BE4358">
      <w:pPr>
        <w:pStyle w:val="References"/>
        <w:rPr>
          <w:lang w:eastAsia="en-AU"/>
        </w:rPr>
      </w:pPr>
      <w:proofErr w:type="spellStart"/>
      <w:r w:rsidRPr="000729C6">
        <w:rPr>
          <w:lang w:eastAsia="en-AU"/>
        </w:rPr>
        <w:t>Vervaat</w:t>
      </w:r>
      <w:proofErr w:type="spellEnd"/>
      <w:r w:rsidRPr="000729C6">
        <w:rPr>
          <w:lang w:eastAsia="en-AU"/>
        </w:rPr>
        <w:t xml:space="preserve">, F. E., van der </w:t>
      </w:r>
      <w:proofErr w:type="spellStart"/>
      <w:r w:rsidRPr="000729C6">
        <w:rPr>
          <w:lang w:eastAsia="en-AU"/>
        </w:rPr>
        <w:t>Gaag</w:t>
      </w:r>
      <w:proofErr w:type="spellEnd"/>
      <w:r w:rsidRPr="000729C6">
        <w:rPr>
          <w:lang w:eastAsia="en-AU"/>
        </w:rPr>
        <w:t xml:space="preserve">, A., </w:t>
      </w:r>
      <w:proofErr w:type="spellStart"/>
      <w:r w:rsidRPr="000729C6">
        <w:rPr>
          <w:lang w:eastAsia="en-AU"/>
        </w:rPr>
        <w:t>Smetsers</w:t>
      </w:r>
      <w:proofErr w:type="spellEnd"/>
      <w:r w:rsidRPr="000729C6">
        <w:rPr>
          <w:lang w:eastAsia="en-AU"/>
        </w:rPr>
        <w:t xml:space="preserve">, C., Barneveld, P. C., </w:t>
      </w:r>
      <w:proofErr w:type="spellStart"/>
      <w:r w:rsidRPr="000729C6">
        <w:rPr>
          <w:lang w:eastAsia="en-AU"/>
        </w:rPr>
        <w:t>Van't</w:t>
      </w:r>
      <w:proofErr w:type="spellEnd"/>
      <w:r w:rsidRPr="000729C6">
        <w:rPr>
          <w:lang w:eastAsia="en-AU"/>
        </w:rPr>
        <w:t xml:space="preserve"> Veer, M., </w:t>
      </w:r>
      <w:proofErr w:type="spellStart"/>
      <w:r w:rsidRPr="000729C6">
        <w:rPr>
          <w:lang w:eastAsia="en-AU"/>
        </w:rPr>
        <w:t>Teeuwen</w:t>
      </w:r>
      <w:proofErr w:type="spellEnd"/>
      <w:r w:rsidRPr="000729C6">
        <w:rPr>
          <w:lang w:eastAsia="en-AU"/>
        </w:rPr>
        <w:t xml:space="preserve">, K., van </w:t>
      </w:r>
      <w:proofErr w:type="spellStart"/>
      <w:r w:rsidRPr="000729C6">
        <w:rPr>
          <w:lang w:eastAsia="en-AU"/>
        </w:rPr>
        <w:t>Suijlekom</w:t>
      </w:r>
      <w:proofErr w:type="spellEnd"/>
      <w:r w:rsidRPr="000729C6">
        <w:rPr>
          <w:lang w:eastAsia="en-AU"/>
        </w:rPr>
        <w:t xml:space="preserve">, H., Dekker, L., and </w:t>
      </w:r>
      <w:proofErr w:type="spellStart"/>
      <w:r w:rsidRPr="000729C6">
        <w:rPr>
          <w:lang w:eastAsia="en-AU"/>
        </w:rPr>
        <w:t>Wijnbergen</w:t>
      </w:r>
      <w:proofErr w:type="spellEnd"/>
      <w:r w:rsidRPr="000729C6">
        <w:rPr>
          <w:lang w:eastAsia="en-AU"/>
        </w:rPr>
        <w:t xml:space="preserve">, I. F. (2023). Design and rationale of the efficacy of spinal cord stimulation in patients with refractory angina pectoris (SCRAP) trial. Clin </w:t>
      </w:r>
      <w:proofErr w:type="spellStart"/>
      <w:r w:rsidRPr="000729C6">
        <w:rPr>
          <w:lang w:eastAsia="en-AU"/>
        </w:rPr>
        <w:t>Cardiol</w:t>
      </w:r>
      <w:proofErr w:type="spellEnd"/>
      <w:r w:rsidRPr="000729C6">
        <w:rPr>
          <w:lang w:eastAsia="en-AU"/>
        </w:rPr>
        <w:t>, 46(6), 689-697. https://doi.org/10.1002/clc.24016</w:t>
      </w:r>
    </w:p>
    <w:p w14:paraId="4A62967B" w14:textId="59864CA4" w:rsidR="002B1D41" w:rsidRDefault="002B1D41" w:rsidP="00BE4358">
      <w:pPr>
        <w:pStyle w:val="References"/>
        <w:rPr>
          <w:lang w:eastAsia="en-AU"/>
        </w:rPr>
      </w:pPr>
      <w:r>
        <w:rPr>
          <w:lang w:eastAsia="en-AU"/>
        </w:rPr>
        <w:t xml:space="preserve">Vesper, J., </w:t>
      </w:r>
      <w:proofErr w:type="spellStart"/>
      <w:r>
        <w:rPr>
          <w:lang w:eastAsia="en-AU"/>
        </w:rPr>
        <w:t>Slotty</w:t>
      </w:r>
      <w:proofErr w:type="spellEnd"/>
      <w:r>
        <w:rPr>
          <w:lang w:eastAsia="en-AU"/>
        </w:rPr>
        <w:t>, P</w:t>
      </w:r>
      <w:r w:rsidR="00BE4358">
        <w:rPr>
          <w:lang w:eastAsia="en-AU"/>
        </w:rPr>
        <w:t>. J., &amp;</w:t>
      </w:r>
      <w:r>
        <w:rPr>
          <w:lang w:eastAsia="en-AU"/>
        </w:rPr>
        <w:t xml:space="preserve"> </w:t>
      </w:r>
      <w:proofErr w:type="spellStart"/>
      <w:r>
        <w:rPr>
          <w:lang w:eastAsia="en-AU"/>
        </w:rPr>
        <w:t>Schu</w:t>
      </w:r>
      <w:proofErr w:type="spellEnd"/>
      <w:r>
        <w:rPr>
          <w:lang w:eastAsia="en-AU"/>
        </w:rPr>
        <w:t>, S</w:t>
      </w:r>
      <w:r w:rsidR="00BE4358">
        <w:rPr>
          <w:lang w:eastAsia="en-AU"/>
        </w:rPr>
        <w:t>. (2017).</w:t>
      </w:r>
      <w:r>
        <w:rPr>
          <w:lang w:eastAsia="en-AU"/>
        </w:rPr>
        <w:t xml:space="preserve"> Burst </w:t>
      </w:r>
      <w:r w:rsidR="00BE4358">
        <w:rPr>
          <w:lang w:eastAsia="en-AU"/>
        </w:rPr>
        <w:t xml:space="preserve">or tonic stimulation? results of a placebo controlled, double blinded, randomized study for the treatment of </w:t>
      </w:r>
      <w:proofErr w:type="spellStart"/>
      <w:r w:rsidR="00BE4358">
        <w:rPr>
          <w:lang w:eastAsia="en-AU"/>
        </w:rPr>
        <w:t>fbss</w:t>
      </w:r>
      <w:proofErr w:type="spellEnd"/>
      <w:r w:rsidR="00BE4358">
        <w:rPr>
          <w:lang w:eastAsia="en-AU"/>
        </w:rPr>
        <w:t xml:space="preserve"> patients-3y follow-up [Conference Abstract]. </w:t>
      </w:r>
      <w:r w:rsidR="00BE4358">
        <w:rPr>
          <w:i/>
          <w:iCs/>
          <w:lang w:eastAsia="en-AU"/>
        </w:rPr>
        <w:t>Neuromodulation</w:t>
      </w:r>
      <w:r w:rsidR="00BE4358">
        <w:rPr>
          <w:lang w:eastAsia="en-AU"/>
        </w:rPr>
        <w:t>,</w:t>
      </w:r>
      <w:r w:rsidR="00BE4358">
        <w:rPr>
          <w:i/>
          <w:iCs/>
          <w:lang w:eastAsia="en-AU"/>
        </w:rPr>
        <w:t xml:space="preserve"> 20</w:t>
      </w:r>
      <w:r w:rsidR="00BE4358">
        <w:rPr>
          <w:lang w:eastAsia="en-AU"/>
        </w:rPr>
        <w:t>(7), e1</w:t>
      </w:r>
      <w:r>
        <w:rPr>
          <w:lang w:eastAsia="en-AU"/>
        </w:rPr>
        <w:t>/doi.org/10.1111/ner.</w:t>
      </w:r>
      <w:r w:rsidR="00BE4358">
        <w:rPr>
          <w:lang w:eastAsia="en-AU"/>
        </w:rPr>
        <w:t xml:space="preserve">12639 </w:t>
      </w:r>
    </w:p>
    <w:p w14:paraId="4333D895" w14:textId="3AFBE0EA" w:rsidR="002B1D41" w:rsidRDefault="002B1D41" w:rsidP="00BE4358">
      <w:pPr>
        <w:pStyle w:val="References"/>
        <w:rPr>
          <w:lang w:eastAsia="en-AU"/>
        </w:rPr>
      </w:pPr>
      <w:r>
        <w:rPr>
          <w:lang w:eastAsia="en-AU"/>
        </w:rPr>
        <w:t xml:space="preserve">Vesper, J., </w:t>
      </w:r>
      <w:proofErr w:type="spellStart"/>
      <w:r>
        <w:rPr>
          <w:lang w:eastAsia="en-AU"/>
        </w:rPr>
        <w:t>Slotty</w:t>
      </w:r>
      <w:proofErr w:type="spellEnd"/>
      <w:r>
        <w:rPr>
          <w:lang w:eastAsia="en-AU"/>
        </w:rPr>
        <w:t xml:space="preserve">, P. J., </w:t>
      </w:r>
      <w:proofErr w:type="spellStart"/>
      <w:r>
        <w:rPr>
          <w:lang w:eastAsia="en-AU"/>
        </w:rPr>
        <w:t>Poeggel</w:t>
      </w:r>
      <w:proofErr w:type="spellEnd"/>
      <w:r>
        <w:rPr>
          <w:lang w:eastAsia="en-AU"/>
        </w:rPr>
        <w:t xml:space="preserve">-Kraemer, K. K. P., et al. (2017). Therapeutic efficacy of </w:t>
      </w:r>
      <w:proofErr w:type="spellStart"/>
      <w:r>
        <w:rPr>
          <w:lang w:eastAsia="en-AU"/>
        </w:rPr>
        <w:t>burstdrTM</w:t>
      </w:r>
      <w:proofErr w:type="spellEnd"/>
      <w:r>
        <w:rPr>
          <w:lang w:eastAsia="en-AU"/>
        </w:rPr>
        <w:t xml:space="preserve"> </w:t>
      </w:r>
      <w:proofErr w:type="spellStart"/>
      <w:r>
        <w:rPr>
          <w:lang w:eastAsia="en-AU"/>
        </w:rPr>
        <w:t>microdosing</w:t>
      </w:r>
      <w:proofErr w:type="spellEnd"/>
      <w:r>
        <w:rPr>
          <w:lang w:eastAsia="en-AU"/>
        </w:rPr>
        <w:t xml:space="preserve"> in treatment of chronic pain [Conference Abstract]. </w:t>
      </w:r>
      <w:r>
        <w:rPr>
          <w:i/>
          <w:iCs/>
          <w:lang w:eastAsia="en-AU"/>
        </w:rPr>
        <w:t>Neuromodulation</w:t>
      </w:r>
      <w:r>
        <w:rPr>
          <w:lang w:eastAsia="en-AU"/>
        </w:rPr>
        <w:t>,</w:t>
      </w:r>
      <w:r>
        <w:rPr>
          <w:i/>
          <w:iCs/>
          <w:lang w:eastAsia="en-AU"/>
        </w:rPr>
        <w:t xml:space="preserve"> 20</w:t>
      </w:r>
      <w:r>
        <w:rPr>
          <w:lang w:eastAsia="en-AU"/>
        </w:rPr>
        <w:t xml:space="preserve">(7), e2/doi.org/10.1111/ner.12639 </w:t>
      </w:r>
    </w:p>
    <w:p w14:paraId="3708952F" w14:textId="3F6FA4E6" w:rsidR="002B1D41" w:rsidRDefault="002B1D41" w:rsidP="00BE4358">
      <w:pPr>
        <w:pStyle w:val="References"/>
        <w:rPr>
          <w:lang w:eastAsia="en-AU"/>
        </w:rPr>
      </w:pPr>
      <w:r>
        <w:rPr>
          <w:lang w:eastAsia="en-AU"/>
        </w:rPr>
        <w:t xml:space="preserve">Vesper, J., </w:t>
      </w:r>
      <w:proofErr w:type="spellStart"/>
      <w:r>
        <w:rPr>
          <w:lang w:eastAsia="en-AU"/>
        </w:rPr>
        <w:t>Slotty</w:t>
      </w:r>
      <w:proofErr w:type="spellEnd"/>
      <w:r>
        <w:rPr>
          <w:lang w:eastAsia="en-AU"/>
        </w:rPr>
        <w:t>, P</w:t>
      </w:r>
      <w:r w:rsidR="00BE4358">
        <w:rPr>
          <w:lang w:eastAsia="en-AU"/>
        </w:rPr>
        <w:t>.,</w:t>
      </w:r>
      <w:r>
        <w:rPr>
          <w:lang w:eastAsia="en-AU"/>
        </w:rPr>
        <w:t xml:space="preserve"> </w:t>
      </w:r>
      <w:proofErr w:type="spellStart"/>
      <w:r>
        <w:rPr>
          <w:lang w:eastAsia="en-AU"/>
        </w:rPr>
        <w:t>Schu</w:t>
      </w:r>
      <w:proofErr w:type="spellEnd"/>
      <w:r>
        <w:rPr>
          <w:lang w:eastAsia="en-AU"/>
        </w:rPr>
        <w:t>, S</w:t>
      </w:r>
      <w:r w:rsidR="00BE4358">
        <w:rPr>
          <w:lang w:eastAsia="en-AU"/>
        </w:rPr>
        <w:t>., et al. (2019).</w:t>
      </w:r>
      <w:r>
        <w:rPr>
          <w:lang w:eastAsia="en-AU"/>
        </w:rPr>
        <w:t xml:space="preserve"> Burst </w:t>
      </w:r>
      <w:r w:rsidR="00BE4358">
        <w:rPr>
          <w:lang w:eastAsia="en-AU"/>
        </w:rPr>
        <w:t xml:space="preserve">SCS </w:t>
      </w:r>
      <w:proofErr w:type="spellStart"/>
      <w:r w:rsidR="00BE4358">
        <w:rPr>
          <w:lang w:eastAsia="en-AU"/>
        </w:rPr>
        <w:t>Microdosing</w:t>
      </w:r>
      <w:proofErr w:type="spellEnd"/>
      <w:r w:rsidR="00BE4358">
        <w:rPr>
          <w:lang w:eastAsia="en-AU"/>
        </w:rPr>
        <w:t xml:space="preserve"> Is as Efficacious as Standard Burst SCS in Treating Chronic Back and Leg Pain: Results From a Randomized Controlled Trial [Article]. </w:t>
      </w:r>
      <w:r w:rsidR="00BE4358">
        <w:rPr>
          <w:i/>
          <w:iCs/>
          <w:lang w:eastAsia="en-AU"/>
        </w:rPr>
        <w:t>Neuromodulation</w:t>
      </w:r>
      <w:r w:rsidR="00BE4358">
        <w:rPr>
          <w:lang w:eastAsia="en-AU"/>
        </w:rPr>
        <w:t>,</w:t>
      </w:r>
      <w:r w:rsidR="00BE4358">
        <w:rPr>
          <w:i/>
          <w:iCs/>
          <w:lang w:eastAsia="en-AU"/>
        </w:rPr>
        <w:t xml:space="preserve"> 22</w:t>
      </w:r>
      <w:r w:rsidR="00BE4358">
        <w:rPr>
          <w:lang w:eastAsia="en-AU"/>
        </w:rPr>
        <w:t>(2), 190-1</w:t>
      </w:r>
      <w:r>
        <w:rPr>
          <w:lang w:eastAsia="en-AU"/>
        </w:rPr>
        <w:t>/doi.org/10.1111/ner.</w:t>
      </w:r>
      <w:r w:rsidR="00BE4358">
        <w:rPr>
          <w:lang w:eastAsia="en-AU"/>
        </w:rPr>
        <w:t xml:space="preserve">12883 </w:t>
      </w:r>
    </w:p>
    <w:p w14:paraId="5F5009BC" w14:textId="1D94A1DC" w:rsidR="002B1D41" w:rsidRDefault="002B1D41" w:rsidP="00BE4358">
      <w:pPr>
        <w:pStyle w:val="References"/>
        <w:rPr>
          <w:lang w:eastAsia="en-AU"/>
        </w:rPr>
      </w:pPr>
      <w:r>
        <w:rPr>
          <w:lang w:eastAsia="en-AU"/>
        </w:rPr>
        <w:t xml:space="preserve">Vos, C., Meier, K., Zaalberg, P. B., et al. (2013). Spinal cord stimulation in patients with painful diabetic neuropathy [Conference Abstract]. </w:t>
      </w:r>
      <w:r>
        <w:rPr>
          <w:i/>
          <w:iCs/>
          <w:lang w:eastAsia="en-AU"/>
        </w:rPr>
        <w:t>Neuromodulation</w:t>
      </w:r>
      <w:r>
        <w:rPr>
          <w:lang w:eastAsia="en-AU"/>
        </w:rPr>
        <w:t>,</w:t>
      </w:r>
      <w:r>
        <w:rPr>
          <w:i/>
          <w:iCs/>
          <w:lang w:eastAsia="en-AU"/>
        </w:rPr>
        <w:t xml:space="preserve"> 16</w:t>
      </w:r>
      <w:r>
        <w:rPr>
          <w:lang w:eastAsia="en-AU"/>
        </w:rPr>
        <w:t xml:space="preserve">(5), e/doi.org/10.1111/ner.12104 </w:t>
      </w:r>
    </w:p>
    <w:p w14:paraId="1C924D16" w14:textId="0C5303F2" w:rsidR="002B1D41" w:rsidRDefault="002B1D41" w:rsidP="00BE4358">
      <w:pPr>
        <w:pStyle w:val="References"/>
        <w:rPr>
          <w:lang w:eastAsia="en-AU"/>
        </w:rPr>
      </w:pPr>
      <w:r>
        <w:rPr>
          <w:lang w:eastAsia="en-AU"/>
        </w:rPr>
        <w:t xml:space="preserve">Vu, T. N., </w:t>
      </w:r>
      <w:proofErr w:type="spellStart"/>
      <w:r>
        <w:rPr>
          <w:lang w:eastAsia="en-AU"/>
        </w:rPr>
        <w:t>Khunsriraksakul</w:t>
      </w:r>
      <w:proofErr w:type="spellEnd"/>
      <w:r>
        <w:rPr>
          <w:lang w:eastAsia="en-AU"/>
        </w:rPr>
        <w:t xml:space="preserve">, C., </w:t>
      </w:r>
      <w:proofErr w:type="spellStart"/>
      <w:r>
        <w:rPr>
          <w:lang w:eastAsia="en-AU"/>
        </w:rPr>
        <w:t>Vorobeychik</w:t>
      </w:r>
      <w:proofErr w:type="spellEnd"/>
      <w:r>
        <w:rPr>
          <w:lang w:eastAsia="en-AU"/>
        </w:rPr>
        <w:t xml:space="preserve">, Y., et al. (2022). Association of Spinal Cord Stimulator Implantation with Persistent Opioid Use in Patients with </w:t>
      </w:r>
      <w:proofErr w:type="spellStart"/>
      <w:r>
        <w:rPr>
          <w:lang w:eastAsia="en-AU"/>
        </w:rPr>
        <w:t>Postlaminectomy</w:t>
      </w:r>
      <w:proofErr w:type="spellEnd"/>
      <w:r>
        <w:rPr>
          <w:lang w:eastAsia="en-AU"/>
        </w:rPr>
        <w:t xml:space="preserve"> Syndrome [Article in Press]. </w:t>
      </w:r>
      <w:r>
        <w:rPr>
          <w:i/>
          <w:iCs/>
          <w:lang w:eastAsia="en-AU"/>
        </w:rPr>
        <w:t>JAMA Network Op</w:t>
      </w:r>
      <w:r>
        <w:rPr>
          <w:lang w:eastAsia="en-AU"/>
        </w:rPr>
        <w:t xml:space="preserve">/doi.org/10.1001/jamanetworkopen.2021.45876 </w:t>
      </w:r>
    </w:p>
    <w:p w14:paraId="33A40C06" w14:textId="6709B10E" w:rsidR="002B1D41" w:rsidRDefault="002B1D41" w:rsidP="00BE4358">
      <w:pPr>
        <w:pStyle w:val="References"/>
        <w:rPr>
          <w:lang w:eastAsia="en-AU"/>
        </w:rPr>
      </w:pPr>
      <w:r>
        <w:rPr>
          <w:lang w:eastAsia="en-AU"/>
        </w:rPr>
        <w:t>Wallace, M</w:t>
      </w:r>
      <w:r w:rsidR="00BE4358">
        <w:rPr>
          <w:lang w:eastAsia="en-AU"/>
        </w:rPr>
        <w:t>. S</w:t>
      </w:r>
      <w:r>
        <w:rPr>
          <w:lang w:eastAsia="en-AU"/>
        </w:rPr>
        <w:t>., North, J</w:t>
      </w:r>
      <w:r w:rsidR="00BE4358">
        <w:rPr>
          <w:lang w:eastAsia="en-AU"/>
        </w:rPr>
        <w:t>. M</w:t>
      </w:r>
      <w:r>
        <w:rPr>
          <w:lang w:eastAsia="en-AU"/>
        </w:rPr>
        <w:t>., Phillips, G</w:t>
      </w:r>
      <w:r w:rsidR="00BE4358">
        <w:rPr>
          <w:lang w:eastAsia="en-AU"/>
        </w:rPr>
        <w:t xml:space="preserve">. M., et al. (2023). Combination therapy with simultaneous delivery of spinal cord stimulation modalities: COMBO randomized controlled trial [Article in Press]. </w:t>
      </w:r>
      <w:r w:rsidR="00BE4358">
        <w:rPr>
          <w:i/>
          <w:iCs/>
          <w:lang w:eastAsia="en-AU"/>
        </w:rPr>
        <w:t xml:space="preserve">Pain </w:t>
      </w:r>
      <w:proofErr w:type="spellStart"/>
      <w:r w:rsidR="00BE4358">
        <w:rPr>
          <w:i/>
          <w:iCs/>
          <w:lang w:eastAsia="en-AU"/>
        </w:rPr>
        <w:t>manageme</w:t>
      </w:r>
      <w:proofErr w:type="spellEnd"/>
      <w:r>
        <w:rPr>
          <w:lang w:eastAsia="en-AU"/>
        </w:rPr>
        <w:t>/doi.org/10.</w:t>
      </w:r>
      <w:r w:rsidR="00BE4358">
        <w:rPr>
          <w:lang w:eastAsia="en-AU"/>
        </w:rPr>
        <w:t xml:space="preserve">2217/pmt-2022-0101 </w:t>
      </w:r>
    </w:p>
    <w:p w14:paraId="4B68BA7E" w14:textId="5696AAB8" w:rsidR="00BE4358" w:rsidRDefault="00BE4358" w:rsidP="00BE4358">
      <w:pPr>
        <w:pStyle w:val="References"/>
        <w:rPr>
          <w:lang w:eastAsia="en-AU"/>
        </w:rPr>
      </w:pPr>
      <w:r>
        <w:rPr>
          <w:lang w:eastAsia="en-AU"/>
        </w:rPr>
        <w:t xml:space="preserve">Wallace, M., North, J., Phillips, G., et al. (2022). ID:16146 Two-Year Outcomes of an SCS System Capable of Multiple Neurostimulation Modalities: A Randomized Controlled Trial [Conference Abstract]. </w:t>
      </w:r>
      <w:r>
        <w:rPr>
          <w:i/>
          <w:iCs/>
          <w:lang w:eastAsia="en-AU"/>
        </w:rPr>
        <w:t>Neuromodulation</w:t>
      </w:r>
      <w:r>
        <w:rPr>
          <w:lang w:eastAsia="en-AU"/>
        </w:rPr>
        <w:t>,</w:t>
      </w:r>
      <w:r>
        <w:rPr>
          <w:i/>
          <w:iCs/>
          <w:lang w:eastAsia="en-AU"/>
        </w:rPr>
        <w:t xml:space="preserve"> 25</w:t>
      </w:r>
      <w:r>
        <w:rPr>
          <w:lang w:eastAsia="en-AU"/>
        </w:rPr>
        <w:t xml:space="preserve">(5), S/doi.org/10.1016/j.neurom.2022.02.064 </w:t>
      </w:r>
    </w:p>
    <w:p w14:paraId="1755308F" w14:textId="608F2A05" w:rsidR="002B1D41" w:rsidRDefault="002B1D41" w:rsidP="00BE4358">
      <w:pPr>
        <w:pStyle w:val="References"/>
        <w:rPr>
          <w:lang w:eastAsia="en-AU"/>
        </w:rPr>
      </w:pPr>
      <w:r>
        <w:rPr>
          <w:lang w:eastAsia="en-AU"/>
        </w:rPr>
        <w:t xml:space="preserve">Wang, V. C., </w:t>
      </w:r>
      <w:proofErr w:type="spellStart"/>
      <w:r>
        <w:rPr>
          <w:lang w:eastAsia="en-AU"/>
        </w:rPr>
        <w:t>Bounkousohn</w:t>
      </w:r>
      <w:proofErr w:type="spellEnd"/>
      <w:r>
        <w:rPr>
          <w:lang w:eastAsia="en-AU"/>
        </w:rPr>
        <w:t xml:space="preserve">, V., Fields, K., et al. (2021). </w:t>
      </w:r>
      <w:proofErr w:type="spellStart"/>
      <w:r>
        <w:rPr>
          <w:lang w:eastAsia="en-AU"/>
        </w:rPr>
        <w:t>Explantation</w:t>
      </w:r>
      <w:proofErr w:type="spellEnd"/>
      <w:r>
        <w:rPr>
          <w:lang w:eastAsia="en-AU"/>
        </w:rPr>
        <w:t xml:space="preserve"> Rates of High Frequency Spinal Cord Stimulation in Two Outpatient Clinics [Article]. </w:t>
      </w:r>
      <w:r>
        <w:rPr>
          <w:i/>
          <w:iCs/>
          <w:lang w:eastAsia="en-AU"/>
        </w:rPr>
        <w:t>Neuromodulation</w:t>
      </w:r>
      <w:r>
        <w:rPr>
          <w:lang w:eastAsia="en-AU"/>
        </w:rPr>
        <w:t>,</w:t>
      </w:r>
      <w:r>
        <w:rPr>
          <w:i/>
          <w:iCs/>
          <w:lang w:eastAsia="en-AU"/>
        </w:rPr>
        <w:t xml:space="preserve"> 24</w:t>
      </w:r>
      <w:r>
        <w:rPr>
          <w:lang w:eastAsia="en-AU"/>
        </w:rPr>
        <w:t xml:space="preserve">(3), 507-5/doi.org/10.1111/ner.13280 </w:t>
      </w:r>
    </w:p>
    <w:p w14:paraId="3A349ADE" w14:textId="700A5C33" w:rsidR="002B1D41" w:rsidRDefault="002B1D41" w:rsidP="00BE4358">
      <w:pPr>
        <w:pStyle w:val="References"/>
        <w:rPr>
          <w:lang w:eastAsia="en-AU"/>
        </w:rPr>
      </w:pPr>
      <w:proofErr w:type="spellStart"/>
      <w:r>
        <w:rPr>
          <w:lang w:eastAsia="en-AU"/>
        </w:rPr>
        <w:t>Weinand</w:t>
      </w:r>
      <w:proofErr w:type="spellEnd"/>
      <w:r>
        <w:rPr>
          <w:lang w:eastAsia="en-AU"/>
        </w:rPr>
        <w:t xml:space="preserve">, S., </w:t>
      </w:r>
      <w:proofErr w:type="spellStart"/>
      <w:r>
        <w:rPr>
          <w:lang w:eastAsia="en-AU"/>
        </w:rPr>
        <w:t>Luecke</w:t>
      </w:r>
      <w:proofErr w:type="spellEnd"/>
      <w:r>
        <w:rPr>
          <w:lang w:eastAsia="en-AU"/>
        </w:rPr>
        <w:t xml:space="preserve">, T., Siegel, E., et al. (2022). Pain Therapy With Spinal Cord Stimulation (SCS) in Patients With Painful Diabetic Neuropathy (PDN): Results of a Budget Impact Model [Conference Abstract]. </w:t>
      </w:r>
      <w:r>
        <w:rPr>
          <w:i/>
          <w:iCs/>
          <w:lang w:eastAsia="en-AU"/>
        </w:rPr>
        <w:t>Value in Health</w:t>
      </w:r>
      <w:r>
        <w:rPr>
          <w:lang w:eastAsia="en-AU"/>
        </w:rPr>
        <w:t>,</w:t>
      </w:r>
      <w:r>
        <w:rPr>
          <w:i/>
          <w:iCs/>
          <w:lang w:eastAsia="en-AU"/>
        </w:rPr>
        <w:t xml:space="preserve"> 25</w:t>
      </w:r>
      <w:r>
        <w:rPr>
          <w:lang w:eastAsia="en-AU"/>
        </w:rPr>
        <w:t xml:space="preserve">(12), S/doi.org/10.1016/j.jval.2022.09.297 </w:t>
      </w:r>
    </w:p>
    <w:p w14:paraId="0F2603FA" w14:textId="6039375E" w:rsidR="002B1D41" w:rsidRDefault="002B1D41" w:rsidP="00BE4358">
      <w:pPr>
        <w:pStyle w:val="References"/>
        <w:rPr>
          <w:lang w:eastAsia="en-AU"/>
        </w:rPr>
      </w:pPr>
      <w:r>
        <w:rPr>
          <w:lang w:eastAsia="en-AU"/>
        </w:rPr>
        <w:t xml:space="preserve">Winfree, C. J. (2005). Spinal cord stimulation for the relief of chronic pain [Review]. </w:t>
      </w:r>
      <w:r>
        <w:rPr>
          <w:i/>
          <w:iCs/>
          <w:lang w:eastAsia="en-AU"/>
        </w:rPr>
        <w:t>Current surgery</w:t>
      </w:r>
      <w:r>
        <w:rPr>
          <w:lang w:eastAsia="en-AU"/>
        </w:rPr>
        <w:t>,</w:t>
      </w:r>
      <w:r>
        <w:rPr>
          <w:i/>
          <w:iCs/>
          <w:lang w:eastAsia="en-AU"/>
        </w:rPr>
        <w:t xml:space="preserve"> 62</w:t>
      </w:r>
      <w:r>
        <w:rPr>
          <w:lang w:eastAsia="en-AU"/>
        </w:rPr>
        <w:t xml:space="preserve">(5), 476-4/www.embase.com/search/results?subaction=viewrecord&amp;id=L41848854&amp;from=export </w:t>
      </w:r>
    </w:p>
    <w:p w14:paraId="407352AE" w14:textId="60311326" w:rsidR="002B1D41" w:rsidRDefault="002B1D41" w:rsidP="00BE4358">
      <w:pPr>
        <w:pStyle w:val="References"/>
        <w:rPr>
          <w:lang w:eastAsia="en-AU"/>
        </w:rPr>
      </w:pPr>
      <w:r>
        <w:rPr>
          <w:lang w:eastAsia="en-AU"/>
        </w:rPr>
        <w:t xml:space="preserve">Wolter, T., </w:t>
      </w:r>
      <w:proofErr w:type="spellStart"/>
      <w:r>
        <w:rPr>
          <w:lang w:eastAsia="en-AU"/>
        </w:rPr>
        <w:t>Kiemen</w:t>
      </w:r>
      <w:proofErr w:type="spellEnd"/>
      <w:r>
        <w:rPr>
          <w:lang w:eastAsia="en-AU"/>
        </w:rPr>
        <w:t xml:space="preserve">, A., </w:t>
      </w:r>
      <w:proofErr w:type="spellStart"/>
      <w:r>
        <w:rPr>
          <w:lang w:eastAsia="en-AU"/>
        </w:rPr>
        <w:t>Porzelius</w:t>
      </w:r>
      <w:proofErr w:type="spellEnd"/>
      <w:r>
        <w:rPr>
          <w:lang w:eastAsia="en-AU"/>
        </w:rPr>
        <w:t xml:space="preserve">, C., et al. (2012). Effects of sub-perception threshold spinal cord stimulation in neuropathic pain: a randomized controlled double-blind crossover study [Article]. </w:t>
      </w:r>
      <w:r>
        <w:rPr>
          <w:i/>
          <w:iCs/>
          <w:lang w:eastAsia="en-AU"/>
        </w:rPr>
        <w:t>European journal of pain (London, England)</w:t>
      </w:r>
      <w:r>
        <w:rPr>
          <w:lang w:eastAsia="en-AU"/>
        </w:rPr>
        <w:t>,</w:t>
      </w:r>
      <w:r>
        <w:rPr>
          <w:i/>
          <w:iCs/>
          <w:lang w:eastAsia="en-AU"/>
        </w:rPr>
        <w:t xml:space="preserve"> 16</w:t>
      </w:r>
      <w:r>
        <w:rPr>
          <w:lang w:eastAsia="en-AU"/>
        </w:rPr>
        <w:t xml:space="preserve">(5), 648-6/www.embase.com/search/results?subaction=viewrecord&amp;id=L365353579&amp;from=export </w:t>
      </w:r>
    </w:p>
    <w:p w14:paraId="30581073" w14:textId="7BEB29C0" w:rsidR="00BE4358" w:rsidRDefault="00BE4358" w:rsidP="00BE4358">
      <w:pPr>
        <w:pStyle w:val="References"/>
        <w:rPr>
          <w:lang w:eastAsia="en-AU"/>
        </w:rPr>
      </w:pPr>
      <w:r>
        <w:rPr>
          <w:lang w:eastAsia="en-AU"/>
        </w:rPr>
        <w:t xml:space="preserve">Wong, C. H., Chan, T. C. W., Wong, S. S. C., et al. (2023). Efficacy of Peripheral Nerve Field Stimulation for the Management of Chronic Low Back Pain and Persistent Spinal Pain Syndrome: A Narrative Review. </w:t>
      </w:r>
      <w:r>
        <w:rPr>
          <w:i/>
          <w:iCs/>
          <w:lang w:eastAsia="en-AU"/>
        </w:rPr>
        <w:t>Neuromodulation</w:t>
      </w:r>
      <w:r>
        <w:rPr>
          <w:lang w:eastAsia="en-AU"/>
        </w:rPr>
        <w:t>,</w:t>
      </w:r>
      <w:r>
        <w:rPr>
          <w:i/>
          <w:iCs/>
          <w:lang w:eastAsia="en-AU"/>
        </w:rPr>
        <w:t xml:space="preserve"> 26</w:t>
      </w:r>
      <w:r>
        <w:rPr>
          <w:lang w:eastAsia="en-AU"/>
        </w:rPr>
        <w:t xml:space="preserve">(3), 538-5/doi.org/10.1016/j.neurom.2022.07.011 </w:t>
      </w:r>
    </w:p>
    <w:p w14:paraId="2337B448" w14:textId="079F09DC" w:rsidR="002B1D41" w:rsidRDefault="002B1D41" w:rsidP="00BE4358">
      <w:pPr>
        <w:pStyle w:val="References"/>
        <w:rPr>
          <w:lang w:eastAsia="en-AU"/>
        </w:rPr>
      </w:pPr>
      <w:r>
        <w:rPr>
          <w:lang w:eastAsia="en-AU"/>
        </w:rPr>
        <w:t xml:space="preserve">Zhou, P. B., &amp; Bao, M. (2023). Clinical Effect Analysis of Spinal Cord Electrical Stimulator Implantation for Diabetic Foot [Article]. </w:t>
      </w:r>
      <w:r>
        <w:rPr>
          <w:i/>
          <w:iCs/>
          <w:lang w:eastAsia="en-AU"/>
        </w:rPr>
        <w:t>Neuromodulation</w:t>
      </w:r>
      <w:r>
        <w:rPr>
          <w:lang w:eastAsia="en-AU"/>
        </w:rPr>
        <w:t>,</w:t>
      </w:r>
      <w:r>
        <w:rPr>
          <w:i/>
          <w:iCs/>
          <w:lang w:eastAsia="en-AU"/>
        </w:rPr>
        <w:t xml:space="preserve"> 26</w:t>
      </w:r>
      <w:r>
        <w:rPr>
          <w:lang w:eastAsia="en-AU"/>
        </w:rPr>
        <w:t xml:space="preserve">(1), 246-2/doi.org/10.1111/ner.13502 </w:t>
      </w:r>
    </w:p>
    <w:p w14:paraId="5319879B" w14:textId="029EE4C4" w:rsidR="00BE4358" w:rsidRDefault="00BE4358" w:rsidP="00BE4358">
      <w:pPr>
        <w:pStyle w:val="References"/>
        <w:rPr>
          <w:lang w:eastAsia="en-AU"/>
        </w:rPr>
      </w:pPr>
      <w:r>
        <w:rPr>
          <w:lang w:eastAsia="en-AU"/>
        </w:rPr>
        <w:t xml:space="preserve">Ziegler, D., Tesfaye, S., </w:t>
      </w:r>
      <w:proofErr w:type="spellStart"/>
      <w:r>
        <w:rPr>
          <w:lang w:eastAsia="en-AU"/>
        </w:rPr>
        <w:t>Spallone</w:t>
      </w:r>
      <w:proofErr w:type="spellEnd"/>
      <w:r>
        <w:rPr>
          <w:lang w:eastAsia="en-AU"/>
        </w:rPr>
        <w:t xml:space="preserve">, V., et al. (2022). Screening, diagnosis and management of diabetic sensorimotor polyneuropathy in clinical practice: International expert consensus recommendations [Review]. </w:t>
      </w:r>
      <w:r>
        <w:rPr>
          <w:i/>
          <w:iCs/>
          <w:lang w:eastAsia="en-AU"/>
        </w:rPr>
        <w:t>Diabetes Research and Clinical Practice</w:t>
      </w:r>
      <w:r>
        <w:rPr>
          <w:lang w:eastAsia="en-AU"/>
        </w:rPr>
        <w:t>,</w:t>
      </w:r>
      <w:r>
        <w:rPr>
          <w:i/>
          <w:iCs/>
          <w:lang w:eastAsia="en-AU"/>
        </w:rPr>
        <w:t xml:space="preserve"> 1</w:t>
      </w:r>
      <w:r>
        <w:rPr>
          <w:lang w:eastAsia="en-AU"/>
        </w:rPr>
        <w:t xml:space="preserve">/doi.org/10.1016/j.diabres.2021.109063 </w:t>
      </w:r>
    </w:p>
    <w:p w14:paraId="2B0BE42E" w14:textId="42026021" w:rsidR="002B1D41" w:rsidRDefault="002B1D41" w:rsidP="00BE4358">
      <w:pPr>
        <w:pStyle w:val="References"/>
        <w:rPr>
          <w:lang w:eastAsia="en-AU"/>
        </w:rPr>
      </w:pPr>
      <w:proofErr w:type="spellStart"/>
      <w:r>
        <w:rPr>
          <w:lang w:eastAsia="en-AU"/>
        </w:rPr>
        <w:t>Zucco</w:t>
      </w:r>
      <w:proofErr w:type="spellEnd"/>
      <w:r>
        <w:rPr>
          <w:lang w:eastAsia="en-AU"/>
        </w:rPr>
        <w:t xml:space="preserve">, F., </w:t>
      </w:r>
      <w:proofErr w:type="spellStart"/>
      <w:r>
        <w:rPr>
          <w:lang w:eastAsia="en-AU"/>
        </w:rPr>
        <w:t>Ciampichini</w:t>
      </w:r>
      <w:proofErr w:type="spellEnd"/>
      <w:r>
        <w:rPr>
          <w:lang w:eastAsia="en-AU"/>
        </w:rPr>
        <w:t xml:space="preserve">, R., </w:t>
      </w:r>
      <w:proofErr w:type="spellStart"/>
      <w:r>
        <w:rPr>
          <w:lang w:eastAsia="en-AU"/>
        </w:rPr>
        <w:t>Lavano</w:t>
      </w:r>
      <w:proofErr w:type="spellEnd"/>
      <w:r>
        <w:rPr>
          <w:lang w:eastAsia="en-AU"/>
        </w:rPr>
        <w:t xml:space="preserve">, A., et al. (2015). Cost-Effectiveness and Cost-Utility Analysis of Spinal Cord Stimulation in Patients With Failed Back Surgery Syndrome: Results From the PRECISE Study [Article]. </w:t>
      </w:r>
      <w:r>
        <w:rPr>
          <w:i/>
          <w:iCs/>
          <w:lang w:eastAsia="en-AU"/>
        </w:rPr>
        <w:t>Neuromodulation</w:t>
      </w:r>
      <w:r>
        <w:rPr>
          <w:lang w:eastAsia="en-AU"/>
        </w:rPr>
        <w:t>,</w:t>
      </w:r>
      <w:r>
        <w:rPr>
          <w:i/>
          <w:iCs/>
          <w:lang w:eastAsia="en-AU"/>
        </w:rPr>
        <w:t xml:space="preserve"> 18</w:t>
      </w:r>
      <w:r>
        <w:rPr>
          <w:lang w:eastAsia="en-AU"/>
        </w:rPr>
        <w:t xml:space="preserve">(4), 266-2/doi.org/10.1111/ner.12292 </w:t>
      </w:r>
    </w:p>
    <w:p w14:paraId="29369AF3" w14:textId="77777777" w:rsidR="002E4A2B" w:rsidRPr="002E4A2B" w:rsidRDefault="002E4A2B" w:rsidP="002E4A2B">
      <w:pPr>
        <w:pStyle w:val="BodyText"/>
      </w:pPr>
    </w:p>
    <w:p w14:paraId="508BF60D" w14:textId="189D6E39" w:rsidR="00D5002B" w:rsidRDefault="00D5002B" w:rsidP="00D5002B">
      <w:pPr>
        <w:pStyle w:val="Heading7"/>
      </w:pPr>
      <w:bookmarkStart w:id="152" w:name="_Toc165634697"/>
      <w:bookmarkStart w:id="153" w:name="_Ref134440628"/>
      <w:bookmarkStart w:id="154" w:name="_Ref134811724"/>
      <w:bookmarkStart w:id="155" w:name="_Ref134811746"/>
      <w:r>
        <w:lastRenderedPageBreak/>
        <w:t xml:space="preserve">PL </w:t>
      </w:r>
      <w:r w:rsidR="007A51B3">
        <w:t xml:space="preserve">grouping of </w:t>
      </w:r>
      <w:r w:rsidR="00851D32">
        <w:t>‘</w:t>
      </w:r>
      <w:r w:rsidR="00A5060C">
        <w:t>Neurostimulation Therapies for Pain’ Subcategory</w:t>
      </w:r>
      <w:bookmarkEnd w:id="152"/>
      <w:r w:rsidR="00A5060C">
        <w:t xml:space="preserve"> </w:t>
      </w:r>
      <w:bookmarkEnd w:id="153"/>
      <w:bookmarkEnd w:id="154"/>
      <w:bookmarkEnd w:id="155"/>
    </w:p>
    <w:p w14:paraId="0D660E3D" w14:textId="79E7B223" w:rsidR="00FA0CD7" w:rsidRDefault="009C3503" w:rsidP="00FA0CD7">
      <w:pPr>
        <w:pStyle w:val="Caption"/>
      </w:pPr>
      <w:bookmarkStart w:id="156" w:name="_Ref134440021"/>
      <w:bookmarkStart w:id="157" w:name="_Ref134811768"/>
      <w:r>
        <w:t xml:space="preserve">Table App </w:t>
      </w:r>
      <w:bookmarkEnd w:id="156"/>
      <w:r w:rsidR="00352328">
        <w:fldChar w:fldCharType="begin"/>
      </w:r>
      <w:r w:rsidR="00352328">
        <w:instrText xml:space="preserve"> SEQ Table_App \* ARABIC </w:instrText>
      </w:r>
      <w:r w:rsidR="00352328">
        <w:fldChar w:fldCharType="separate"/>
      </w:r>
      <w:r w:rsidR="00CE6ACA">
        <w:rPr>
          <w:noProof/>
        </w:rPr>
        <w:t>1</w:t>
      </w:r>
      <w:r w:rsidR="00352328">
        <w:fldChar w:fldCharType="end"/>
      </w:r>
      <w:bookmarkEnd w:id="157"/>
      <w:r w:rsidR="00FA0CD7">
        <w:tab/>
        <w:t>Grouping of SCS, DRGS, and PNS systems in the PL (November 2022)</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Grouping of SCS and DRGS systems in the PL (November 2022)"/>
        <w:tblDescription w:val="Table showing the organisation at the Group and Subgroup level of the components of SCS and DRGS system in the November 2022 PL."/>
      </w:tblPr>
      <w:tblGrid>
        <w:gridCol w:w="1356"/>
        <w:gridCol w:w="56"/>
        <w:gridCol w:w="281"/>
        <w:gridCol w:w="180"/>
        <w:gridCol w:w="243"/>
        <w:gridCol w:w="1542"/>
        <w:gridCol w:w="1839"/>
        <w:gridCol w:w="1551"/>
        <w:gridCol w:w="1091"/>
        <w:gridCol w:w="743"/>
        <w:gridCol w:w="756"/>
      </w:tblGrid>
      <w:tr w:rsidR="00FA0CD7" w:rsidRPr="009B4553" w14:paraId="7FC8DC72" w14:textId="77777777">
        <w:trPr>
          <w:cantSplit/>
          <w:tblHeader/>
        </w:trPr>
        <w:tc>
          <w:tcPr>
            <w:tcW w:w="1362" w:type="dxa"/>
            <w:shd w:val="clear" w:color="auto" w:fill="BFBFBF"/>
          </w:tcPr>
          <w:p w14:paraId="1F3CE58C" w14:textId="77777777" w:rsidR="00FA0CD7" w:rsidRPr="009B4553" w:rsidRDefault="00FA0CD7">
            <w:pPr>
              <w:pStyle w:val="011TableHeading8pt"/>
            </w:pPr>
            <w:r w:rsidRPr="009B4553">
              <w:t>Group</w:t>
            </w:r>
          </w:p>
        </w:tc>
        <w:tc>
          <w:tcPr>
            <w:tcW w:w="2324" w:type="dxa"/>
            <w:gridSpan w:val="5"/>
            <w:shd w:val="clear" w:color="auto" w:fill="BFBFBF"/>
          </w:tcPr>
          <w:p w14:paraId="7E3EE5DA" w14:textId="77777777" w:rsidR="00FA0CD7" w:rsidRPr="009B4553" w:rsidRDefault="00FA0CD7">
            <w:pPr>
              <w:pStyle w:val="011TableHeading8pt"/>
            </w:pPr>
            <w:r w:rsidRPr="009B4553">
              <w:t>Subgroup</w:t>
            </w:r>
          </w:p>
        </w:tc>
        <w:tc>
          <w:tcPr>
            <w:tcW w:w="1843" w:type="dxa"/>
            <w:shd w:val="clear" w:color="auto" w:fill="BFBFBF"/>
          </w:tcPr>
          <w:p w14:paraId="4E04CCAA" w14:textId="77777777" w:rsidR="00FA0CD7" w:rsidRPr="009B4553" w:rsidRDefault="00FA0CD7">
            <w:pPr>
              <w:pStyle w:val="011TableHeading8pt"/>
            </w:pPr>
            <w:r w:rsidRPr="009B4553">
              <w:t>Device Name</w:t>
            </w:r>
          </w:p>
        </w:tc>
        <w:tc>
          <w:tcPr>
            <w:tcW w:w="1559" w:type="dxa"/>
            <w:shd w:val="clear" w:color="auto" w:fill="BFBFBF"/>
          </w:tcPr>
          <w:p w14:paraId="292C61F6" w14:textId="77777777" w:rsidR="00FA0CD7" w:rsidRPr="009B4553" w:rsidRDefault="00FA0CD7">
            <w:pPr>
              <w:pStyle w:val="011TableHeading8pt"/>
            </w:pPr>
            <w:r w:rsidRPr="009B4553">
              <w:t>Sponsor</w:t>
            </w:r>
          </w:p>
        </w:tc>
        <w:tc>
          <w:tcPr>
            <w:tcW w:w="1100" w:type="dxa"/>
            <w:shd w:val="clear" w:color="auto" w:fill="BFBFBF"/>
          </w:tcPr>
          <w:p w14:paraId="26B6E9CB" w14:textId="77777777" w:rsidR="00FA0CD7" w:rsidRPr="009B4553" w:rsidRDefault="00FA0CD7">
            <w:pPr>
              <w:pStyle w:val="011TableHeading8pt"/>
            </w:pPr>
            <w:r w:rsidRPr="009B4553">
              <w:t>Billing Code</w:t>
            </w:r>
          </w:p>
        </w:tc>
        <w:tc>
          <w:tcPr>
            <w:tcW w:w="743" w:type="dxa"/>
            <w:shd w:val="clear" w:color="auto" w:fill="BFBFBF"/>
          </w:tcPr>
          <w:p w14:paraId="5233D8E7" w14:textId="77777777" w:rsidR="00FA0CD7" w:rsidRPr="009B4553" w:rsidRDefault="00FA0CD7">
            <w:pPr>
              <w:pStyle w:val="011TableHeading8pt"/>
            </w:pPr>
            <w:r w:rsidRPr="009B4553">
              <w:t>Benefit</w:t>
            </w:r>
          </w:p>
        </w:tc>
        <w:tc>
          <w:tcPr>
            <w:tcW w:w="707" w:type="dxa"/>
            <w:shd w:val="clear" w:color="auto" w:fill="BFBFBF"/>
          </w:tcPr>
          <w:p w14:paraId="2A14ECB0" w14:textId="77777777" w:rsidR="00FA0CD7" w:rsidRPr="009B4553" w:rsidRDefault="00FA0CD7">
            <w:pPr>
              <w:pStyle w:val="011TableHeading8pt"/>
            </w:pPr>
            <w:r w:rsidRPr="009B4553">
              <w:t>ARTG</w:t>
            </w:r>
          </w:p>
        </w:tc>
      </w:tr>
      <w:tr w:rsidR="00FA0CD7" w:rsidRPr="009B4553" w14:paraId="3B54D6E9" w14:textId="77777777">
        <w:trPr>
          <w:cantSplit/>
        </w:trPr>
        <w:tc>
          <w:tcPr>
            <w:tcW w:w="1882" w:type="dxa"/>
            <w:gridSpan w:val="4"/>
            <w:shd w:val="clear" w:color="auto" w:fill="F2F2F2" w:themeFill="background1" w:themeFillShade="F2"/>
          </w:tcPr>
          <w:p w14:paraId="57BE10AD" w14:textId="77777777" w:rsidR="00FA0CD7" w:rsidRPr="009B4553" w:rsidRDefault="00FA0CD7">
            <w:pPr>
              <w:pStyle w:val="031Tablesubheading8pt"/>
            </w:pPr>
            <w:r w:rsidRPr="009B4553">
              <w:t>Neurostimulators</w:t>
            </w:r>
          </w:p>
        </w:tc>
        <w:tc>
          <w:tcPr>
            <w:tcW w:w="1804" w:type="dxa"/>
            <w:gridSpan w:val="2"/>
            <w:shd w:val="clear" w:color="auto" w:fill="F2F2F2" w:themeFill="background1" w:themeFillShade="F2"/>
          </w:tcPr>
          <w:p w14:paraId="3192A214" w14:textId="77777777" w:rsidR="00FA0CD7" w:rsidRPr="009B4553" w:rsidRDefault="00FA0CD7">
            <w:pPr>
              <w:pStyle w:val="051Tabletext228pt"/>
            </w:pPr>
          </w:p>
        </w:tc>
        <w:tc>
          <w:tcPr>
            <w:tcW w:w="1843" w:type="dxa"/>
            <w:shd w:val="clear" w:color="auto" w:fill="F2F2F2" w:themeFill="background1" w:themeFillShade="F2"/>
          </w:tcPr>
          <w:p w14:paraId="61609BF3" w14:textId="77777777" w:rsidR="00FA0CD7" w:rsidRPr="009B4553" w:rsidRDefault="00FA0CD7">
            <w:pPr>
              <w:pStyle w:val="051Tabletext228pt"/>
            </w:pPr>
          </w:p>
        </w:tc>
        <w:tc>
          <w:tcPr>
            <w:tcW w:w="1559" w:type="dxa"/>
            <w:shd w:val="clear" w:color="auto" w:fill="F2F2F2" w:themeFill="background1" w:themeFillShade="F2"/>
          </w:tcPr>
          <w:p w14:paraId="524BAC71" w14:textId="77777777" w:rsidR="00FA0CD7" w:rsidRPr="009B4553" w:rsidRDefault="00FA0CD7">
            <w:pPr>
              <w:pStyle w:val="051Tabletext228pt"/>
            </w:pPr>
          </w:p>
        </w:tc>
        <w:tc>
          <w:tcPr>
            <w:tcW w:w="1100" w:type="dxa"/>
            <w:shd w:val="clear" w:color="auto" w:fill="F2F2F2" w:themeFill="background1" w:themeFillShade="F2"/>
          </w:tcPr>
          <w:p w14:paraId="3C234BDC" w14:textId="77777777" w:rsidR="00FA0CD7" w:rsidRPr="009B4553" w:rsidRDefault="00FA0CD7">
            <w:pPr>
              <w:pStyle w:val="051Tabletext228pt"/>
            </w:pPr>
          </w:p>
        </w:tc>
        <w:tc>
          <w:tcPr>
            <w:tcW w:w="743" w:type="dxa"/>
            <w:shd w:val="clear" w:color="auto" w:fill="F2F2F2" w:themeFill="background1" w:themeFillShade="F2"/>
          </w:tcPr>
          <w:p w14:paraId="31220479" w14:textId="77777777" w:rsidR="00FA0CD7" w:rsidRPr="009B4553" w:rsidRDefault="00FA0CD7">
            <w:pPr>
              <w:pStyle w:val="051Tabletext228pt"/>
            </w:pPr>
          </w:p>
        </w:tc>
        <w:tc>
          <w:tcPr>
            <w:tcW w:w="707" w:type="dxa"/>
            <w:shd w:val="clear" w:color="auto" w:fill="F2F2F2" w:themeFill="background1" w:themeFillShade="F2"/>
          </w:tcPr>
          <w:p w14:paraId="01126FBA" w14:textId="77777777" w:rsidR="00FA0CD7" w:rsidRPr="009B4553" w:rsidRDefault="00FA0CD7">
            <w:pPr>
              <w:pStyle w:val="051Tabletext228pt"/>
            </w:pPr>
          </w:p>
        </w:tc>
      </w:tr>
      <w:tr w:rsidR="00FA0CD7" w:rsidRPr="009B4553" w14:paraId="2B6FEDD0" w14:textId="77777777">
        <w:trPr>
          <w:cantSplit/>
        </w:trPr>
        <w:tc>
          <w:tcPr>
            <w:tcW w:w="1362" w:type="dxa"/>
            <w:shd w:val="clear" w:color="auto" w:fill="auto"/>
          </w:tcPr>
          <w:p w14:paraId="40C58628" w14:textId="77777777" w:rsidR="00FA0CD7" w:rsidRPr="009B4553" w:rsidRDefault="00FA0CD7">
            <w:pPr>
              <w:pStyle w:val="051Tabletext228pt"/>
            </w:pPr>
            <w:r w:rsidRPr="009B4553">
              <w:t>04.05.01 - Pulse Generators</w:t>
            </w:r>
          </w:p>
        </w:tc>
        <w:tc>
          <w:tcPr>
            <w:tcW w:w="2324" w:type="dxa"/>
            <w:gridSpan w:val="5"/>
            <w:shd w:val="clear" w:color="auto" w:fill="auto"/>
          </w:tcPr>
          <w:p w14:paraId="74B885D8" w14:textId="77777777" w:rsidR="00FA0CD7" w:rsidRPr="009B4553" w:rsidRDefault="00FA0CD7">
            <w:pPr>
              <w:pStyle w:val="051Tabletext228pt"/>
            </w:pPr>
            <w:r w:rsidRPr="009B4553">
              <w:t>04.05.01.01 - Primary Cell Pulse Generator (non-rechargeable)</w:t>
            </w:r>
          </w:p>
        </w:tc>
        <w:tc>
          <w:tcPr>
            <w:tcW w:w="1843" w:type="dxa"/>
            <w:shd w:val="clear" w:color="auto" w:fill="auto"/>
          </w:tcPr>
          <w:p w14:paraId="65F39D16" w14:textId="77777777" w:rsidR="00FA0CD7" w:rsidRPr="009B4553" w:rsidRDefault="00FA0CD7">
            <w:pPr>
              <w:pStyle w:val="051Tabletext228pt"/>
            </w:pPr>
            <w:r w:rsidRPr="009B4553">
              <w:t>Precision Novi IPG</w:t>
            </w:r>
          </w:p>
        </w:tc>
        <w:tc>
          <w:tcPr>
            <w:tcW w:w="1559" w:type="dxa"/>
            <w:shd w:val="clear" w:color="auto" w:fill="auto"/>
          </w:tcPr>
          <w:p w14:paraId="4DDE4B4E" w14:textId="77777777" w:rsidR="00FA0CD7" w:rsidRPr="009B4553" w:rsidRDefault="00FA0CD7">
            <w:pPr>
              <w:pStyle w:val="051Tabletext228pt"/>
            </w:pPr>
            <w:r w:rsidRPr="009B4553">
              <w:t>Boston Scientific Australia Pty Ltd</w:t>
            </w:r>
          </w:p>
        </w:tc>
        <w:tc>
          <w:tcPr>
            <w:tcW w:w="1100" w:type="dxa"/>
            <w:shd w:val="clear" w:color="auto" w:fill="auto"/>
          </w:tcPr>
          <w:p w14:paraId="63FBC1E8" w14:textId="77777777" w:rsidR="00FA0CD7" w:rsidRPr="009B4553" w:rsidRDefault="00FA0CD7">
            <w:pPr>
              <w:pStyle w:val="051Tabletext228pt"/>
            </w:pPr>
            <w:r w:rsidRPr="009B4553">
              <w:t>BS322</w:t>
            </w:r>
          </w:p>
        </w:tc>
        <w:tc>
          <w:tcPr>
            <w:tcW w:w="743" w:type="dxa"/>
            <w:shd w:val="clear" w:color="auto" w:fill="auto"/>
          </w:tcPr>
          <w:p w14:paraId="4C4AC190" w14:textId="77777777" w:rsidR="00FA0CD7" w:rsidRPr="009B4553" w:rsidRDefault="00FA0CD7">
            <w:pPr>
              <w:pStyle w:val="051Tabletext228pt"/>
            </w:pPr>
            <w:r w:rsidRPr="009B4553">
              <w:t>$21,660</w:t>
            </w:r>
          </w:p>
        </w:tc>
        <w:tc>
          <w:tcPr>
            <w:tcW w:w="707" w:type="dxa"/>
            <w:shd w:val="clear" w:color="auto" w:fill="auto"/>
          </w:tcPr>
          <w:p w14:paraId="6AF09ACF" w14:textId="77777777" w:rsidR="00FA0CD7" w:rsidRPr="009B4553" w:rsidRDefault="00FA0CD7">
            <w:pPr>
              <w:pStyle w:val="051Tabletext228pt"/>
            </w:pPr>
            <w:r w:rsidRPr="009B4553">
              <w:t>283692</w:t>
            </w:r>
            <w:r w:rsidRPr="009B4553">
              <w:br/>
              <w:t>283693</w:t>
            </w:r>
          </w:p>
        </w:tc>
      </w:tr>
      <w:tr w:rsidR="00FA0CD7" w:rsidRPr="009B4553" w14:paraId="178F9264" w14:textId="77777777">
        <w:trPr>
          <w:cantSplit/>
        </w:trPr>
        <w:tc>
          <w:tcPr>
            <w:tcW w:w="1362" w:type="dxa"/>
            <w:shd w:val="clear" w:color="auto" w:fill="auto"/>
          </w:tcPr>
          <w:p w14:paraId="00030CB9" w14:textId="77777777" w:rsidR="00FA0CD7" w:rsidRPr="009B4553" w:rsidRDefault="00FA0CD7">
            <w:pPr>
              <w:pStyle w:val="051Tabletext228pt"/>
            </w:pPr>
            <w:r w:rsidRPr="009B4553">
              <w:t>04.05.01 - Pulse Generators</w:t>
            </w:r>
          </w:p>
        </w:tc>
        <w:tc>
          <w:tcPr>
            <w:tcW w:w="2324" w:type="dxa"/>
            <w:gridSpan w:val="5"/>
            <w:shd w:val="clear" w:color="auto" w:fill="auto"/>
          </w:tcPr>
          <w:p w14:paraId="100BC59D" w14:textId="77777777" w:rsidR="00FA0CD7" w:rsidRPr="009B4553" w:rsidRDefault="00FA0CD7">
            <w:pPr>
              <w:pStyle w:val="051Tabletext228pt"/>
            </w:pPr>
            <w:r w:rsidRPr="009B4553">
              <w:t>04.05.01.01 - Primary Cell Pulse Generator (non-rechargeable)</w:t>
            </w:r>
          </w:p>
        </w:tc>
        <w:tc>
          <w:tcPr>
            <w:tcW w:w="1843" w:type="dxa"/>
            <w:shd w:val="clear" w:color="auto" w:fill="auto"/>
          </w:tcPr>
          <w:p w14:paraId="2EA8D88D" w14:textId="77777777" w:rsidR="00FA0CD7" w:rsidRPr="009B4553" w:rsidRDefault="00FA0CD7">
            <w:pPr>
              <w:pStyle w:val="051Tabletext228pt"/>
            </w:pPr>
            <w:proofErr w:type="spellStart"/>
            <w:r w:rsidRPr="009B4553">
              <w:t>WaveWriter</w:t>
            </w:r>
            <w:proofErr w:type="spellEnd"/>
            <w:r w:rsidRPr="009B4553">
              <w:t xml:space="preserve"> Alpha</w:t>
            </w:r>
          </w:p>
        </w:tc>
        <w:tc>
          <w:tcPr>
            <w:tcW w:w="1559" w:type="dxa"/>
            <w:shd w:val="clear" w:color="auto" w:fill="auto"/>
          </w:tcPr>
          <w:p w14:paraId="1E886996" w14:textId="77777777" w:rsidR="00FA0CD7" w:rsidRPr="009B4553" w:rsidRDefault="00FA0CD7">
            <w:pPr>
              <w:pStyle w:val="051Tabletext228pt"/>
            </w:pPr>
            <w:r w:rsidRPr="009B4553">
              <w:t>Boston Scientific Australia Pty Ltd</w:t>
            </w:r>
          </w:p>
        </w:tc>
        <w:tc>
          <w:tcPr>
            <w:tcW w:w="1100" w:type="dxa"/>
            <w:shd w:val="clear" w:color="auto" w:fill="auto"/>
          </w:tcPr>
          <w:p w14:paraId="72475ED7" w14:textId="77777777" w:rsidR="00FA0CD7" w:rsidRPr="009B4553" w:rsidRDefault="00FA0CD7">
            <w:pPr>
              <w:pStyle w:val="051Tabletext228pt"/>
            </w:pPr>
            <w:r w:rsidRPr="009B4553">
              <w:t>BS383</w:t>
            </w:r>
          </w:p>
        </w:tc>
        <w:tc>
          <w:tcPr>
            <w:tcW w:w="743" w:type="dxa"/>
            <w:shd w:val="clear" w:color="auto" w:fill="auto"/>
          </w:tcPr>
          <w:p w14:paraId="370E6145" w14:textId="77777777" w:rsidR="00FA0CD7" w:rsidRPr="009B4553" w:rsidRDefault="00FA0CD7">
            <w:pPr>
              <w:pStyle w:val="051Tabletext228pt"/>
            </w:pPr>
            <w:r w:rsidRPr="009B4553">
              <w:t>$21,660</w:t>
            </w:r>
          </w:p>
        </w:tc>
        <w:tc>
          <w:tcPr>
            <w:tcW w:w="707" w:type="dxa"/>
            <w:shd w:val="clear" w:color="auto" w:fill="auto"/>
          </w:tcPr>
          <w:p w14:paraId="3DB65960" w14:textId="77777777" w:rsidR="00FA0CD7" w:rsidRPr="009B4553" w:rsidRDefault="00FA0CD7">
            <w:pPr>
              <w:pStyle w:val="051Tabletext228pt"/>
            </w:pPr>
            <w:r w:rsidRPr="009B4553">
              <w:t>362970</w:t>
            </w:r>
            <w:r w:rsidRPr="009B4553">
              <w:br/>
              <w:t>362971</w:t>
            </w:r>
          </w:p>
        </w:tc>
      </w:tr>
      <w:tr w:rsidR="00FA0CD7" w:rsidRPr="009B4553" w14:paraId="269841E1" w14:textId="77777777">
        <w:trPr>
          <w:cantSplit/>
        </w:trPr>
        <w:tc>
          <w:tcPr>
            <w:tcW w:w="1362" w:type="dxa"/>
            <w:shd w:val="clear" w:color="auto" w:fill="auto"/>
          </w:tcPr>
          <w:p w14:paraId="79EFC9FC" w14:textId="77777777" w:rsidR="00FA0CD7" w:rsidRPr="009B4553" w:rsidRDefault="00FA0CD7">
            <w:pPr>
              <w:pStyle w:val="051Tabletext228pt"/>
            </w:pPr>
            <w:r w:rsidRPr="009B4553">
              <w:t>04.05.01 - Pulse Generators</w:t>
            </w:r>
          </w:p>
        </w:tc>
        <w:tc>
          <w:tcPr>
            <w:tcW w:w="2324" w:type="dxa"/>
            <w:gridSpan w:val="5"/>
            <w:shd w:val="clear" w:color="auto" w:fill="auto"/>
          </w:tcPr>
          <w:p w14:paraId="7F24C992" w14:textId="77777777" w:rsidR="00FA0CD7" w:rsidRPr="009B4553" w:rsidRDefault="00FA0CD7">
            <w:pPr>
              <w:pStyle w:val="051Tabletext228pt"/>
            </w:pPr>
            <w:r w:rsidRPr="009B4553">
              <w:t>04.05.01.01 - Primary Cell Pulse Generator (non-rechargeable)</w:t>
            </w:r>
          </w:p>
        </w:tc>
        <w:tc>
          <w:tcPr>
            <w:tcW w:w="1843" w:type="dxa"/>
            <w:shd w:val="clear" w:color="auto" w:fill="auto"/>
          </w:tcPr>
          <w:p w14:paraId="4155DE26" w14:textId="77777777" w:rsidR="00FA0CD7" w:rsidRPr="009B4553" w:rsidRDefault="00FA0CD7">
            <w:pPr>
              <w:pStyle w:val="051Tabletext228pt"/>
            </w:pPr>
            <w:r w:rsidRPr="009B4553">
              <w:t>Proclaim IPG</w:t>
            </w:r>
          </w:p>
        </w:tc>
        <w:tc>
          <w:tcPr>
            <w:tcW w:w="1559" w:type="dxa"/>
            <w:shd w:val="clear" w:color="auto" w:fill="auto"/>
          </w:tcPr>
          <w:p w14:paraId="1638383E" w14:textId="77777777" w:rsidR="00FA0CD7" w:rsidRPr="009B4553" w:rsidRDefault="00FA0CD7">
            <w:pPr>
              <w:pStyle w:val="051Tabletext228pt"/>
            </w:pPr>
            <w:r w:rsidRPr="009B4553">
              <w:t>ABBOTT MEDICAL AUSTRALIA PTY LTD.</w:t>
            </w:r>
          </w:p>
        </w:tc>
        <w:tc>
          <w:tcPr>
            <w:tcW w:w="1100" w:type="dxa"/>
            <w:shd w:val="clear" w:color="auto" w:fill="auto"/>
          </w:tcPr>
          <w:p w14:paraId="05D24D3D" w14:textId="77777777" w:rsidR="00FA0CD7" w:rsidRPr="009B4553" w:rsidRDefault="00FA0CD7">
            <w:pPr>
              <w:pStyle w:val="051Tabletext228pt"/>
            </w:pPr>
            <w:r w:rsidRPr="009B4553">
              <w:t>SJ379</w:t>
            </w:r>
          </w:p>
        </w:tc>
        <w:tc>
          <w:tcPr>
            <w:tcW w:w="743" w:type="dxa"/>
            <w:shd w:val="clear" w:color="auto" w:fill="auto"/>
          </w:tcPr>
          <w:p w14:paraId="6FE9BECD" w14:textId="77777777" w:rsidR="00FA0CD7" w:rsidRPr="009B4553" w:rsidRDefault="00FA0CD7">
            <w:pPr>
              <w:pStyle w:val="051Tabletext228pt"/>
            </w:pPr>
            <w:r w:rsidRPr="009B4553">
              <w:t>$21,660</w:t>
            </w:r>
          </w:p>
        </w:tc>
        <w:tc>
          <w:tcPr>
            <w:tcW w:w="707" w:type="dxa"/>
            <w:shd w:val="clear" w:color="auto" w:fill="auto"/>
          </w:tcPr>
          <w:p w14:paraId="7549ADAA" w14:textId="77777777" w:rsidR="00FA0CD7" w:rsidRPr="009B4553" w:rsidRDefault="00FA0CD7">
            <w:pPr>
              <w:pStyle w:val="051Tabletext228pt"/>
            </w:pPr>
            <w:r w:rsidRPr="009B4553">
              <w:t>279015</w:t>
            </w:r>
            <w:r w:rsidRPr="009B4553">
              <w:br/>
              <w:t>279016</w:t>
            </w:r>
          </w:p>
        </w:tc>
      </w:tr>
      <w:tr w:rsidR="00FA0CD7" w:rsidRPr="009B4553" w14:paraId="61F5EE31" w14:textId="77777777">
        <w:trPr>
          <w:cantSplit/>
        </w:trPr>
        <w:tc>
          <w:tcPr>
            <w:tcW w:w="1362" w:type="dxa"/>
            <w:shd w:val="clear" w:color="auto" w:fill="auto"/>
          </w:tcPr>
          <w:p w14:paraId="3A24169A" w14:textId="77777777" w:rsidR="00FA0CD7" w:rsidRPr="009B4553" w:rsidRDefault="00FA0CD7">
            <w:pPr>
              <w:pStyle w:val="051Tabletext228pt"/>
            </w:pPr>
            <w:r w:rsidRPr="009B4553">
              <w:t>04.05.01 - Pulse Generators</w:t>
            </w:r>
          </w:p>
        </w:tc>
        <w:tc>
          <w:tcPr>
            <w:tcW w:w="2324" w:type="dxa"/>
            <w:gridSpan w:val="5"/>
            <w:shd w:val="clear" w:color="auto" w:fill="auto"/>
          </w:tcPr>
          <w:p w14:paraId="1583DED3" w14:textId="77777777" w:rsidR="00FA0CD7" w:rsidRPr="009B4553" w:rsidRDefault="00FA0CD7">
            <w:pPr>
              <w:pStyle w:val="051Tabletext228pt"/>
            </w:pPr>
            <w:r w:rsidRPr="009B4553">
              <w:t>04.05.01.01 - Primary Cell Pulse Generator (non-rechargeable)</w:t>
            </w:r>
          </w:p>
        </w:tc>
        <w:tc>
          <w:tcPr>
            <w:tcW w:w="1843" w:type="dxa"/>
            <w:shd w:val="clear" w:color="auto" w:fill="auto"/>
          </w:tcPr>
          <w:p w14:paraId="7F080610" w14:textId="77777777" w:rsidR="00FA0CD7" w:rsidRPr="009B4553" w:rsidRDefault="00FA0CD7">
            <w:pPr>
              <w:pStyle w:val="051Tabletext228pt"/>
            </w:pPr>
            <w:r w:rsidRPr="009B4553">
              <w:t>Proclaim DRG</w:t>
            </w:r>
          </w:p>
        </w:tc>
        <w:tc>
          <w:tcPr>
            <w:tcW w:w="1559" w:type="dxa"/>
            <w:shd w:val="clear" w:color="auto" w:fill="auto"/>
          </w:tcPr>
          <w:p w14:paraId="71DD839A" w14:textId="77777777" w:rsidR="00FA0CD7" w:rsidRPr="009B4553" w:rsidRDefault="00FA0CD7">
            <w:pPr>
              <w:pStyle w:val="051Tabletext228pt"/>
            </w:pPr>
            <w:r w:rsidRPr="009B4553">
              <w:t>ABBOTT MEDICAL AUSTRALIA PTY LTD.</w:t>
            </w:r>
          </w:p>
        </w:tc>
        <w:tc>
          <w:tcPr>
            <w:tcW w:w="1100" w:type="dxa"/>
            <w:shd w:val="clear" w:color="auto" w:fill="auto"/>
          </w:tcPr>
          <w:p w14:paraId="5A0EAB72" w14:textId="77777777" w:rsidR="00FA0CD7" w:rsidRPr="009B4553" w:rsidRDefault="00FA0CD7">
            <w:pPr>
              <w:pStyle w:val="051Tabletext228pt"/>
            </w:pPr>
            <w:r w:rsidRPr="009B4553">
              <w:t>SJ389</w:t>
            </w:r>
          </w:p>
        </w:tc>
        <w:tc>
          <w:tcPr>
            <w:tcW w:w="743" w:type="dxa"/>
            <w:shd w:val="clear" w:color="auto" w:fill="auto"/>
          </w:tcPr>
          <w:p w14:paraId="7FD42208" w14:textId="77777777" w:rsidR="00FA0CD7" w:rsidRPr="009B4553" w:rsidRDefault="00FA0CD7">
            <w:pPr>
              <w:pStyle w:val="051Tabletext228pt"/>
            </w:pPr>
            <w:r w:rsidRPr="009B4553">
              <w:t>$21,660</w:t>
            </w:r>
          </w:p>
        </w:tc>
        <w:tc>
          <w:tcPr>
            <w:tcW w:w="707" w:type="dxa"/>
            <w:shd w:val="clear" w:color="auto" w:fill="auto"/>
          </w:tcPr>
          <w:p w14:paraId="082A8326" w14:textId="77777777" w:rsidR="00FA0CD7" w:rsidRPr="009B4553" w:rsidRDefault="00FA0CD7">
            <w:pPr>
              <w:pStyle w:val="051Tabletext228pt"/>
            </w:pPr>
            <w:r w:rsidRPr="009B4553">
              <w:t>289235</w:t>
            </w:r>
            <w:r w:rsidRPr="009B4553">
              <w:br/>
              <w:t>333461</w:t>
            </w:r>
          </w:p>
        </w:tc>
      </w:tr>
      <w:tr w:rsidR="00FA0CD7" w:rsidRPr="009B4553" w14:paraId="18065ABD" w14:textId="77777777">
        <w:trPr>
          <w:cantSplit/>
        </w:trPr>
        <w:tc>
          <w:tcPr>
            <w:tcW w:w="1362" w:type="dxa"/>
            <w:shd w:val="clear" w:color="auto" w:fill="auto"/>
          </w:tcPr>
          <w:p w14:paraId="32BFC024" w14:textId="77777777" w:rsidR="00FA0CD7" w:rsidRPr="009B4553" w:rsidRDefault="00FA0CD7">
            <w:pPr>
              <w:pStyle w:val="051Tabletext228pt"/>
            </w:pPr>
            <w:r w:rsidRPr="009B4553">
              <w:t>04.05.01 - Pulse Generators</w:t>
            </w:r>
          </w:p>
        </w:tc>
        <w:tc>
          <w:tcPr>
            <w:tcW w:w="2324" w:type="dxa"/>
            <w:gridSpan w:val="5"/>
            <w:shd w:val="clear" w:color="auto" w:fill="auto"/>
          </w:tcPr>
          <w:p w14:paraId="013B05F7" w14:textId="77777777" w:rsidR="00FA0CD7" w:rsidRPr="009B4553" w:rsidRDefault="00FA0CD7">
            <w:pPr>
              <w:pStyle w:val="051Tabletext228pt"/>
            </w:pPr>
            <w:r w:rsidRPr="009B4553">
              <w:t>04.05.01.01 - Primary Cell Pulse Generator (non-rechargeable)</w:t>
            </w:r>
          </w:p>
        </w:tc>
        <w:tc>
          <w:tcPr>
            <w:tcW w:w="1843" w:type="dxa"/>
            <w:shd w:val="clear" w:color="auto" w:fill="auto"/>
          </w:tcPr>
          <w:p w14:paraId="506082E3" w14:textId="77777777" w:rsidR="00FA0CD7" w:rsidRPr="009B4553" w:rsidRDefault="00FA0CD7">
            <w:pPr>
              <w:pStyle w:val="051Tabletext228pt"/>
            </w:pPr>
            <w:r w:rsidRPr="009B4553">
              <w:t>Proclaim XR IPG</w:t>
            </w:r>
          </w:p>
        </w:tc>
        <w:tc>
          <w:tcPr>
            <w:tcW w:w="1559" w:type="dxa"/>
            <w:shd w:val="clear" w:color="auto" w:fill="auto"/>
          </w:tcPr>
          <w:p w14:paraId="218A141C" w14:textId="77777777" w:rsidR="00FA0CD7" w:rsidRPr="009B4553" w:rsidRDefault="00FA0CD7">
            <w:pPr>
              <w:pStyle w:val="051Tabletext228pt"/>
            </w:pPr>
            <w:r w:rsidRPr="009B4553">
              <w:t>ABBOTT MEDICAL AUSTRALIA PTY LTD.</w:t>
            </w:r>
          </w:p>
        </w:tc>
        <w:tc>
          <w:tcPr>
            <w:tcW w:w="1100" w:type="dxa"/>
            <w:shd w:val="clear" w:color="auto" w:fill="auto"/>
          </w:tcPr>
          <w:p w14:paraId="49324CB7" w14:textId="77777777" w:rsidR="00FA0CD7" w:rsidRPr="009B4553" w:rsidRDefault="00FA0CD7">
            <w:pPr>
              <w:pStyle w:val="051Tabletext228pt"/>
            </w:pPr>
            <w:r w:rsidRPr="009B4553">
              <w:t>SJ432</w:t>
            </w:r>
          </w:p>
        </w:tc>
        <w:tc>
          <w:tcPr>
            <w:tcW w:w="743" w:type="dxa"/>
            <w:shd w:val="clear" w:color="auto" w:fill="auto"/>
          </w:tcPr>
          <w:p w14:paraId="29B5DA74" w14:textId="77777777" w:rsidR="00FA0CD7" w:rsidRPr="009B4553" w:rsidRDefault="00FA0CD7">
            <w:pPr>
              <w:pStyle w:val="051Tabletext228pt"/>
            </w:pPr>
            <w:r w:rsidRPr="009B4553">
              <w:t>$21,660</w:t>
            </w:r>
          </w:p>
        </w:tc>
        <w:tc>
          <w:tcPr>
            <w:tcW w:w="707" w:type="dxa"/>
            <w:shd w:val="clear" w:color="auto" w:fill="auto"/>
          </w:tcPr>
          <w:p w14:paraId="408A630A" w14:textId="77777777" w:rsidR="00FA0CD7" w:rsidRPr="009B4553" w:rsidRDefault="00FA0CD7">
            <w:pPr>
              <w:pStyle w:val="051Tabletext228pt"/>
            </w:pPr>
            <w:r w:rsidRPr="009B4553">
              <w:t>351631</w:t>
            </w:r>
            <w:r w:rsidRPr="009B4553">
              <w:br/>
              <w:t>351632</w:t>
            </w:r>
          </w:p>
        </w:tc>
      </w:tr>
      <w:tr w:rsidR="00FA0CD7" w:rsidRPr="009B4553" w14:paraId="4D538FE0" w14:textId="77777777">
        <w:trPr>
          <w:cantSplit/>
        </w:trPr>
        <w:tc>
          <w:tcPr>
            <w:tcW w:w="1362" w:type="dxa"/>
            <w:shd w:val="clear" w:color="auto" w:fill="auto"/>
          </w:tcPr>
          <w:p w14:paraId="46D3D1E9" w14:textId="77777777" w:rsidR="00FA0CD7" w:rsidRPr="009B4553" w:rsidRDefault="00FA0CD7">
            <w:pPr>
              <w:pStyle w:val="051Tabletext228pt"/>
            </w:pPr>
            <w:r w:rsidRPr="009B4553">
              <w:t>04.05.01 - Pulse Generators</w:t>
            </w:r>
          </w:p>
        </w:tc>
        <w:tc>
          <w:tcPr>
            <w:tcW w:w="2324" w:type="dxa"/>
            <w:gridSpan w:val="5"/>
            <w:shd w:val="clear" w:color="auto" w:fill="auto"/>
          </w:tcPr>
          <w:p w14:paraId="4728BBE6" w14:textId="77777777" w:rsidR="00FA0CD7" w:rsidRPr="009B4553" w:rsidRDefault="00FA0CD7">
            <w:pPr>
              <w:pStyle w:val="051Tabletext228pt"/>
            </w:pPr>
            <w:r w:rsidRPr="009B4553">
              <w:t>04.05.01.01 - Primary Cell Pulse Generator (non-rechargeable)</w:t>
            </w:r>
          </w:p>
        </w:tc>
        <w:tc>
          <w:tcPr>
            <w:tcW w:w="1843" w:type="dxa"/>
            <w:shd w:val="clear" w:color="auto" w:fill="auto"/>
          </w:tcPr>
          <w:p w14:paraId="00BD41BF" w14:textId="77777777" w:rsidR="00FA0CD7" w:rsidRPr="009B4553" w:rsidRDefault="00FA0CD7">
            <w:pPr>
              <w:pStyle w:val="051Tabletext228pt"/>
            </w:pPr>
            <w:proofErr w:type="spellStart"/>
            <w:r w:rsidRPr="009B4553">
              <w:t>PrimeAdvanced</w:t>
            </w:r>
            <w:proofErr w:type="spellEnd"/>
            <w:r w:rsidRPr="009B4553">
              <w:t xml:space="preserve"> </w:t>
            </w:r>
            <w:proofErr w:type="spellStart"/>
            <w:r w:rsidRPr="009B4553">
              <w:t>Surescan</w:t>
            </w:r>
            <w:proofErr w:type="spellEnd"/>
            <w:r w:rsidRPr="009B4553">
              <w:t xml:space="preserve"> MRI Neurostimulator</w:t>
            </w:r>
          </w:p>
        </w:tc>
        <w:tc>
          <w:tcPr>
            <w:tcW w:w="1559" w:type="dxa"/>
            <w:shd w:val="clear" w:color="auto" w:fill="auto"/>
          </w:tcPr>
          <w:p w14:paraId="778FF208" w14:textId="77777777" w:rsidR="00FA0CD7" w:rsidRPr="009B4553" w:rsidRDefault="00FA0CD7">
            <w:pPr>
              <w:pStyle w:val="051Tabletext228pt"/>
            </w:pPr>
            <w:r w:rsidRPr="009B4553">
              <w:t>Medtronic Australasia Pty Ltd</w:t>
            </w:r>
          </w:p>
        </w:tc>
        <w:tc>
          <w:tcPr>
            <w:tcW w:w="1100" w:type="dxa"/>
            <w:shd w:val="clear" w:color="auto" w:fill="auto"/>
          </w:tcPr>
          <w:p w14:paraId="68451F35" w14:textId="77777777" w:rsidR="00FA0CD7" w:rsidRPr="009B4553" w:rsidRDefault="00FA0CD7">
            <w:pPr>
              <w:pStyle w:val="051Tabletext228pt"/>
            </w:pPr>
            <w:r w:rsidRPr="009B4553">
              <w:t>MI135</w:t>
            </w:r>
          </w:p>
        </w:tc>
        <w:tc>
          <w:tcPr>
            <w:tcW w:w="743" w:type="dxa"/>
            <w:shd w:val="clear" w:color="auto" w:fill="auto"/>
          </w:tcPr>
          <w:p w14:paraId="3ECB14D6" w14:textId="77777777" w:rsidR="00FA0CD7" w:rsidRPr="009B4553" w:rsidRDefault="00FA0CD7">
            <w:pPr>
              <w:pStyle w:val="051Tabletext228pt"/>
            </w:pPr>
            <w:r w:rsidRPr="009B4553">
              <w:t>$17,283</w:t>
            </w:r>
          </w:p>
        </w:tc>
        <w:tc>
          <w:tcPr>
            <w:tcW w:w="707" w:type="dxa"/>
            <w:shd w:val="clear" w:color="auto" w:fill="auto"/>
          </w:tcPr>
          <w:p w14:paraId="0FEB34C1" w14:textId="77777777" w:rsidR="00FA0CD7" w:rsidRPr="009B4553" w:rsidRDefault="00FA0CD7">
            <w:pPr>
              <w:pStyle w:val="051Tabletext228pt"/>
            </w:pPr>
            <w:r w:rsidRPr="009B4553">
              <w:t>215751</w:t>
            </w:r>
          </w:p>
        </w:tc>
      </w:tr>
      <w:tr w:rsidR="00FA0CD7" w:rsidRPr="009B4553" w14:paraId="2C57B130" w14:textId="77777777">
        <w:trPr>
          <w:cantSplit/>
        </w:trPr>
        <w:tc>
          <w:tcPr>
            <w:tcW w:w="1362" w:type="dxa"/>
            <w:shd w:val="clear" w:color="auto" w:fill="auto"/>
          </w:tcPr>
          <w:p w14:paraId="19C37452" w14:textId="77777777" w:rsidR="00FA0CD7" w:rsidRPr="009B4553" w:rsidRDefault="00FA0CD7">
            <w:pPr>
              <w:pStyle w:val="051Tabletext228pt"/>
            </w:pPr>
            <w:r w:rsidRPr="009B4553">
              <w:t>04.05.01 - Pulse Generators</w:t>
            </w:r>
          </w:p>
        </w:tc>
        <w:tc>
          <w:tcPr>
            <w:tcW w:w="2324" w:type="dxa"/>
            <w:gridSpan w:val="5"/>
            <w:shd w:val="clear" w:color="auto" w:fill="auto"/>
          </w:tcPr>
          <w:p w14:paraId="7A522F7F" w14:textId="77777777" w:rsidR="00FA0CD7" w:rsidRPr="009B4553" w:rsidRDefault="00FA0CD7">
            <w:pPr>
              <w:pStyle w:val="051Tabletext228pt"/>
            </w:pPr>
            <w:r w:rsidRPr="009B4553">
              <w:t>04.05.01.01 - Primary Cell Pulse Generator (non-rechargeable)</w:t>
            </w:r>
          </w:p>
        </w:tc>
        <w:tc>
          <w:tcPr>
            <w:tcW w:w="1843" w:type="dxa"/>
            <w:shd w:val="clear" w:color="auto" w:fill="auto"/>
          </w:tcPr>
          <w:p w14:paraId="3DF526CE" w14:textId="77777777" w:rsidR="00FA0CD7" w:rsidRPr="009B4553" w:rsidRDefault="00FA0CD7">
            <w:pPr>
              <w:pStyle w:val="051Tabletext228pt"/>
            </w:pPr>
            <w:r w:rsidRPr="009B4553">
              <w:t>Axium Neurostimulator System - Implantable Neurostimulator</w:t>
            </w:r>
          </w:p>
        </w:tc>
        <w:tc>
          <w:tcPr>
            <w:tcW w:w="1559" w:type="dxa"/>
            <w:shd w:val="clear" w:color="auto" w:fill="auto"/>
          </w:tcPr>
          <w:p w14:paraId="00DE767F" w14:textId="77777777" w:rsidR="00FA0CD7" w:rsidRPr="009B4553" w:rsidRDefault="00FA0CD7">
            <w:pPr>
              <w:pStyle w:val="051Tabletext228pt"/>
            </w:pPr>
            <w:r w:rsidRPr="009B4553">
              <w:t>ABBOTT MEDICAL AUSTRALIA PTY LTD.</w:t>
            </w:r>
          </w:p>
        </w:tc>
        <w:tc>
          <w:tcPr>
            <w:tcW w:w="1100" w:type="dxa"/>
            <w:shd w:val="clear" w:color="auto" w:fill="auto"/>
          </w:tcPr>
          <w:p w14:paraId="71748874" w14:textId="77777777" w:rsidR="00FA0CD7" w:rsidRPr="009B4553" w:rsidRDefault="00FA0CD7">
            <w:pPr>
              <w:pStyle w:val="051Tabletext228pt"/>
            </w:pPr>
            <w:r w:rsidRPr="009B4553">
              <w:t>SJ362</w:t>
            </w:r>
          </w:p>
        </w:tc>
        <w:tc>
          <w:tcPr>
            <w:tcW w:w="743" w:type="dxa"/>
            <w:shd w:val="clear" w:color="auto" w:fill="auto"/>
          </w:tcPr>
          <w:p w14:paraId="1EA3AB53" w14:textId="77777777" w:rsidR="00FA0CD7" w:rsidRPr="009B4553" w:rsidRDefault="00FA0CD7">
            <w:pPr>
              <w:pStyle w:val="051Tabletext228pt"/>
            </w:pPr>
            <w:r w:rsidRPr="009B4553">
              <w:t>$17,283</w:t>
            </w:r>
          </w:p>
        </w:tc>
        <w:tc>
          <w:tcPr>
            <w:tcW w:w="707" w:type="dxa"/>
            <w:shd w:val="clear" w:color="auto" w:fill="auto"/>
          </w:tcPr>
          <w:p w14:paraId="07F064CD" w14:textId="77777777" w:rsidR="00FA0CD7" w:rsidRPr="009B4553" w:rsidRDefault="00FA0CD7">
            <w:pPr>
              <w:pStyle w:val="051Tabletext228pt"/>
            </w:pPr>
            <w:r w:rsidRPr="009B4553">
              <w:t>202323</w:t>
            </w:r>
          </w:p>
        </w:tc>
      </w:tr>
      <w:tr w:rsidR="009D7AD2" w:rsidRPr="009B4553" w14:paraId="5BAC3696" w14:textId="77777777">
        <w:trPr>
          <w:cantSplit/>
        </w:trPr>
        <w:tc>
          <w:tcPr>
            <w:tcW w:w="1362" w:type="dxa"/>
            <w:shd w:val="clear" w:color="auto" w:fill="auto"/>
          </w:tcPr>
          <w:p w14:paraId="3886D864" w14:textId="40337EAE" w:rsidR="009D7AD2" w:rsidRPr="009B4553" w:rsidRDefault="009D7AD2" w:rsidP="009D7AD2">
            <w:pPr>
              <w:pStyle w:val="051Tabletext228pt"/>
            </w:pPr>
            <w:r w:rsidRPr="009B4553">
              <w:t>04.05.01 - Pulse Generators</w:t>
            </w:r>
          </w:p>
        </w:tc>
        <w:tc>
          <w:tcPr>
            <w:tcW w:w="2324" w:type="dxa"/>
            <w:gridSpan w:val="5"/>
            <w:shd w:val="clear" w:color="auto" w:fill="auto"/>
          </w:tcPr>
          <w:p w14:paraId="28284780" w14:textId="128FBDD8" w:rsidR="009D7AD2" w:rsidRPr="009B4553" w:rsidRDefault="009D7AD2" w:rsidP="009D7AD2">
            <w:pPr>
              <w:pStyle w:val="051Tabletext228pt"/>
            </w:pPr>
            <w:r w:rsidRPr="009B4553">
              <w:t>04.05.01.01 - Primary Cell Pulse Generator (non-rechargeable)</w:t>
            </w:r>
          </w:p>
        </w:tc>
        <w:tc>
          <w:tcPr>
            <w:tcW w:w="1843" w:type="dxa"/>
            <w:shd w:val="clear" w:color="auto" w:fill="auto"/>
          </w:tcPr>
          <w:p w14:paraId="2C4BC4CE" w14:textId="33B05CFB" w:rsidR="009D7AD2" w:rsidRPr="009B4553" w:rsidRDefault="009D7AD2" w:rsidP="009D7AD2">
            <w:pPr>
              <w:pStyle w:val="051Tabletext228pt"/>
            </w:pPr>
            <w:r>
              <w:t>Reactiv8 Implantable Pulse Generator</w:t>
            </w:r>
          </w:p>
        </w:tc>
        <w:tc>
          <w:tcPr>
            <w:tcW w:w="1559" w:type="dxa"/>
            <w:shd w:val="clear" w:color="auto" w:fill="auto"/>
          </w:tcPr>
          <w:p w14:paraId="71C9DB5D" w14:textId="1BC46BDB" w:rsidR="009D7AD2" w:rsidRPr="009B4553" w:rsidRDefault="009D7AD2" w:rsidP="009D7AD2">
            <w:pPr>
              <w:pStyle w:val="051Tabletext228pt"/>
            </w:pPr>
            <w:r w:rsidRPr="009B4553">
              <w:rPr>
                <w:rFonts w:cs="Calibri"/>
              </w:rPr>
              <w:t>MAINSTAY MEDICAL (AUSTRALIA) PTY LIMITED</w:t>
            </w:r>
          </w:p>
        </w:tc>
        <w:tc>
          <w:tcPr>
            <w:tcW w:w="1100" w:type="dxa"/>
            <w:shd w:val="clear" w:color="auto" w:fill="auto"/>
          </w:tcPr>
          <w:p w14:paraId="67F17864" w14:textId="551C1D04" w:rsidR="009D7AD2" w:rsidRPr="009B4553" w:rsidRDefault="009D7AD2" w:rsidP="009D7AD2">
            <w:pPr>
              <w:pStyle w:val="051Tabletext228pt"/>
            </w:pPr>
            <w:r w:rsidRPr="009D7AD2">
              <w:t>PQ004</w:t>
            </w:r>
          </w:p>
        </w:tc>
        <w:tc>
          <w:tcPr>
            <w:tcW w:w="743" w:type="dxa"/>
            <w:shd w:val="clear" w:color="auto" w:fill="auto"/>
          </w:tcPr>
          <w:p w14:paraId="35A48D0A" w14:textId="196D5C27" w:rsidR="009D7AD2" w:rsidRPr="009B4553" w:rsidRDefault="009D7AD2" w:rsidP="009D7AD2">
            <w:pPr>
              <w:pStyle w:val="051Tabletext228pt"/>
            </w:pPr>
            <w:r>
              <w:t>$</w:t>
            </w:r>
            <w:r w:rsidRPr="009D7AD2">
              <w:t>17</w:t>
            </w:r>
            <w:r>
              <w:t>.</w:t>
            </w:r>
            <w:r w:rsidRPr="009D7AD2">
              <w:t>283</w:t>
            </w:r>
          </w:p>
        </w:tc>
        <w:tc>
          <w:tcPr>
            <w:tcW w:w="707" w:type="dxa"/>
            <w:shd w:val="clear" w:color="auto" w:fill="auto"/>
          </w:tcPr>
          <w:p w14:paraId="04C38404" w14:textId="09AD1EF5" w:rsidR="009D7AD2" w:rsidRPr="009B4553" w:rsidRDefault="009D7AD2" w:rsidP="009D7AD2">
            <w:pPr>
              <w:pStyle w:val="051Tabletext228pt"/>
            </w:pPr>
            <w:r w:rsidRPr="009D7AD2">
              <w:t>327089</w:t>
            </w:r>
            <w:r w:rsidR="00637129" w:rsidRPr="00182437">
              <w:rPr>
                <w:vertAlign w:val="superscript"/>
              </w:rPr>
              <w:t>b</w:t>
            </w:r>
          </w:p>
        </w:tc>
      </w:tr>
      <w:tr w:rsidR="009D7AD2" w:rsidRPr="009B4553" w14:paraId="442DAE27" w14:textId="77777777">
        <w:trPr>
          <w:cantSplit/>
        </w:trPr>
        <w:tc>
          <w:tcPr>
            <w:tcW w:w="1362" w:type="dxa"/>
            <w:shd w:val="clear" w:color="auto" w:fill="auto"/>
          </w:tcPr>
          <w:p w14:paraId="3B35586D"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088E2D36"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51691B67" w14:textId="77777777" w:rsidR="009D7AD2" w:rsidRPr="009B4553" w:rsidRDefault="009D7AD2" w:rsidP="009D7AD2">
            <w:pPr>
              <w:pStyle w:val="051Tabletext228pt"/>
            </w:pPr>
            <w:proofErr w:type="spellStart"/>
            <w:r w:rsidRPr="009B4553">
              <w:t>RestoreSensor</w:t>
            </w:r>
            <w:proofErr w:type="spellEnd"/>
            <w:r w:rsidRPr="009B4553">
              <w:t xml:space="preserve"> </w:t>
            </w:r>
            <w:proofErr w:type="spellStart"/>
            <w:r w:rsidRPr="009B4553">
              <w:t>Surescan</w:t>
            </w:r>
            <w:proofErr w:type="spellEnd"/>
            <w:r w:rsidRPr="009B4553">
              <w:t xml:space="preserve"> MRI Neurostimulator</w:t>
            </w:r>
          </w:p>
        </w:tc>
        <w:tc>
          <w:tcPr>
            <w:tcW w:w="1559" w:type="dxa"/>
            <w:shd w:val="clear" w:color="auto" w:fill="auto"/>
          </w:tcPr>
          <w:p w14:paraId="484D0D64" w14:textId="77777777" w:rsidR="009D7AD2" w:rsidRPr="009B4553" w:rsidRDefault="009D7AD2" w:rsidP="009D7AD2">
            <w:pPr>
              <w:pStyle w:val="051Tabletext228pt"/>
            </w:pPr>
            <w:r w:rsidRPr="009B4553">
              <w:t>Medtronic Australasia Pty Ltd</w:t>
            </w:r>
          </w:p>
        </w:tc>
        <w:tc>
          <w:tcPr>
            <w:tcW w:w="1100" w:type="dxa"/>
            <w:shd w:val="clear" w:color="auto" w:fill="auto"/>
          </w:tcPr>
          <w:p w14:paraId="4F07A066" w14:textId="77777777" w:rsidR="009D7AD2" w:rsidRPr="009B4553" w:rsidRDefault="009D7AD2" w:rsidP="009D7AD2">
            <w:pPr>
              <w:pStyle w:val="051Tabletext228pt"/>
            </w:pPr>
            <w:r w:rsidRPr="009B4553">
              <w:t>MI132</w:t>
            </w:r>
          </w:p>
        </w:tc>
        <w:tc>
          <w:tcPr>
            <w:tcW w:w="743" w:type="dxa"/>
            <w:shd w:val="clear" w:color="auto" w:fill="auto"/>
          </w:tcPr>
          <w:p w14:paraId="72A1588C" w14:textId="77777777" w:rsidR="009D7AD2" w:rsidRPr="009B4553" w:rsidRDefault="009D7AD2" w:rsidP="009D7AD2">
            <w:pPr>
              <w:pStyle w:val="051Tabletext228pt"/>
            </w:pPr>
            <w:r w:rsidRPr="009B4553">
              <w:t>$21,660</w:t>
            </w:r>
          </w:p>
        </w:tc>
        <w:tc>
          <w:tcPr>
            <w:tcW w:w="707" w:type="dxa"/>
            <w:shd w:val="clear" w:color="auto" w:fill="auto"/>
          </w:tcPr>
          <w:p w14:paraId="32CED77D" w14:textId="77777777" w:rsidR="009D7AD2" w:rsidRPr="009B4553" w:rsidRDefault="009D7AD2" w:rsidP="009D7AD2">
            <w:pPr>
              <w:pStyle w:val="051Tabletext228pt"/>
            </w:pPr>
            <w:r w:rsidRPr="009B4553">
              <w:t>215750</w:t>
            </w:r>
          </w:p>
        </w:tc>
      </w:tr>
      <w:tr w:rsidR="009D7AD2" w:rsidRPr="009B4553" w14:paraId="37937A56" w14:textId="77777777">
        <w:trPr>
          <w:cantSplit/>
        </w:trPr>
        <w:tc>
          <w:tcPr>
            <w:tcW w:w="1362" w:type="dxa"/>
            <w:shd w:val="clear" w:color="auto" w:fill="auto"/>
          </w:tcPr>
          <w:p w14:paraId="277EDC8B"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48DF9A2F"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452AE72C" w14:textId="77777777" w:rsidR="009D7AD2" w:rsidRPr="009B4553" w:rsidRDefault="009D7AD2" w:rsidP="009D7AD2">
            <w:pPr>
              <w:pStyle w:val="051Tabletext228pt"/>
            </w:pPr>
            <w:proofErr w:type="spellStart"/>
            <w:r w:rsidRPr="009B4553">
              <w:t>Intellis</w:t>
            </w:r>
            <w:proofErr w:type="spellEnd"/>
            <w:r w:rsidRPr="009B4553">
              <w:t xml:space="preserve"> </w:t>
            </w:r>
            <w:proofErr w:type="spellStart"/>
            <w:r w:rsidRPr="009B4553">
              <w:t>AdaptiveStim</w:t>
            </w:r>
            <w:proofErr w:type="spellEnd"/>
            <w:r w:rsidRPr="009B4553">
              <w:t xml:space="preserve"> Neurostimulator</w:t>
            </w:r>
          </w:p>
        </w:tc>
        <w:tc>
          <w:tcPr>
            <w:tcW w:w="1559" w:type="dxa"/>
            <w:shd w:val="clear" w:color="auto" w:fill="auto"/>
          </w:tcPr>
          <w:p w14:paraId="19F3649E" w14:textId="77777777" w:rsidR="009D7AD2" w:rsidRPr="009B4553" w:rsidRDefault="009D7AD2" w:rsidP="009D7AD2">
            <w:pPr>
              <w:pStyle w:val="051Tabletext228pt"/>
            </w:pPr>
            <w:r w:rsidRPr="009B4553">
              <w:t>Medtronic Australasia Pty Ltd</w:t>
            </w:r>
          </w:p>
        </w:tc>
        <w:tc>
          <w:tcPr>
            <w:tcW w:w="1100" w:type="dxa"/>
            <w:shd w:val="clear" w:color="auto" w:fill="auto"/>
          </w:tcPr>
          <w:p w14:paraId="2967CEE0" w14:textId="77777777" w:rsidR="009D7AD2" w:rsidRPr="009B4553" w:rsidRDefault="009D7AD2" w:rsidP="009D7AD2">
            <w:pPr>
              <w:pStyle w:val="051Tabletext228pt"/>
            </w:pPr>
            <w:r w:rsidRPr="009B4553">
              <w:t>MI274</w:t>
            </w:r>
          </w:p>
        </w:tc>
        <w:tc>
          <w:tcPr>
            <w:tcW w:w="743" w:type="dxa"/>
            <w:shd w:val="clear" w:color="auto" w:fill="auto"/>
          </w:tcPr>
          <w:p w14:paraId="0E783A2D" w14:textId="77777777" w:rsidR="009D7AD2" w:rsidRPr="009B4553" w:rsidRDefault="009D7AD2" w:rsidP="009D7AD2">
            <w:pPr>
              <w:pStyle w:val="051Tabletext228pt"/>
            </w:pPr>
            <w:r w:rsidRPr="009B4553">
              <w:t>$23,465</w:t>
            </w:r>
          </w:p>
        </w:tc>
        <w:tc>
          <w:tcPr>
            <w:tcW w:w="707" w:type="dxa"/>
            <w:shd w:val="clear" w:color="auto" w:fill="auto"/>
          </w:tcPr>
          <w:p w14:paraId="355C78CF" w14:textId="77777777" w:rsidR="009D7AD2" w:rsidRPr="009B4553" w:rsidRDefault="009D7AD2" w:rsidP="009D7AD2">
            <w:pPr>
              <w:pStyle w:val="051Tabletext228pt"/>
            </w:pPr>
            <w:r w:rsidRPr="009B4553">
              <w:t>298746</w:t>
            </w:r>
          </w:p>
        </w:tc>
      </w:tr>
      <w:tr w:rsidR="009D7AD2" w:rsidRPr="009B4553" w14:paraId="16AA9C49" w14:textId="77777777">
        <w:trPr>
          <w:cantSplit/>
        </w:trPr>
        <w:tc>
          <w:tcPr>
            <w:tcW w:w="1362" w:type="dxa"/>
            <w:shd w:val="clear" w:color="auto" w:fill="auto"/>
          </w:tcPr>
          <w:p w14:paraId="2FC9069E"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4E0F98EA"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476A27B8" w14:textId="77777777" w:rsidR="009D7AD2" w:rsidRPr="009B4553" w:rsidRDefault="009D7AD2" w:rsidP="009D7AD2">
            <w:pPr>
              <w:pStyle w:val="051Tabletext228pt"/>
            </w:pPr>
            <w:r w:rsidRPr="009B4553">
              <w:t xml:space="preserve">Evoke Closed Loop Stimulator (CLS)  </w:t>
            </w:r>
          </w:p>
        </w:tc>
        <w:tc>
          <w:tcPr>
            <w:tcW w:w="1559" w:type="dxa"/>
            <w:shd w:val="clear" w:color="auto" w:fill="auto"/>
          </w:tcPr>
          <w:p w14:paraId="4E828819" w14:textId="77777777" w:rsidR="009D7AD2" w:rsidRPr="009B4553" w:rsidRDefault="009D7AD2" w:rsidP="009D7AD2">
            <w:pPr>
              <w:pStyle w:val="051Tabletext228pt"/>
            </w:pPr>
            <w:r w:rsidRPr="009B4553">
              <w:t>SALUDA MEDICAL PTY LIMITED</w:t>
            </w:r>
          </w:p>
        </w:tc>
        <w:tc>
          <w:tcPr>
            <w:tcW w:w="1100" w:type="dxa"/>
            <w:shd w:val="clear" w:color="auto" w:fill="auto"/>
          </w:tcPr>
          <w:p w14:paraId="00AC0126" w14:textId="77777777" w:rsidR="009D7AD2" w:rsidRPr="009B4553" w:rsidRDefault="009D7AD2" w:rsidP="009D7AD2">
            <w:pPr>
              <w:pStyle w:val="051Tabletext228pt"/>
            </w:pPr>
            <w:r w:rsidRPr="009B4553">
              <w:t>UY003</w:t>
            </w:r>
          </w:p>
        </w:tc>
        <w:tc>
          <w:tcPr>
            <w:tcW w:w="743" w:type="dxa"/>
            <w:shd w:val="clear" w:color="auto" w:fill="auto"/>
          </w:tcPr>
          <w:p w14:paraId="61B4CF04" w14:textId="77777777" w:rsidR="009D7AD2" w:rsidRPr="009B4553" w:rsidRDefault="009D7AD2" w:rsidP="009D7AD2">
            <w:pPr>
              <w:pStyle w:val="051Tabletext228pt"/>
            </w:pPr>
            <w:r w:rsidRPr="009B4553">
              <w:t>$23,465</w:t>
            </w:r>
          </w:p>
        </w:tc>
        <w:tc>
          <w:tcPr>
            <w:tcW w:w="707" w:type="dxa"/>
            <w:shd w:val="clear" w:color="auto" w:fill="auto"/>
          </w:tcPr>
          <w:p w14:paraId="7076BFD7" w14:textId="77777777" w:rsidR="009D7AD2" w:rsidRPr="009B4553" w:rsidRDefault="009D7AD2" w:rsidP="009D7AD2">
            <w:pPr>
              <w:pStyle w:val="051Tabletext228pt"/>
            </w:pPr>
            <w:r w:rsidRPr="009B4553">
              <w:t>336330</w:t>
            </w:r>
          </w:p>
        </w:tc>
      </w:tr>
      <w:tr w:rsidR="009D7AD2" w:rsidRPr="009B4553" w14:paraId="6E958438" w14:textId="77777777">
        <w:trPr>
          <w:cantSplit/>
        </w:trPr>
        <w:tc>
          <w:tcPr>
            <w:tcW w:w="1362" w:type="dxa"/>
            <w:shd w:val="clear" w:color="auto" w:fill="auto"/>
          </w:tcPr>
          <w:p w14:paraId="2A3A55B1"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1AF6317B"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71D50EC7" w14:textId="77777777" w:rsidR="009D7AD2" w:rsidRPr="009B4553" w:rsidRDefault="009D7AD2" w:rsidP="009D7AD2">
            <w:pPr>
              <w:pStyle w:val="051Tabletext228pt"/>
            </w:pPr>
            <w:r w:rsidRPr="009B4553">
              <w:t>Precision Spectra IPG</w:t>
            </w:r>
          </w:p>
        </w:tc>
        <w:tc>
          <w:tcPr>
            <w:tcW w:w="1559" w:type="dxa"/>
            <w:shd w:val="clear" w:color="auto" w:fill="auto"/>
          </w:tcPr>
          <w:p w14:paraId="15A4D2FE" w14:textId="77777777" w:rsidR="009D7AD2" w:rsidRPr="009B4553" w:rsidRDefault="009D7AD2" w:rsidP="009D7AD2">
            <w:pPr>
              <w:pStyle w:val="051Tabletext228pt"/>
            </w:pPr>
            <w:r w:rsidRPr="009B4553">
              <w:t>Boston Scientific Australia Pty Ltd</w:t>
            </w:r>
          </w:p>
        </w:tc>
        <w:tc>
          <w:tcPr>
            <w:tcW w:w="1100" w:type="dxa"/>
            <w:shd w:val="clear" w:color="auto" w:fill="auto"/>
          </w:tcPr>
          <w:p w14:paraId="6F3F26EC" w14:textId="77777777" w:rsidR="009D7AD2" w:rsidRPr="009B4553" w:rsidRDefault="009D7AD2" w:rsidP="009D7AD2">
            <w:pPr>
              <w:pStyle w:val="051Tabletext228pt"/>
            </w:pPr>
            <w:r w:rsidRPr="009B4553">
              <w:t>BS254</w:t>
            </w:r>
          </w:p>
        </w:tc>
        <w:tc>
          <w:tcPr>
            <w:tcW w:w="743" w:type="dxa"/>
            <w:shd w:val="clear" w:color="auto" w:fill="auto"/>
          </w:tcPr>
          <w:p w14:paraId="64C524F7" w14:textId="77777777" w:rsidR="009D7AD2" w:rsidRPr="009B4553" w:rsidRDefault="009D7AD2" w:rsidP="009D7AD2">
            <w:pPr>
              <w:pStyle w:val="051Tabletext228pt"/>
            </w:pPr>
            <w:r w:rsidRPr="009B4553">
              <w:t>$23,465</w:t>
            </w:r>
          </w:p>
        </w:tc>
        <w:tc>
          <w:tcPr>
            <w:tcW w:w="707" w:type="dxa"/>
            <w:shd w:val="clear" w:color="auto" w:fill="auto"/>
          </w:tcPr>
          <w:p w14:paraId="7A281409" w14:textId="77777777" w:rsidR="009D7AD2" w:rsidRPr="009B4553" w:rsidRDefault="009D7AD2" w:rsidP="009D7AD2">
            <w:pPr>
              <w:pStyle w:val="051Tabletext228pt"/>
            </w:pPr>
            <w:r w:rsidRPr="009B4553">
              <w:t>205793</w:t>
            </w:r>
          </w:p>
        </w:tc>
      </w:tr>
      <w:tr w:rsidR="009D7AD2" w:rsidRPr="009B4553" w14:paraId="6461C08F" w14:textId="77777777">
        <w:trPr>
          <w:cantSplit/>
        </w:trPr>
        <w:tc>
          <w:tcPr>
            <w:tcW w:w="1362" w:type="dxa"/>
            <w:shd w:val="clear" w:color="auto" w:fill="auto"/>
          </w:tcPr>
          <w:p w14:paraId="78FE485C"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4E2AE08A"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5DF4F65B" w14:textId="77777777" w:rsidR="009D7AD2" w:rsidRPr="009B4553" w:rsidRDefault="009D7AD2" w:rsidP="009D7AD2">
            <w:pPr>
              <w:pStyle w:val="051Tabletext228pt"/>
            </w:pPr>
            <w:r w:rsidRPr="009B4553">
              <w:t xml:space="preserve">Precision Spectra </w:t>
            </w:r>
            <w:proofErr w:type="spellStart"/>
            <w:r w:rsidRPr="009B4553">
              <w:t>WaveWriter</w:t>
            </w:r>
            <w:proofErr w:type="spellEnd"/>
            <w:r w:rsidRPr="009B4553">
              <w:t xml:space="preserve"> IPG</w:t>
            </w:r>
          </w:p>
        </w:tc>
        <w:tc>
          <w:tcPr>
            <w:tcW w:w="1559" w:type="dxa"/>
            <w:shd w:val="clear" w:color="auto" w:fill="auto"/>
          </w:tcPr>
          <w:p w14:paraId="199BF44D" w14:textId="77777777" w:rsidR="009D7AD2" w:rsidRPr="009B4553" w:rsidRDefault="009D7AD2" w:rsidP="009D7AD2">
            <w:pPr>
              <w:pStyle w:val="051Tabletext228pt"/>
            </w:pPr>
            <w:r w:rsidRPr="009B4553">
              <w:t>Boston Scientific Australia Pty Ltd</w:t>
            </w:r>
          </w:p>
        </w:tc>
        <w:tc>
          <w:tcPr>
            <w:tcW w:w="1100" w:type="dxa"/>
            <w:shd w:val="clear" w:color="auto" w:fill="auto"/>
          </w:tcPr>
          <w:p w14:paraId="0EF7EF63" w14:textId="77777777" w:rsidR="009D7AD2" w:rsidRPr="009B4553" w:rsidRDefault="009D7AD2" w:rsidP="009D7AD2">
            <w:pPr>
              <w:pStyle w:val="051Tabletext228pt"/>
            </w:pPr>
            <w:r w:rsidRPr="009B4553">
              <w:t>BS362</w:t>
            </w:r>
          </w:p>
        </w:tc>
        <w:tc>
          <w:tcPr>
            <w:tcW w:w="743" w:type="dxa"/>
            <w:shd w:val="clear" w:color="auto" w:fill="auto"/>
          </w:tcPr>
          <w:p w14:paraId="58A77265" w14:textId="77777777" w:rsidR="009D7AD2" w:rsidRPr="009B4553" w:rsidRDefault="009D7AD2" w:rsidP="009D7AD2">
            <w:pPr>
              <w:pStyle w:val="051Tabletext228pt"/>
            </w:pPr>
            <w:r w:rsidRPr="009B4553">
              <w:t>$23,465</w:t>
            </w:r>
          </w:p>
        </w:tc>
        <w:tc>
          <w:tcPr>
            <w:tcW w:w="707" w:type="dxa"/>
            <w:shd w:val="clear" w:color="auto" w:fill="auto"/>
          </w:tcPr>
          <w:p w14:paraId="2ADC66D5" w14:textId="77777777" w:rsidR="009D7AD2" w:rsidRPr="009B4553" w:rsidRDefault="009D7AD2" w:rsidP="009D7AD2">
            <w:pPr>
              <w:pStyle w:val="051Tabletext228pt"/>
            </w:pPr>
            <w:r w:rsidRPr="009B4553">
              <w:t>318260</w:t>
            </w:r>
          </w:p>
        </w:tc>
      </w:tr>
      <w:tr w:rsidR="009D7AD2" w:rsidRPr="009B4553" w14:paraId="1DE456FC" w14:textId="77777777">
        <w:trPr>
          <w:cantSplit/>
        </w:trPr>
        <w:tc>
          <w:tcPr>
            <w:tcW w:w="1362" w:type="dxa"/>
            <w:shd w:val="clear" w:color="auto" w:fill="auto"/>
          </w:tcPr>
          <w:p w14:paraId="15251D38"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4BDEBD11"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3B081935" w14:textId="77777777" w:rsidR="009D7AD2" w:rsidRPr="009B4553" w:rsidRDefault="009D7AD2" w:rsidP="009D7AD2">
            <w:pPr>
              <w:pStyle w:val="051Tabletext228pt"/>
            </w:pPr>
            <w:proofErr w:type="spellStart"/>
            <w:r w:rsidRPr="009B4553">
              <w:t>WaveWriter</w:t>
            </w:r>
            <w:proofErr w:type="spellEnd"/>
            <w:r w:rsidRPr="009B4553">
              <w:t xml:space="preserve"> Alpha</w:t>
            </w:r>
          </w:p>
        </w:tc>
        <w:tc>
          <w:tcPr>
            <w:tcW w:w="1559" w:type="dxa"/>
            <w:shd w:val="clear" w:color="auto" w:fill="auto"/>
          </w:tcPr>
          <w:p w14:paraId="40BBCC89" w14:textId="77777777" w:rsidR="009D7AD2" w:rsidRPr="009B4553" w:rsidRDefault="009D7AD2" w:rsidP="009D7AD2">
            <w:pPr>
              <w:pStyle w:val="051Tabletext228pt"/>
            </w:pPr>
            <w:r w:rsidRPr="009B4553">
              <w:t>Boston Scientific Australia Pty Ltd</w:t>
            </w:r>
          </w:p>
        </w:tc>
        <w:tc>
          <w:tcPr>
            <w:tcW w:w="1100" w:type="dxa"/>
            <w:shd w:val="clear" w:color="auto" w:fill="auto"/>
          </w:tcPr>
          <w:p w14:paraId="7FA28C24" w14:textId="77777777" w:rsidR="009D7AD2" w:rsidRPr="009B4553" w:rsidRDefault="009D7AD2" w:rsidP="009D7AD2">
            <w:pPr>
              <w:pStyle w:val="051Tabletext228pt"/>
            </w:pPr>
            <w:r w:rsidRPr="009B4553">
              <w:t>BS389</w:t>
            </w:r>
          </w:p>
        </w:tc>
        <w:tc>
          <w:tcPr>
            <w:tcW w:w="743" w:type="dxa"/>
            <w:shd w:val="clear" w:color="auto" w:fill="auto"/>
          </w:tcPr>
          <w:p w14:paraId="19E74242" w14:textId="77777777" w:rsidR="009D7AD2" w:rsidRPr="009B4553" w:rsidRDefault="009D7AD2" w:rsidP="009D7AD2">
            <w:pPr>
              <w:pStyle w:val="051Tabletext228pt"/>
            </w:pPr>
            <w:r w:rsidRPr="009B4553">
              <w:t>$23,465</w:t>
            </w:r>
          </w:p>
        </w:tc>
        <w:tc>
          <w:tcPr>
            <w:tcW w:w="707" w:type="dxa"/>
            <w:shd w:val="clear" w:color="auto" w:fill="auto"/>
          </w:tcPr>
          <w:p w14:paraId="57E59725" w14:textId="77777777" w:rsidR="009D7AD2" w:rsidRPr="009B4553" w:rsidRDefault="009D7AD2" w:rsidP="009D7AD2">
            <w:pPr>
              <w:pStyle w:val="051Tabletext228pt"/>
            </w:pPr>
            <w:r w:rsidRPr="009B4553">
              <w:t>362972</w:t>
            </w:r>
            <w:r w:rsidRPr="009B4553">
              <w:br/>
              <w:t>362973</w:t>
            </w:r>
          </w:p>
        </w:tc>
      </w:tr>
      <w:tr w:rsidR="009D7AD2" w:rsidRPr="009B4553" w14:paraId="5706FCE1" w14:textId="77777777">
        <w:trPr>
          <w:cantSplit/>
        </w:trPr>
        <w:tc>
          <w:tcPr>
            <w:tcW w:w="1362" w:type="dxa"/>
            <w:shd w:val="clear" w:color="auto" w:fill="auto"/>
          </w:tcPr>
          <w:p w14:paraId="5BE9D4A4"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348F8247"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0085AA73" w14:textId="77777777" w:rsidR="009D7AD2" w:rsidRPr="009B4553" w:rsidRDefault="009D7AD2" w:rsidP="009D7AD2">
            <w:pPr>
              <w:pStyle w:val="051Tabletext228pt"/>
            </w:pPr>
            <w:r w:rsidRPr="009B4553">
              <w:t>Precision Montage MRI IPG</w:t>
            </w:r>
          </w:p>
        </w:tc>
        <w:tc>
          <w:tcPr>
            <w:tcW w:w="1559" w:type="dxa"/>
            <w:shd w:val="clear" w:color="auto" w:fill="auto"/>
          </w:tcPr>
          <w:p w14:paraId="22E8AA49" w14:textId="77777777" w:rsidR="009D7AD2" w:rsidRPr="009B4553" w:rsidRDefault="009D7AD2" w:rsidP="009D7AD2">
            <w:pPr>
              <w:pStyle w:val="051Tabletext228pt"/>
            </w:pPr>
            <w:r w:rsidRPr="009B4553">
              <w:t>Boston Scientific Australia Pty Ltd</w:t>
            </w:r>
          </w:p>
        </w:tc>
        <w:tc>
          <w:tcPr>
            <w:tcW w:w="1100" w:type="dxa"/>
            <w:shd w:val="clear" w:color="auto" w:fill="auto"/>
          </w:tcPr>
          <w:p w14:paraId="52D98850" w14:textId="77777777" w:rsidR="009D7AD2" w:rsidRPr="009B4553" w:rsidRDefault="009D7AD2" w:rsidP="009D7AD2">
            <w:pPr>
              <w:pStyle w:val="051Tabletext228pt"/>
            </w:pPr>
            <w:r w:rsidRPr="009B4553">
              <w:t>BS330</w:t>
            </w:r>
          </w:p>
        </w:tc>
        <w:tc>
          <w:tcPr>
            <w:tcW w:w="743" w:type="dxa"/>
            <w:shd w:val="clear" w:color="auto" w:fill="auto"/>
          </w:tcPr>
          <w:p w14:paraId="7E4F4993" w14:textId="77777777" w:rsidR="009D7AD2" w:rsidRPr="009B4553" w:rsidRDefault="009D7AD2" w:rsidP="009D7AD2">
            <w:pPr>
              <w:pStyle w:val="051Tabletext228pt"/>
            </w:pPr>
            <w:r w:rsidRPr="009B4553">
              <w:t>$23,465</w:t>
            </w:r>
          </w:p>
        </w:tc>
        <w:tc>
          <w:tcPr>
            <w:tcW w:w="707" w:type="dxa"/>
            <w:shd w:val="clear" w:color="auto" w:fill="auto"/>
          </w:tcPr>
          <w:p w14:paraId="42C69320" w14:textId="77777777" w:rsidR="009D7AD2" w:rsidRPr="009B4553" w:rsidRDefault="009D7AD2" w:rsidP="009D7AD2">
            <w:pPr>
              <w:pStyle w:val="051Tabletext228pt"/>
            </w:pPr>
            <w:r w:rsidRPr="009B4553">
              <w:t>286709</w:t>
            </w:r>
          </w:p>
        </w:tc>
      </w:tr>
      <w:tr w:rsidR="009D7AD2" w:rsidRPr="009B4553" w14:paraId="0EE52D31" w14:textId="77777777">
        <w:trPr>
          <w:cantSplit/>
        </w:trPr>
        <w:tc>
          <w:tcPr>
            <w:tcW w:w="1362" w:type="dxa"/>
            <w:shd w:val="clear" w:color="auto" w:fill="auto"/>
          </w:tcPr>
          <w:p w14:paraId="42201DCD"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6524280C"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372147C0" w14:textId="77777777" w:rsidR="009D7AD2" w:rsidRPr="009B4553" w:rsidRDefault="009D7AD2" w:rsidP="009D7AD2">
            <w:pPr>
              <w:pStyle w:val="051Tabletext228pt"/>
            </w:pPr>
            <w:r w:rsidRPr="009B4553">
              <w:t>Prodigy IPG</w:t>
            </w:r>
          </w:p>
        </w:tc>
        <w:tc>
          <w:tcPr>
            <w:tcW w:w="1559" w:type="dxa"/>
            <w:shd w:val="clear" w:color="auto" w:fill="auto"/>
          </w:tcPr>
          <w:p w14:paraId="12CA601A" w14:textId="77777777" w:rsidR="009D7AD2" w:rsidRPr="009B4553" w:rsidRDefault="009D7AD2" w:rsidP="009D7AD2">
            <w:pPr>
              <w:pStyle w:val="051Tabletext228pt"/>
            </w:pPr>
            <w:r w:rsidRPr="009B4553">
              <w:t>ABBOTT MEDICAL AUSTRALIA PTY LTD.</w:t>
            </w:r>
          </w:p>
        </w:tc>
        <w:tc>
          <w:tcPr>
            <w:tcW w:w="1100" w:type="dxa"/>
            <w:shd w:val="clear" w:color="auto" w:fill="auto"/>
          </w:tcPr>
          <w:p w14:paraId="78D586A1" w14:textId="77777777" w:rsidR="009D7AD2" w:rsidRPr="009B4553" w:rsidRDefault="009D7AD2" w:rsidP="009D7AD2">
            <w:pPr>
              <w:pStyle w:val="051Tabletext228pt"/>
            </w:pPr>
            <w:r w:rsidRPr="009B4553">
              <w:t>SJ374</w:t>
            </w:r>
          </w:p>
        </w:tc>
        <w:tc>
          <w:tcPr>
            <w:tcW w:w="743" w:type="dxa"/>
            <w:shd w:val="clear" w:color="auto" w:fill="auto"/>
          </w:tcPr>
          <w:p w14:paraId="329ACFBE" w14:textId="77777777" w:rsidR="009D7AD2" w:rsidRPr="009B4553" w:rsidRDefault="009D7AD2" w:rsidP="009D7AD2">
            <w:pPr>
              <w:pStyle w:val="051Tabletext228pt"/>
            </w:pPr>
            <w:r w:rsidRPr="009B4553">
              <w:t>$23,465</w:t>
            </w:r>
          </w:p>
        </w:tc>
        <w:tc>
          <w:tcPr>
            <w:tcW w:w="707" w:type="dxa"/>
            <w:shd w:val="clear" w:color="auto" w:fill="auto"/>
          </w:tcPr>
          <w:p w14:paraId="78206C3C" w14:textId="77777777" w:rsidR="009D7AD2" w:rsidRPr="009B4553" w:rsidRDefault="009D7AD2" w:rsidP="009D7AD2">
            <w:pPr>
              <w:pStyle w:val="051Tabletext228pt"/>
            </w:pPr>
            <w:r w:rsidRPr="009B4553">
              <w:t>230721</w:t>
            </w:r>
            <w:r w:rsidRPr="009B4553">
              <w:br/>
              <w:t>279911</w:t>
            </w:r>
          </w:p>
        </w:tc>
      </w:tr>
      <w:tr w:rsidR="009D7AD2" w:rsidRPr="009B4553" w14:paraId="1916BF00" w14:textId="77777777">
        <w:trPr>
          <w:cantSplit/>
        </w:trPr>
        <w:tc>
          <w:tcPr>
            <w:tcW w:w="1362" w:type="dxa"/>
            <w:shd w:val="clear" w:color="auto" w:fill="auto"/>
          </w:tcPr>
          <w:p w14:paraId="090359CA"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60985B92"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4FFDCAED" w14:textId="77777777" w:rsidR="009D7AD2" w:rsidRPr="009B4553" w:rsidRDefault="009D7AD2" w:rsidP="009D7AD2">
            <w:pPr>
              <w:pStyle w:val="051Tabletext228pt"/>
            </w:pPr>
            <w:proofErr w:type="spellStart"/>
            <w:r w:rsidRPr="009B4553">
              <w:t>Intellis</w:t>
            </w:r>
            <w:proofErr w:type="spellEnd"/>
            <w:r w:rsidRPr="009B4553">
              <w:t xml:space="preserve"> Neurostimulator</w:t>
            </w:r>
          </w:p>
        </w:tc>
        <w:tc>
          <w:tcPr>
            <w:tcW w:w="1559" w:type="dxa"/>
            <w:shd w:val="clear" w:color="auto" w:fill="auto"/>
          </w:tcPr>
          <w:p w14:paraId="565ECC99" w14:textId="77777777" w:rsidR="009D7AD2" w:rsidRPr="009B4553" w:rsidRDefault="009D7AD2" w:rsidP="009D7AD2">
            <w:pPr>
              <w:pStyle w:val="051Tabletext228pt"/>
            </w:pPr>
            <w:r w:rsidRPr="009B4553">
              <w:t>Medtronic Australasia Pty Ltd</w:t>
            </w:r>
          </w:p>
        </w:tc>
        <w:tc>
          <w:tcPr>
            <w:tcW w:w="1100" w:type="dxa"/>
            <w:shd w:val="clear" w:color="auto" w:fill="auto"/>
          </w:tcPr>
          <w:p w14:paraId="0DDBF602" w14:textId="77777777" w:rsidR="009D7AD2" w:rsidRPr="009B4553" w:rsidRDefault="009D7AD2" w:rsidP="009D7AD2">
            <w:pPr>
              <w:pStyle w:val="051Tabletext228pt"/>
            </w:pPr>
            <w:r w:rsidRPr="009B4553">
              <w:t>MI275</w:t>
            </w:r>
          </w:p>
        </w:tc>
        <w:tc>
          <w:tcPr>
            <w:tcW w:w="743" w:type="dxa"/>
            <w:shd w:val="clear" w:color="auto" w:fill="auto"/>
          </w:tcPr>
          <w:p w14:paraId="4A7957D5" w14:textId="77777777" w:rsidR="009D7AD2" w:rsidRPr="009B4553" w:rsidRDefault="009D7AD2" w:rsidP="009D7AD2">
            <w:pPr>
              <w:pStyle w:val="051Tabletext228pt"/>
            </w:pPr>
            <w:r w:rsidRPr="009B4553">
              <w:t>$23,465</w:t>
            </w:r>
          </w:p>
        </w:tc>
        <w:tc>
          <w:tcPr>
            <w:tcW w:w="707" w:type="dxa"/>
            <w:shd w:val="clear" w:color="auto" w:fill="auto"/>
          </w:tcPr>
          <w:p w14:paraId="2C2B6D8F" w14:textId="77777777" w:rsidR="009D7AD2" w:rsidRPr="009B4553" w:rsidRDefault="009D7AD2" w:rsidP="009D7AD2">
            <w:pPr>
              <w:pStyle w:val="051Tabletext228pt"/>
            </w:pPr>
            <w:r w:rsidRPr="009B4553">
              <w:t>298747</w:t>
            </w:r>
          </w:p>
        </w:tc>
      </w:tr>
      <w:tr w:rsidR="009D7AD2" w:rsidRPr="009B4553" w14:paraId="33AF7C63" w14:textId="77777777">
        <w:trPr>
          <w:cantSplit/>
        </w:trPr>
        <w:tc>
          <w:tcPr>
            <w:tcW w:w="1362" w:type="dxa"/>
            <w:shd w:val="clear" w:color="auto" w:fill="auto"/>
          </w:tcPr>
          <w:p w14:paraId="18AA1162"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4F69A0C9"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224A241A" w14:textId="77777777" w:rsidR="009D7AD2" w:rsidRPr="009B4553" w:rsidRDefault="009D7AD2" w:rsidP="009D7AD2">
            <w:pPr>
              <w:pStyle w:val="051Tabletext228pt"/>
            </w:pPr>
            <w:r w:rsidRPr="009B4553">
              <w:t>Senza II IPG Kit</w:t>
            </w:r>
          </w:p>
        </w:tc>
        <w:tc>
          <w:tcPr>
            <w:tcW w:w="1559" w:type="dxa"/>
            <w:shd w:val="clear" w:color="auto" w:fill="auto"/>
          </w:tcPr>
          <w:p w14:paraId="1157AE33" w14:textId="77777777" w:rsidR="009D7AD2" w:rsidRPr="009B4553" w:rsidRDefault="009D7AD2" w:rsidP="009D7AD2">
            <w:pPr>
              <w:pStyle w:val="051Tabletext228pt"/>
            </w:pPr>
            <w:r w:rsidRPr="009B4553">
              <w:t>Emergo Asia Pacific Pty Ltd</w:t>
            </w:r>
          </w:p>
        </w:tc>
        <w:tc>
          <w:tcPr>
            <w:tcW w:w="1100" w:type="dxa"/>
            <w:shd w:val="clear" w:color="auto" w:fill="auto"/>
          </w:tcPr>
          <w:p w14:paraId="6BC28935" w14:textId="77777777" w:rsidR="009D7AD2" w:rsidRPr="009B4553" w:rsidRDefault="009D7AD2" w:rsidP="009D7AD2">
            <w:pPr>
              <w:pStyle w:val="051Tabletext228pt"/>
            </w:pPr>
            <w:r w:rsidRPr="009B4553">
              <w:t>ER496</w:t>
            </w:r>
          </w:p>
        </w:tc>
        <w:tc>
          <w:tcPr>
            <w:tcW w:w="743" w:type="dxa"/>
            <w:shd w:val="clear" w:color="auto" w:fill="auto"/>
          </w:tcPr>
          <w:p w14:paraId="21169650" w14:textId="77777777" w:rsidR="009D7AD2" w:rsidRPr="009B4553" w:rsidRDefault="009D7AD2" w:rsidP="009D7AD2">
            <w:pPr>
              <w:pStyle w:val="051Tabletext228pt"/>
            </w:pPr>
            <w:r w:rsidRPr="009B4553">
              <w:t>$23,465</w:t>
            </w:r>
          </w:p>
        </w:tc>
        <w:tc>
          <w:tcPr>
            <w:tcW w:w="707" w:type="dxa"/>
            <w:shd w:val="clear" w:color="auto" w:fill="auto"/>
          </w:tcPr>
          <w:p w14:paraId="7A914FCE" w14:textId="77777777" w:rsidR="009D7AD2" w:rsidRPr="009B4553" w:rsidRDefault="009D7AD2" w:rsidP="009D7AD2">
            <w:pPr>
              <w:pStyle w:val="051Tabletext228pt"/>
            </w:pPr>
            <w:r w:rsidRPr="009B4553">
              <w:t>186043</w:t>
            </w:r>
          </w:p>
        </w:tc>
      </w:tr>
      <w:tr w:rsidR="009D7AD2" w:rsidRPr="009B4553" w14:paraId="3ACD2135" w14:textId="77777777">
        <w:trPr>
          <w:cantSplit/>
        </w:trPr>
        <w:tc>
          <w:tcPr>
            <w:tcW w:w="1362" w:type="dxa"/>
            <w:shd w:val="clear" w:color="auto" w:fill="auto"/>
          </w:tcPr>
          <w:p w14:paraId="6E43A0D4" w14:textId="77777777" w:rsidR="009D7AD2" w:rsidRPr="009B4553" w:rsidRDefault="009D7AD2" w:rsidP="009D7AD2">
            <w:pPr>
              <w:pStyle w:val="051Tabletext228pt"/>
            </w:pPr>
            <w:r w:rsidRPr="009B4553">
              <w:t>04.05.01 - Pulse Generators</w:t>
            </w:r>
          </w:p>
        </w:tc>
        <w:tc>
          <w:tcPr>
            <w:tcW w:w="2324" w:type="dxa"/>
            <w:gridSpan w:val="5"/>
            <w:shd w:val="clear" w:color="auto" w:fill="auto"/>
          </w:tcPr>
          <w:p w14:paraId="337DCE11" w14:textId="77777777" w:rsidR="009D7AD2" w:rsidRPr="009B4553" w:rsidRDefault="009D7AD2" w:rsidP="009D7AD2">
            <w:pPr>
              <w:pStyle w:val="051Tabletext228pt"/>
            </w:pPr>
            <w:r w:rsidRPr="009B4553">
              <w:t>04.05.01.02 - Rechargeable Pulse Generator</w:t>
            </w:r>
          </w:p>
        </w:tc>
        <w:tc>
          <w:tcPr>
            <w:tcW w:w="1843" w:type="dxa"/>
            <w:shd w:val="clear" w:color="auto" w:fill="auto"/>
          </w:tcPr>
          <w:p w14:paraId="7C572F20" w14:textId="77777777" w:rsidR="009D7AD2" w:rsidRPr="009B4553" w:rsidRDefault="009D7AD2" w:rsidP="009D7AD2">
            <w:pPr>
              <w:pStyle w:val="051Tabletext228pt"/>
            </w:pPr>
            <w:r w:rsidRPr="009B4553">
              <w:t>Senza Omnia IPG Kit</w:t>
            </w:r>
          </w:p>
        </w:tc>
        <w:tc>
          <w:tcPr>
            <w:tcW w:w="1559" w:type="dxa"/>
            <w:shd w:val="clear" w:color="auto" w:fill="auto"/>
          </w:tcPr>
          <w:p w14:paraId="37B7CD5F" w14:textId="77777777" w:rsidR="009D7AD2" w:rsidRPr="009B4553" w:rsidRDefault="009D7AD2" w:rsidP="009D7AD2">
            <w:pPr>
              <w:pStyle w:val="051Tabletext228pt"/>
            </w:pPr>
            <w:r w:rsidRPr="009B4553">
              <w:t>Emergo Asia Pacific Pty Ltd</w:t>
            </w:r>
          </w:p>
        </w:tc>
        <w:tc>
          <w:tcPr>
            <w:tcW w:w="1100" w:type="dxa"/>
            <w:shd w:val="clear" w:color="auto" w:fill="auto"/>
          </w:tcPr>
          <w:p w14:paraId="214E7AF9" w14:textId="77777777" w:rsidR="009D7AD2" w:rsidRPr="009B4553" w:rsidRDefault="009D7AD2" w:rsidP="009D7AD2">
            <w:pPr>
              <w:pStyle w:val="051Tabletext228pt"/>
            </w:pPr>
            <w:r w:rsidRPr="009B4553">
              <w:t>ER535</w:t>
            </w:r>
          </w:p>
        </w:tc>
        <w:tc>
          <w:tcPr>
            <w:tcW w:w="743" w:type="dxa"/>
            <w:shd w:val="clear" w:color="auto" w:fill="auto"/>
          </w:tcPr>
          <w:p w14:paraId="5AD0648B" w14:textId="77777777" w:rsidR="009D7AD2" w:rsidRPr="009B4553" w:rsidRDefault="009D7AD2" w:rsidP="009D7AD2">
            <w:pPr>
              <w:pStyle w:val="051Tabletext228pt"/>
            </w:pPr>
            <w:r w:rsidRPr="009B4553">
              <w:t>$23,465</w:t>
            </w:r>
          </w:p>
        </w:tc>
        <w:tc>
          <w:tcPr>
            <w:tcW w:w="707" w:type="dxa"/>
            <w:shd w:val="clear" w:color="auto" w:fill="auto"/>
          </w:tcPr>
          <w:p w14:paraId="07AE0A48" w14:textId="77777777" w:rsidR="009D7AD2" w:rsidRPr="009B4553" w:rsidRDefault="009D7AD2" w:rsidP="009D7AD2">
            <w:pPr>
              <w:pStyle w:val="051Tabletext228pt"/>
            </w:pPr>
            <w:r w:rsidRPr="009B4553">
              <w:t>330704</w:t>
            </w:r>
          </w:p>
        </w:tc>
      </w:tr>
      <w:tr w:rsidR="009D7AD2" w:rsidRPr="009B4553" w14:paraId="681CE849" w14:textId="77777777">
        <w:trPr>
          <w:cantSplit/>
        </w:trPr>
        <w:tc>
          <w:tcPr>
            <w:tcW w:w="1362" w:type="dxa"/>
            <w:shd w:val="clear" w:color="auto" w:fill="auto"/>
          </w:tcPr>
          <w:p w14:paraId="5D40B975" w14:textId="31048417" w:rsidR="009D7AD2" w:rsidRPr="009B4553" w:rsidRDefault="009D7AD2" w:rsidP="009D7AD2">
            <w:pPr>
              <w:pStyle w:val="051Tabletext228pt"/>
            </w:pPr>
            <w:r w:rsidRPr="009B4553">
              <w:t>04.05.01 - Pulse Generators</w:t>
            </w:r>
          </w:p>
        </w:tc>
        <w:tc>
          <w:tcPr>
            <w:tcW w:w="2324" w:type="dxa"/>
            <w:gridSpan w:val="5"/>
            <w:shd w:val="clear" w:color="auto" w:fill="auto"/>
          </w:tcPr>
          <w:p w14:paraId="1717AB5A" w14:textId="154C309D" w:rsidR="009D7AD2" w:rsidRPr="009B4553" w:rsidRDefault="009D7AD2" w:rsidP="009D7AD2">
            <w:pPr>
              <w:pStyle w:val="051Tabletext228pt"/>
            </w:pPr>
            <w:r w:rsidRPr="009B4553">
              <w:t>04.05.01.02 - Rechargeable Pulse Generator</w:t>
            </w:r>
          </w:p>
        </w:tc>
        <w:tc>
          <w:tcPr>
            <w:tcW w:w="1843" w:type="dxa"/>
            <w:shd w:val="clear" w:color="auto" w:fill="auto"/>
          </w:tcPr>
          <w:p w14:paraId="02155A1D" w14:textId="0F920AEC" w:rsidR="009D7AD2" w:rsidRPr="009B4553" w:rsidRDefault="009D7AD2" w:rsidP="009D7AD2">
            <w:pPr>
              <w:pStyle w:val="051Tabletext228pt"/>
            </w:pPr>
            <w:proofErr w:type="spellStart"/>
            <w:r w:rsidRPr="009D7AD2">
              <w:t>StimRouter</w:t>
            </w:r>
            <w:proofErr w:type="spellEnd"/>
            <w:r w:rsidRPr="009D7AD2">
              <w:t xml:space="preserve"> Neuromodulation System Kit</w:t>
            </w:r>
          </w:p>
        </w:tc>
        <w:tc>
          <w:tcPr>
            <w:tcW w:w="1559" w:type="dxa"/>
            <w:shd w:val="clear" w:color="auto" w:fill="auto"/>
          </w:tcPr>
          <w:p w14:paraId="082EC9C7" w14:textId="3D3069D0" w:rsidR="009D7AD2" w:rsidRPr="009B4553" w:rsidRDefault="005837BE" w:rsidP="009D7AD2">
            <w:pPr>
              <w:pStyle w:val="051Tabletext228pt"/>
            </w:pPr>
            <w:r w:rsidRPr="005837BE">
              <w:t>ALGOSTIM RESEARCH AND DEVELOPMENT PTY LIMITED</w:t>
            </w:r>
          </w:p>
        </w:tc>
        <w:tc>
          <w:tcPr>
            <w:tcW w:w="1100" w:type="dxa"/>
            <w:shd w:val="clear" w:color="auto" w:fill="auto"/>
          </w:tcPr>
          <w:p w14:paraId="05FF9677" w14:textId="61A2C7A8" w:rsidR="009D7AD2" w:rsidRPr="009B4553" w:rsidRDefault="005837BE" w:rsidP="009D7AD2">
            <w:pPr>
              <w:pStyle w:val="051Tabletext228pt"/>
            </w:pPr>
            <w:r w:rsidRPr="005837BE">
              <w:t>FP001</w:t>
            </w:r>
          </w:p>
        </w:tc>
        <w:tc>
          <w:tcPr>
            <w:tcW w:w="743" w:type="dxa"/>
            <w:shd w:val="clear" w:color="auto" w:fill="auto"/>
          </w:tcPr>
          <w:p w14:paraId="393BFC0F" w14:textId="4E43FCF2" w:rsidR="009D7AD2" w:rsidRPr="009B4553" w:rsidRDefault="005837BE" w:rsidP="009D7AD2">
            <w:pPr>
              <w:pStyle w:val="051Tabletext228pt"/>
            </w:pPr>
            <w:r>
              <w:t>$</w:t>
            </w:r>
            <w:r w:rsidRPr="005837BE">
              <w:t>18</w:t>
            </w:r>
            <w:r>
              <w:t>,</w:t>
            </w:r>
            <w:r w:rsidRPr="005837BE">
              <w:t>032</w:t>
            </w:r>
          </w:p>
        </w:tc>
        <w:tc>
          <w:tcPr>
            <w:tcW w:w="707" w:type="dxa"/>
            <w:shd w:val="clear" w:color="auto" w:fill="auto"/>
          </w:tcPr>
          <w:p w14:paraId="4D4195CE" w14:textId="0143B6F4" w:rsidR="009D7AD2" w:rsidRPr="009B4553" w:rsidRDefault="005837BE" w:rsidP="009D7AD2">
            <w:pPr>
              <w:pStyle w:val="051Tabletext228pt"/>
            </w:pPr>
            <w:r w:rsidRPr="005837BE">
              <w:t>313344</w:t>
            </w:r>
            <w:r w:rsidR="00071692" w:rsidRPr="002D6C5A">
              <w:rPr>
                <w:vertAlign w:val="superscript"/>
              </w:rPr>
              <w:t>b</w:t>
            </w:r>
          </w:p>
        </w:tc>
      </w:tr>
      <w:tr w:rsidR="001F6E37" w:rsidRPr="009B4553" w14:paraId="18AD4A11" w14:textId="77777777" w:rsidTr="004F5CF3">
        <w:trPr>
          <w:cantSplit/>
        </w:trPr>
        <w:tc>
          <w:tcPr>
            <w:tcW w:w="1701" w:type="dxa"/>
            <w:gridSpan w:val="3"/>
            <w:shd w:val="clear" w:color="auto" w:fill="F2F2F2" w:themeFill="background1" w:themeFillShade="F2"/>
          </w:tcPr>
          <w:p w14:paraId="6A7FB8CE" w14:textId="77777777" w:rsidR="009D7AD2" w:rsidRPr="009B4553" w:rsidRDefault="009D7AD2" w:rsidP="009D7AD2">
            <w:pPr>
              <w:pStyle w:val="031Tablesubheading8pt"/>
            </w:pPr>
            <w:r w:rsidRPr="009B4553">
              <w:t>External Components</w:t>
            </w:r>
          </w:p>
        </w:tc>
        <w:tc>
          <w:tcPr>
            <w:tcW w:w="1985" w:type="dxa"/>
            <w:gridSpan w:val="3"/>
            <w:shd w:val="clear" w:color="auto" w:fill="F2F2F2" w:themeFill="background1" w:themeFillShade="F2"/>
          </w:tcPr>
          <w:p w14:paraId="40E1ACC6" w14:textId="77777777" w:rsidR="009D7AD2" w:rsidRPr="009B4553" w:rsidRDefault="009D7AD2" w:rsidP="009D7AD2">
            <w:pPr>
              <w:pStyle w:val="051Tabletext228pt"/>
            </w:pPr>
          </w:p>
        </w:tc>
        <w:tc>
          <w:tcPr>
            <w:tcW w:w="1843" w:type="dxa"/>
            <w:shd w:val="clear" w:color="auto" w:fill="F2F2F2" w:themeFill="background1" w:themeFillShade="F2"/>
          </w:tcPr>
          <w:p w14:paraId="2CADFE06" w14:textId="77777777" w:rsidR="009D7AD2" w:rsidRPr="009B4553" w:rsidRDefault="009D7AD2" w:rsidP="009D7AD2">
            <w:pPr>
              <w:pStyle w:val="051Tabletext228pt"/>
            </w:pPr>
          </w:p>
        </w:tc>
        <w:tc>
          <w:tcPr>
            <w:tcW w:w="1559" w:type="dxa"/>
            <w:shd w:val="clear" w:color="auto" w:fill="F2F2F2" w:themeFill="background1" w:themeFillShade="F2"/>
          </w:tcPr>
          <w:p w14:paraId="29F6FAB5" w14:textId="77777777" w:rsidR="009D7AD2" w:rsidRPr="009B4553" w:rsidRDefault="009D7AD2" w:rsidP="009D7AD2">
            <w:pPr>
              <w:pStyle w:val="051Tabletext228pt"/>
            </w:pPr>
          </w:p>
        </w:tc>
        <w:tc>
          <w:tcPr>
            <w:tcW w:w="1100" w:type="dxa"/>
            <w:shd w:val="clear" w:color="auto" w:fill="F2F2F2" w:themeFill="background1" w:themeFillShade="F2"/>
          </w:tcPr>
          <w:p w14:paraId="02FCB305" w14:textId="77777777" w:rsidR="009D7AD2" w:rsidRPr="009B4553" w:rsidRDefault="009D7AD2" w:rsidP="009D7AD2">
            <w:pPr>
              <w:pStyle w:val="051Tabletext228pt"/>
            </w:pPr>
          </w:p>
        </w:tc>
        <w:tc>
          <w:tcPr>
            <w:tcW w:w="743" w:type="dxa"/>
            <w:shd w:val="clear" w:color="auto" w:fill="F2F2F2" w:themeFill="background1" w:themeFillShade="F2"/>
          </w:tcPr>
          <w:p w14:paraId="336C8250" w14:textId="77777777" w:rsidR="009D7AD2" w:rsidRPr="009B4553" w:rsidRDefault="009D7AD2" w:rsidP="009D7AD2">
            <w:pPr>
              <w:pStyle w:val="051Tabletext228pt"/>
            </w:pPr>
          </w:p>
        </w:tc>
        <w:tc>
          <w:tcPr>
            <w:tcW w:w="707" w:type="dxa"/>
            <w:shd w:val="clear" w:color="auto" w:fill="F2F2F2" w:themeFill="background1" w:themeFillShade="F2"/>
          </w:tcPr>
          <w:p w14:paraId="64CFF315" w14:textId="77777777" w:rsidR="009D7AD2" w:rsidRPr="009B4553" w:rsidRDefault="009D7AD2" w:rsidP="009D7AD2">
            <w:pPr>
              <w:pStyle w:val="051Tabletext228pt"/>
            </w:pPr>
          </w:p>
        </w:tc>
      </w:tr>
      <w:tr w:rsidR="009D7AD2" w:rsidRPr="009B4553" w14:paraId="3F9C6C30" w14:textId="77777777">
        <w:trPr>
          <w:cantSplit/>
        </w:trPr>
        <w:tc>
          <w:tcPr>
            <w:tcW w:w="1362" w:type="dxa"/>
            <w:shd w:val="clear" w:color="auto" w:fill="auto"/>
          </w:tcPr>
          <w:p w14:paraId="4AFF350F"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3BA353D8"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03D465AE" w14:textId="77777777" w:rsidR="009D7AD2" w:rsidRPr="009B4553" w:rsidRDefault="009D7AD2" w:rsidP="009D7AD2">
            <w:pPr>
              <w:pStyle w:val="051Tabletext228pt"/>
            </w:pPr>
            <w:r w:rsidRPr="009B4553">
              <w:rPr>
                <w:rFonts w:cs="Calibri"/>
              </w:rPr>
              <w:t>Patient Programmer</w:t>
            </w:r>
          </w:p>
        </w:tc>
        <w:tc>
          <w:tcPr>
            <w:tcW w:w="1559" w:type="dxa"/>
            <w:shd w:val="clear" w:color="auto" w:fill="auto"/>
          </w:tcPr>
          <w:p w14:paraId="064D8062"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6642DD9B" w14:textId="77777777" w:rsidR="009D7AD2" w:rsidRPr="009B4553" w:rsidRDefault="009D7AD2" w:rsidP="009D7AD2">
            <w:pPr>
              <w:pStyle w:val="051Tabletext228pt"/>
            </w:pPr>
            <w:r w:rsidRPr="009B4553">
              <w:rPr>
                <w:rFonts w:cs="Calibri"/>
              </w:rPr>
              <w:t>SJ388</w:t>
            </w:r>
          </w:p>
        </w:tc>
        <w:tc>
          <w:tcPr>
            <w:tcW w:w="743" w:type="dxa"/>
            <w:shd w:val="clear" w:color="auto" w:fill="auto"/>
          </w:tcPr>
          <w:p w14:paraId="2E3C7161" w14:textId="77777777" w:rsidR="009D7AD2" w:rsidRPr="009B4553" w:rsidRDefault="009D7AD2" w:rsidP="009D7AD2">
            <w:pPr>
              <w:pStyle w:val="051Tabletext228pt"/>
            </w:pPr>
            <w:r w:rsidRPr="009B4553">
              <w:rPr>
                <w:rFonts w:cs="Calibri"/>
              </w:rPr>
              <w:t>$632</w:t>
            </w:r>
          </w:p>
        </w:tc>
        <w:tc>
          <w:tcPr>
            <w:tcW w:w="707" w:type="dxa"/>
            <w:shd w:val="clear" w:color="auto" w:fill="auto"/>
          </w:tcPr>
          <w:p w14:paraId="5FD6698F" w14:textId="77777777" w:rsidR="009D7AD2" w:rsidRPr="009B4553" w:rsidRDefault="009D7AD2" w:rsidP="009D7AD2">
            <w:pPr>
              <w:pStyle w:val="051Tabletext228pt"/>
            </w:pPr>
            <w:r w:rsidRPr="009B4553">
              <w:rPr>
                <w:rFonts w:cs="Calibri"/>
              </w:rPr>
              <w:t>277756</w:t>
            </w:r>
          </w:p>
        </w:tc>
      </w:tr>
      <w:tr w:rsidR="009D7AD2" w:rsidRPr="009B4553" w14:paraId="3F8F8B5B" w14:textId="77777777">
        <w:trPr>
          <w:cantSplit/>
        </w:trPr>
        <w:tc>
          <w:tcPr>
            <w:tcW w:w="1362" w:type="dxa"/>
            <w:shd w:val="clear" w:color="auto" w:fill="auto"/>
          </w:tcPr>
          <w:p w14:paraId="6EEF5416" w14:textId="77777777" w:rsidR="009D7AD2" w:rsidRPr="009B4553" w:rsidRDefault="009D7AD2" w:rsidP="009D7AD2">
            <w:pPr>
              <w:pStyle w:val="051Tabletext228pt"/>
            </w:pPr>
            <w:r w:rsidRPr="009B4553">
              <w:rPr>
                <w:rFonts w:cs="Calibri"/>
              </w:rPr>
              <w:lastRenderedPageBreak/>
              <w:t>04.05.02 - External Components</w:t>
            </w:r>
          </w:p>
        </w:tc>
        <w:tc>
          <w:tcPr>
            <w:tcW w:w="2324" w:type="dxa"/>
            <w:gridSpan w:val="5"/>
            <w:shd w:val="clear" w:color="auto" w:fill="auto"/>
          </w:tcPr>
          <w:p w14:paraId="6E79CA59"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5154A9FF" w14:textId="77777777" w:rsidR="009D7AD2" w:rsidRPr="009B4553" w:rsidRDefault="009D7AD2" w:rsidP="009D7AD2">
            <w:pPr>
              <w:pStyle w:val="051Tabletext228pt"/>
            </w:pPr>
            <w:r w:rsidRPr="009B4553">
              <w:rPr>
                <w:rFonts w:cs="Calibri"/>
              </w:rPr>
              <w:t xml:space="preserve">Precision Plus Remote Patient Programmer; Precision Plus with </w:t>
            </w:r>
            <w:proofErr w:type="spellStart"/>
            <w:r w:rsidRPr="009B4553">
              <w:rPr>
                <w:rFonts w:cs="Calibri"/>
              </w:rPr>
              <w:t>MultiwaveTechnology</w:t>
            </w:r>
            <w:proofErr w:type="spellEnd"/>
            <w:r w:rsidRPr="009B4553">
              <w:rPr>
                <w:rFonts w:cs="Calibri"/>
              </w:rPr>
              <w:t xml:space="preserve"> Remote Patient Programmer</w:t>
            </w:r>
          </w:p>
        </w:tc>
        <w:tc>
          <w:tcPr>
            <w:tcW w:w="1559" w:type="dxa"/>
            <w:shd w:val="clear" w:color="auto" w:fill="auto"/>
          </w:tcPr>
          <w:p w14:paraId="380A8A9B" w14:textId="77777777" w:rsidR="009D7AD2" w:rsidRPr="009B4553" w:rsidRDefault="009D7AD2" w:rsidP="009D7AD2">
            <w:pPr>
              <w:pStyle w:val="051Tabletext228pt"/>
            </w:pPr>
            <w:r w:rsidRPr="009B4553">
              <w:rPr>
                <w:rFonts w:cs="Calibri"/>
              </w:rPr>
              <w:t>Boston Scientific Australia Pty Ltd</w:t>
            </w:r>
          </w:p>
        </w:tc>
        <w:tc>
          <w:tcPr>
            <w:tcW w:w="1100" w:type="dxa"/>
            <w:shd w:val="clear" w:color="auto" w:fill="auto"/>
          </w:tcPr>
          <w:p w14:paraId="07743687" w14:textId="77777777" w:rsidR="009D7AD2" w:rsidRPr="009B4553" w:rsidRDefault="009D7AD2" w:rsidP="009D7AD2">
            <w:pPr>
              <w:pStyle w:val="051Tabletext228pt"/>
            </w:pPr>
            <w:r w:rsidRPr="009B4553">
              <w:rPr>
                <w:rFonts w:cs="Calibri"/>
              </w:rPr>
              <w:t>BS106</w:t>
            </w:r>
          </w:p>
        </w:tc>
        <w:tc>
          <w:tcPr>
            <w:tcW w:w="743" w:type="dxa"/>
            <w:shd w:val="clear" w:color="auto" w:fill="auto"/>
          </w:tcPr>
          <w:p w14:paraId="105C80D5"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47C7302A" w14:textId="77777777" w:rsidR="009D7AD2" w:rsidRPr="009B4553" w:rsidRDefault="009D7AD2" w:rsidP="009D7AD2">
            <w:pPr>
              <w:pStyle w:val="051Tabletext228pt"/>
            </w:pPr>
            <w:r w:rsidRPr="009B4553">
              <w:rPr>
                <w:rFonts w:cs="Calibri"/>
              </w:rPr>
              <w:t>128681</w:t>
            </w:r>
            <w:r w:rsidRPr="009B4553">
              <w:rPr>
                <w:rFonts w:cs="Calibri"/>
              </w:rPr>
              <w:br/>
              <w:t>166929</w:t>
            </w:r>
            <w:r w:rsidRPr="009B4553">
              <w:rPr>
                <w:rFonts w:cs="Calibri"/>
              </w:rPr>
              <w:br/>
              <w:t>231196</w:t>
            </w:r>
          </w:p>
        </w:tc>
      </w:tr>
      <w:tr w:rsidR="009D7AD2" w:rsidRPr="009B4553" w14:paraId="63F75209" w14:textId="77777777">
        <w:trPr>
          <w:cantSplit/>
        </w:trPr>
        <w:tc>
          <w:tcPr>
            <w:tcW w:w="1362" w:type="dxa"/>
            <w:shd w:val="clear" w:color="auto" w:fill="auto"/>
          </w:tcPr>
          <w:p w14:paraId="00E20292"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79894CB7"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2350F2BB" w14:textId="77777777" w:rsidR="009D7AD2" w:rsidRPr="009B4553" w:rsidRDefault="009D7AD2" w:rsidP="009D7AD2">
            <w:pPr>
              <w:pStyle w:val="051Tabletext228pt"/>
            </w:pPr>
            <w:r w:rsidRPr="009B4553">
              <w:rPr>
                <w:rFonts w:cs="Calibri"/>
              </w:rPr>
              <w:t>Precision Spectra Patient Remote Programmer</w:t>
            </w:r>
          </w:p>
        </w:tc>
        <w:tc>
          <w:tcPr>
            <w:tcW w:w="1559" w:type="dxa"/>
            <w:shd w:val="clear" w:color="auto" w:fill="auto"/>
          </w:tcPr>
          <w:p w14:paraId="737CC4AD" w14:textId="77777777" w:rsidR="009D7AD2" w:rsidRPr="009B4553" w:rsidRDefault="009D7AD2" w:rsidP="009D7AD2">
            <w:pPr>
              <w:pStyle w:val="051Tabletext228pt"/>
            </w:pPr>
            <w:r w:rsidRPr="009B4553">
              <w:rPr>
                <w:rFonts w:cs="Calibri"/>
              </w:rPr>
              <w:t>Boston Scientific Australia Pty Ltd</w:t>
            </w:r>
          </w:p>
        </w:tc>
        <w:tc>
          <w:tcPr>
            <w:tcW w:w="1100" w:type="dxa"/>
            <w:shd w:val="clear" w:color="auto" w:fill="auto"/>
          </w:tcPr>
          <w:p w14:paraId="14920B66" w14:textId="77777777" w:rsidR="009D7AD2" w:rsidRPr="009B4553" w:rsidRDefault="009D7AD2" w:rsidP="009D7AD2">
            <w:pPr>
              <w:pStyle w:val="051Tabletext228pt"/>
            </w:pPr>
            <w:r w:rsidRPr="009B4553">
              <w:rPr>
                <w:rFonts w:cs="Calibri"/>
              </w:rPr>
              <w:t>BS253</w:t>
            </w:r>
          </w:p>
        </w:tc>
        <w:tc>
          <w:tcPr>
            <w:tcW w:w="743" w:type="dxa"/>
            <w:shd w:val="clear" w:color="auto" w:fill="auto"/>
          </w:tcPr>
          <w:p w14:paraId="41CC06EB"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4B324E6C" w14:textId="77777777" w:rsidR="009D7AD2" w:rsidRPr="009B4553" w:rsidRDefault="009D7AD2" w:rsidP="009D7AD2">
            <w:pPr>
              <w:pStyle w:val="051Tabletext228pt"/>
            </w:pPr>
            <w:r w:rsidRPr="009B4553">
              <w:rPr>
                <w:rFonts w:cs="Calibri"/>
              </w:rPr>
              <w:t>206305</w:t>
            </w:r>
            <w:r w:rsidRPr="009B4553">
              <w:rPr>
                <w:rFonts w:cs="Calibri"/>
              </w:rPr>
              <w:br/>
              <w:t>206306</w:t>
            </w:r>
          </w:p>
        </w:tc>
      </w:tr>
      <w:tr w:rsidR="009D7AD2" w:rsidRPr="009B4553" w14:paraId="504C668D" w14:textId="77777777">
        <w:trPr>
          <w:cantSplit/>
        </w:trPr>
        <w:tc>
          <w:tcPr>
            <w:tcW w:w="1362" w:type="dxa"/>
            <w:shd w:val="clear" w:color="auto" w:fill="auto"/>
          </w:tcPr>
          <w:p w14:paraId="22130414"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4E9040D1"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0F136BB1" w14:textId="77777777" w:rsidR="009D7AD2" w:rsidRPr="009B4553" w:rsidRDefault="009D7AD2" w:rsidP="009D7AD2">
            <w:pPr>
              <w:pStyle w:val="051Tabletext228pt"/>
            </w:pPr>
            <w:proofErr w:type="spellStart"/>
            <w:r w:rsidRPr="009B4553">
              <w:rPr>
                <w:rFonts w:cs="Calibri"/>
              </w:rPr>
              <w:t>FreeLink</w:t>
            </w:r>
            <w:proofErr w:type="spellEnd"/>
            <w:r w:rsidRPr="009B4553">
              <w:rPr>
                <w:rFonts w:cs="Calibri"/>
              </w:rPr>
              <w:t xml:space="preserve"> Remote Control Kit</w:t>
            </w:r>
          </w:p>
        </w:tc>
        <w:tc>
          <w:tcPr>
            <w:tcW w:w="1559" w:type="dxa"/>
            <w:shd w:val="clear" w:color="auto" w:fill="auto"/>
          </w:tcPr>
          <w:p w14:paraId="77173000" w14:textId="77777777" w:rsidR="009D7AD2" w:rsidRPr="009B4553" w:rsidRDefault="009D7AD2" w:rsidP="009D7AD2">
            <w:pPr>
              <w:pStyle w:val="051Tabletext228pt"/>
            </w:pPr>
            <w:r w:rsidRPr="009B4553">
              <w:rPr>
                <w:rFonts w:cs="Calibri"/>
              </w:rPr>
              <w:t>Boston Scientific Australia Pty Ltd</w:t>
            </w:r>
          </w:p>
        </w:tc>
        <w:tc>
          <w:tcPr>
            <w:tcW w:w="1100" w:type="dxa"/>
            <w:shd w:val="clear" w:color="auto" w:fill="auto"/>
          </w:tcPr>
          <w:p w14:paraId="4F9973E0" w14:textId="77777777" w:rsidR="009D7AD2" w:rsidRPr="009B4553" w:rsidRDefault="009D7AD2" w:rsidP="009D7AD2">
            <w:pPr>
              <w:pStyle w:val="051Tabletext228pt"/>
            </w:pPr>
            <w:r w:rsidRPr="009B4553">
              <w:rPr>
                <w:rFonts w:cs="Calibri"/>
              </w:rPr>
              <w:t>BS325</w:t>
            </w:r>
          </w:p>
        </w:tc>
        <w:tc>
          <w:tcPr>
            <w:tcW w:w="743" w:type="dxa"/>
            <w:shd w:val="clear" w:color="auto" w:fill="auto"/>
          </w:tcPr>
          <w:p w14:paraId="4CFF263A"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736A4E57" w14:textId="77777777" w:rsidR="009D7AD2" w:rsidRPr="009B4553" w:rsidRDefault="009D7AD2" w:rsidP="009D7AD2">
            <w:pPr>
              <w:pStyle w:val="051Tabletext228pt"/>
            </w:pPr>
            <w:r w:rsidRPr="009B4553">
              <w:rPr>
                <w:rFonts w:cs="Calibri"/>
              </w:rPr>
              <w:t>283694</w:t>
            </w:r>
            <w:r w:rsidRPr="009B4553">
              <w:rPr>
                <w:rFonts w:cs="Calibri"/>
              </w:rPr>
              <w:br/>
              <w:t>287237</w:t>
            </w:r>
            <w:r w:rsidRPr="009B4553">
              <w:rPr>
                <w:rFonts w:cs="Calibri"/>
              </w:rPr>
              <w:br/>
              <w:t>287738</w:t>
            </w:r>
            <w:r w:rsidRPr="009B4553">
              <w:rPr>
                <w:rFonts w:cs="Calibri"/>
              </w:rPr>
              <w:br/>
              <w:t>318330</w:t>
            </w:r>
            <w:r w:rsidRPr="009B4553">
              <w:rPr>
                <w:rFonts w:cs="Calibri"/>
              </w:rPr>
              <w:br/>
              <w:t>318331</w:t>
            </w:r>
            <w:r w:rsidRPr="009B4553">
              <w:rPr>
                <w:rFonts w:cs="Calibri"/>
              </w:rPr>
              <w:br/>
              <w:t>362974</w:t>
            </w:r>
            <w:r w:rsidRPr="009B4553">
              <w:rPr>
                <w:rFonts w:cs="Calibri"/>
              </w:rPr>
              <w:br/>
              <w:t>362991</w:t>
            </w:r>
          </w:p>
        </w:tc>
      </w:tr>
      <w:tr w:rsidR="009D7AD2" w:rsidRPr="009B4553" w14:paraId="1A992457" w14:textId="77777777">
        <w:trPr>
          <w:cantSplit/>
        </w:trPr>
        <w:tc>
          <w:tcPr>
            <w:tcW w:w="1362" w:type="dxa"/>
            <w:shd w:val="clear" w:color="auto" w:fill="auto"/>
          </w:tcPr>
          <w:p w14:paraId="1E070E4F"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0FBCB36F"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553C6EC8" w14:textId="77777777" w:rsidR="009D7AD2" w:rsidRPr="009B4553" w:rsidRDefault="009D7AD2" w:rsidP="009D7AD2">
            <w:pPr>
              <w:pStyle w:val="051Tabletext228pt"/>
            </w:pPr>
            <w:r w:rsidRPr="009B4553">
              <w:rPr>
                <w:rFonts w:cs="Calibri"/>
              </w:rPr>
              <w:t xml:space="preserve">Nevro PTRC2300 Patient Remote Control </w:t>
            </w:r>
          </w:p>
        </w:tc>
        <w:tc>
          <w:tcPr>
            <w:tcW w:w="1559" w:type="dxa"/>
            <w:shd w:val="clear" w:color="auto" w:fill="auto"/>
          </w:tcPr>
          <w:p w14:paraId="0A72D71C" w14:textId="77777777" w:rsidR="009D7AD2" w:rsidRPr="009B4553" w:rsidRDefault="009D7AD2" w:rsidP="009D7AD2">
            <w:pPr>
              <w:pStyle w:val="051Tabletext228pt"/>
            </w:pPr>
            <w:r w:rsidRPr="009B4553">
              <w:rPr>
                <w:rFonts w:cs="Calibri"/>
              </w:rPr>
              <w:t>Emergo Asia Pacific Pty Ltd</w:t>
            </w:r>
          </w:p>
        </w:tc>
        <w:tc>
          <w:tcPr>
            <w:tcW w:w="1100" w:type="dxa"/>
            <w:shd w:val="clear" w:color="auto" w:fill="auto"/>
          </w:tcPr>
          <w:p w14:paraId="72B30896" w14:textId="77777777" w:rsidR="009D7AD2" w:rsidRPr="009B4553" w:rsidRDefault="009D7AD2" w:rsidP="009D7AD2">
            <w:pPr>
              <w:pStyle w:val="051Tabletext228pt"/>
            </w:pPr>
            <w:r w:rsidRPr="009B4553">
              <w:rPr>
                <w:rFonts w:cs="Calibri"/>
              </w:rPr>
              <w:t>ER608</w:t>
            </w:r>
          </w:p>
        </w:tc>
        <w:tc>
          <w:tcPr>
            <w:tcW w:w="743" w:type="dxa"/>
            <w:shd w:val="clear" w:color="auto" w:fill="auto"/>
          </w:tcPr>
          <w:p w14:paraId="595D6444"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6EDC759E" w14:textId="77777777" w:rsidR="009D7AD2" w:rsidRPr="009B4553" w:rsidRDefault="009D7AD2" w:rsidP="009D7AD2">
            <w:pPr>
              <w:pStyle w:val="051Tabletext228pt"/>
            </w:pPr>
            <w:r w:rsidRPr="009B4553">
              <w:rPr>
                <w:rFonts w:cs="Calibri"/>
              </w:rPr>
              <w:t>330707</w:t>
            </w:r>
          </w:p>
        </w:tc>
      </w:tr>
      <w:tr w:rsidR="009D7AD2" w:rsidRPr="009B4553" w14:paraId="24D3A1C5" w14:textId="77777777">
        <w:trPr>
          <w:cantSplit/>
        </w:trPr>
        <w:tc>
          <w:tcPr>
            <w:tcW w:w="1362" w:type="dxa"/>
            <w:shd w:val="clear" w:color="auto" w:fill="auto"/>
          </w:tcPr>
          <w:p w14:paraId="0013CD7D"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12BEEA83"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41375C9D" w14:textId="77777777" w:rsidR="009D7AD2" w:rsidRPr="009B4553" w:rsidRDefault="009D7AD2" w:rsidP="009D7AD2">
            <w:pPr>
              <w:pStyle w:val="051Tabletext228pt"/>
            </w:pPr>
            <w:proofErr w:type="spellStart"/>
            <w:r w:rsidRPr="009B4553">
              <w:rPr>
                <w:rFonts w:cs="Calibri"/>
              </w:rPr>
              <w:t>Surescan</w:t>
            </w:r>
            <w:proofErr w:type="spellEnd"/>
            <w:r w:rsidRPr="009B4553">
              <w:rPr>
                <w:rFonts w:cs="Calibri"/>
              </w:rPr>
              <w:t xml:space="preserve"> MRI Patient programmer</w:t>
            </w:r>
          </w:p>
        </w:tc>
        <w:tc>
          <w:tcPr>
            <w:tcW w:w="1559" w:type="dxa"/>
            <w:shd w:val="clear" w:color="auto" w:fill="auto"/>
          </w:tcPr>
          <w:p w14:paraId="03E8BCF0" w14:textId="77777777" w:rsidR="009D7AD2" w:rsidRPr="009B4553" w:rsidRDefault="009D7AD2" w:rsidP="009D7AD2">
            <w:pPr>
              <w:pStyle w:val="051Tabletext228pt"/>
            </w:pPr>
            <w:r w:rsidRPr="009B4553">
              <w:rPr>
                <w:rFonts w:cs="Calibri"/>
              </w:rPr>
              <w:t>Medtronic Australasia Pty Ltd</w:t>
            </w:r>
          </w:p>
        </w:tc>
        <w:tc>
          <w:tcPr>
            <w:tcW w:w="1100" w:type="dxa"/>
            <w:shd w:val="clear" w:color="auto" w:fill="auto"/>
          </w:tcPr>
          <w:p w14:paraId="12A4F28C" w14:textId="77777777" w:rsidR="009D7AD2" w:rsidRPr="009B4553" w:rsidRDefault="009D7AD2" w:rsidP="009D7AD2">
            <w:pPr>
              <w:pStyle w:val="051Tabletext228pt"/>
            </w:pPr>
            <w:r w:rsidRPr="009B4553">
              <w:rPr>
                <w:rFonts w:cs="Calibri"/>
              </w:rPr>
              <w:t>MI138</w:t>
            </w:r>
          </w:p>
        </w:tc>
        <w:tc>
          <w:tcPr>
            <w:tcW w:w="743" w:type="dxa"/>
            <w:shd w:val="clear" w:color="auto" w:fill="auto"/>
          </w:tcPr>
          <w:p w14:paraId="5CF9908B"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6D2AFA5D" w14:textId="77777777" w:rsidR="009D7AD2" w:rsidRPr="009B4553" w:rsidRDefault="009D7AD2" w:rsidP="009D7AD2">
            <w:pPr>
              <w:pStyle w:val="051Tabletext228pt"/>
            </w:pPr>
            <w:r w:rsidRPr="009B4553">
              <w:rPr>
                <w:rFonts w:cs="Calibri"/>
              </w:rPr>
              <w:t>214421</w:t>
            </w:r>
          </w:p>
        </w:tc>
      </w:tr>
      <w:tr w:rsidR="009D7AD2" w:rsidRPr="009B4553" w14:paraId="35DFEC65" w14:textId="77777777">
        <w:trPr>
          <w:cantSplit/>
        </w:trPr>
        <w:tc>
          <w:tcPr>
            <w:tcW w:w="1362" w:type="dxa"/>
            <w:shd w:val="clear" w:color="auto" w:fill="auto"/>
          </w:tcPr>
          <w:p w14:paraId="65F1D044"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08CFA868"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217C603F" w14:textId="77777777" w:rsidR="009D7AD2" w:rsidRPr="009B4553" w:rsidRDefault="009D7AD2" w:rsidP="009D7AD2">
            <w:pPr>
              <w:pStyle w:val="051Tabletext228pt"/>
            </w:pPr>
            <w:proofErr w:type="spellStart"/>
            <w:r w:rsidRPr="009B4553">
              <w:rPr>
                <w:rFonts w:cs="Calibri"/>
              </w:rPr>
              <w:t>Intellis</w:t>
            </w:r>
            <w:proofErr w:type="spellEnd"/>
            <w:r w:rsidRPr="009B4553">
              <w:rPr>
                <w:rFonts w:cs="Calibri"/>
              </w:rPr>
              <w:t xml:space="preserve"> Rechargeable Neurostimulation System - PTM Patient Programmer</w:t>
            </w:r>
          </w:p>
        </w:tc>
        <w:tc>
          <w:tcPr>
            <w:tcW w:w="1559" w:type="dxa"/>
            <w:shd w:val="clear" w:color="auto" w:fill="auto"/>
          </w:tcPr>
          <w:p w14:paraId="3B8508C9" w14:textId="77777777" w:rsidR="009D7AD2" w:rsidRPr="009B4553" w:rsidRDefault="009D7AD2" w:rsidP="009D7AD2">
            <w:pPr>
              <w:pStyle w:val="051Tabletext228pt"/>
            </w:pPr>
            <w:r w:rsidRPr="009B4553">
              <w:rPr>
                <w:rFonts w:cs="Calibri"/>
              </w:rPr>
              <w:t>Medtronic Australasia Pty Ltd</w:t>
            </w:r>
          </w:p>
        </w:tc>
        <w:tc>
          <w:tcPr>
            <w:tcW w:w="1100" w:type="dxa"/>
            <w:shd w:val="clear" w:color="auto" w:fill="auto"/>
          </w:tcPr>
          <w:p w14:paraId="79AECDD3" w14:textId="77777777" w:rsidR="009D7AD2" w:rsidRPr="009B4553" w:rsidRDefault="009D7AD2" w:rsidP="009D7AD2">
            <w:pPr>
              <w:pStyle w:val="051Tabletext228pt"/>
            </w:pPr>
            <w:r w:rsidRPr="009B4553">
              <w:rPr>
                <w:rFonts w:cs="Calibri"/>
              </w:rPr>
              <w:t>MI276</w:t>
            </w:r>
          </w:p>
        </w:tc>
        <w:tc>
          <w:tcPr>
            <w:tcW w:w="743" w:type="dxa"/>
            <w:shd w:val="clear" w:color="auto" w:fill="auto"/>
          </w:tcPr>
          <w:p w14:paraId="421B0A71"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226C7562" w14:textId="77777777" w:rsidR="009D7AD2" w:rsidRPr="009B4553" w:rsidRDefault="009D7AD2" w:rsidP="009D7AD2">
            <w:pPr>
              <w:pStyle w:val="051Tabletext228pt"/>
            </w:pPr>
            <w:r w:rsidRPr="009B4553">
              <w:rPr>
                <w:rFonts w:cs="Calibri"/>
              </w:rPr>
              <w:t>298760</w:t>
            </w:r>
          </w:p>
        </w:tc>
      </w:tr>
      <w:tr w:rsidR="009D7AD2" w:rsidRPr="009B4553" w14:paraId="6DCC2273" w14:textId="77777777">
        <w:trPr>
          <w:cantSplit/>
        </w:trPr>
        <w:tc>
          <w:tcPr>
            <w:tcW w:w="1362" w:type="dxa"/>
            <w:shd w:val="clear" w:color="auto" w:fill="auto"/>
          </w:tcPr>
          <w:p w14:paraId="6A7CB694"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4D754E71"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284F1680" w14:textId="77777777" w:rsidR="009D7AD2" w:rsidRPr="009B4553" w:rsidRDefault="009D7AD2" w:rsidP="009D7AD2">
            <w:pPr>
              <w:pStyle w:val="051Tabletext228pt"/>
            </w:pPr>
            <w:r w:rsidRPr="009B4553">
              <w:rPr>
                <w:rFonts w:cs="Calibri"/>
              </w:rPr>
              <w:t>Reactiv8 Activator</w:t>
            </w:r>
          </w:p>
        </w:tc>
        <w:tc>
          <w:tcPr>
            <w:tcW w:w="1559" w:type="dxa"/>
            <w:shd w:val="clear" w:color="auto" w:fill="auto"/>
          </w:tcPr>
          <w:p w14:paraId="7D1EF0FB" w14:textId="77777777" w:rsidR="009D7AD2" w:rsidRPr="009B4553" w:rsidRDefault="009D7AD2" w:rsidP="009D7AD2">
            <w:pPr>
              <w:pStyle w:val="051Tabletext228pt"/>
            </w:pPr>
            <w:r w:rsidRPr="009B4553">
              <w:rPr>
                <w:rFonts w:cs="Calibri"/>
              </w:rPr>
              <w:t>MAINSTAY MEDICAL (AUSTRALIA) PTY LIMITED</w:t>
            </w:r>
          </w:p>
        </w:tc>
        <w:tc>
          <w:tcPr>
            <w:tcW w:w="1100" w:type="dxa"/>
            <w:shd w:val="clear" w:color="auto" w:fill="auto"/>
          </w:tcPr>
          <w:p w14:paraId="270FCE23" w14:textId="77777777" w:rsidR="009D7AD2" w:rsidRPr="009B4553" w:rsidRDefault="009D7AD2" w:rsidP="009D7AD2">
            <w:pPr>
              <w:pStyle w:val="051Tabletext228pt"/>
            </w:pPr>
            <w:r w:rsidRPr="009B4553">
              <w:rPr>
                <w:rFonts w:cs="Calibri"/>
              </w:rPr>
              <w:t>PQ005</w:t>
            </w:r>
          </w:p>
        </w:tc>
        <w:tc>
          <w:tcPr>
            <w:tcW w:w="743" w:type="dxa"/>
            <w:shd w:val="clear" w:color="auto" w:fill="auto"/>
          </w:tcPr>
          <w:p w14:paraId="2463DF6C"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267EE962" w14:textId="2D0A8C42" w:rsidR="009D7AD2" w:rsidRPr="009B4553" w:rsidRDefault="009D7AD2" w:rsidP="009D7AD2">
            <w:pPr>
              <w:pStyle w:val="051Tabletext228pt"/>
            </w:pPr>
            <w:r w:rsidRPr="009B4553">
              <w:rPr>
                <w:rFonts w:cs="Calibri"/>
              </w:rPr>
              <w:t>327090</w:t>
            </w:r>
            <w:r w:rsidR="00071692" w:rsidRPr="002D6C5A">
              <w:rPr>
                <w:vertAlign w:val="superscript"/>
              </w:rPr>
              <w:t>b</w:t>
            </w:r>
          </w:p>
        </w:tc>
      </w:tr>
      <w:tr w:rsidR="009D7AD2" w:rsidRPr="009B4553" w14:paraId="117CEE53" w14:textId="77777777">
        <w:trPr>
          <w:cantSplit/>
        </w:trPr>
        <w:tc>
          <w:tcPr>
            <w:tcW w:w="1362" w:type="dxa"/>
            <w:shd w:val="clear" w:color="auto" w:fill="auto"/>
          </w:tcPr>
          <w:p w14:paraId="4B528B6A"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38BB423E"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02E90B1C" w14:textId="77777777" w:rsidR="009D7AD2" w:rsidRPr="009B4553" w:rsidRDefault="009D7AD2" w:rsidP="009D7AD2">
            <w:pPr>
              <w:pStyle w:val="051Tabletext228pt"/>
            </w:pPr>
            <w:r w:rsidRPr="009B4553">
              <w:rPr>
                <w:rFonts w:cs="Calibri"/>
              </w:rPr>
              <w:t>ANS Spinal Cord Stimulation System (SCS) GENESIS</w:t>
            </w:r>
          </w:p>
        </w:tc>
        <w:tc>
          <w:tcPr>
            <w:tcW w:w="1559" w:type="dxa"/>
            <w:shd w:val="clear" w:color="auto" w:fill="auto"/>
          </w:tcPr>
          <w:p w14:paraId="415BE8B2"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7DFABEFE" w14:textId="77777777" w:rsidR="009D7AD2" w:rsidRPr="009B4553" w:rsidRDefault="009D7AD2" w:rsidP="009D7AD2">
            <w:pPr>
              <w:pStyle w:val="051Tabletext228pt"/>
            </w:pPr>
            <w:r w:rsidRPr="009B4553">
              <w:rPr>
                <w:rFonts w:cs="Calibri"/>
              </w:rPr>
              <w:t>SJ177</w:t>
            </w:r>
          </w:p>
        </w:tc>
        <w:tc>
          <w:tcPr>
            <w:tcW w:w="743" w:type="dxa"/>
            <w:shd w:val="clear" w:color="auto" w:fill="auto"/>
          </w:tcPr>
          <w:p w14:paraId="177E0E50"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59F7C63D" w14:textId="77777777" w:rsidR="009D7AD2" w:rsidRPr="009B4553" w:rsidRDefault="009D7AD2" w:rsidP="009D7AD2">
            <w:pPr>
              <w:pStyle w:val="051Tabletext228pt"/>
            </w:pPr>
            <w:r w:rsidRPr="009B4553">
              <w:rPr>
                <w:rFonts w:cs="Calibri"/>
              </w:rPr>
              <w:t>106669</w:t>
            </w:r>
          </w:p>
        </w:tc>
      </w:tr>
      <w:tr w:rsidR="009D7AD2" w:rsidRPr="009B4553" w14:paraId="26AB6F44" w14:textId="77777777">
        <w:trPr>
          <w:cantSplit/>
        </w:trPr>
        <w:tc>
          <w:tcPr>
            <w:tcW w:w="1362" w:type="dxa"/>
            <w:shd w:val="clear" w:color="auto" w:fill="auto"/>
          </w:tcPr>
          <w:p w14:paraId="00CFA9AB"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39ACAB7C"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303B8DE3" w14:textId="77777777" w:rsidR="009D7AD2" w:rsidRPr="009B4553" w:rsidRDefault="009D7AD2" w:rsidP="009D7AD2">
            <w:pPr>
              <w:pStyle w:val="051Tabletext228pt"/>
            </w:pPr>
            <w:r w:rsidRPr="009B4553">
              <w:rPr>
                <w:rFonts w:cs="Calibri"/>
              </w:rPr>
              <w:t>Eon Neurostimulation System</w:t>
            </w:r>
          </w:p>
        </w:tc>
        <w:tc>
          <w:tcPr>
            <w:tcW w:w="1559" w:type="dxa"/>
            <w:shd w:val="clear" w:color="auto" w:fill="auto"/>
          </w:tcPr>
          <w:p w14:paraId="77BF1A99"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796C5750" w14:textId="77777777" w:rsidR="009D7AD2" w:rsidRPr="009B4553" w:rsidRDefault="009D7AD2" w:rsidP="009D7AD2">
            <w:pPr>
              <w:pStyle w:val="051Tabletext228pt"/>
            </w:pPr>
            <w:r w:rsidRPr="009B4553">
              <w:rPr>
                <w:rFonts w:cs="Calibri"/>
              </w:rPr>
              <w:t>SJ183</w:t>
            </w:r>
          </w:p>
        </w:tc>
        <w:tc>
          <w:tcPr>
            <w:tcW w:w="743" w:type="dxa"/>
            <w:shd w:val="clear" w:color="auto" w:fill="auto"/>
          </w:tcPr>
          <w:p w14:paraId="4C5EA274"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658B28DC" w14:textId="77777777" w:rsidR="009D7AD2" w:rsidRPr="009B4553" w:rsidRDefault="009D7AD2" w:rsidP="009D7AD2">
            <w:pPr>
              <w:pStyle w:val="051Tabletext228pt"/>
            </w:pPr>
            <w:r w:rsidRPr="009B4553">
              <w:rPr>
                <w:rFonts w:cs="Calibri"/>
              </w:rPr>
              <w:t>127127</w:t>
            </w:r>
          </w:p>
        </w:tc>
      </w:tr>
      <w:tr w:rsidR="009D7AD2" w:rsidRPr="009B4553" w14:paraId="63C1C9ED" w14:textId="77777777">
        <w:trPr>
          <w:cantSplit/>
        </w:trPr>
        <w:tc>
          <w:tcPr>
            <w:tcW w:w="1362" w:type="dxa"/>
            <w:shd w:val="clear" w:color="auto" w:fill="auto"/>
          </w:tcPr>
          <w:p w14:paraId="19D85A66"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1C10B49A"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47ED3E9A" w14:textId="77777777" w:rsidR="009D7AD2" w:rsidRPr="009B4553" w:rsidRDefault="009D7AD2" w:rsidP="009D7AD2">
            <w:pPr>
              <w:pStyle w:val="051Tabletext228pt"/>
            </w:pPr>
            <w:r w:rsidRPr="009B4553">
              <w:rPr>
                <w:rFonts w:cs="Calibri"/>
              </w:rPr>
              <w:t>Prodigy Patient Programmer</w:t>
            </w:r>
          </w:p>
        </w:tc>
        <w:tc>
          <w:tcPr>
            <w:tcW w:w="1559" w:type="dxa"/>
            <w:shd w:val="clear" w:color="auto" w:fill="auto"/>
          </w:tcPr>
          <w:p w14:paraId="73877ECC"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301844AF" w14:textId="77777777" w:rsidR="009D7AD2" w:rsidRPr="009B4553" w:rsidRDefault="009D7AD2" w:rsidP="009D7AD2">
            <w:pPr>
              <w:pStyle w:val="051Tabletext228pt"/>
            </w:pPr>
            <w:r w:rsidRPr="009B4553">
              <w:rPr>
                <w:rFonts w:cs="Calibri"/>
              </w:rPr>
              <w:t>SJ348</w:t>
            </w:r>
          </w:p>
        </w:tc>
        <w:tc>
          <w:tcPr>
            <w:tcW w:w="743" w:type="dxa"/>
            <w:shd w:val="clear" w:color="auto" w:fill="auto"/>
          </w:tcPr>
          <w:p w14:paraId="2E0FA8B2"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29C77434" w14:textId="77777777" w:rsidR="009D7AD2" w:rsidRPr="009B4553" w:rsidRDefault="009D7AD2" w:rsidP="009D7AD2">
            <w:pPr>
              <w:pStyle w:val="051Tabletext228pt"/>
            </w:pPr>
            <w:r w:rsidRPr="009B4553">
              <w:rPr>
                <w:rFonts w:cs="Calibri"/>
              </w:rPr>
              <w:t>230778</w:t>
            </w:r>
          </w:p>
        </w:tc>
      </w:tr>
      <w:tr w:rsidR="009D7AD2" w:rsidRPr="009B4553" w14:paraId="7CA8DA72" w14:textId="77777777">
        <w:trPr>
          <w:cantSplit/>
        </w:trPr>
        <w:tc>
          <w:tcPr>
            <w:tcW w:w="1362" w:type="dxa"/>
            <w:shd w:val="clear" w:color="auto" w:fill="auto"/>
          </w:tcPr>
          <w:p w14:paraId="1C6C7D8A"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0918D4F4"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18AE4280" w14:textId="77777777" w:rsidR="009D7AD2" w:rsidRPr="009B4553" w:rsidRDefault="009D7AD2" w:rsidP="009D7AD2">
            <w:pPr>
              <w:pStyle w:val="051Tabletext228pt"/>
            </w:pPr>
            <w:r w:rsidRPr="009B4553">
              <w:rPr>
                <w:rFonts w:cs="Calibri"/>
              </w:rPr>
              <w:t>Axium Neurostimulator System - Programmer - Patient</w:t>
            </w:r>
          </w:p>
        </w:tc>
        <w:tc>
          <w:tcPr>
            <w:tcW w:w="1559" w:type="dxa"/>
            <w:shd w:val="clear" w:color="auto" w:fill="auto"/>
          </w:tcPr>
          <w:p w14:paraId="7039E244"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77AA4CA0" w14:textId="77777777" w:rsidR="009D7AD2" w:rsidRPr="009B4553" w:rsidRDefault="009D7AD2" w:rsidP="009D7AD2">
            <w:pPr>
              <w:pStyle w:val="051Tabletext228pt"/>
            </w:pPr>
            <w:r w:rsidRPr="009B4553">
              <w:rPr>
                <w:rFonts w:cs="Calibri"/>
              </w:rPr>
              <w:t>SJ355</w:t>
            </w:r>
          </w:p>
        </w:tc>
        <w:tc>
          <w:tcPr>
            <w:tcW w:w="743" w:type="dxa"/>
            <w:shd w:val="clear" w:color="auto" w:fill="auto"/>
          </w:tcPr>
          <w:p w14:paraId="5B4A9521"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5747E855" w14:textId="77777777" w:rsidR="009D7AD2" w:rsidRPr="009B4553" w:rsidRDefault="009D7AD2" w:rsidP="009D7AD2">
            <w:pPr>
              <w:pStyle w:val="051Tabletext228pt"/>
            </w:pPr>
            <w:r w:rsidRPr="009B4553">
              <w:rPr>
                <w:rFonts w:cs="Calibri"/>
              </w:rPr>
              <w:t>202322</w:t>
            </w:r>
            <w:r w:rsidRPr="009B4553">
              <w:rPr>
                <w:rFonts w:cs="Calibri"/>
              </w:rPr>
              <w:br/>
              <w:t>300051</w:t>
            </w:r>
          </w:p>
        </w:tc>
      </w:tr>
      <w:tr w:rsidR="009D7AD2" w:rsidRPr="009B4553" w14:paraId="5CEDEEBA" w14:textId="77777777">
        <w:trPr>
          <w:cantSplit/>
        </w:trPr>
        <w:tc>
          <w:tcPr>
            <w:tcW w:w="1362" w:type="dxa"/>
            <w:shd w:val="clear" w:color="auto" w:fill="auto"/>
          </w:tcPr>
          <w:p w14:paraId="74D131E2"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1873AFA7" w14:textId="77777777" w:rsidR="009D7AD2" w:rsidRPr="009B4553" w:rsidRDefault="009D7AD2" w:rsidP="009D7AD2">
            <w:pPr>
              <w:pStyle w:val="051Tabletext228pt"/>
            </w:pPr>
            <w:r w:rsidRPr="009B4553">
              <w:rPr>
                <w:rFonts w:cs="Calibri"/>
              </w:rPr>
              <w:t>04.05.02.01 - Patient Programmer</w:t>
            </w:r>
          </w:p>
        </w:tc>
        <w:tc>
          <w:tcPr>
            <w:tcW w:w="1843" w:type="dxa"/>
            <w:shd w:val="clear" w:color="auto" w:fill="auto"/>
          </w:tcPr>
          <w:p w14:paraId="29265995" w14:textId="77777777" w:rsidR="009D7AD2" w:rsidRPr="009B4553" w:rsidRDefault="009D7AD2" w:rsidP="009D7AD2">
            <w:pPr>
              <w:pStyle w:val="051Tabletext228pt"/>
            </w:pPr>
            <w:r w:rsidRPr="009B4553">
              <w:rPr>
                <w:rFonts w:cs="Calibri"/>
              </w:rPr>
              <w:t xml:space="preserve">Evoke Pocket Console </w:t>
            </w:r>
          </w:p>
        </w:tc>
        <w:tc>
          <w:tcPr>
            <w:tcW w:w="1559" w:type="dxa"/>
            <w:shd w:val="clear" w:color="auto" w:fill="auto"/>
          </w:tcPr>
          <w:p w14:paraId="3F4780A5" w14:textId="77777777" w:rsidR="009D7AD2" w:rsidRPr="009B4553" w:rsidRDefault="009D7AD2" w:rsidP="009D7AD2">
            <w:pPr>
              <w:pStyle w:val="051Tabletext228pt"/>
            </w:pPr>
            <w:r w:rsidRPr="009B4553">
              <w:rPr>
                <w:rFonts w:cs="Calibri"/>
              </w:rPr>
              <w:t>SALUDA MEDICAL PTY LIMITED</w:t>
            </w:r>
          </w:p>
        </w:tc>
        <w:tc>
          <w:tcPr>
            <w:tcW w:w="1100" w:type="dxa"/>
            <w:shd w:val="clear" w:color="auto" w:fill="auto"/>
          </w:tcPr>
          <w:p w14:paraId="351F19C7" w14:textId="77777777" w:rsidR="009D7AD2" w:rsidRPr="009B4553" w:rsidRDefault="009D7AD2" w:rsidP="009D7AD2">
            <w:pPr>
              <w:pStyle w:val="051Tabletext228pt"/>
            </w:pPr>
            <w:r w:rsidRPr="009B4553">
              <w:rPr>
                <w:rFonts w:cs="Calibri"/>
              </w:rPr>
              <w:t>UY007</w:t>
            </w:r>
          </w:p>
        </w:tc>
        <w:tc>
          <w:tcPr>
            <w:tcW w:w="743" w:type="dxa"/>
            <w:shd w:val="clear" w:color="auto" w:fill="auto"/>
          </w:tcPr>
          <w:p w14:paraId="052CA6FC" w14:textId="77777777" w:rsidR="009D7AD2" w:rsidRPr="009B4553" w:rsidRDefault="009D7AD2" w:rsidP="009D7AD2">
            <w:pPr>
              <w:pStyle w:val="051Tabletext228pt"/>
            </w:pPr>
            <w:r w:rsidRPr="009B4553">
              <w:rPr>
                <w:rFonts w:cs="Calibri"/>
              </w:rPr>
              <w:t>$1,354</w:t>
            </w:r>
          </w:p>
        </w:tc>
        <w:tc>
          <w:tcPr>
            <w:tcW w:w="707" w:type="dxa"/>
            <w:shd w:val="clear" w:color="auto" w:fill="auto"/>
          </w:tcPr>
          <w:p w14:paraId="1D0ED429" w14:textId="77777777" w:rsidR="009D7AD2" w:rsidRPr="009B4553" w:rsidRDefault="009D7AD2" w:rsidP="009D7AD2">
            <w:pPr>
              <w:pStyle w:val="051Tabletext228pt"/>
            </w:pPr>
            <w:r w:rsidRPr="009B4553">
              <w:rPr>
                <w:rFonts w:cs="Calibri"/>
              </w:rPr>
              <w:t>336570</w:t>
            </w:r>
          </w:p>
        </w:tc>
      </w:tr>
      <w:tr w:rsidR="009D7AD2" w:rsidRPr="009B4553" w14:paraId="008170B8" w14:textId="77777777">
        <w:trPr>
          <w:cantSplit/>
        </w:trPr>
        <w:tc>
          <w:tcPr>
            <w:tcW w:w="1362" w:type="dxa"/>
            <w:shd w:val="clear" w:color="auto" w:fill="auto"/>
          </w:tcPr>
          <w:p w14:paraId="2EEC3A80"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378D0DAD" w14:textId="77777777" w:rsidR="009D7AD2" w:rsidRPr="009B4553" w:rsidRDefault="009D7AD2" w:rsidP="009D7AD2">
            <w:pPr>
              <w:pStyle w:val="051Tabletext228pt"/>
            </w:pPr>
            <w:r w:rsidRPr="009B4553">
              <w:rPr>
                <w:rFonts w:cs="Calibri"/>
              </w:rPr>
              <w:t>04.05.02.02 - Patient Programmer Antenna</w:t>
            </w:r>
          </w:p>
        </w:tc>
        <w:tc>
          <w:tcPr>
            <w:tcW w:w="1843" w:type="dxa"/>
            <w:shd w:val="clear" w:color="auto" w:fill="auto"/>
          </w:tcPr>
          <w:p w14:paraId="39528322" w14:textId="77777777" w:rsidR="009D7AD2" w:rsidRPr="009B4553" w:rsidRDefault="009D7AD2" w:rsidP="009D7AD2">
            <w:pPr>
              <w:pStyle w:val="051Tabletext228pt"/>
            </w:pPr>
            <w:r w:rsidRPr="009B4553">
              <w:rPr>
                <w:rFonts w:cs="Calibri"/>
              </w:rPr>
              <w:t>Restore Rechargeable Neurostimulation System</w:t>
            </w:r>
          </w:p>
        </w:tc>
        <w:tc>
          <w:tcPr>
            <w:tcW w:w="1559" w:type="dxa"/>
            <w:shd w:val="clear" w:color="auto" w:fill="auto"/>
          </w:tcPr>
          <w:p w14:paraId="2D7D8EA9" w14:textId="77777777" w:rsidR="009D7AD2" w:rsidRPr="009B4553" w:rsidRDefault="009D7AD2" w:rsidP="009D7AD2">
            <w:pPr>
              <w:pStyle w:val="051Tabletext228pt"/>
            </w:pPr>
            <w:r w:rsidRPr="009B4553">
              <w:rPr>
                <w:rFonts w:cs="Calibri"/>
              </w:rPr>
              <w:t>Medtronic Australasia Pty Ltd</w:t>
            </w:r>
          </w:p>
        </w:tc>
        <w:tc>
          <w:tcPr>
            <w:tcW w:w="1100" w:type="dxa"/>
            <w:shd w:val="clear" w:color="auto" w:fill="auto"/>
          </w:tcPr>
          <w:p w14:paraId="44D6C508" w14:textId="77777777" w:rsidR="009D7AD2" w:rsidRPr="009B4553" w:rsidRDefault="009D7AD2" w:rsidP="009D7AD2">
            <w:pPr>
              <w:pStyle w:val="051Tabletext228pt"/>
            </w:pPr>
            <w:r w:rsidRPr="009B4553">
              <w:rPr>
                <w:rFonts w:cs="Calibri"/>
              </w:rPr>
              <w:t>MC694</w:t>
            </w:r>
          </w:p>
        </w:tc>
        <w:tc>
          <w:tcPr>
            <w:tcW w:w="743" w:type="dxa"/>
            <w:shd w:val="clear" w:color="auto" w:fill="auto"/>
          </w:tcPr>
          <w:p w14:paraId="7E51A35D" w14:textId="77777777" w:rsidR="009D7AD2" w:rsidRPr="009B4553" w:rsidRDefault="009D7AD2" w:rsidP="009D7AD2">
            <w:pPr>
              <w:pStyle w:val="051Tabletext228pt"/>
            </w:pPr>
            <w:r w:rsidRPr="009B4553">
              <w:rPr>
                <w:rFonts w:cs="Calibri"/>
              </w:rPr>
              <w:t>$161</w:t>
            </w:r>
          </w:p>
        </w:tc>
        <w:tc>
          <w:tcPr>
            <w:tcW w:w="707" w:type="dxa"/>
            <w:shd w:val="clear" w:color="auto" w:fill="auto"/>
          </w:tcPr>
          <w:p w14:paraId="1CF5105D" w14:textId="77777777" w:rsidR="009D7AD2" w:rsidRPr="009B4553" w:rsidRDefault="009D7AD2" w:rsidP="009D7AD2">
            <w:pPr>
              <w:pStyle w:val="051Tabletext228pt"/>
            </w:pPr>
            <w:r w:rsidRPr="009B4553">
              <w:rPr>
                <w:rFonts w:cs="Calibri"/>
              </w:rPr>
              <w:t>146936</w:t>
            </w:r>
          </w:p>
        </w:tc>
      </w:tr>
      <w:tr w:rsidR="009D7AD2" w:rsidRPr="009B4553" w14:paraId="6C095F58" w14:textId="77777777">
        <w:trPr>
          <w:cantSplit/>
        </w:trPr>
        <w:tc>
          <w:tcPr>
            <w:tcW w:w="1362" w:type="dxa"/>
            <w:shd w:val="clear" w:color="auto" w:fill="auto"/>
          </w:tcPr>
          <w:p w14:paraId="00CDE76A"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76337332" w14:textId="77777777" w:rsidR="009D7AD2" w:rsidRPr="009B4553" w:rsidRDefault="009D7AD2" w:rsidP="009D7AD2">
            <w:pPr>
              <w:pStyle w:val="051Tabletext228pt"/>
            </w:pPr>
            <w:r w:rsidRPr="009B4553">
              <w:rPr>
                <w:rFonts w:cs="Calibri"/>
              </w:rPr>
              <w:t>04.05.02.03 - On/Off switching device</w:t>
            </w:r>
          </w:p>
        </w:tc>
        <w:tc>
          <w:tcPr>
            <w:tcW w:w="1843" w:type="dxa"/>
            <w:shd w:val="clear" w:color="auto" w:fill="auto"/>
          </w:tcPr>
          <w:p w14:paraId="2ED73884" w14:textId="77777777" w:rsidR="009D7AD2" w:rsidRPr="009B4553" w:rsidRDefault="009D7AD2" w:rsidP="009D7AD2">
            <w:pPr>
              <w:pStyle w:val="051Tabletext228pt"/>
            </w:pPr>
            <w:r w:rsidRPr="009B4553">
              <w:rPr>
                <w:rFonts w:cs="Calibri"/>
              </w:rPr>
              <w:t>Nevro Spinal Cord Stimulation System (SCSS) - Patient Remote Kit</w:t>
            </w:r>
          </w:p>
        </w:tc>
        <w:tc>
          <w:tcPr>
            <w:tcW w:w="1559" w:type="dxa"/>
            <w:shd w:val="clear" w:color="auto" w:fill="auto"/>
          </w:tcPr>
          <w:p w14:paraId="119FE81D" w14:textId="77777777" w:rsidR="009D7AD2" w:rsidRPr="009B4553" w:rsidRDefault="009D7AD2" w:rsidP="009D7AD2">
            <w:pPr>
              <w:pStyle w:val="051Tabletext228pt"/>
            </w:pPr>
            <w:r w:rsidRPr="009B4553">
              <w:rPr>
                <w:rFonts w:cs="Calibri"/>
              </w:rPr>
              <w:t>Emergo Asia Pacific Pty Ltd</w:t>
            </w:r>
          </w:p>
        </w:tc>
        <w:tc>
          <w:tcPr>
            <w:tcW w:w="1100" w:type="dxa"/>
            <w:shd w:val="clear" w:color="auto" w:fill="auto"/>
          </w:tcPr>
          <w:p w14:paraId="3E9850F0" w14:textId="77777777" w:rsidR="009D7AD2" w:rsidRPr="009B4553" w:rsidRDefault="009D7AD2" w:rsidP="009D7AD2">
            <w:pPr>
              <w:pStyle w:val="051Tabletext228pt"/>
            </w:pPr>
            <w:r w:rsidRPr="009B4553">
              <w:rPr>
                <w:rFonts w:cs="Calibri"/>
              </w:rPr>
              <w:t>ER009</w:t>
            </w:r>
          </w:p>
        </w:tc>
        <w:tc>
          <w:tcPr>
            <w:tcW w:w="743" w:type="dxa"/>
            <w:shd w:val="clear" w:color="auto" w:fill="auto"/>
          </w:tcPr>
          <w:p w14:paraId="7465EE10" w14:textId="77777777" w:rsidR="009D7AD2" w:rsidRPr="009B4553" w:rsidRDefault="009D7AD2" w:rsidP="009D7AD2">
            <w:pPr>
              <w:pStyle w:val="051Tabletext228pt"/>
            </w:pPr>
            <w:r w:rsidRPr="009B4553">
              <w:rPr>
                <w:rFonts w:cs="Calibri"/>
              </w:rPr>
              <w:t>$1,264</w:t>
            </w:r>
          </w:p>
        </w:tc>
        <w:tc>
          <w:tcPr>
            <w:tcW w:w="707" w:type="dxa"/>
            <w:shd w:val="clear" w:color="auto" w:fill="auto"/>
          </w:tcPr>
          <w:p w14:paraId="056AC4B7" w14:textId="77777777" w:rsidR="009D7AD2" w:rsidRPr="009B4553" w:rsidRDefault="009D7AD2" w:rsidP="009D7AD2">
            <w:pPr>
              <w:pStyle w:val="051Tabletext228pt"/>
            </w:pPr>
            <w:r w:rsidRPr="009B4553">
              <w:rPr>
                <w:rFonts w:cs="Calibri"/>
              </w:rPr>
              <w:t>185994</w:t>
            </w:r>
          </w:p>
        </w:tc>
      </w:tr>
      <w:tr w:rsidR="009D7AD2" w:rsidRPr="009B4553" w14:paraId="147FE9D4" w14:textId="77777777">
        <w:trPr>
          <w:cantSplit/>
        </w:trPr>
        <w:tc>
          <w:tcPr>
            <w:tcW w:w="1362" w:type="dxa"/>
            <w:shd w:val="clear" w:color="auto" w:fill="auto"/>
          </w:tcPr>
          <w:p w14:paraId="3E9B9C05"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72BD38C4" w14:textId="77777777" w:rsidR="009D7AD2" w:rsidRPr="009B4553" w:rsidRDefault="009D7AD2" w:rsidP="009D7AD2">
            <w:pPr>
              <w:pStyle w:val="051Tabletext228pt"/>
            </w:pPr>
            <w:r w:rsidRPr="009B4553">
              <w:rPr>
                <w:rFonts w:cs="Calibri"/>
              </w:rPr>
              <w:t>04.05.02.03 - On/Off switching device</w:t>
            </w:r>
          </w:p>
        </w:tc>
        <w:tc>
          <w:tcPr>
            <w:tcW w:w="1843" w:type="dxa"/>
            <w:shd w:val="clear" w:color="auto" w:fill="auto"/>
          </w:tcPr>
          <w:p w14:paraId="6037A5F2" w14:textId="77777777" w:rsidR="009D7AD2" w:rsidRPr="009B4553" w:rsidRDefault="009D7AD2" w:rsidP="009D7AD2">
            <w:pPr>
              <w:pStyle w:val="051Tabletext228pt"/>
            </w:pPr>
            <w:r w:rsidRPr="009B4553">
              <w:rPr>
                <w:rFonts w:cs="Calibri"/>
              </w:rPr>
              <w:t>Senza Omnia Patient Remote</w:t>
            </w:r>
          </w:p>
        </w:tc>
        <w:tc>
          <w:tcPr>
            <w:tcW w:w="1559" w:type="dxa"/>
            <w:shd w:val="clear" w:color="auto" w:fill="auto"/>
          </w:tcPr>
          <w:p w14:paraId="51E620BC" w14:textId="77777777" w:rsidR="009D7AD2" w:rsidRPr="009B4553" w:rsidRDefault="009D7AD2" w:rsidP="009D7AD2">
            <w:pPr>
              <w:pStyle w:val="051Tabletext228pt"/>
            </w:pPr>
            <w:r w:rsidRPr="009B4553">
              <w:rPr>
                <w:rFonts w:cs="Calibri"/>
              </w:rPr>
              <w:t>Emergo Asia Pacific Pty Ltd</w:t>
            </w:r>
          </w:p>
        </w:tc>
        <w:tc>
          <w:tcPr>
            <w:tcW w:w="1100" w:type="dxa"/>
            <w:shd w:val="clear" w:color="auto" w:fill="auto"/>
          </w:tcPr>
          <w:p w14:paraId="0482B4C0" w14:textId="77777777" w:rsidR="009D7AD2" w:rsidRPr="009B4553" w:rsidRDefault="009D7AD2" w:rsidP="009D7AD2">
            <w:pPr>
              <w:pStyle w:val="051Tabletext228pt"/>
            </w:pPr>
            <w:r w:rsidRPr="009B4553">
              <w:rPr>
                <w:rFonts w:cs="Calibri"/>
              </w:rPr>
              <w:t>ER536</w:t>
            </w:r>
          </w:p>
        </w:tc>
        <w:tc>
          <w:tcPr>
            <w:tcW w:w="743" w:type="dxa"/>
            <w:shd w:val="clear" w:color="auto" w:fill="auto"/>
          </w:tcPr>
          <w:p w14:paraId="255CE52C" w14:textId="77777777" w:rsidR="009D7AD2" w:rsidRPr="009B4553" w:rsidRDefault="009D7AD2" w:rsidP="009D7AD2">
            <w:pPr>
              <w:pStyle w:val="051Tabletext228pt"/>
            </w:pPr>
            <w:r w:rsidRPr="009B4553">
              <w:rPr>
                <w:rFonts w:cs="Calibri"/>
              </w:rPr>
              <w:t>$1,264</w:t>
            </w:r>
          </w:p>
        </w:tc>
        <w:tc>
          <w:tcPr>
            <w:tcW w:w="707" w:type="dxa"/>
            <w:shd w:val="clear" w:color="auto" w:fill="auto"/>
          </w:tcPr>
          <w:p w14:paraId="77D07E08" w14:textId="77777777" w:rsidR="009D7AD2" w:rsidRPr="009B4553" w:rsidRDefault="009D7AD2" w:rsidP="009D7AD2">
            <w:pPr>
              <w:pStyle w:val="051Tabletext228pt"/>
            </w:pPr>
            <w:r w:rsidRPr="009B4553">
              <w:rPr>
                <w:rFonts w:cs="Calibri"/>
              </w:rPr>
              <w:t>330708</w:t>
            </w:r>
          </w:p>
        </w:tc>
      </w:tr>
      <w:tr w:rsidR="009D7AD2" w:rsidRPr="009B4553" w14:paraId="331B7492" w14:textId="77777777">
        <w:trPr>
          <w:cantSplit/>
        </w:trPr>
        <w:tc>
          <w:tcPr>
            <w:tcW w:w="1362" w:type="dxa"/>
            <w:shd w:val="clear" w:color="auto" w:fill="auto"/>
          </w:tcPr>
          <w:p w14:paraId="0A3A134E"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71034E08" w14:textId="77777777" w:rsidR="009D7AD2" w:rsidRPr="009B4553" w:rsidRDefault="009D7AD2" w:rsidP="009D7AD2">
            <w:pPr>
              <w:pStyle w:val="051Tabletext228pt"/>
            </w:pPr>
            <w:r w:rsidRPr="009B4553">
              <w:rPr>
                <w:rFonts w:cs="Calibri"/>
              </w:rPr>
              <w:t>04.05.02.03 - On/Off switching device</w:t>
            </w:r>
          </w:p>
        </w:tc>
        <w:tc>
          <w:tcPr>
            <w:tcW w:w="1843" w:type="dxa"/>
            <w:shd w:val="clear" w:color="auto" w:fill="auto"/>
          </w:tcPr>
          <w:p w14:paraId="26D579AD" w14:textId="77777777" w:rsidR="009D7AD2" w:rsidRPr="009B4553" w:rsidRDefault="009D7AD2" w:rsidP="009D7AD2">
            <w:pPr>
              <w:pStyle w:val="051Tabletext228pt"/>
            </w:pPr>
            <w:r w:rsidRPr="009B4553">
              <w:rPr>
                <w:rFonts w:cs="Calibri"/>
              </w:rPr>
              <w:t>Reactiv8 Magnet</w:t>
            </w:r>
          </w:p>
        </w:tc>
        <w:tc>
          <w:tcPr>
            <w:tcW w:w="1559" w:type="dxa"/>
            <w:shd w:val="clear" w:color="auto" w:fill="auto"/>
          </w:tcPr>
          <w:p w14:paraId="66A9A38F" w14:textId="77777777" w:rsidR="009D7AD2" w:rsidRPr="009B4553" w:rsidRDefault="009D7AD2" w:rsidP="009D7AD2">
            <w:pPr>
              <w:pStyle w:val="051Tabletext228pt"/>
            </w:pPr>
            <w:r w:rsidRPr="009B4553">
              <w:rPr>
                <w:rFonts w:cs="Calibri"/>
              </w:rPr>
              <w:t>MAINSTAY MEDICAL (AUSTRALIA) PTY LIMITED</w:t>
            </w:r>
          </w:p>
        </w:tc>
        <w:tc>
          <w:tcPr>
            <w:tcW w:w="1100" w:type="dxa"/>
            <w:shd w:val="clear" w:color="auto" w:fill="auto"/>
          </w:tcPr>
          <w:p w14:paraId="14F48A41" w14:textId="77777777" w:rsidR="009D7AD2" w:rsidRPr="009B4553" w:rsidRDefault="009D7AD2" w:rsidP="009D7AD2">
            <w:pPr>
              <w:pStyle w:val="051Tabletext228pt"/>
            </w:pPr>
            <w:r w:rsidRPr="009B4553">
              <w:rPr>
                <w:rFonts w:cs="Calibri"/>
              </w:rPr>
              <w:t>PQ001</w:t>
            </w:r>
          </w:p>
        </w:tc>
        <w:tc>
          <w:tcPr>
            <w:tcW w:w="743" w:type="dxa"/>
            <w:shd w:val="clear" w:color="auto" w:fill="auto"/>
          </w:tcPr>
          <w:p w14:paraId="0468A946" w14:textId="77777777" w:rsidR="009D7AD2" w:rsidRPr="009B4553" w:rsidRDefault="009D7AD2" w:rsidP="009D7AD2">
            <w:pPr>
              <w:pStyle w:val="051Tabletext228pt"/>
            </w:pPr>
            <w:r w:rsidRPr="009B4553">
              <w:rPr>
                <w:rFonts w:cs="Calibri"/>
              </w:rPr>
              <w:t>$1,264</w:t>
            </w:r>
          </w:p>
        </w:tc>
        <w:tc>
          <w:tcPr>
            <w:tcW w:w="707" w:type="dxa"/>
            <w:shd w:val="clear" w:color="auto" w:fill="auto"/>
          </w:tcPr>
          <w:p w14:paraId="3E3284BF" w14:textId="6EFEDF0A" w:rsidR="009D7AD2" w:rsidRPr="009B4553" w:rsidRDefault="009D7AD2" w:rsidP="009D7AD2">
            <w:pPr>
              <w:pStyle w:val="051Tabletext228pt"/>
            </w:pPr>
            <w:r w:rsidRPr="009B4553">
              <w:rPr>
                <w:rFonts w:cs="Calibri"/>
              </w:rPr>
              <w:t>327094</w:t>
            </w:r>
            <w:r w:rsidR="00DA616F" w:rsidRPr="002D6C5A">
              <w:rPr>
                <w:vertAlign w:val="superscript"/>
              </w:rPr>
              <w:t>b</w:t>
            </w:r>
          </w:p>
        </w:tc>
      </w:tr>
      <w:tr w:rsidR="009D7AD2" w:rsidRPr="009B4553" w14:paraId="092D6998" w14:textId="77777777">
        <w:trPr>
          <w:cantSplit/>
        </w:trPr>
        <w:tc>
          <w:tcPr>
            <w:tcW w:w="1362" w:type="dxa"/>
            <w:shd w:val="clear" w:color="auto" w:fill="auto"/>
          </w:tcPr>
          <w:p w14:paraId="3F53CF12"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0D3BAAB4" w14:textId="77777777" w:rsidR="009D7AD2" w:rsidRPr="009B4553" w:rsidRDefault="009D7AD2" w:rsidP="009D7AD2">
            <w:pPr>
              <w:pStyle w:val="051Tabletext228pt"/>
            </w:pPr>
            <w:r w:rsidRPr="009B4553">
              <w:rPr>
                <w:rFonts w:cs="Calibri"/>
              </w:rPr>
              <w:t>04.05.02.03 - On/Off switching device</w:t>
            </w:r>
          </w:p>
        </w:tc>
        <w:tc>
          <w:tcPr>
            <w:tcW w:w="1843" w:type="dxa"/>
            <w:shd w:val="clear" w:color="auto" w:fill="auto"/>
          </w:tcPr>
          <w:p w14:paraId="4510619B" w14:textId="77777777" w:rsidR="009D7AD2" w:rsidRPr="009B4553" w:rsidRDefault="009D7AD2" w:rsidP="009D7AD2">
            <w:pPr>
              <w:pStyle w:val="051Tabletext228pt"/>
            </w:pPr>
            <w:r w:rsidRPr="009B4553">
              <w:rPr>
                <w:rFonts w:cs="Calibri"/>
              </w:rPr>
              <w:t>ANS Spinal Cord Stimulation System (SCS) GENESIS</w:t>
            </w:r>
          </w:p>
        </w:tc>
        <w:tc>
          <w:tcPr>
            <w:tcW w:w="1559" w:type="dxa"/>
            <w:shd w:val="clear" w:color="auto" w:fill="auto"/>
          </w:tcPr>
          <w:p w14:paraId="207D4337"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00884889" w14:textId="77777777" w:rsidR="009D7AD2" w:rsidRPr="009B4553" w:rsidRDefault="009D7AD2" w:rsidP="009D7AD2">
            <w:pPr>
              <w:pStyle w:val="051Tabletext228pt"/>
            </w:pPr>
            <w:r w:rsidRPr="009B4553">
              <w:rPr>
                <w:rFonts w:cs="Calibri"/>
              </w:rPr>
              <w:t>SJ433</w:t>
            </w:r>
          </w:p>
        </w:tc>
        <w:tc>
          <w:tcPr>
            <w:tcW w:w="743" w:type="dxa"/>
            <w:shd w:val="clear" w:color="auto" w:fill="auto"/>
          </w:tcPr>
          <w:p w14:paraId="0753620D" w14:textId="77777777" w:rsidR="009D7AD2" w:rsidRPr="009B4553" w:rsidRDefault="009D7AD2" w:rsidP="009D7AD2">
            <w:pPr>
              <w:pStyle w:val="051Tabletext228pt"/>
            </w:pPr>
            <w:r w:rsidRPr="009B4553">
              <w:rPr>
                <w:rFonts w:cs="Calibri"/>
              </w:rPr>
              <w:t>$1,264</w:t>
            </w:r>
          </w:p>
        </w:tc>
        <w:tc>
          <w:tcPr>
            <w:tcW w:w="707" w:type="dxa"/>
            <w:shd w:val="clear" w:color="auto" w:fill="auto"/>
          </w:tcPr>
          <w:p w14:paraId="24E53BA2" w14:textId="77777777" w:rsidR="009D7AD2" w:rsidRPr="009B4553" w:rsidRDefault="009D7AD2" w:rsidP="009D7AD2">
            <w:pPr>
              <w:pStyle w:val="051Tabletext228pt"/>
            </w:pPr>
            <w:r w:rsidRPr="009B4553">
              <w:rPr>
                <w:rFonts w:cs="Calibri"/>
              </w:rPr>
              <w:t>267026</w:t>
            </w:r>
            <w:r w:rsidRPr="009B4553">
              <w:rPr>
                <w:rFonts w:cs="Calibri"/>
              </w:rPr>
              <w:br/>
              <w:t>342820</w:t>
            </w:r>
          </w:p>
        </w:tc>
      </w:tr>
      <w:tr w:rsidR="009D7AD2" w:rsidRPr="009B4553" w14:paraId="20A19ADD" w14:textId="77777777">
        <w:trPr>
          <w:cantSplit/>
        </w:trPr>
        <w:tc>
          <w:tcPr>
            <w:tcW w:w="1362" w:type="dxa"/>
            <w:shd w:val="clear" w:color="auto" w:fill="auto"/>
          </w:tcPr>
          <w:p w14:paraId="2E389CBC"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4CE1B672"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0A2102F4" w14:textId="77777777" w:rsidR="009D7AD2" w:rsidRPr="009B4553" w:rsidRDefault="009D7AD2" w:rsidP="009D7AD2">
            <w:pPr>
              <w:pStyle w:val="051Tabletext228pt"/>
            </w:pPr>
            <w:r w:rsidRPr="009B4553">
              <w:rPr>
                <w:rFonts w:cs="Calibri"/>
              </w:rPr>
              <w:t>Precision SCS External Patient Recharger System</w:t>
            </w:r>
          </w:p>
        </w:tc>
        <w:tc>
          <w:tcPr>
            <w:tcW w:w="1559" w:type="dxa"/>
            <w:shd w:val="clear" w:color="auto" w:fill="auto"/>
          </w:tcPr>
          <w:p w14:paraId="2F7B0A08" w14:textId="77777777" w:rsidR="009D7AD2" w:rsidRPr="009B4553" w:rsidRDefault="009D7AD2" w:rsidP="009D7AD2">
            <w:pPr>
              <w:pStyle w:val="051Tabletext228pt"/>
            </w:pPr>
            <w:r w:rsidRPr="009B4553">
              <w:rPr>
                <w:rFonts w:cs="Calibri"/>
              </w:rPr>
              <w:t>Boston Scientific Australia Pty Ltd</w:t>
            </w:r>
          </w:p>
        </w:tc>
        <w:tc>
          <w:tcPr>
            <w:tcW w:w="1100" w:type="dxa"/>
            <w:shd w:val="clear" w:color="auto" w:fill="auto"/>
          </w:tcPr>
          <w:p w14:paraId="1E3CA203" w14:textId="77777777" w:rsidR="009D7AD2" w:rsidRPr="009B4553" w:rsidRDefault="009D7AD2" w:rsidP="009D7AD2">
            <w:pPr>
              <w:pStyle w:val="051Tabletext228pt"/>
            </w:pPr>
            <w:r w:rsidRPr="009B4553">
              <w:rPr>
                <w:rFonts w:cs="Calibri"/>
              </w:rPr>
              <w:t>BS143</w:t>
            </w:r>
          </w:p>
        </w:tc>
        <w:tc>
          <w:tcPr>
            <w:tcW w:w="743" w:type="dxa"/>
            <w:shd w:val="clear" w:color="auto" w:fill="auto"/>
          </w:tcPr>
          <w:p w14:paraId="171FFD0C"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413B726D" w14:textId="77777777" w:rsidR="009D7AD2" w:rsidRPr="009B4553" w:rsidRDefault="009D7AD2" w:rsidP="009D7AD2">
            <w:pPr>
              <w:pStyle w:val="051Tabletext228pt"/>
            </w:pPr>
            <w:r w:rsidRPr="009B4553">
              <w:rPr>
                <w:rFonts w:cs="Calibri"/>
              </w:rPr>
              <w:t>149462</w:t>
            </w:r>
            <w:r w:rsidRPr="009B4553">
              <w:rPr>
                <w:rFonts w:cs="Calibri"/>
              </w:rPr>
              <w:br/>
              <w:t>155857</w:t>
            </w:r>
            <w:r w:rsidRPr="009B4553">
              <w:rPr>
                <w:rFonts w:cs="Calibri"/>
              </w:rPr>
              <w:br/>
              <w:t>155859</w:t>
            </w:r>
            <w:r w:rsidRPr="009B4553">
              <w:rPr>
                <w:rFonts w:cs="Calibri"/>
              </w:rPr>
              <w:br/>
              <w:t>155924</w:t>
            </w:r>
          </w:p>
        </w:tc>
      </w:tr>
      <w:tr w:rsidR="009D7AD2" w:rsidRPr="009B4553" w14:paraId="03F7D206" w14:textId="77777777">
        <w:trPr>
          <w:cantSplit/>
        </w:trPr>
        <w:tc>
          <w:tcPr>
            <w:tcW w:w="1362" w:type="dxa"/>
            <w:shd w:val="clear" w:color="auto" w:fill="auto"/>
          </w:tcPr>
          <w:p w14:paraId="72BECCE6" w14:textId="77777777" w:rsidR="009D7AD2" w:rsidRPr="009B4553" w:rsidRDefault="009D7AD2" w:rsidP="009D7AD2">
            <w:pPr>
              <w:pStyle w:val="051Tabletext228pt"/>
            </w:pPr>
            <w:r w:rsidRPr="009B4553">
              <w:rPr>
                <w:rFonts w:cs="Calibri"/>
              </w:rPr>
              <w:lastRenderedPageBreak/>
              <w:t>04.05.02 - External Components</w:t>
            </w:r>
          </w:p>
        </w:tc>
        <w:tc>
          <w:tcPr>
            <w:tcW w:w="2324" w:type="dxa"/>
            <w:gridSpan w:val="5"/>
            <w:shd w:val="clear" w:color="auto" w:fill="auto"/>
          </w:tcPr>
          <w:p w14:paraId="1CC791BD"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2F2EAEA4" w14:textId="77777777" w:rsidR="009D7AD2" w:rsidRPr="009B4553" w:rsidRDefault="009D7AD2" w:rsidP="009D7AD2">
            <w:pPr>
              <w:pStyle w:val="051Tabletext228pt"/>
            </w:pPr>
            <w:r w:rsidRPr="009B4553">
              <w:rPr>
                <w:rFonts w:cs="Calibri"/>
              </w:rPr>
              <w:t>Nevro Spinal Cord Stimulation System (SCSS) - Charger Kit</w:t>
            </w:r>
          </w:p>
        </w:tc>
        <w:tc>
          <w:tcPr>
            <w:tcW w:w="1559" w:type="dxa"/>
            <w:shd w:val="clear" w:color="auto" w:fill="auto"/>
          </w:tcPr>
          <w:p w14:paraId="2CEE9F26" w14:textId="77777777" w:rsidR="009D7AD2" w:rsidRPr="009B4553" w:rsidRDefault="009D7AD2" w:rsidP="009D7AD2">
            <w:pPr>
              <w:pStyle w:val="051Tabletext228pt"/>
            </w:pPr>
            <w:r w:rsidRPr="009B4553">
              <w:rPr>
                <w:rFonts w:cs="Calibri"/>
              </w:rPr>
              <w:t>Emergo Asia Pacific Pty Ltd</w:t>
            </w:r>
          </w:p>
        </w:tc>
        <w:tc>
          <w:tcPr>
            <w:tcW w:w="1100" w:type="dxa"/>
            <w:shd w:val="clear" w:color="auto" w:fill="auto"/>
          </w:tcPr>
          <w:p w14:paraId="595C38EA" w14:textId="77777777" w:rsidR="009D7AD2" w:rsidRPr="009B4553" w:rsidRDefault="009D7AD2" w:rsidP="009D7AD2">
            <w:pPr>
              <w:pStyle w:val="051Tabletext228pt"/>
            </w:pPr>
            <w:r w:rsidRPr="009B4553">
              <w:rPr>
                <w:rFonts w:cs="Calibri"/>
              </w:rPr>
              <w:t>ER008</w:t>
            </w:r>
          </w:p>
        </w:tc>
        <w:tc>
          <w:tcPr>
            <w:tcW w:w="743" w:type="dxa"/>
            <w:shd w:val="clear" w:color="auto" w:fill="auto"/>
          </w:tcPr>
          <w:p w14:paraId="4200471E"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1FB52922" w14:textId="77777777" w:rsidR="009D7AD2" w:rsidRPr="009B4553" w:rsidRDefault="009D7AD2" w:rsidP="009D7AD2">
            <w:pPr>
              <w:pStyle w:val="051Tabletext228pt"/>
            </w:pPr>
            <w:r w:rsidRPr="009B4553">
              <w:rPr>
                <w:rFonts w:cs="Calibri"/>
              </w:rPr>
              <w:t>181182</w:t>
            </w:r>
          </w:p>
        </w:tc>
      </w:tr>
      <w:tr w:rsidR="009D7AD2" w:rsidRPr="009B4553" w14:paraId="38798231" w14:textId="77777777">
        <w:trPr>
          <w:cantSplit/>
        </w:trPr>
        <w:tc>
          <w:tcPr>
            <w:tcW w:w="1362" w:type="dxa"/>
            <w:shd w:val="clear" w:color="auto" w:fill="auto"/>
          </w:tcPr>
          <w:p w14:paraId="5540ED65"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36E024E4"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4FF41991" w14:textId="77777777" w:rsidR="009D7AD2" w:rsidRPr="009B4553" w:rsidRDefault="009D7AD2" w:rsidP="009D7AD2">
            <w:pPr>
              <w:pStyle w:val="051Tabletext228pt"/>
            </w:pPr>
            <w:r w:rsidRPr="009B4553">
              <w:rPr>
                <w:rFonts w:cs="Calibri"/>
              </w:rPr>
              <w:t>Senza Omnia Charger</w:t>
            </w:r>
          </w:p>
        </w:tc>
        <w:tc>
          <w:tcPr>
            <w:tcW w:w="1559" w:type="dxa"/>
            <w:shd w:val="clear" w:color="auto" w:fill="auto"/>
          </w:tcPr>
          <w:p w14:paraId="6285A83D" w14:textId="77777777" w:rsidR="009D7AD2" w:rsidRPr="009B4553" w:rsidRDefault="009D7AD2" w:rsidP="009D7AD2">
            <w:pPr>
              <w:pStyle w:val="051Tabletext228pt"/>
            </w:pPr>
            <w:r w:rsidRPr="009B4553">
              <w:rPr>
                <w:rFonts w:cs="Calibri"/>
              </w:rPr>
              <w:t>Emergo Asia Pacific Pty Ltd</w:t>
            </w:r>
          </w:p>
        </w:tc>
        <w:tc>
          <w:tcPr>
            <w:tcW w:w="1100" w:type="dxa"/>
            <w:shd w:val="clear" w:color="auto" w:fill="auto"/>
          </w:tcPr>
          <w:p w14:paraId="3C9420D3" w14:textId="77777777" w:rsidR="009D7AD2" w:rsidRPr="009B4553" w:rsidRDefault="009D7AD2" w:rsidP="009D7AD2">
            <w:pPr>
              <w:pStyle w:val="051Tabletext228pt"/>
            </w:pPr>
            <w:r w:rsidRPr="009B4553">
              <w:rPr>
                <w:rFonts w:cs="Calibri"/>
              </w:rPr>
              <w:t>ER540</w:t>
            </w:r>
          </w:p>
        </w:tc>
        <w:tc>
          <w:tcPr>
            <w:tcW w:w="743" w:type="dxa"/>
            <w:shd w:val="clear" w:color="auto" w:fill="auto"/>
          </w:tcPr>
          <w:p w14:paraId="19BC1160"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5EF357BB" w14:textId="77777777" w:rsidR="009D7AD2" w:rsidRPr="009B4553" w:rsidRDefault="009D7AD2" w:rsidP="009D7AD2">
            <w:pPr>
              <w:pStyle w:val="051Tabletext228pt"/>
            </w:pPr>
            <w:r w:rsidRPr="009B4553">
              <w:rPr>
                <w:rFonts w:cs="Calibri"/>
              </w:rPr>
              <w:t>328684</w:t>
            </w:r>
          </w:p>
        </w:tc>
      </w:tr>
      <w:tr w:rsidR="009D7AD2" w:rsidRPr="009B4553" w14:paraId="69F8943B" w14:textId="77777777">
        <w:trPr>
          <w:cantSplit/>
        </w:trPr>
        <w:tc>
          <w:tcPr>
            <w:tcW w:w="1362" w:type="dxa"/>
            <w:shd w:val="clear" w:color="auto" w:fill="auto"/>
          </w:tcPr>
          <w:p w14:paraId="288462CD"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79CF1382"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182C558B" w14:textId="77777777" w:rsidR="009D7AD2" w:rsidRPr="009B4553" w:rsidRDefault="009D7AD2" w:rsidP="009D7AD2">
            <w:pPr>
              <w:pStyle w:val="051Tabletext228pt"/>
            </w:pPr>
            <w:r w:rsidRPr="009B4553">
              <w:rPr>
                <w:rFonts w:cs="Calibri"/>
              </w:rPr>
              <w:t>Medtronic Patient Recharger System</w:t>
            </w:r>
          </w:p>
        </w:tc>
        <w:tc>
          <w:tcPr>
            <w:tcW w:w="1559" w:type="dxa"/>
            <w:shd w:val="clear" w:color="auto" w:fill="auto"/>
          </w:tcPr>
          <w:p w14:paraId="77DA7DF3" w14:textId="77777777" w:rsidR="009D7AD2" w:rsidRPr="009B4553" w:rsidRDefault="009D7AD2" w:rsidP="009D7AD2">
            <w:pPr>
              <w:pStyle w:val="051Tabletext228pt"/>
            </w:pPr>
            <w:r w:rsidRPr="009B4553">
              <w:rPr>
                <w:rFonts w:cs="Calibri"/>
              </w:rPr>
              <w:t>Medtronic Australasia Pty Ltd</w:t>
            </w:r>
          </w:p>
        </w:tc>
        <w:tc>
          <w:tcPr>
            <w:tcW w:w="1100" w:type="dxa"/>
            <w:shd w:val="clear" w:color="auto" w:fill="auto"/>
          </w:tcPr>
          <w:p w14:paraId="141EC5EC" w14:textId="77777777" w:rsidR="009D7AD2" w:rsidRPr="009B4553" w:rsidRDefault="009D7AD2" w:rsidP="009D7AD2">
            <w:pPr>
              <w:pStyle w:val="051Tabletext228pt"/>
            </w:pPr>
            <w:r w:rsidRPr="009B4553">
              <w:rPr>
                <w:rFonts w:cs="Calibri"/>
              </w:rPr>
              <w:t>MI139</w:t>
            </w:r>
          </w:p>
        </w:tc>
        <w:tc>
          <w:tcPr>
            <w:tcW w:w="743" w:type="dxa"/>
            <w:shd w:val="clear" w:color="auto" w:fill="auto"/>
          </w:tcPr>
          <w:p w14:paraId="7B9B9EE9"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1C2C48FB" w14:textId="77777777" w:rsidR="009D7AD2" w:rsidRPr="009B4553" w:rsidRDefault="009D7AD2" w:rsidP="009D7AD2">
            <w:pPr>
              <w:pStyle w:val="051Tabletext228pt"/>
            </w:pPr>
            <w:r w:rsidRPr="009B4553">
              <w:rPr>
                <w:rFonts w:cs="Calibri"/>
              </w:rPr>
              <w:t>121279</w:t>
            </w:r>
          </w:p>
        </w:tc>
      </w:tr>
      <w:tr w:rsidR="009D7AD2" w:rsidRPr="009B4553" w14:paraId="210CFB08" w14:textId="77777777">
        <w:trPr>
          <w:cantSplit/>
        </w:trPr>
        <w:tc>
          <w:tcPr>
            <w:tcW w:w="1362" w:type="dxa"/>
            <w:shd w:val="clear" w:color="auto" w:fill="auto"/>
          </w:tcPr>
          <w:p w14:paraId="005B8D7B"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534F4654"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2349E986" w14:textId="77777777" w:rsidR="009D7AD2" w:rsidRPr="009B4553" w:rsidRDefault="009D7AD2" w:rsidP="009D7AD2">
            <w:pPr>
              <w:pStyle w:val="051Tabletext228pt"/>
            </w:pPr>
            <w:proofErr w:type="spellStart"/>
            <w:r w:rsidRPr="009B4553">
              <w:rPr>
                <w:rFonts w:cs="Calibri"/>
              </w:rPr>
              <w:t>Intellis</w:t>
            </w:r>
            <w:proofErr w:type="spellEnd"/>
            <w:r w:rsidRPr="009B4553">
              <w:rPr>
                <w:rFonts w:cs="Calibri"/>
              </w:rPr>
              <w:t xml:space="preserve"> Rechargeable Neurostimulation System - RTM Recharger</w:t>
            </w:r>
          </w:p>
        </w:tc>
        <w:tc>
          <w:tcPr>
            <w:tcW w:w="1559" w:type="dxa"/>
            <w:shd w:val="clear" w:color="auto" w:fill="auto"/>
          </w:tcPr>
          <w:p w14:paraId="659075D8" w14:textId="77777777" w:rsidR="009D7AD2" w:rsidRPr="009B4553" w:rsidRDefault="009D7AD2" w:rsidP="009D7AD2">
            <w:pPr>
              <w:pStyle w:val="051Tabletext228pt"/>
            </w:pPr>
            <w:r w:rsidRPr="009B4553">
              <w:rPr>
                <w:rFonts w:cs="Calibri"/>
              </w:rPr>
              <w:t>Medtronic Australasia Pty Ltd</w:t>
            </w:r>
          </w:p>
        </w:tc>
        <w:tc>
          <w:tcPr>
            <w:tcW w:w="1100" w:type="dxa"/>
            <w:shd w:val="clear" w:color="auto" w:fill="auto"/>
          </w:tcPr>
          <w:p w14:paraId="7205DA33" w14:textId="77777777" w:rsidR="009D7AD2" w:rsidRPr="009B4553" w:rsidRDefault="009D7AD2" w:rsidP="009D7AD2">
            <w:pPr>
              <w:pStyle w:val="051Tabletext228pt"/>
            </w:pPr>
            <w:r w:rsidRPr="009B4553">
              <w:rPr>
                <w:rFonts w:cs="Calibri"/>
              </w:rPr>
              <w:t>MI277</w:t>
            </w:r>
          </w:p>
        </w:tc>
        <w:tc>
          <w:tcPr>
            <w:tcW w:w="743" w:type="dxa"/>
            <w:shd w:val="clear" w:color="auto" w:fill="auto"/>
          </w:tcPr>
          <w:p w14:paraId="6590C498"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7DD2F4F9" w14:textId="77777777" w:rsidR="009D7AD2" w:rsidRPr="009B4553" w:rsidRDefault="009D7AD2" w:rsidP="009D7AD2">
            <w:pPr>
              <w:pStyle w:val="051Tabletext228pt"/>
            </w:pPr>
            <w:r w:rsidRPr="009B4553">
              <w:rPr>
                <w:rFonts w:cs="Calibri"/>
              </w:rPr>
              <w:t>121279</w:t>
            </w:r>
          </w:p>
        </w:tc>
      </w:tr>
      <w:tr w:rsidR="009D7AD2" w:rsidRPr="009B4553" w14:paraId="42388786" w14:textId="77777777">
        <w:trPr>
          <w:cantSplit/>
        </w:trPr>
        <w:tc>
          <w:tcPr>
            <w:tcW w:w="1362" w:type="dxa"/>
            <w:shd w:val="clear" w:color="auto" w:fill="auto"/>
          </w:tcPr>
          <w:p w14:paraId="0A071E14"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4E199345"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4633AC23" w14:textId="77777777" w:rsidR="009D7AD2" w:rsidRPr="009B4553" w:rsidRDefault="009D7AD2" w:rsidP="009D7AD2">
            <w:pPr>
              <w:pStyle w:val="051Tabletext228pt"/>
            </w:pPr>
            <w:r w:rsidRPr="009B4553">
              <w:rPr>
                <w:rFonts w:cs="Calibri"/>
              </w:rPr>
              <w:t xml:space="preserve">Eon Mini Charger </w:t>
            </w:r>
          </w:p>
        </w:tc>
        <w:tc>
          <w:tcPr>
            <w:tcW w:w="1559" w:type="dxa"/>
            <w:shd w:val="clear" w:color="auto" w:fill="auto"/>
          </w:tcPr>
          <w:p w14:paraId="475F8E09"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37D8C883" w14:textId="77777777" w:rsidR="009D7AD2" w:rsidRPr="009B4553" w:rsidRDefault="009D7AD2" w:rsidP="009D7AD2">
            <w:pPr>
              <w:pStyle w:val="051Tabletext228pt"/>
            </w:pPr>
            <w:r w:rsidRPr="009B4553">
              <w:rPr>
                <w:rFonts w:cs="Calibri"/>
              </w:rPr>
              <w:t>SJ342</w:t>
            </w:r>
          </w:p>
        </w:tc>
        <w:tc>
          <w:tcPr>
            <w:tcW w:w="743" w:type="dxa"/>
            <w:shd w:val="clear" w:color="auto" w:fill="auto"/>
          </w:tcPr>
          <w:p w14:paraId="129109E2"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6134D0BB" w14:textId="77777777" w:rsidR="009D7AD2" w:rsidRPr="009B4553" w:rsidRDefault="009D7AD2" w:rsidP="009D7AD2">
            <w:pPr>
              <w:pStyle w:val="051Tabletext228pt"/>
            </w:pPr>
            <w:r w:rsidRPr="009B4553">
              <w:rPr>
                <w:rFonts w:cs="Calibri"/>
              </w:rPr>
              <w:t>221544</w:t>
            </w:r>
          </w:p>
        </w:tc>
      </w:tr>
      <w:tr w:rsidR="009D7AD2" w:rsidRPr="009B4553" w14:paraId="32B6C4DD" w14:textId="77777777">
        <w:trPr>
          <w:cantSplit/>
        </w:trPr>
        <w:tc>
          <w:tcPr>
            <w:tcW w:w="1362" w:type="dxa"/>
            <w:shd w:val="clear" w:color="auto" w:fill="auto"/>
          </w:tcPr>
          <w:p w14:paraId="0DB4079C"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4E949CAD"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364B6ABF" w14:textId="77777777" w:rsidR="009D7AD2" w:rsidRPr="009B4553" w:rsidRDefault="009D7AD2" w:rsidP="009D7AD2">
            <w:pPr>
              <w:pStyle w:val="051Tabletext228pt"/>
            </w:pPr>
            <w:r w:rsidRPr="009B4553">
              <w:rPr>
                <w:rFonts w:cs="Calibri"/>
              </w:rPr>
              <w:t>Prodigy Charging System</w:t>
            </w:r>
          </w:p>
        </w:tc>
        <w:tc>
          <w:tcPr>
            <w:tcW w:w="1559" w:type="dxa"/>
            <w:shd w:val="clear" w:color="auto" w:fill="auto"/>
          </w:tcPr>
          <w:p w14:paraId="064AE952"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02E5B0A8" w14:textId="77777777" w:rsidR="009D7AD2" w:rsidRPr="009B4553" w:rsidRDefault="009D7AD2" w:rsidP="009D7AD2">
            <w:pPr>
              <w:pStyle w:val="051Tabletext228pt"/>
            </w:pPr>
            <w:r w:rsidRPr="009B4553">
              <w:rPr>
                <w:rFonts w:cs="Calibri"/>
              </w:rPr>
              <w:t>SJ349</w:t>
            </w:r>
          </w:p>
        </w:tc>
        <w:tc>
          <w:tcPr>
            <w:tcW w:w="743" w:type="dxa"/>
            <w:shd w:val="clear" w:color="auto" w:fill="auto"/>
          </w:tcPr>
          <w:p w14:paraId="40B6C38B"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3E789346" w14:textId="77777777" w:rsidR="009D7AD2" w:rsidRPr="009B4553" w:rsidRDefault="009D7AD2" w:rsidP="009D7AD2">
            <w:pPr>
              <w:pStyle w:val="051Tabletext228pt"/>
            </w:pPr>
            <w:r w:rsidRPr="009B4553">
              <w:rPr>
                <w:rFonts w:cs="Calibri"/>
              </w:rPr>
              <w:t>230779</w:t>
            </w:r>
          </w:p>
        </w:tc>
      </w:tr>
      <w:tr w:rsidR="009D7AD2" w:rsidRPr="009B4553" w14:paraId="646EA407" w14:textId="77777777">
        <w:trPr>
          <w:cantSplit/>
        </w:trPr>
        <w:tc>
          <w:tcPr>
            <w:tcW w:w="1362" w:type="dxa"/>
            <w:shd w:val="clear" w:color="auto" w:fill="auto"/>
          </w:tcPr>
          <w:p w14:paraId="28AB235C"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4878486E"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497F6CCA" w14:textId="77777777" w:rsidR="009D7AD2" w:rsidRPr="009B4553" w:rsidRDefault="009D7AD2" w:rsidP="009D7AD2">
            <w:pPr>
              <w:pStyle w:val="051Tabletext228pt"/>
            </w:pPr>
            <w:r w:rsidRPr="009B4553">
              <w:rPr>
                <w:rFonts w:cs="Calibri"/>
              </w:rPr>
              <w:t>Eon Charging System 3726</w:t>
            </w:r>
          </w:p>
        </w:tc>
        <w:tc>
          <w:tcPr>
            <w:tcW w:w="1559" w:type="dxa"/>
            <w:shd w:val="clear" w:color="auto" w:fill="auto"/>
          </w:tcPr>
          <w:p w14:paraId="387D7081" w14:textId="77777777" w:rsidR="009D7AD2" w:rsidRPr="009B4553" w:rsidRDefault="009D7AD2" w:rsidP="009D7AD2">
            <w:pPr>
              <w:pStyle w:val="051Tabletext228pt"/>
            </w:pPr>
            <w:r w:rsidRPr="009B4553">
              <w:rPr>
                <w:rFonts w:cs="Calibri"/>
              </w:rPr>
              <w:t>ABBOTT MEDICAL AUSTRALIA PTY LTD.</w:t>
            </w:r>
          </w:p>
        </w:tc>
        <w:tc>
          <w:tcPr>
            <w:tcW w:w="1100" w:type="dxa"/>
            <w:shd w:val="clear" w:color="auto" w:fill="auto"/>
          </w:tcPr>
          <w:p w14:paraId="3F51C6A7" w14:textId="77777777" w:rsidR="009D7AD2" w:rsidRPr="009B4553" w:rsidRDefault="009D7AD2" w:rsidP="009D7AD2">
            <w:pPr>
              <w:pStyle w:val="051Tabletext228pt"/>
            </w:pPr>
            <w:r w:rsidRPr="009B4553">
              <w:rPr>
                <w:rFonts w:cs="Calibri"/>
              </w:rPr>
              <w:t>SJ352</w:t>
            </w:r>
          </w:p>
        </w:tc>
        <w:tc>
          <w:tcPr>
            <w:tcW w:w="743" w:type="dxa"/>
            <w:shd w:val="clear" w:color="auto" w:fill="auto"/>
          </w:tcPr>
          <w:p w14:paraId="3F3EBA94"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6488854C" w14:textId="77777777" w:rsidR="009D7AD2" w:rsidRPr="009B4553" w:rsidRDefault="009D7AD2" w:rsidP="009D7AD2">
            <w:pPr>
              <w:pStyle w:val="051Tabletext228pt"/>
            </w:pPr>
            <w:r w:rsidRPr="009B4553">
              <w:rPr>
                <w:rFonts w:cs="Calibri"/>
              </w:rPr>
              <w:t>233616</w:t>
            </w:r>
          </w:p>
        </w:tc>
      </w:tr>
      <w:tr w:rsidR="009D7AD2" w:rsidRPr="009B4553" w14:paraId="3B40F410" w14:textId="77777777">
        <w:trPr>
          <w:cantSplit/>
        </w:trPr>
        <w:tc>
          <w:tcPr>
            <w:tcW w:w="1362" w:type="dxa"/>
            <w:shd w:val="clear" w:color="auto" w:fill="auto"/>
          </w:tcPr>
          <w:p w14:paraId="03977E35"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65D16CAD" w14:textId="77777777" w:rsidR="009D7AD2" w:rsidRPr="009B4553" w:rsidRDefault="009D7AD2" w:rsidP="009D7AD2">
            <w:pPr>
              <w:pStyle w:val="051Tabletext228pt"/>
            </w:pPr>
            <w:r w:rsidRPr="009B4553">
              <w:rPr>
                <w:rFonts w:cs="Calibri"/>
              </w:rPr>
              <w:t>04.05.02.04 - Recharger</w:t>
            </w:r>
          </w:p>
        </w:tc>
        <w:tc>
          <w:tcPr>
            <w:tcW w:w="1843" w:type="dxa"/>
            <w:shd w:val="clear" w:color="auto" w:fill="auto"/>
          </w:tcPr>
          <w:p w14:paraId="2E43163F" w14:textId="77777777" w:rsidR="009D7AD2" w:rsidRPr="009B4553" w:rsidRDefault="009D7AD2" w:rsidP="009D7AD2">
            <w:pPr>
              <w:pStyle w:val="051Tabletext228pt"/>
            </w:pPr>
            <w:r w:rsidRPr="009B4553">
              <w:rPr>
                <w:rFonts w:cs="Calibri"/>
              </w:rPr>
              <w:t>Evoke Charger (AU)</w:t>
            </w:r>
          </w:p>
        </w:tc>
        <w:tc>
          <w:tcPr>
            <w:tcW w:w="1559" w:type="dxa"/>
            <w:shd w:val="clear" w:color="auto" w:fill="auto"/>
          </w:tcPr>
          <w:p w14:paraId="5EB929DB" w14:textId="77777777" w:rsidR="009D7AD2" w:rsidRPr="009B4553" w:rsidRDefault="009D7AD2" w:rsidP="009D7AD2">
            <w:pPr>
              <w:pStyle w:val="051Tabletext228pt"/>
            </w:pPr>
            <w:r w:rsidRPr="009B4553">
              <w:rPr>
                <w:rFonts w:cs="Calibri"/>
              </w:rPr>
              <w:t>SALUDA MEDICAL PTY LIMITED</w:t>
            </w:r>
          </w:p>
        </w:tc>
        <w:tc>
          <w:tcPr>
            <w:tcW w:w="1100" w:type="dxa"/>
            <w:shd w:val="clear" w:color="auto" w:fill="auto"/>
          </w:tcPr>
          <w:p w14:paraId="00878E87" w14:textId="77777777" w:rsidR="009D7AD2" w:rsidRPr="009B4553" w:rsidRDefault="009D7AD2" w:rsidP="009D7AD2">
            <w:pPr>
              <w:pStyle w:val="051Tabletext228pt"/>
            </w:pPr>
            <w:r w:rsidRPr="009B4553">
              <w:rPr>
                <w:rFonts w:cs="Calibri"/>
              </w:rPr>
              <w:t>UY005</w:t>
            </w:r>
          </w:p>
        </w:tc>
        <w:tc>
          <w:tcPr>
            <w:tcW w:w="743" w:type="dxa"/>
            <w:shd w:val="clear" w:color="auto" w:fill="auto"/>
          </w:tcPr>
          <w:p w14:paraId="6B738DF5" w14:textId="77777777" w:rsidR="009D7AD2" w:rsidRPr="009B4553" w:rsidRDefault="009D7AD2" w:rsidP="009D7AD2">
            <w:pPr>
              <w:pStyle w:val="051Tabletext228pt"/>
            </w:pPr>
            <w:r w:rsidRPr="009B4553">
              <w:rPr>
                <w:rFonts w:cs="Calibri"/>
              </w:rPr>
              <w:t>$1,215</w:t>
            </w:r>
          </w:p>
        </w:tc>
        <w:tc>
          <w:tcPr>
            <w:tcW w:w="707" w:type="dxa"/>
            <w:shd w:val="clear" w:color="auto" w:fill="auto"/>
          </w:tcPr>
          <w:p w14:paraId="4B19E3B2" w14:textId="77777777" w:rsidR="009D7AD2" w:rsidRPr="009B4553" w:rsidRDefault="009D7AD2" w:rsidP="009D7AD2">
            <w:pPr>
              <w:pStyle w:val="051Tabletext228pt"/>
            </w:pPr>
            <w:r w:rsidRPr="009B4553">
              <w:rPr>
                <w:rFonts w:cs="Calibri"/>
              </w:rPr>
              <w:t>338061</w:t>
            </w:r>
          </w:p>
        </w:tc>
      </w:tr>
      <w:tr w:rsidR="009D7AD2" w:rsidRPr="009B4553" w14:paraId="4AEEF007" w14:textId="77777777">
        <w:trPr>
          <w:cantSplit/>
        </w:trPr>
        <w:tc>
          <w:tcPr>
            <w:tcW w:w="1362" w:type="dxa"/>
            <w:shd w:val="clear" w:color="auto" w:fill="auto"/>
          </w:tcPr>
          <w:p w14:paraId="45DFDFD5" w14:textId="77777777" w:rsidR="009D7AD2" w:rsidRPr="009B4553" w:rsidRDefault="009D7AD2" w:rsidP="009D7AD2">
            <w:pPr>
              <w:pStyle w:val="051Tabletext228pt"/>
            </w:pPr>
            <w:r w:rsidRPr="009B4553">
              <w:rPr>
                <w:rFonts w:cs="Calibri"/>
              </w:rPr>
              <w:t>04.05.02 - External Components</w:t>
            </w:r>
          </w:p>
        </w:tc>
        <w:tc>
          <w:tcPr>
            <w:tcW w:w="2324" w:type="dxa"/>
            <w:gridSpan w:val="5"/>
            <w:shd w:val="clear" w:color="auto" w:fill="auto"/>
          </w:tcPr>
          <w:p w14:paraId="389AB5F0" w14:textId="77777777" w:rsidR="009D7AD2" w:rsidRPr="009B4553" w:rsidRDefault="009D7AD2" w:rsidP="009D7AD2">
            <w:pPr>
              <w:pStyle w:val="051Tabletext228pt"/>
            </w:pPr>
            <w:r w:rsidRPr="009B4553">
              <w:rPr>
                <w:rFonts w:cs="Calibri"/>
              </w:rPr>
              <w:t>04.05.02.05 - External Neurostimulator</w:t>
            </w:r>
          </w:p>
        </w:tc>
        <w:tc>
          <w:tcPr>
            <w:tcW w:w="1843" w:type="dxa"/>
            <w:shd w:val="clear" w:color="auto" w:fill="auto"/>
          </w:tcPr>
          <w:p w14:paraId="22427D93" w14:textId="77777777" w:rsidR="009D7AD2" w:rsidRPr="009B4553" w:rsidRDefault="009D7AD2" w:rsidP="009D7AD2">
            <w:pPr>
              <w:pStyle w:val="051Tabletext228pt"/>
            </w:pPr>
            <w:proofErr w:type="spellStart"/>
            <w:r w:rsidRPr="009B4553">
              <w:rPr>
                <w:rFonts w:cs="Calibri"/>
              </w:rPr>
              <w:t>Intellis</w:t>
            </w:r>
            <w:proofErr w:type="spellEnd"/>
            <w:r w:rsidRPr="009B4553">
              <w:rPr>
                <w:rFonts w:cs="Calibri"/>
              </w:rPr>
              <w:t xml:space="preserve"> Wireless External Neurostimulator</w:t>
            </w:r>
          </w:p>
        </w:tc>
        <w:tc>
          <w:tcPr>
            <w:tcW w:w="1559" w:type="dxa"/>
            <w:shd w:val="clear" w:color="auto" w:fill="auto"/>
          </w:tcPr>
          <w:p w14:paraId="6BD82B85" w14:textId="77777777" w:rsidR="009D7AD2" w:rsidRPr="009B4553" w:rsidRDefault="009D7AD2" w:rsidP="009D7AD2">
            <w:pPr>
              <w:pStyle w:val="051Tabletext228pt"/>
            </w:pPr>
            <w:r w:rsidRPr="009B4553">
              <w:rPr>
                <w:rFonts w:cs="Calibri"/>
              </w:rPr>
              <w:t>Medtronic Australasia Pty Ltd</w:t>
            </w:r>
          </w:p>
        </w:tc>
        <w:tc>
          <w:tcPr>
            <w:tcW w:w="1100" w:type="dxa"/>
            <w:shd w:val="clear" w:color="auto" w:fill="auto"/>
          </w:tcPr>
          <w:p w14:paraId="5F0A7338" w14:textId="77777777" w:rsidR="009D7AD2" w:rsidRPr="009B4553" w:rsidRDefault="009D7AD2" w:rsidP="009D7AD2">
            <w:pPr>
              <w:pStyle w:val="051Tabletext228pt"/>
            </w:pPr>
            <w:r w:rsidRPr="009B4553">
              <w:rPr>
                <w:rFonts w:cs="Calibri"/>
              </w:rPr>
              <w:t>MI280</w:t>
            </w:r>
          </w:p>
        </w:tc>
        <w:tc>
          <w:tcPr>
            <w:tcW w:w="743" w:type="dxa"/>
            <w:shd w:val="clear" w:color="auto" w:fill="auto"/>
          </w:tcPr>
          <w:p w14:paraId="2EF30662" w14:textId="77777777" w:rsidR="009D7AD2" w:rsidRPr="009B4553" w:rsidRDefault="009D7AD2" w:rsidP="009D7AD2">
            <w:pPr>
              <w:pStyle w:val="051Tabletext228pt"/>
            </w:pPr>
            <w:r w:rsidRPr="009B4553">
              <w:rPr>
                <w:rFonts w:cs="Calibri"/>
              </w:rPr>
              <w:t>$1,083</w:t>
            </w:r>
          </w:p>
        </w:tc>
        <w:tc>
          <w:tcPr>
            <w:tcW w:w="707" w:type="dxa"/>
            <w:shd w:val="clear" w:color="auto" w:fill="auto"/>
          </w:tcPr>
          <w:p w14:paraId="3C48ABAD" w14:textId="77777777" w:rsidR="009D7AD2" w:rsidRPr="009B4553" w:rsidRDefault="009D7AD2" w:rsidP="009D7AD2">
            <w:pPr>
              <w:pStyle w:val="051Tabletext228pt"/>
            </w:pPr>
            <w:r w:rsidRPr="009B4553">
              <w:rPr>
                <w:rFonts w:cs="Calibri"/>
              </w:rPr>
              <w:t>293256</w:t>
            </w:r>
          </w:p>
        </w:tc>
      </w:tr>
      <w:tr w:rsidR="009D7AD2" w:rsidRPr="009B4553" w14:paraId="6C59AF34" w14:textId="77777777">
        <w:trPr>
          <w:cantSplit/>
        </w:trPr>
        <w:tc>
          <w:tcPr>
            <w:tcW w:w="1362" w:type="dxa"/>
            <w:shd w:val="clear" w:color="auto" w:fill="F2F2F2" w:themeFill="background1" w:themeFillShade="F2"/>
          </w:tcPr>
          <w:p w14:paraId="4B7B10C3" w14:textId="77777777" w:rsidR="009D7AD2" w:rsidRPr="009B4553" w:rsidRDefault="009D7AD2" w:rsidP="009D7AD2">
            <w:pPr>
              <w:pStyle w:val="031Tablesubheading8pt"/>
            </w:pPr>
            <w:r w:rsidRPr="009B4553">
              <w:t>Leads</w:t>
            </w:r>
          </w:p>
        </w:tc>
        <w:tc>
          <w:tcPr>
            <w:tcW w:w="2324" w:type="dxa"/>
            <w:gridSpan w:val="5"/>
            <w:shd w:val="clear" w:color="auto" w:fill="F2F2F2" w:themeFill="background1" w:themeFillShade="F2"/>
          </w:tcPr>
          <w:p w14:paraId="4B3EE8F9" w14:textId="77777777" w:rsidR="009D7AD2" w:rsidRPr="009B4553" w:rsidRDefault="009D7AD2" w:rsidP="009D7AD2">
            <w:pPr>
              <w:pStyle w:val="031Tablesubheading8pt"/>
            </w:pPr>
          </w:p>
        </w:tc>
        <w:tc>
          <w:tcPr>
            <w:tcW w:w="1843" w:type="dxa"/>
            <w:shd w:val="clear" w:color="auto" w:fill="F2F2F2" w:themeFill="background1" w:themeFillShade="F2"/>
          </w:tcPr>
          <w:p w14:paraId="477C7405" w14:textId="77777777" w:rsidR="009D7AD2" w:rsidRPr="009B4553" w:rsidRDefault="009D7AD2" w:rsidP="009D7AD2">
            <w:pPr>
              <w:pStyle w:val="031Tablesubheading8pt"/>
            </w:pPr>
          </w:p>
        </w:tc>
        <w:tc>
          <w:tcPr>
            <w:tcW w:w="1559" w:type="dxa"/>
            <w:shd w:val="clear" w:color="auto" w:fill="F2F2F2" w:themeFill="background1" w:themeFillShade="F2"/>
          </w:tcPr>
          <w:p w14:paraId="0C7BBC4F" w14:textId="77777777" w:rsidR="009D7AD2" w:rsidRPr="009B4553" w:rsidRDefault="009D7AD2" w:rsidP="009D7AD2">
            <w:pPr>
              <w:pStyle w:val="031Tablesubheading8pt"/>
            </w:pPr>
          </w:p>
        </w:tc>
        <w:tc>
          <w:tcPr>
            <w:tcW w:w="1100" w:type="dxa"/>
            <w:shd w:val="clear" w:color="auto" w:fill="F2F2F2" w:themeFill="background1" w:themeFillShade="F2"/>
          </w:tcPr>
          <w:p w14:paraId="01F3EA09" w14:textId="77777777" w:rsidR="009D7AD2" w:rsidRPr="009B4553" w:rsidRDefault="009D7AD2" w:rsidP="009D7AD2">
            <w:pPr>
              <w:pStyle w:val="031Tablesubheading8pt"/>
            </w:pPr>
          </w:p>
        </w:tc>
        <w:tc>
          <w:tcPr>
            <w:tcW w:w="743" w:type="dxa"/>
            <w:shd w:val="clear" w:color="auto" w:fill="F2F2F2" w:themeFill="background1" w:themeFillShade="F2"/>
          </w:tcPr>
          <w:p w14:paraId="05660BC1" w14:textId="77777777" w:rsidR="009D7AD2" w:rsidRPr="009B4553" w:rsidRDefault="009D7AD2" w:rsidP="009D7AD2">
            <w:pPr>
              <w:pStyle w:val="031Tablesubheading8pt"/>
            </w:pPr>
          </w:p>
        </w:tc>
        <w:tc>
          <w:tcPr>
            <w:tcW w:w="707" w:type="dxa"/>
            <w:shd w:val="clear" w:color="auto" w:fill="F2F2F2" w:themeFill="background1" w:themeFillShade="F2"/>
          </w:tcPr>
          <w:p w14:paraId="36DD8C3C" w14:textId="77777777" w:rsidR="009D7AD2" w:rsidRPr="009B4553" w:rsidRDefault="009D7AD2" w:rsidP="009D7AD2">
            <w:pPr>
              <w:pStyle w:val="031Tablesubheading8pt"/>
            </w:pPr>
          </w:p>
        </w:tc>
      </w:tr>
      <w:tr w:rsidR="009D7AD2" w:rsidRPr="009B4553" w14:paraId="4477E2A7" w14:textId="77777777">
        <w:trPr>
          <w:cantSplit/>
        </w:trPr>
        <w:tc>
          <w:tcPr>
            <w:tcW w:w="1362" w:type="dxa"/>
            <w:shd w:val="clear" w:color="auto" w:fill="auto"/>
          </w:tcPr>
          <w:p w14:paraId="47A35181"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5F7AA631"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7F4687F4" w14:textId="77777777" w:rsidR="009D7AD2" w:rsidRPr="009B4553" w:rsidRDefault="009D7AD2" w:rsidP="009D7AD2">
            <w:pPr>
              <w:pStyle w:val="051Tabletext228pt"/>
              <w:rPr>
                <w:rFonts w:cs="Calibri"/>
              </w:rPr>
            </w:pPr>
            <w:r w:rsidRPr="009B4553">
              <w:rPr>
                <w:rFonts w:cs="Calibri"/>
                <w:color w:val="000000"/>
              </w:rPr>
              <w:t>Medtronic Pisces Quad Leads</w:t>
            </w:r>
          </w:p>
        </w:tc>
        <w:tc>
          <w:tcPr>
            <w:tcW w:w="1559" w:type="dxa"/>
            <w:shd w:val="clear" w:color="auto" w:fill="auto"/>
          </w:tcPr>
          <w:p w14:paraId="4FDA99E5"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104EC295" w14:textId="77777777" w:rsidR="009D7AD2" w:rsidRPr="009B4553" w:rsidRDefault="009D7AD2" w:rsidP="009D7AD2">
            <w:pPr>
              <w:pStyle w:val="051Tabletext228pt"/>
              <w:rPr>
                <w:rFonts w:cs="Calibri"/>
              </w:rPr>
            </w:pPr>
            <w:r w:rsidRPr="009B4553">
              <w:rPr>
                <w:rFonts w:cs="Calibri"/>
                <w:color w:val="000000"/>
              </w:rPr>
              <w:t>MC827</w:t>
            </w:r>
          </w:p>
        </w:tc>
        <w:tc>
          <w:tcPr>
            <w:tcW w:w="743" w:type="dxa"/>
            <w:shd w:val="clear" w:color="auto" w:fill="auto"/>
          </w:tcPr>
          <w:p w14:paraId="388B802F" w14:textId="77777777" w:rsidR="009D7AD2" w:rsidRPr="009B4553" w:rsidRDefault="009D7AD2" w:rsidP="009D7AD2">
            <w:pPr>
              <w:pStyle w:val="051Tabletext228pt"/>
              <w:rPr>
                <w:rFonts w:cs="Calibri"/>
              </w:rPr>
            </w:pPr>
            <w:r w:rsidRPr="009B4553">
              <w:rPr>
                <w:rFonts w:cs="Calibri"/>
                <w:color w:val="000000"/>
              </w:rPr>
              <w:t>$3,069</w:t>
            </w:r>
          </w:p>
        </w:tc>
        <w:tc>
          <w:tcPr>
            <w:tcW w:w="707" w:type="dxa"/>
            <w:shd w:val="clear" w:color="auto" w:fill="auto"/>
          </w:tcPr>
          <w:p w14:paraId="5AC14B70" w14:textId="6A855D0F" w:rsidR="009D7AD2" w:rsidRPr="00182437" w:rsidRDefault="009D7AD2" w:rsidP="009D7AD2">
            <w:pPr>
              <w:pStyle w:val="051Tabletext228pt"/>
              <w:rPr>
                <w:rFonts w:cs="Calibri"/>
                <w:vertAlign w:val="superscript"/>
              </w:rPr>
            </w:pPr>
            <w:r w:rsidRPr="009B4553">
              <w:rPr>
                <w:rFonts w:cs="Calibri"/>
                <w:color w:val="000000"/>
              </w:rPr>
              <w:t>137348</w:t>
            </w:r>
            <w:r w:rsidR="007F26D7">
              <w:rPr>
                <w:rFonts w:cs="Calibri"/>
                <w:color w:val="000000"/>
                <w:vertAlign w:val="superscript"/>
              </w:rPr>
              <w:t>a</w:t>
            </w:r>
            <w:r w:rsidRPr="009B4553">
              <w:rPr>
                <w:rFonts w:cs="Calibri"/>
                <w:color w:val="000000"/>
              </w:rPr>
              <w:br/>
              <w:t>143034</w:t>
            </w:r>
            <w:r w:rsidR="007F26D7">
              <w:rPr>
                <w:rFonts w:cs="Calibri"/>
                <w:color w:val="000000"/>
                <w:vertAlign w:val="superscript"/>
              </w:rPr>
              <w:t>a</w:t>
            </w:r>
            <w:r w:rsidRPr="009B4553">
              <w:rPr>
                <w:rFonts w:cs="Calibri"/>
                <w:color w:val="000000"/>
              </w:rPr>
              <w:br/>
              <w:t>143035</w:t>
            </w:r>
            <w:r w:rsidR="007F26D7">
              <w:rPr>
                <w:rFonts w:cs="Calibri"/>
                <w:color w:val="000000"/>
                <w:vertAlign w:val="superscript"/>
              </w:rPr>
              <w:t>a</w:t>
            </w:r>
          </w:p>
        </w:tc>
      </w:tr>
      <w:tr w:rsidR="009D7AD2" w:rsidRPr="009B4553" w14:paraId="58BAD0A9" w14:textId="77777777">
        <w:trPr>
          <w:cantSplit/>
        </w:trPr>
        <w:tc>
          <w:tcPr>
            <w:tcW w:w="1362" w:type="dxa"/>
            <w:shd w:val="clear" w:color="auto" w:fill="auto"/>
          </w:tcPr>
          <w:p w14:paraId="463EE7C6"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764E7F3A"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3C73CE47" w14:textId="77777777" w:rsidR="009D7AD2" w:rsidRPr="009B4553" w:rsidRDefault="009D7AD2" w:rsidP="009D7AD2">
            <w:pPr>
              <w:pStyle w:val="051Tabletext228pt"/>
              <w:rPr>
                <w:rFonts w:cs="Calibri"/>
              </w:rPr>
            </w:pPr>
            <w:r w:rsidRPr="009B4553">
              <w:rPr>
                <w:rFonts w:cs="Calibri"/>
                <w:color w:val="000000"/>
              </w:rPr>
              <w:t>Reactiv8 Percutaneous Lead</w:t>
            </w:r>
          </w:p>
        </w:tc>
        <w:tc>
          <w:tcPr>
            <w:tcW w:w="1559" w:type="dxa"/>
            <w:shd w:val="clear" w:color="auto" w:fill="auto"/>
          </w:tcPr>
          <w:p w14:paraId="41BD5D86" w14:textId="77777777" w:rsidR="009D7AD2" w:rsidRPr="009B4553" w:rsidRDefault="009D7AD2" w:rsidP="009D7AD2">
            <w:pPr>
              <w:pStyle w:val="051Tabletext228pt"/>
              <w:rPr>
                <w:rFonts w:cs="Calibri"/>
              </w:rPr>
            </w:pPr>
            <w:r w:rsidRPr="009B4553">
              <w:rPr>
                <w:rFonts w:cs="Calibri"/>
                <w:color w:val="000000"/>
              </w:rPr>
              <w:t>MAINSTAY MEDICAL (AUSTRALIA) PTY LIMITED</w:t>
            </w:r>
          </w:p>
        </w:tc>
        <w:tc>
          <w:tcPr>
            <w:tcW w:w="1100" w:type="dxa"/>
            <w:shd w:val="clear" w:color="auto" w:fill="auto"/>
          </w:tcPr>
          <w:p w14:paraId="18B9AE75" w14:textId="77777777" w:rsidR="009D7AD2" w:rsidRPr="009B4553" w:rsidRDefault="009D7AD2" w:rsidP="009D7AD2">
            <w:pPr>
              <w:pStyle w:val="051Tabletext228pt"/>
              <w:rPr>
                <w:rFonts w:cs="Calibri"/>
              </w:rPr>
            </w:pPr>
            <w:r w:rsidRPr="009B4553">
              <w:rPr>
                <w:rFonts w:cs="Calibri"/>
                <w:color w:val="000000"/>
              </w:rPr>
              <w:t>PQ003</w:t>
            </w:r>
          </w:p>
        </w:tc>
        <w:tc>
          <w:tcPr>
            <w:tcW w:w="743" w:type="dxa"/>
            <w:shd w:val="clear" w:color="auto" w:fill="auto"/>
          </w:tcPr>
          <w:p w14:paraId="26666AA3" w14:textId="77777777" w:rsidR="009D7AD2" w:rsidRPr="009B4553" w:rsidRDefault="009D7AD2" w:rsidP="009D7AD2">
            <w:pPr>
              <w:pStyle w:val="051Tabletext228pt"/>
              <w:rPr>
                <w:rFonts w:cs="Calibri"/>
              </w:rPr>
            </w:pPr>
            <w:r w:rsidRPr="009B4553">
              <w:rPr>
                <w:rFonts w:cs="Calibri"/>
                <w:color w:val="000000"/>
              </w:rPr>
              <w:t>$3,069</w:t>
            </w:r>
          </w:p>
        </w:tc>
        <w:tc>
          <w:tcPr>
            <w:tcW w:w="707" w:type="dxa"/>
            <w:shd w:val="clear" w:color="auto" w:fill="auto"/>
          </w:tcPr>
          <w:p w14:paraId="4215C888" w14:textId="2A5753CB" w:rsidR="009D7AD2" w:rsidRPr="009B4553" w:rsidRDefault="009D7AD2" w:rsidP="009D7AD2">
            <w:pPr>
              <w:pStyle w:val="051Tabletext228pt"/>
              <w:rPr>
                <w:rFonts w:cs="Calibri"/>
              </w:rPr>
            </w:pPr>
            <w:r w:rsidRPr="009B4553">
              <w:rPr>
                <w:rFonts w:cs="Calibri"/>
                <w:color w:val="000000"/>
              </w:rPr>
              <w:t>327091</w:t>
            </w:r>
            <w:r w:rsidR="00DA616F" w:rsidRPr="002D6C5A">
              <w:rPr>
                <w:vertAlign w:val="superscript"/>
              </w:rPr>
              <w:t>b</w:t>
            </w:r>
          </w:p>
        </w:tc>
      </w:tr>
      <w:tr w:rsidR="009D7AD2" w:rsidRPr="009B4553" w14:paraId="7339392E" w14:textId="77777777">
        <w:trPr>
          <w:cantSplit/>
        </w:trPr>
        <w:tc>
          <w:tcPr>
            <w:tcW w:w="1362" w:type="dxa"/>
            <w:shd w:val="clear" w:color="auto" w:fill="auto"/>
          </w:tcPr>
          <w:p w14:paraId="11E3D9A2"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6D20E774"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25C318C" w14:textId="77777777" w:rsidR="009D7AD2" w:rsidRPr="009B4553" w:rsidRDefault="009D7AD2" w:rsidP="009D7AD2">
            <w:pPr>
              <w:pStyle w:val="051Tabletext228pt"/>
              <w:rPr>
                <w:rFonts w:cs="Calibri"/>
              </w:rPr>
            </w:pPr>
            <w:r w:rsidRPr="009B4553">
              <w:rPr>
                <w:rFonts w:cs="Calibri"/>
                <w:color w:val="000000"/>
              </w:rPr>
              <w:t>ANS Spinal Cord Stimulation System (SCS)</w:t>
            </w:r>
          </w:p>
        </w:tc>
        <w:tc>
          <w:tcPr>
            <w:tcW w:w="1559" w:type="dxa"/>
            <w:shd w:val="clear" w:color="auto" w:fill="auto"/>
          </w:tcPr>
          <w:p w14:paraId="45E58A9F"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1203C989" w14:textId="77777777" w:rsidR="009D7AD2" w:rsidRPr="009B4553" w:rsidRDefault="009D7AD2" w:rsidP="009D7AD2">
            <w:pPr>
              <w:pStyle w:val="051Tabletext228pt"/>
              <w:rPr>
                <w:rFonts w:cs="Calibri"/>
              </w:rPr>
            </w:pPr>
            <w:r w:rsidRPr="009B4553">
              <w:rPr>
                <w:rFonts w:cs="Calibri"/>
                <w:color w:val="000000"/>
              </w:rPr>
              <w:t>SJ162</w:t>
            </w:r>
          </w:p>
        </w:tc>
        <w:tc>
          <w:tcPr>
            <w:tcW w:w="743" w:type="dxa"/>
            <w:shd w:val="clear" w:color="auto" w:fill="auto"/>
          </w:tcPr>
          <w:p w14:paraId="36574318" w14:textId="77777777" w:rsidR="009D7AD2" w:rsidRPr="009B4553" w:rsidRDefault="009D7AD2" w:rsidP="009D7AD2">
            <w:pPr>
              <w:pStyle w:val="051Tabletext228pt"/>
              <w:rPr>
                <w:rFonts w:cs="Calibri"/>
              </w:rPr>
            </w:pPr>
            <w:r w:rsidRPr="009B4553">
              <w:rPr>
                <w:rFonts w:cs="Calibri"/>
                <w:color w:val="000000"/>
              </w:rPr>
              <w:t>$3,069</w:t>
            </w:r>
          </w:p>
        </w:tc>
        <w:tc>
          <w:tcPr>
            <w:tcW w:w="707" w:type="dxa"/>
            <w:shd w:val="clear" w:color="auto" w:fill="auto"/>
          </w:tcPr>
          <w:p w14:paraId="4CB5BDA5" w14:textId="77777777" w:rsidR="009D7AD2" w:rsidRPr="009B4553" w:rsidRDefault="009D7AD2" w:rsidP="009D7AD2">
            <w:pPr>
              <w:pStyle w:val="051Tabletext228pt"/>
              <w:rPr>
                <w:rFonts w:cs="Calibri"/>
              </w:rPr>
            </w:pPr>
            <w:r w:rsidRPr="009B4553">
              <w:rPr>
                <w:rFonts w:cs="Calibri"/>
                <w:color w:val="000000"/>
              </w:rPr>
              <w:t>131944</w:t>
            </w:r>
          </w:p>
        </w:tc>
      </w:tr>
      <w:tr w:rsidR="009D7AD2" w:rsidRPr="009B4553" w14:paraId="36FF6B20" w14:textId="77777777">
        <w:trPr>
          <w:cantSplit/>
        </w:trPr>
        <w:tc>
          <w:tcPr>
            <w:tcW w:w="1362" w:type="dxa"/>
            <w:shd w:val="clear" w:color="auto" w:fill="auto"/>
          </w:tcPr>
          <w:p w14:paraId="75539C88"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3A9134E"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8566197" w14:textId="77777777" w:rsidR="009D7AD2" w:rsidRPr="009B4553" w:rsidRDefault="009D7AD2" w:rsidP="009D7AD2">
            <w:pPr>
              <w:pStyle w:val="051Tabletext228pt"/>
              <w:rPr>
                <w:rFonts w:cs="Calibri"/>
              </w:rPr>
            </w:pPr>
            <w:proofErr w:type="spellStart"/>
            <w:r w:rsidRPr="009B4553">
              <w:rPr>
                <w:rFonts w:cs="Calibri"/>
                <w:color w:val="000000"/>
              </w:rPr>
              <w:t>Lamitrode</w:t>
            </w:r>
            <w:proofErr w:type="spellEnd"/>
            <w:r w:rsidRPr="009B4553">
              <w:rPr>
                <w:rFonts w:cs="Calibri"/>
                <w:color w:val="000000"/>
              </w:rPr>
              <w:t xml:space="preserve"> S Series Leads</w:t>
            </w:r>
          </w:p>
        </w:tc>
        <w:tc>
          <w:tcPr>
            <w:tcW w:w="1559" w:type="dxa"/>
            <w:shd w:val="clear" w:color="auto" w:fill="auto"/>
          </w:tcPr>
          <w:p w14:paraId="14EAB7EC"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0B9E98F4" w14:textId="77777777" w:rsidR="009D7AD2" w:rsidRPr="009B4553" w:rsidRDefault="009D7AD2" w:rsidP="009D7AD2">
            <w:pPr>
              <w:pStyle w:val="051Tabletext228pt"/>
              <w:rPr>
                <w:rFonts w:cs="Calibri"/>
              </w:rPr>
            </w:pPr>
            <w:r w:rsidRPr="009B4553">
              <w:rPr>
                <w:rFonts w:cs="Calibri"/>
                <w:color w:val="000000"/>
              </w:rPr>
              <w:t>SJ186</w:t>
            </w:r>
          </w:p>
        </w:tc>
        <w:tc>
          <w:tcPr>
            <w:tcW w:w="743" w:type="dxa"/>
            <w:shd w:val="clear" w:color="auto" w:fill="auto"/>
          </w:tcPr>
          <w:p w14:paraId="5E5E6F4D" w14:textId="77777777" w:rsidR="009D7AD2" w:rsidRPr="009B4553" w:rsidRDefault="009D7AD2" w:rsidP="009D7AD2">
            <w:pPr>
              <w:pStyle w:val="051Tabletext228pt"/>
              <w:rPr>
                <w:rFonts w:cs="Calibri"/>
              </w:rPr>
            </w:pPr>
            <w:r w:rsidRPr="009B4553">
              <w:rPr>
                <w:rFonts w:cs="Calibri"/>
                <w:color w:val="000000"/>
              </w:rPr>
              <w:t>$3,069</w:t>
            </w:r>
          </w:p>
        </w:tc>
        <w:tc>
          <w:tcPr>
            <w:tcW w:w="707" w:type="dxa"/>
            <w:shd w:val="clear" w:color="auto" w:fill="auto"/>
          </w:tcPr>
          <w:p w14:paraId="67E0D2AF" w14:textId="77777777" w:rsidR="009D7AD2" w:rsidRPr="009B4553" w:rsidRDefault="009D7AD2" w:rsidP="009D7AD2">
            <w:pPr>
              <w:pStyle w:val="051Tabletext228pt"/>
              <w:rPr>
                <w:rFonts w:cs="Calibri"/>
              </w:rPr>
            </w:pPr>
            <w:r w:rsidRPr="009B4553">
              <w:rPr>
                <w:rFonts w:cs="Calibri"/>
                <w:color w:val="000000"/>
              </w:rPr>
              <w:t>126076</w:t>
            </w:r>
          </w:p>
        </w:tc>
      </w:tr>
      <w:tr w:rsidR="009D7AD2" w:rsidRPr="009B4553" w14:paraId="35B83918" w14:textId="77777777">
        <w:trPr>
          <w:cantSplit/>
        </w:trPr>
        <w:tc>
          <w:tcPr>
            <w:tcW w:w="1362" w:type="dxa"/>
            <w:shd w:val="clear" w:color="auto" w:fill="auto"/>
          </w:tcPr>
          <w:p w14:paraId="7FBD8582"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4B7D918"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3C1033C7" w14:textId="77777777" w:rsidR="009D7AD2" w:rsidRPr="009B4553" w:rsidRDefault="009D7AD2" w:rsidP="009D7AD2">
            <w:pPr>
              <w:pStyle w:val="051Tabletext228pt"/>
              <w:rPr>
                <w:rFonts w:cs="Calibri"/>
              </w:rPr>
            </w:pPr>
            <w:proofErr w:type="spellStart"/>
            <w:r w:rsidRPr="009B4553">
              <w:rPr>
                <w:rFonts w:cs="Calibri"/>
                <w:color w:val="000000"/>
              </w:rPr>
              <w:t>Lamitrode</w:t>
            </w:r>
            <w:proofErr w:type="spellEnd"/>
            <w:r w:rsidRPr="009B4553">
              <w:rPr>
                <w:rFonts w:cs="Calibri"/>
                <w:color w:val="000000"/>
              </w:rPr>
              <w:t xml:space="preserve"> S Series Leads</w:t>
            </w:r>
          </w:p>
        </w:tc>
        <w:tc>
          <w:tcPr>
            <w:tcW w:w="1559" w:type="dxa"/>
            <w:shd w:val="clear" w:color="auto" w:fill="auto"/>
          </w:tcPr>
          <w:p w14:paraId="549F2CC3"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79851C03" w14:textId="77777777" w:rsidR="009D7AD2" w:rsidRPr="009B4553" w:rsidRDefault="009D7AD2" w:rsidP="009D7AD2">
            <w:pPr>
              <w:pStyle w:val="051Tabletext228pt"/>
              <w:rPr>
                <w:rFonts w:cs="Calibri"/>
              </w:rPr>
            </w:pPr>
            <w:r w:rsidRPr="009B4553">
              <w:rPr>
                <w:rFonts w:cs="Calibri"/>
                <w:color w:val="000000"/>
              </w:rPr>
              <w:t>SJ187</w:t>
            </w:r>
          </w:p>
        </w:tc>
        <w:tc>
          <w:tcPr>
            <w:tcW w:w="743" w:type="dxa"/>
            <w:shd w:val="clear" w:color="auto" w:fill="auto"/>
          </w:tcPr>
          <w:p w14:paraId="0290A3DE" w14:textId="77777777" w:rsidR="009D7AD2" w:rsidRPr="009B4553" w:rsidRDefault="009D7AD2" w:rsidP="009D7AD2">
            <w:pPr>
              <w:pStyle w:val="051Tabletext228pt"/>
              <w:rPr>
                <w:rFonts w:cs="Calibri"/>
              </w:rPr>
            </w:pPr>
            <w:r w:rsidRPr="009B4553">
              <w:rPr>
                <w:rFonts w:cs="Calibri"/>
                <w:color w:val="000000"/>
              </w:rPr>
              <w:t>$3,069</w:t>
            </w:r>
          </w:p>
        </w:tc>
        <w:tc>
          <w:tcPr>
            <w:tcW w:w="707" w:type="dxa"/>
            <w:shd w:val="clear" w:color="auto" w:fill="auto"/>
          </w:tcPr>
          <w:p w14:paraId="01EB2A08" w14:textId="77777777" w:rsidR="009D7AD2" w:rsidRPr="009B4553" w:rsidRDefault="009D7AD2" w:rsidP="009D7AD2">
            <w:pPr>
              <w:pStyle w:val="051Tabletext228pt"/>
              <w:rPr>
                <w:rFonts w:cs="Calibri"/>
              </w:rPr>
            </w:pPr>
            <w:r w:rsidRPr="009B4553">
              <w:rPr>
                <w:rFonts w:cs="Calibri"/>
                <w:color w:val="000000"/>
              </w:rPr>
              <w:t>126076</w:t>
            </w:r>
          </w:p>
        </w:tc>
      </w:tr>
      <w:tr w:rsidR="009D7AD2" w:rsidRPr="009B4553" w14:paraId="525ACA6F" w14:textId="77777777">
        <w:trPr>
          <w:cantSplit/>
        </w:trPr>
        <w:tc>
          <w:tcPr>
            <w:tcW w:w="1362" w:type="dxa"/>
            <w:shd w:val="clear" w:color="auto" w:fill="auto"/>
          </w:tcPr>
          <w:p w14:paraId="7773236E"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172323BB"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3A1E7EA5" w14:textId="77777777" w:rsidR="009D7AD2" w:rsidRPr="009B4553" w:rsidRDefault="009D7AD2" w:rsidP="009D7AD2">
            <w:pPr>
              <w:pStyle w:val="051Tabletext228pt"/>
              <w:rPr>
                <w:rFonts w:cs="Calibri"/>
              </w:rPr>
            </w:pPr>
            <w:r w:rsidRPr="009B4553">
              <w:rPr>
                <w:rFonts w:cs="Calibri"/>
                <w:color w:val="000000"/>
              </w:rPr>
              <w:t>Axium Neurostimulator System - Implant Lead Kit</w:t>
            </w:r>
          </w:p>
        </w:tc>
        <w:tc>
          <w:tcPr>
            <w:tcW w:w="1559" w:type="dxa"/>
            <w:shd w:val="clear" w:color="auto" w:fill="auto"/>
          </w:tcPr>
          <w:p w14:paraId="3EED653F"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3451EB8B" w14:textId="77777777" w:rsidR="009D7AD2" w:rsidRPr="009B4553" w:rsidRDefault="009D7AD2" w:rsidP="009D7AD2">
            <w:pPr>
              <w:pStyle w:val="051Tabletext228pt"/>
              <w:rPr>
                <w:rFonts w:cs="Calibri"/>
              </w:rPr>
            </w:pPr>
            <w:r w:rsidRPr="009B4553">
              <w:rPr>
                <w:rFonts w:cs="Calibri"/>
                <w:color w:val="000000"/>
              </w:rPr>
              <w:t>SJ359</w:t>
            </w:r>
          </w:p>
        </w:tc>
        <w:tc>
          <w:tcPr>
            <w:tcW w:w="743" w:type="dxa"/>
            <w:shd w:val="clear" w:color="auto" w:fill="auto"/>
          </w:tcPr>
          <w:p w14:paraId="45C5FC2D" w14:textId="77777777" w:rsidR="009D7AD2" w:rsidRPr="009B4553" w:rsidRDefault="009D7AD2" w:rsidP="009D7AD2">
            <w:pPr>
              <w:pStyle w:val="051Tabletext228pt"/>
              <w:rPr>
                <w:rFonts w:cs="Calibri"/>
              </w:rPr>
            </w:pPr>
            <w:r w:rsidRPr="009B4553">
              <w:rPr>
                <w:rFonts w:cs="Calibri"/>
                <w:color w:val="000000"/>
              </w:rPr>
              <w:t>$3,069</w:t>
            </w:r>
          </w:p>
        </w:tc>
        <w:tc>
          <w:tcPr>
            <w:tcW w:w="707" w:type="dxa"/>
            <w:shd w:val="clear" w:color="auto" w:fill="auto"/>
          </w:tcPr>
          <w:p w14:paraId="57682B87" w14:textId="77777777" w:rsidR="009D7AD2" w:rsidRPr="009B4553" w:rsidRDefault="009D7AD2" w:rsidP="009D7AD2">
            <w:pPr>
              <w:pStyle w:val="051Tabletext228pt"/>
              <w:rPr>
                <w:rFonts w:cs="Calibri"/>
              </w:rPr>
            </w:pPr>
            <w:r w:rsidRPr="009B4553">
              <w:rPr>
                <w:rFonts w:cs="Calibri"/>
                <w:color w:val="000000"/>
              </w:rPr>
              <w:t>301386</w:t>
            </w:r>
            <w:r w:rsidRPr="009B4553">
              <w:rPr>
                <w:rFonts w:cs="Calibri"/>
                <w:color w:val="000000"/>
              </w:rPr>
              <w:br/>
              <w:t>301387</w:t>
            </w:r>
            <w:r w:rsidRPr="009B4553">
              <w:rPr>
                <w:rFonts w:cs="Calibri"/>
                <w:color w:val="000000"/>
              </w:rPr>
              <w:br/>
              <w:t>333462</w:t>
            </w:r>
            <w:r w:rsidRPr="009B4553">
              <w:rPr>
                <w:rFonts w:cs="Calibri"/>
                <w:color w:val="000000"/>
              </w:rPr>
              <w:br/>
              <w:t>333463</w:t>
            </w:r>
            <w:r w:rsidRPr="009B4553">
              <w:rPr>
                <w:rFonts w:cs="Calibri"/>
                <w:color w:val="000000"/>
              </w:rPr>
              <w:br/>
              <w:t>202325</w:t>
            </w:r>
          </w:p>
        </w:tc>
      </w:tr>
      <w:tr w:rsidR="009D7AD2" w:rsidRPr="009B4553" w14:paraId="0401E3DD" w14:textId="77777777">
        <w:trPr>
          <w:cantSplit/>
        </w:trPr>
        <w:tc>
          <w:tcPr>
            <w:tcW w:w="1362" w:type="dxa"/>
            <w:shd w:val="clear" w:color="auto" w:fill="auto"/>
          </w:tcPr>
          <w:p w14:paraId="0014EFDA"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3E422469"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0A7B9C0D" w14:textId="77777777" w:rsidR="009D7AD2" w:rsidRPr="009B4553" w:rsidRDefault="009D7AD2" w:rsidP="009D7AD2">
            <w:pPr>
              <w:pStyle w:val="051Tabletext228pt"/>
              <w:rPr>
                <w:rFonts w:cs="Calibri"/>
              </w:rPr>
            </w:pPr>
            <w:r w:rsidRPr="009B4553">
              <w:rPr>
                <w:rFonts w:cs="Calibri"/>
                <w:color w:val="000000"/>
              </w:rPr>
              <w:t>Precision SCS Eight Contact Leads</w:t>
            </w:r>
          </w:p>
        </w:tc>
        <w:tc>
          <w:tcPr>
            <w:tcW w:w="1559" w:type="dxa"/>
            <w:shd w:val="clear" w:color="auto" w:fill="auto"/>
          </w:tcPr>
          <w:p w14:paraId="431E5FE9" w14:textId="77777777" w:rsidR="009D7AD2" w:rsidRPr="009B4553" w:rsidRDefault="009D7AD2" w:rsidP="009D7AD2">
            <w:pPr>
              <w:pStyle w:val="051Tabletext228pt"/>
              <w:rPr>
                <w:rFonts w:cs="Calibri"/>
              </w:rPr>
            </w:pPr>
            <w:r w:rsidRPr="009B4553">
              <w:rPr>
                <w:rFonts w:cs="Calibri"/>
                <w:color w:val="000000"/>
              </w:rPr>
              <w:t>Boston Scientific Australia Pty Ltd</w:t>
            </w:r>
          </w:p>
        </w:tc>
        <w:tc>
          <w:tcPr>
            <w:tcW w:w="1100" w:type="dxa"/>
            <w:shd w:val="clear" w:color="auto" w:fill="auto"/>
          </w:tcPr>
          <w:p w14:paraId="7F524887" w14:textId="77777777" w:rsidR="009D7AD2" w:rsidRPr="009B4553" w:rsidRDefault="009D7AD2" w:rsidP="009D7AD2">
            <w:pPr>
              <w:pStyle w:val="051Tabletext228pt"/>
              <w:rPr>
                <w:rFonts w:cs="Calibri"/>
              </w:rPr>
            </w:pPr>
            <w:r w:rsidRPr="009B4553">
              <w:rPr>
                <w:rFonts w:cs="Calibri"/>
                <w:color w:val="000000"/>
              </w:rPr>
              <w:t>BS109</w:t>
            </w:r>
          </w:p>
        </w:tc>
        <w:tc>
          <w:tcPr>
            <w:tcW w:w="743" w:type="dxa"/>
            <w:shd w:val="clear" w:color="auto" w:fill="auto"/>
          </w:tcPr>
          <w:p w14:paraId="12B56FE9"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559303B4" w14:textId="77777777" w:rsidR="009D7AD2" w:rsidRPr="009B4553" w:rsidRDefault="009D7AD2" w:rsidP="009D7AD2">
            <w:pPr>
              <w:pStyle w:val="051Tabletext228pt"/>
              <w:rPr>
                <w:rFonts w:cs="Calibri"/>
              </w:rPr>
            </w:pPr>
            <w:r w:rsidRPr="009B4553">
              <w:rPr>
                <w:rFonts w:cs="Calibri"/>
                <w:color w:val="000000"/>
              </w:rPr>
              <w:t>128775</w:t>
            </w:r>
          </w:p>
        </w:tc>
      </w:tr>
      <w:tr w:rsidR="009D7AD2" w:rsidRPr="009B4553" w14:paraId="0D8B8ECB" w14:textId="77777777">
        <w:trPr>
          <w:cantSplit/>
        </w:trPr>
        <w:tc>
          <w:tcPr>
            <w:tcW w:w="1362" w:type="dxa"/>
            <w:shd w:val="clear" w:color="auto" w:fill="auto"/>
          </w:tcPr>
          <w:p w14:paraId="578F5619"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30E6DB7E"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37F4585" w14:textId="77777777" w:rsidR="009D7AD2" w:rsidRPr="009B4553" w:rsidRDefault="009D7AD2" w:rsidP="009D7AD2">
            <w:pPr>
              <w:pStyle w:val="051Tabletext228pt"/>
              <w:rPr>
                <w:rFonts w:cs="Calibri"/>
              </w:rPr>
            </w:pPr>
            <w:proofErr w:type="spellStart"/>
            <w:r w:rsidRPr="009B4553">
              <w:rPr>
                <w:rFonts w:cs="Calibri"/>
                <w:color w:val="000000"/>
              </w:rPr>
              <w:t>Avista</w:t>
            </w:r>
            <w:proofErr w:type="spellEnd"/>
            <w:r w:rsidRPr="009B4553">
              <w:rPr>
                <w:rFonts w:cs="Calibri"/>
                <w:color w:val="000000"/>
              </w:rPr>
              <w:t xml:space="preserve"> MRI 8 Contact Lead</w:t>
            </w:r>
          </w:p>
        </w:tc>
        <w:tc>
          <w:tcPr>
            <w:tcW w:w="1559" w:type="dxa"/>
            <w:shd w:val="clear" w:color="auto" w:fill="auto"/>
          </w:tcPr>
          <w:p w14:paraId="649AC380" w14:textId="77777777" w:rsidR="009D7AD2" w:rsidRPr="009B4553" w:rsidRDefault="009D7AD2" w:rsidP="009D7AD2">
            <w:pPr>
              <w:pStyle w:val="051Tabletext228pt"/>
              <w:rPr>
                <w:rFonts w:cs="Calibri"/>
              </w:rPr>
            </w:pPr>
            <w:r w:rsidRPr="009B4553">
              <w:rPr>
                <w:rFonts w:cs="Calibri"/>
                <w:color w:val="000000"/>
              </w:rPr>
              <w:t>Boston Scientific Australia Pty Ltd</w:t>
            </w:r>
          </w:p>
        </w:tc>
        <w:tc>
          <w:tcPr>
            <w:tcW w:w="1100" w:type="dxa"/>
            <w:shd w:val="clear" w:color="auto" w:fill="auto"/>
          </w:tcPr>
          <w:p w14:paraId="204AEA95" w14:textId="77777777" w:rsidR="009D7AD2" w:rsidRPr="009B4553" w:rsidRDefault="009D7AD2" w:rsidP="009D7AD2">
            <w:pPr>
              <w:pStyle w:val="051Tabletext228pt"/>
              <w:rPr>
                <w:rFonts w:cs="Calibri"/>
              </w:rPr>
            </w:pPr>
            <w:r w:rsidRPr="009B4553">
              <w:rPr>
                <w:rFonts w:cs="Calibri"/>
                <w:color w:val="000000"/>
              </w:rPr>
              <w:t>BS331</w:t>
            </w:r>
          </w:p>
        </w:tc>
        <w:tc>
          <w:tcPr>
            <w:tcW w:w="743" w:type="dxa"/>
            <w:shd w:val="clear" w:color="auto" w:fill="auto"/>
          </w:tcPr>
          <w:p w14:paraId="75160AE0"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69AC2EC8" w14:textId="77777777" w:rsidR="009D7AD2" w:rsidRPr="009B4553" w:rsidRDefault="009D7AD2" w:rsidP="009D7AD2">
            <w:pPr>
              <w:pStyle w:val="051Tabletext228pt"/>
              <w:rPr>
                <w:rFonts w:cs="Calibri"/>
              </w:rPr>
            </w:pPr>
            <w:r w:rsidRPr="009B4553">
              <w:rPr>
                <w:rFonts w:cs="Calibri"/>
                <w:color w:val="000000"/>
              </w:rPr>
              <w:t>287236</w:t>
            </w:r>
          </w:p>
        </w:tc>
      </w:tr>
      <w:tr w:rsidR="009D7AD2" w:rsidRPr="009B4553" w14:paraId="01992B51" w14:textId="77777777">
        <w:trPr>
          <w:cantSplit/>
        </w:trPr>
        <w:tc>
          <w:tcPr>
            <w:tcW w:w="1362" w:type="dxa"/>
            <w:shd w:val="clear" w:color="auto" w:fill="auto"/>
          </w:tcPr>
          <w:p w14:paraId="3DF1B6F2"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7D043A67"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6416F1D" w14:textId="77777777" w:rsidR="009D7AD2" w:rsidRPr="009B4553" w:rsidRDefault="009D7AD2" w:rsidP="009D7AD2">
            <w:pPr>
              <w:pStyle w:val="051Tabletext228pt"/>
              <w:rPr>
                <w:rFonts w:cs="Calibri"/>
              </w:rPr>
            </w:pPr>
            <w:r w:rsidRPr="009B4553">
              <w:rPr>
                <w:rFonts w:cs="Calibri"/>
                <w:color w:val="000000"/>
              </w:rPr>
              <w:t>Nevro Spinal Cord Stimulation System (SCSS) - Lead Kit</w:t>
            </w:r>
          </w:p>
        </w:tc>
        <w:tc>
          <w:tcPr>
            <w:tcW w:w="1559" w:type="dxa"/>
            <w:shd w:val="clear" w:color="auto" w:fill="auto"/>
          </w:tcPr>
          <w:p w14:paraId="37508261" w14:textId="77777777" w:rsidR="009D7AD2" w:rsidRPr="009B4553" w:rsidRDefault="009D7AD2" w:rsidP="009D7AD2">
            <w:pPr>
              <w:pStyle w:val="051Tabletext228pt"/>
              <w:rPr>
                <w:rFonts w:cs="Calibri"/>
              </w:rPr>
            </w:pPr>
            <w:r w:rsidRPr="009B4553">
              <w:rPr>
                <w:rFonts w:cs="Calibri"/>
                <w:color w:val="000000"/>
              </w:rPr>
              <w:t>Emergo Asia Pacific Pty Ltd</w:t>
            </w:r>
          </w:p>
        </w:tc>
        <w:tc>
          <w:tcPr>
            <w:tcW w:w="1100" w:type="dxa"/>
            <w:shd w:val="clear" w:color="auto" w:fill="auto"/>
          </w:tcPr>
          <w:p w14:paraId="26A68AB9" w14:textId="77777777" w:rsidR="009D7AD2" w:rsidRPr="009B4553" w:rsidRDefault="009D7AD2" w:rsidP="009D7AD2">
            <w:pPr>
              <w:pStyle w:val="051Tabletext228pt"/>
              <w:rPr>
                <w:rFonts w:cs="Calibri"/>
              </w:rPr>
            </w:pPr>
            <w:r w:rsidRPr="009B4553">
              <w:rPr>
                <w:rFonts w:cs="Calibri"/>
                <w:color w:val="000000"/>
              </w:rPr>
              <w:t>ER006</w:t>
            </w:r>
          </w:p>
        </w:tc>
        <w:tc>
          <w:tcPr>
            <w:tcW w:w="743" w:type="dxa"/>
            <w:shd w:val="clear" w:color="auto" w:fill="auto"/>
          </w:tcPr>
          <w:p w14:paraId="5E24999F"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3D264E5D" w14:textId="77777777" w:rsidR="009D7AD2" w:rsidRPr="009B4553" w:rsidRDefault="009D7AD2" w:rsidP="009D7AD2">
            <w:pPr>
              <w:pStyle w:val="051Tabletext228pt"/>
              <w:rPr>
                <w:rFonts w:cs="Calibri"/>
              </w:rPr>
            </w:pPr>
            <w:r w:rsidRPr="009B4553">
              <w:rPr>
                <w:rFonts w:cs="Calibri"/>
                <w:color w:val="000000"/>
              </w:rPr>
              <w:t>185992</w:t>
            </w:r>
          </w:p>
        </w:tc>
      </w:tr>
      <w:tr w:rsidR="009D7AD2" w:rsidRPr="009B4553" w14:paraId="2F2D3303" w14:textId="77777777">
        <w:trPr>
          <w:cantSplit/>
        </w:trPr>
        <w:tc>
          <w:tcPr>
            <w:tcW w:w="1362" w:type="dxa"/>
            <w:shd w:val="clear" w:color="auto" w:fill="auto"/>
          </w:tcPr>
          <w:p w14:paraId="6C1F7A9F"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0EB00872"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1240C4F9" w14:textId="77777777" w:rsidR="009D7AD2" w:rsidRPr="009B4553" w:rsidRDefault="009D7AD2" w:rsidP="009D7AD2">
            <w:pPr>
              <w:pStyle w:val="051Tabletext228pt"/>
              <w:rPr>
                <w:rFonts w:cs="Calibri"/>
              </w:rPr>
            </w:pPr>
            <w:r w:rsidRPr="009B4553">
              <w:rPr>
                <w:rFonts w:cs="Calibri"/>
                <w:color w:val="000000"/>
              </w:rPr>
              <w:t>Surpass-C Surgical Lead</w:t>
            </w:r>
          </w:p>
        </w:tc>
        <w:tc>
          <w:tcPr>
            <w:tcW w:w="1559" w:type="dxa"/>
            <w:shd w:val="clear" w:color="auto" w:fill="auto"/>
          </w:tcPr>
          <w:p w14:paraId="59D149D7" w14:textId="77777777" w:rsidR="009D7AD2" w:rsidRPr="009B4553" w:rsidRDefault="009D7AD2" w:rsidP="009D7AD2">
            <w:pPr>
              <w:pStyle w:val="051Tabletext228pt"/>
              <w:rPr>
                <w:rFonts w:cs="Calibri"/>
              </w:rPr>
            </w:pPr>
            <w:r w:rsidRPr="009B4553">
              <w:rPr>
                <w:rFonts w:cs="Calibri"/>
                <w:color w:val="000000"/>
              </w:rPr>
              <w:t>Emergo Asia Pacific Pty Ltd</w:t>
            </w:r>
          </w:p>
        </w:tc>
        <w:tc>
          <w:tcPr>
            <w:tcW w:w="1100" w:type="dxa"/>
            <w:shd w:val="clear" w:color="auto" w:fill="auto"/>
          </w:tcPr>
          <w:p w14:paraId="4D0A9E96" w14:textId="77777777" w:rsidR="009D7AD2" w:rsidRPr="009B4553" w:rsidRDefault="009D7AD2" w:rsidP="009D7AD2">
            <w:pPr>
              <w:pStyle w:val="051Tabletext228pt"/>
              <w:rPr>
                <w:rFonts w:cs="Calibri"/>
              </w:rPr>
            </w:pPr>
            <w:r w:rsidRPr="009B4553">
              <w:rPr>
                <w:rFonts w:cs="Calibri"/>
                <w:color w:val="000000"/>
              </w:rPr>
              <w:t>ER606</w:t>
            </w:r>
          </w:p>
        </w:tc>
        <w:tc>
          <w:tcPr>
            <w:tcW w:w="743" w:type="dxa"/>
            <w:shd w:val="clear" w:color="auto" w:fill="auto"/>
          </w:tcPr>
          <w:p w14:paraId="2B72C665"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6D31EBBA" w14:textId="77777777" w:rsidR="009D7AD2" w:rsidRPr="009B4553" w:rsidRDefault="009D7AD2" w:rsidP="009D7AD2">
            <w:pPr>
              <w:pStyle w:val="051Tabletext228pt"/>
              <w:rPr>
                <w:rFonts w:cs="Calibri"/>
              </w:rPr>
            </w:pPr>
            <w:r w:rsidRPr="009B4553">
              <w:rPr>
                <w:rFonts w:cs="Calibri"/>
                <w:color w:val="000000"/>
              </w:rPr>
              <w:t>368530</w:t>
            </w:r>
          </w:p>
        </w:tc>
      </w:tr>
      <w:tr w:rsidR="009D7AD2" w:rsidRPr="009B4553" w14:paraId="4FD7E0C1" w14:textId="77777777">
        <w:trPr>
          <w:cantSplit/>
        </w:trPr>
        <w:tc>
          <w:tcPr>
            <w:tcW w:w="1362" w:type="dxa"/>
            <w:shd w:val="clear" w:color="auto" w:fill="auto"/>
          </w:tcPr>
          <w:p w14:paraId="740AB80D"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5A43D33E"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770BC990" w14:textId="77777777" w:rsidR="009D7AD2" w:rsidRPr="009B4553" w:rsidRDefault="009D7AD2" w:rsidP="009D7AD2">
            <w:pPr>
              <w:pStyle w:val="051Tabletext228pt"/>
              <w:rPr>
                <w:rFonts w:cs="Calibri"/>
              </w:rPr>
            </w:pPr>
            <w:r w:rsidRPr="009B4553">
              <w:rPr>
                <w:rFonts w:cs="Calibri"/>
                <w:color w:val="000000"/>
              </w:rPr>
              <w:t>Neurostimulation System - Octad Leads</w:t>
            </w:r>
          </w:p>
        </w:tc>
        <w:tc>
          <w:tcPr>
            <w:tcW w:w="1559" w:type="dxa"/>
            <w:shd w:val="clear" w:color="auto" w:fill="auto"/>
          </w:tcPr>
          <w:p w14:paraId="1A408390"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3803F4AB" w14:textId="77777777" w:rsidR="009D7AD2" w:rsidRPr="009B4553" w:rsidRDefault="009D7AD2" w:rsidP="009D7AD2">
            <w:pPr>
              <w:pStyle w:val="051Tabletext228pt"/>
              <w:rPr>
                <w:rFonts w:cs="Calibri"/>
              </w:rPr>
            </w:pPr>
            <w:r w:rsidRPr="009B4553">
              <w:rPr>
                <w:rFonts w:cs="Calibri"/>
                <w:color w:val="000000"/>
              </w:rPr>
              <w:t>MC690</w:t>
            </w:r>
          </w:p>
        </w:tc>
        <w:tc>
          <w:tcPr>
            <w:tcW w:w="743" w:type="dxa"/>
            <w:shd w:val="clear" w:color="auto" w:fill="auto"/>
          </w:tcPr>
          <w:p w14:paraId="0ACE174C"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1F60638D" w14:textId="3EA9F61F" w:rsidR="009D7AD2" w:rsidRPr="00182437" w:rsidRDefault="009D7AD2" w:rsidP="009D7AD2">
            <w:pPr>
              <w:pStyle w:val="051Tabletext228pt"/>
              <w:rPr>
                <w:rFonts w:cs="Calibri"/>
                <w:vertAlign w:val="superscript"/>
              </w:rPr>
            </w:pPr>
            <w:r w:rsidRPr="009B4553">
              <w:rPr>
                <w:rFonts w:cs="Calibri"/>
                <w:color w:val="000000"/>
              </w:rPr>
              <w:t>123243</w:t>
            </w:r>
            <w:r w:rsidR="007F26D7">
              <w:rPr>
                <w:rFonts w:cs="Calibri"/>
                <w:color w:val="000000"/>
                <w:vertAlign w:val="superscript"/>
              </w:rPr>
              <w:t>a</w:t>
            </w:r>
          </w:p>
        </w:tc>
      </w:tr>
      <w:tr w:rsidR="009D7AD2" w:rsidRPr="009B4553" w14:paraId="768D615F" w14:textId="77777777">
        <w:trPr>
          <w:cantSplit/>
        </w:trPr>
        <w:tc>
          <w:tcPr>
            <w:tcW w:w="1362" w:type="dxa"/>
            <w:shd w:val="clear" w:color="auto" w:fill="auto"/>
          </w:tcPr>
          <w:p w14:paraId="27D61F5C"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5C7DDEB1"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63D51712" w14:textId="77777777" w:rsidR="009D7AD2" w:rsidRPr="009B4553" w:rsidRDefault="009D7AD2" w:rsidP="009D7AD2">
            <w:pPr>
              <w:pStyle w:val="051Tabletext228pt"/>
              <w:rPr>
                <w:rFonts w:cs="Calibri"/>
              </w:rPr>
            </w:pPr>
            <w:r w:rsidRPr="009B4553">
              <w:rPr>
                <w:rFonts w:cs="Calibri"/>
                <w:color w:val="000000"/>
              </w:rPr>
              <w:t>Neurostimulation System - Octad Leads</w:t>
            </w:r>
          </w:p>
        </w:tc>
        <w:tc>
          <w:tcPr>
            <w:tcW w:w="1559" w:type="dxa"/>
            <w:shd w:val="clear" w:color="auto" w:fill="auto"/>
          </w:tcPr>
          <w:p w14:paraId="00E30787"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20A46E6E" w14:textId="77777777" w:rsidR="009D7AD2" w:rsidRPr="009B4553" w:rsidRDefault="009D7AD2" w:rsidP="009D7AD2">
            <w:pPr>
              <w:pStyle w:val="051Tabletext228pt"/>
              <w:rPr>
                <w:rFonts w:cs="Calibri"/>
              </w:rPr>
            </w:pPr>
            <w:r w:rsidRPr="009B4553">
              <w:rPr>
                <w:rFonts w:cs="Calibri"/>
                <w:color w:val="000000"/>
              </w:rPr>
              <w:t>MC710</w:t>
            </w:r>
          </w:p>
        </w:tc>
        <w:tc>
          <w:tcPr>
            <w:tcW w:w="743" w:type="dxa"/>
            <w:shd w:val="clear" w:color="auto" w:fill="auto"/>
          </w:tcPr>
          <w:p w14:paraId="5F2D4821"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6734FAFB" w14:textId="00F9D993" w:rsidR="009D7AD2" w:rsidRPr="00182437" w:rsidRDefault="009D7AD2" w:rsidP="009D7AD2">
            <w:pPr>
              <w:pStyle w:val="051Tabletext228pt"/>
              <w:rPr>
                <w:rFonts w:cs="Calibri"/>
                <w:vertAlign w:val="superscript"/>
              </w:rPr>
            </w:pPr>
            <w:r w:rsidRPr="009B4553">
              <w:rPr>
                <w:rFonts w:cs="Calibri"/>
                <w:color w:val="000000"/>
              </w:rPr>
              <w:t>123241</w:t>
            </w:r>
            <w:r w:rsidR="007F26D7">
              <w:rPr>
                <w:rFonts w:cs="Calibri"/>
                <w:color w:val="000000"/>
                <w:vertAlign w:val="superscript"/>
              </w:rPr>
              <w:t>a</w:t>
            </w:r>
          </w:p>
        </w:tc>
      </w:tr>
      <w:tr w:rsidR="009D7AD2" w:rsidRPr="009B4553" w14:paraId="38A01D85" w14:textId="77777777">
        <w:trPr>
          <w:cantSplit/>
        </w:trPr>
        <w:tc>
          <w:tcPr>
            <w:tcW w:w="1362" w:type="dxa"/>
            <w:shd w:val="clear" w:color="auto" w:fill="auto"/>
          </w:tcPr>
          <w:p w14:paraId="28DD72D3"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528ABF20"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FD30A7D" w14:textId="77777777" w:rsidR="009D7AD2" w:rsidRPr="009B4553" w:rsidRDefault="009D7AD2" w:rsidP="009D7AD2">
            <w:pPr>
              <w:pStyle w:val="051Tabletext228pt"/>
              <w:rPr>
                <w:rFonts w:cs="Calibri"/>
              </w:rPr>
            </w:pPr>
            <w:r w:rsidRPr="009B4553">
              <w:rPr>
                <w:rFonts w:cs="Calibri"/>
                <w:color w:val="000000"/>
              </w:rPr>
              <w:t>Neurostimulation System - Octad Leads</w:t>
            </w:r>
          </w:p>
        </w:tc>
        <w:tc>
          <w:tcPr>
            <w:tcW w:w="1559" w:type="dxa"/>
            <w:shd w:val="clear" w:color="auto" w:fill="auto"/>
          </w:tcPr>
          <w:p w14:paraId="4E462B69"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74FC385A" w14:textId="77777777" w:rsidR="009D7AD2" w:rsidRPr="009B4553" w:rsidRDefault="009D7AD2" w:rsidP="009D7AD2">
            <w:pPr>
              <w:pStyle w:val="051Tabletext228pt"/>
              <w:rPr>
                <w:rFonts w:cs="Calibri"/>
              </w:rPr>
            </w:pPr>
            <w:r w:rsidRPr="009B4553">
              <w:rPr>
                <w:rFonts w:cs="Calibri"/>
                <w:color w:val="000000"/>
              </w:rPr>
              <w:t>MC711</w:t>
            </w:r>
          </w:p>
        </w:tc>
        <w:tc>
          <w:tcPr>
            <w:tcW w:w="743" w:type="dxa"/>
            <w:shd w:val="clear" w:color="auto" w:fill="auto"/>
          </w:tcPr>
          <w:p w14:paraId="0B0AD367"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395CCFE4" w14:textId="515F8EB8" w:rsidR="009D7AD2" w:rsidRPr="00182437" w:rsidRDefault="009D7AD2" w:rsidP="009D7AD2">
            <w:pPr>
              <w:pStyle w:val="051Tabletext228pt"/>
              <w:rPr>
                <w:rFonts w:cs="Calibri"/>
                <w:vertAlign w:val="superscript"/>
              </w:rPr>
            </w:pPr>
            <w:r w:rsidRPr="009B4553">
              <w:rPr>
                <w:rFonts w:cs="Calibri"/>
                <w:color w:val="000000"/>
              </w:rPr>
              <w:t>123243</w:t>
            </w:r>
            <w:r w:rsidR="007F26D7">
              <w:rPr>
                <w:rFonts w:cs="Calibri"/>
                <w:color w:val="000000"/>
                <w:vertAlign w:val="superscript"/>
              </w:rPr>
              <w:t>a</w:t>
            </w:r>
          </w:p>
        </w:tc>
      </w:tr>
      <w:tr w:rsidR="009D7AD2" w:rsidRPr="009B4553" w14:paraId="1293D5EA" w14:textId="77777777">
        <w:trPr>
          <w:cantSplit/>
        </w:trPr>
        <w:tc>
          <w:tcPr>
            <w:tcW w:w="1362" w:type="dxa"/>
            <w:shd w:val="clear" w:color="auto" w:fill="auto"/>
          </w:tcPr>
          <w:p w14:paraId="719939ED" w14:textId="77777777" w:rsidR="009D7AD2" w:rsidRPr="009B4553" w:rsidRDefault="009D7AD2" w:rsidP="009D7AD2">
            <w:pPr>
              <w:pStyle w:val="051Tabletext228pt"/>
              <w:rPr>
                <w:rFonts w:cs="Calibri"/>
              </w:rPr>
            </w:pPr>
            <w:r w:rsidRPr="009B4553">
              <w:rPr>
                <w:rFonts w:cs="Calibri"/>
                <w:color w:val="000000"/>
              </w:rPr>
              <w:lastRenderedPageBreak/>
              <w:t>04.05.03 - Leads</w:t>
            </w:r>
          </w:p>
        </w:tc>
        <w:tc>
          <w:tcPr>
            <w:tcW w:w="2324" w:type="dxa"/>
            <w:gridSpan w:val="5"/>
            <w:shd w:val="clear" w:color="auto" w:fill="auto"/>
          </w:tcPr>
          <w:p w14:paraId="1E50254C"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03B3932E" w14:textId="77777777" w:rsidR="009D7AD2" w:rsidRPr="009B4553" w:rsidRDefault="009D7AD2" w:rsidP="009D7AD2">
            <w:pPr>
              <w:pStyle w:val="051Tabletext228pt"/>
              <w:rPr>
                <w:rFonts w:cs="Calibri"/>
              </w:rPr>
            </w:pPr>
            <w:r w:rsidRPr="009B4553">
              <w:rPr>
                <w:rFonts w:cs="Calibri"/>
                <w:color w:val="000000"/>
              </w:rPr>
              <w:t>Neurostimulation System - Octad Leads</w:t>
            </w:r>
          </w:p>
        </w:tc>
        <w:tc>
          <w:tcPr>
            <w:tcW w:w="1559" w:type="dxa"/>
            <w:shd w:val="clear" w:color="auto" w:fill="auto"/>
          </w:tcPr>
          <w:p w14:paraId="1B21F287"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0061DBF8" w14:textId="77777777" w:rsidR="009D7AD2" w:rsidRPr="009B4553" w:rsidRDefault="009D7AD2" w:rsidP="009D7AD2">
            <w:pPr>
              <w:pStyle w:val="051Tabletext228pt"/>
              <w:rPr>
                <w:rFonts w:cs="Calibri"/>
              </w:rPr>
            </w:pPr>
            <w:r w:rsidRPr="009B4553">
              <w:rPr>
                <w:rFonts w:cs="Calibri"/>
                <w:color w:val="000000"/>
              </w:rPr>
              <w:t>MC712</w:t>
            </w:r>
          </w:p>
        </w:tc>
        <w:tc>
          <w:tcPr>
            <w:tcW w:w="743" w:type="dxa"/>
            <w:shd w:val="clear" w:color="auto" w:fill="auto"/>
          </w:tcPr>
          <w:p w14:paraId="4540720A"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5463C545" w14:textId="56CA3B84" w:rsidR="009D7AD2" w:rsidRPr="00182437" w:rsidRDefault="009D7AD2" w:rsidP="009D7AD2">
            <w:pPr>
              <w:pStyle w:val="051Tabletext228pt"/>
              <w:rPr>
                <w:rFonts w:cs="Calibri"/>
                <w:vertAlign w:val="superscript"/>
              </w:rPr>
            </w:pPr>
            <w:r w:rsidRPr="009B4553">
              <w:rPr>
                <w:rFonts w:cs="Calibri"/>
                <w:color w:val="000000"/>
              </w:rPr>
              <w:t>123243</w:t>
            </w:r>
            <w:r w:rsidR="007F26D7">
              <w:rPr>
                <w:rFonts w:cs="Calibri"/>
                <w:color w:val="000000"/>
                <w:vertAlign w:val="superscript"/>
              </w:rPr>
              <w:t>a</w:t>
            </w:r>
          </w:p>
        </w:tc>
      </w:tr>
      <w:tr w:rsidR="009D7AD2" w:rsidRPr="009B4553" w14:paraId="331F235A" w14:textId="77777777">
        <w:trPr>
          <w:cantSplit/>
        </w:trPr>
        <w:tc>
          <w:tcPr>
            <w:tcW w:w="1362" w:type="dxa"/>
            <w:shd w:val="clear" w:color="auto" w:fill="auto"/>
          </w:tcPr>
          <w:p w14:paraId="4C82306C"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398884D6"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455CEB45" w14:textId="77777777" w:rsidR="009D7AD2" w:rsidRPr="009B4553" w:rsidRDefault="009D7AD2" w:rsidP="009D7AD2">
            <w:pPr>
              <w:pStyle w:val="051Tabletext228pt"/>
              <w:rPr>
                <w:rFonts w:cs="Calibri"/>
              </w:rPr>
            </w:pPr>
            <w:r w:rsidRPr="009B4553">
              <w:rPr>
                <w:rFonts w:cs="Calibri"/>
                <w:color w:val="000000"/>
              </w:rPr>
              <w:t>SCS Sub Compact Lead</w:t>
            </w:r>
          </w:p>
        </w:tc>
        <w:tc>
          <w:tcPr>
            <w:tcW w:w="1559" w:type="dxa"/>
            <w:shd w:val="clear" w:color="auto" w:fill="auto"/>
          </w:tcPr>
          <w:p w14:paraId="18BA94A1"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48E4A0CE" w14:textId="77777777" w:rsidR="009D7AD2" w:rsidRPr="009B4553" w:rsidRDefault="009D7AD2" w:rsidP="009D7AD2">
            <w:pPr>
              <w:pStyle w:val="051Tabletext228pt"/>
              <w:rPr>
                <w:rFonts w:cs="Calibri"/>
              </w:rPr>
            </w:pPr>
            <w:r w:rsidRPr="009B4553">
              <w:rPr>
                <w:rFonts w:cs="Calibri"/>
                <w:color w:val="000000"/>
              </w:rPr>
              <w:t>MC740</w:t>
            </w:r>
          </w:p>
        </w:tc>
        <w:tc>
          <w:tcPr>
            <w:tcW w:w="743" w:type="dxa"/>
            <w:shd w:val="clear" w:color="auto" w:fill="auto"/>
          </w:tcPr>
          <w:p w14:paraId="05F9E125"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5E3F07E7" w14:textId="77777777" w:rsidR="009D7AD2" w:rsidRPr="009B4553" w:rsidRDefault="009D7AD2" w:rsidP="009D7AD2">
            <w:pPr>
              <w:pStyle w:val="051Tabletext228pt"/>
              <w:rPr>
                <w:rFonts w:cs="Calibri"/>
              </w:rPr>
            </w:pPr>
            <w:r w:rsidRPr="009B4553">
              <w:rPr>
                <w:rFonts w:cs="Calibri"/>
                <w:color w:val="000000"/>
              </w:rPr>
              <w:t>137079</w:t>
            </w:r>
          </w:p>
        </w:tc>
      </w:tr>
      <w:tr w:rsidR="009D7AD2" w:rsidRPr="009B4553" w14:paraId="1B9E22C9" w14:textId="77777777">
        <w:trPr>
          <w:cantSplit/>
        </w:trPr>
        <w:tc>
          <w:tcPr>
            <w:tcW w:w="1362" w:type="dxa"/>
            <w:shd w:val="clear" w:color="auto" w:fill="auto"/>
          </w:tcPr>
          <w:p w14:paraId="4C9C05E4"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189ADFA3"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08822199" w14:textId="77777777" w:rsidR="009D7AD2" w:rsidRPr="009B4553" w:rsidRDefault="009D7AD2" w:rsidP="009D7AD2">
            <w:pPr>
              <w:pStyle w:val="051Tabletext228pt"/>
              <w:rPr>
                <w:rFonts w:cs="Calibri"/>
              </w:rPr>
            </w:pPr>
            <w:r w:rsidRPr="009B4553">
              <w:rPr>
                <w:rFonts w:cs="Calibri"/>
                <w:color w:val="000000"/>
              </w:rPr>
              <w:t>SCS Sub Compact Lead</w:t>
            </w:r>
          </w:p>
        </w:tc>
        <w:tc>
          <w:tcPr>
            <w:tcW w:w="1559" w:type="dxa"/>
            <w:shd w:val="clear" w:color="auto" w:fill="auto"/>
          </w:tcPr>
          <w:p w14:paraId="034F9299"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1EB7AAE9" w14:textId="77777777" w:rsidR="009D7AD2" w:rsidRPr="009B4553" w:rsidRDefault="009D7AD2" w:rsidP="009D7AD2">
            <w:pPr>
              <w:pStyle w:val="051Tabletext228pt"/>
              <w:rPr>
                <w:rFonts w:cs="Calibri"/>
              </w:rPr>
            </w:pPr>
            <w:r w:rsidRPr="009B4553">
              <w:rPr>
                <w:rFonts w:cs="Calibri"/>
                <w:color w:val="000000"/>
              </w:rPr>
              <w:t>MC759</w:t>
            </w:r>
          </w:p>
        </w:tc>
        <w:tc>
          <w:tcPr>
            <w:tcW w:w="743" w:type="dxa"/>
            <w:shd w:val="clear" w:color="auto" w:fill="auto"/>
          </w:tcPr>
          <w:p w14:paraId="07247063"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1BF831E0" w14:textId="77777777" w:rsidR="009D7AD2" w:rsidRPr="009B4553" w:rsidRDefault="009D7AD2" w:rsidP="009D7AD2">
            <w:pPr>
              <w:pStyle w:val="051Tabletext228pt"/>
              <w:rPr>
                <w:rFonts w:cs="Calibri"/>
              </w:rPr>
            </w:pPr>
            <w:r w:rsidRPr="009B4553">
              <w:rPr>
                <w:rFonts w:cs="Calibri"/>
                <w:color w:val="000000"/>
              </w:rPr>
              <w:t>137080</w:t>
            </w:r>
          </w:p>
        </w:tc>
      </w:tr>
      <w:tr w:rsidR="009D7AD2" w:rsidRPr="009B4553" w14:paraId="4850CCFC" w14:textId="77777777">
        <w:trPr>
          <w:cantSplit/>
        </w:trPr>
        <w:tc>
          <w:tcPr>
            <w:tcW w:w="1362" w:type="dxa"/>
            <w:shd w:val="clear" w:color="auto" w:fill="auto"/>
          </w:tcPr>
          <w:p w14:paraId="1CA94CA4"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5EDFE54"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3642B2AF" w14:textId="77777777" w:rsidR="009D7AD2" w:rsidRPr="009B4553" w:rsidRDefault="009D7AD2" w:rsidP="009D7AD2">
            <w:pPr>
              <w:pStyle w:val="051Tabletext228pt"/>
              <w:rPr>
                <w:rFonts w:cs="Calibri"/>
              </w:rPr>
            </w:pPr>
            <w:proofErr w:type="spellStart"/>
            <w:r w:rsidRPr="009B4553">
              <w:rPr>
                <w:rFonts w:cs="Calibri"/>
                <w:color w:val="000000"/>
              </w:rPr>
              <w:t>Vectris</w:t>
            </w:r>
            <w:proofErr w:type="spellEnd"/>
            <w:r w:rsidRPr="009B4553">
              <w:rPr>
                <w:rFonts w:cs="Calibri"/>
                <w:color w:val="000000"/>
              </w:rPr>
              <w:t xml:space="preserve"> </w:t>
            </w:r>
            <w:proofErr w:type="spellStart"/>
            <w:r w:rsidRPr="009B4553">
              <w:rPr>
                <w:rFonts w:cs="Calibri"/>
                <w:color w:val="000000"/>
              </w:rPr>
              <w:t>Surescan</w:t>
            </w:r>
            <w:proofErr w:type="spellEnd"/>
            <w:r w:rsidRPr="009B4553">
              <w:rPr>
                <w:rFonts w:cs="Calibri"/>
                <w:color w:val="000000"/>
              </w:rPr>
              <w:t xml:space="preserve"> MRI Neurostimulation Leads</w:t>
            </w:r>
          </w:p>
        </w:tc>
        <w:tc>
          <w:tcPr>
            <w:tcW w:w="1559" w:type="dxa"/>
            <w:shd w:val="clear" w:color="auto" w:fill="auto"/>
          </w:tcPr>
          <w:p w14:paraId="37CDB911"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6A41A4AE" w14:textId="77777777" w:rsidR="009D7AD2" w:rsidRPr="009B4553" w:rsidRDefault="009D7AD2" w:rsidP="009D7AD2">
            <w:pPr>
              <w:pStyle w:val="051Tabletext228pt"/>
              <w:rPr>
                <w:rFonts w:cs="Calibri"/>
              </w:rPr>
            </w:pPr>
            <w:r w:rsidRPr="009B4553">
              <w:rPr>
                <w:rFonts w:cs="Calibri"/>
                <w:color w:val="000000"/>
              </w:rPr>
              <w:t>MI136</w:t>
            </w:r>
          </w:p>
        </w:tc>
        <w:tc>
          <w:tcPr>
            <w:tcW w:w="743" w:type="dxa"/>
            <w:shd w:val="clear" w:color="auto" w:fill="auto"/>
          </w:tcPr>
          <w:p w14:paraId="73578970"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004092EA" w14:textId="77777777" w:rsidR="009D7AD2" w:rsidRPr="009B4553" w:rsidRDefault="009D7AD2" w:rsidP="009D7AD2">
            <w:pPr>
              <w:pStyle w:val="051Tabletext228pt"/>
              <w:rPr>
                <w:rFonts w:cs="Calibri"/>
              </w:rPr>
            </w:pPr>
            <w:r w:rsidRPr="009B4553">
              <w:rPr>
                <w:rFonts w:cs="Calibri"/>
                <w:color w:val="000000"/>
              </w:rPr>
              <w:t>214838</w:t>
            </w:r>
            <w:r w:rsidRPr="009B4553">
              <w:rPr>
                <w:rFonts w:cs="Calibri"/>
                <w:color w:val="000000"/>
              </w:rPr>
              <w:br/>
              <w:t>214839</w:t>
            </w:r>
          </w:p>
        </w:tc>
      </w:tr>
      <w:tr w:rsidR="009D7AD2" w:rsidRPr="009B4553" w14:paraId="4C7F6A1B" w14:textId="77777777">
        <w:trPr>
          <w:cantSplit/>
        </w:trPr>
        <w:tc>
          <w:tcPr>
            <w:tcW w:w="1362" w:type="dxa"/>
            <w:shd w:val="clear" w:color="auto" w:fill="auto"/>
          </w:tcPr>
          <w:p w14:paraId="5ED4BF4E"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2BC00CF"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177C723" w14:textId="77777777" w:rsidR="009D7AD2" w:rsidRPr="009B4553" w:rsidRDefault="009D7AD2" w:rsidP="009D7AD2">
            <w:pPr>
              <w:pStyle w:val="051Tabletext228pt"/>
              <w:rPr>
                <w:rFonts w:cs="Calibri"/>
              </w:rPr>
            </w:pPr>
            <w:r w:rsidRPr="009B4553">
              <w:rPr>
                <w:rFonts w:cs="Calibri"/>
                <w:color w:val="000000"/>
              </w:rPr>
              <w:t>ANS Spinal Cord Stimulation System (SCS)</w:t>
            </w:r>
          </w:p>
        </w:tc>
        <w:tc>
          <w:tcPr>
            <w:tcW w:w="1559" w:type="dxa"/>
            <w:shd w:val="clear" w:color="auto" w:fill="auto"/>
          </w:tcPr>
          <w:p w14:paraId="0B1F5D90"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4D551A9A" w14:textId="77777777" w:rsidR="009D7AD2" w:rsidRPr="009B4553" w:rsidRDefault="009D7AD2" w:rsidP="009D7AD2">
            <w:pPr>
              <w:pStyle w:val="051Tabletext228pt"/>
              <w:rPr>
                <w:rFonts w:cs="Calibri"/>
              </w:rPr>
            </w:pPr>
            <w:r w:rsidRPr="009B4553">
              <w:rPr>
                <w:rFonts w:cs="Calibri"/>
                <w:color w:val="000000"/>
              </w:rPr>
              <w:t>SJ161</w:t>
            </w:r>
          </w:p>
        </w:tc>
        <w:tc>
          <w:tcPr>
            <w:tcW w:w="743" w:type="dxa"/>
            <w:shd w:val="clear" w:color="auto" w:fill="auto"/>
          </w:tcPr>
          <w:p w14:paraId="54EA761D"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41C20D27" w14:textId="77777777" w:rsidR="009D7AD2" w:rsidRPr="009B4553" w:rsidRDefault="009D7AD2" w:rsidP="009D7AD2">
            <w:pPr>
              <w:pStyle w:val="051Tabletext228pt"/>
              <w:rPr>
                <w:rFonts w:cs="Calibri"/>
              </w:rPr>
            </w:pPr>
            <w:r w:rsidRPr="009B4553">
              <w:rPr>
                <w:rFonts w:cs="Calibri"/>
                <w:color w:val="000000"/>
              </w:rPr>
              <w:t>132097</w:t>
            </w:r>
          </w:p>
        </w:tc>
      </w:tr>
      <w:tr w:rsidR="009D7AD2" w:rsidRPr="009B4553" w14:paraId="59CDFB1B" w14:textId="77777777">
        <w:trPr>
          <w:cantSplit/>
        </w:trPr>
        <w:tc>
          <w:tcPr>
            <w:tcW w:w="1362" w:type="dxa"/>
            <w:shd w:val="clear" w:color="auto" w:fill="auto"/>
          </w:tcPr>
          <w:p w14:paraId="4F167EF3"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D1114C2"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03562036" w14:textId="77777777" w:rsidR="009D7AD2" w:rsidRPr="009B4553" w:rsidRDefault="009D7AD2" w:rsidP="009D7AD2">
            <w:pPr>
              <w:pStyle w:val="051Tabletext228pt"/>
              <w:rPr>
                <w:rFonts w:cs="Calibri"/>
              </w:rPr>
            </w:pPr>
            <w:r w:rsidRPr="009B4553">
              <w:rPr>
                <w:rFonts w:cs="Calibri"/>
                <w:color w:val="000000"/>
              </w:rPr>
              <w:t>ANS Spinal Cord Stimulation System (SCS)</w:t>
            </w:r>
          </w:p>
        </w:tc>
        <w:tc>
          <w:tcPr>
            <w:tcW w:w="1559" w:type="dxa"/>
            <w:shd w:val="clear" w:color="auto" w:fill="auto"/>
          </w:tcPr>
          <w:p w14:paraId="1A1E60E8"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1A785AFB" w14:textId="77777777" w:rsidR="009D7AD2" w:rsidRPr="009B4553" w:rsidRDefault="009D7AD2" w:rsidP="009D7AD2">
            <w:pPr>
              <w:pStyle w:val="051Tabletext228pt"/>
              <w:rPr>
                <w:rFonts w:cs="Calibri"/>
              </w:rPr>
            </w:pPr>
            <w:r w:rsidRPr="009B4553">
              <w:rPr>
                <w:rFonts w:cs="Calibri"/>
                <w:color w:val="000000"/>
              </w:rPr>
              <w:t>SJ168</w:t>
            </w:r>
          </w:p>
        </w:tc>
        <w:tc>
          <w:tcPr>
            <w:tcW w:w="743" w:type="dxa"/>
            <w:shd w:val="clear" w:color="auto" w:fill="auto"/>
          </w:tcPr>
          <w:p w14:paraId="16471997"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40AD777E" w14:textId="77777777" w:rsidR="009D7AD2" w:rsidRPr="009B4553" w:rsidRDefault="009D7AD2" w:rsidP="009D7AD2">
            <w:pPr>
              <w:pStyle w:val="051Tabletext228pt"/>
              <w:rPr>
                <w:rFonts w:cs="Calibri"/>
              </w:rPr>
            </w:pPr>
            <w:r w:rsidRPr="009B4553">
              <w:rPr>
                <w:rFonts w:cs="Calibri"/>
                <w:color w:val="000000"/>
              </w:rPr>
              <w:t>126005</w:t>
            </w:r>
            <w:r w:rsidRPr="009B4553">
              <w:rPr>
                <w:rFonts w:cs="Calibri"/>
                <w:color w:val="000000"/>
              </w:rPr>
              <w:br/>
              <w:t>126079</w:t>
            </w:r>
            <w:r w:rsidRPr="009B4553">
              <w:rPr>
                <w:rFonts w:cs="Calibri"/>
                <w:color w:val="000000"/>
              </w:rPr>
              <w:br/>
              <w:t>126076</w:t>
            </w:r>
          </w:p>
        </w:tc>
      </w:tr>
      <w:tr w:rsidR="009D7AD2" w:rsidRPr="009B4553" w14:paraId="26023109" w14:textId="77777777">
        <w:trPr>
          <w:cantSplit/>
        </w:trPr>
        <w:tc>
          <w:tcPr>
            <w:tcW w:w="1362" w:type="dxa"/>
            <w:shd w:val="clear" w:color="auto" w:fill="auto"/>
          </w:tcPr>
          <w:p w14:paraId="4E272EF2"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5040E895"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652780D5" w14:textId="77777777" w:rsidR="009D7AD2" w:rsidRPr="009B4553" w:rsidRDefault="009D7AD2" w:rsidP="009D7AD2">
            <w:pPr>
              <w:pStyle w:val="051Tabletext228pt"/>
              <w:rPr>
                <w:rFonts w:cs="Calibri"/>
              </w:rPr>
            </w:pPr>
            <w:proofErr w:type="spellStart"/>
            <w:r w:rsidRPr="009B4553">
              <w:rPr>
                <w:rFonts w:cs="Calibri"/>
                <w:color w:val="000000"/>
              </w:rPr>
              <w:t>Lamitrode</w:t>
            </w:r>
            <w:proofErr w:type="spellEnd"/>
            <w:r w:rsidRPr="009B4553">
              <w:rPr>
                <w:rFonts w:cs="Calibri"/>
                <w:color w:val="000000"/>
              </w:rPr>
              <w:t xml:space="preserve"> S Series</w:t>
            </w:r>
          </w:p>
        </w:tc>
        <w:tc>
          <w:tcPr>
            <w:tcW w:w="1559" w:type="dxa"/>
            <w:shd w:val="clear" w:color="auto" w:fill="auto"/>
          </w:tcPr>
          <w:p w14:paraId="37864A04"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35D23EBD" w14:textId="77777777" w:rsidR="009D7AD2" w:rsidRPr="009B4553" w:rsidRDefault="009D7AD2" w:rsidP="009D7AD2">
            <w:pPr>
              <w:pStyle w:val="051Tabletext228pt"/>
              <w:rPr>
                <w:rFonts w:cs="Calibri"/>
              </w:rPr>
            </w:pPr>
            <w:r w:rsidRPr="009B4553">
              <w:rPr>
                <w:rFonts w:cs="Calibri"/>
                <w:color w:val="000000"/>
              </w:rPr>
              <w:t>SJ185</w:t>
            </w:r>
          </w:p>
        </w:tc>
        <w:tc>
          <w:tcPr>
            <w:tcW w:w="743" w:type="dxa"/>
            <w:shd w:val="clear" w:color="auto" w:fill="auto"/>
          </w:tcPr>
          <w:p w14:paraId="5DBDB6D8"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521C62AC" w14:textId="77777777" w:rsidR="009D7AD2" w:rsidRPr="009B4553" w:rsidRDefault="009D7AD2" w:rsidP="009D7AD2">
            <w:pPr>
              <w:pStyle w:val="051Tabletext228pt"/>
              <w:rPr>
                <w:rFonts w:cs="Calibri"/>
              </w:rPr>
            </w:pPr>
            <w:r w:rsidRPr="009B4553">
              <w:rPr>
                <w:rFonts w:cs="Calibri"/>
                <w:color w:val="000000"/>
              </w:rPr>
              <w:t>126002</w:t>
            </w:r>
          </w:p>
        </w:tc>
      </w:tr>
      <w:tr w:rsidR="009D7AD2" w:rsidRPr="009B4553" w14:paraId="3D832BB1" w14:textId="77777777">
        <w:trPr>
          <w:cantSplit/>
        </w:trPr>
        <w:tc>
          <w:tcPr>
            <w:tcW w:w="1362" w:type="dxa"/>
            <w:shd w:val="clear" w:color="auto" w:fill="auto"/>
          </w:tcPr>
          <w:p w14:paraId="3D1FE3DC"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0B75549A"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F3B5E14" w14:textId="77777777" w:rsidR="009D7AD2" w:rsidRPr="009B4553" w:rsidRDefault="009D7AD2" w:rsidP="009D7AD2">
            <w:pPr>
              <w:pStyle w:val="051Tabletext228pt"/>
              <w:rPr>
                <w:rFonts w:cs="Calibri"/>
              </w:rPr>
            </w:pPr>
            <w:proofErr w:type="spellStart"/>
            <w:r w:rsidRPr="009B4553">
              <w:rPr>
                <w:rFonts w:cs="Calibri"/>
                <w:color w:val="000000"/>
              </w:rPr>
              <w:t>Lamitrode</w:t>
            </w:r>
            <w:proofErr w:type="spellEnd"/>
            <w:r w:rsidRPr="009B4553">
              <w:rPr>
                <w:rFonts w:cs="Calibri"/>
                <w:color w:val="000000"/>
              </w:rPr>
              <w:t xml:space="preserve"> C Series Leads</w:t>
            </w:r>
          </w:p>
        </w:tc>
        <w:tc>
          <w:tcPr>
            <w:tcW w:w="1559" w:type="dxa"/>
            <w:shd w:val="clear" w:color="auto" w:fill="auto"/>
          </w:tcPr>
          <w:p w14:paraId="1394FFB5"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56227F72" w14:textId="77777777" w:rsidR="009D7AD2" w:rsidRPr="009B4553" w:rsidRDefault="009D7AD2" w:rsidP="009D7AD2">
            <w:pPr>
              <w:pStyle w:val="051Tabletext228pt"/>
              <w:rPr>
                <w:rFonts w:cs="Calibri"/>
              </w:rPr>
            </w:pPr>
            <w:r w:rsidRPr="009B4553">
              <w:rPr>
                <w:rFonts w:cs="Calibri"/>
                <w:color w:val="000000"/>
              </w:rPr>
              <w:t>SJ188</w:t>
            </w:r>
          </w:p>
        </w:tc>
        <w:tc>
          <w:tcPr>
            <w:tcW w:w="743" w:type="dxa"/>
            <w:shd w:val="clear" w:color="auto" w:fill="auto"/>
          </w:tcPr>
          <w:p w14:paraId="04801734" w14:textId="77777777" w:rsidR="009D7AD2" w:rsidRPr="009B4553" w:rsidRDefault="009D7AD2" w:rsidP="009D7AD2">
            <w:pPr>
              <w:pStyle w:val="051Tabletext228pt"/>
              <w:rPr>
                <w:rFonts w:cs="Calibri"/>
              </w:rPr>
            </w:pPr>
            <w:r w:rsidRPr="009B4553">
              <w:rPr>
                <w:rFonts w:cs="Calibri"/>
                <w:color w:val="000000"/>
              </w:rPr>
              <w:t>$3,817</w:t>
            </w:r>
          </w:p>
        </w:tc>
        <w:tc>
          <w:tcPr>
            <w:tcW w:w="707" w:type="dxa"/>
            <w:shd w:val="clear" w:color="auto" w:fill="auto"/>
          </w:tcPr>
          <w:p w14:paraId="4106D0C0" w14:textId="77777777" w:rsidR="009D7AD2" w:rsidRPr="009B4553" w:rsidRDefault="009D7AD2" w:rsidP="009D7AD2">
            <w:pPr>
              <w:pStyle w:val="051Tabletext228pt"/>
              <w:rPr>
                <w:rFonts w:cs="Calibri"/>
              </w:rPr>
            </w:pPr>
            <w:r w:rsidRPr="009B4553">
              <w:rPr>
                <w:rFonts w:cs="Calibri"/>
                <w:color w:val="000000"/>
              </w:rPr>
              <w:t>126142</w:t>
            </w:r>
          </w:p>
        </w:tc>
      </w:tr>
      <w:tr w:rsidR="009D7AD2" w:rsidRPr="009B4553" w14:paraId="77B9AFCE" w14:textId="77777777">
        <w:trPr>
          <w:cantSplit/>
        </w:trPr>
        <w:tc>
          <w:tcPr>
            <w:tcW w:w="1362" w:type="dxa"/>
            <w:shd w:val="clear" w:color="auto" w:fill="auto"/>
          </w:tcPr>
          <w:p w14:paraId="6C300C40"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0A52E31F"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8DFD715" w14:textId="77777777" w:rsidR="009D7AD2" w:rsidRPr="009B4553" w:rsidRDefault="009D7AD2" w:rsidP="009D7AD2">
            <w:pPr>
              <w:pStyle w:val="051Tabletext228pt"/>
              <w:rPr>
                <w:rFonts w:cs="Calibri"/>
              </w:rPr>
            </w:pPr>
            <w:r w:rsidRPr="009B4553">
              <w:rPr>
                <w:rFonts w:cs="Calibri"/>
                <w:color w:val="000000"/>
              </w:rPr>
              <w:t xml:space="preserve"> </w:t>
            </w:r>
            <w:proofErr w:type="spellStart"/>
            <w:r w:rsidRPr="009B4553">
              <w:rPr>
                <w:rFonts w:cs="Calibri"/>
                <w:color w:val="000000"/>
              </w:rPr>
              <w:t>CoverEdge</w:t>
            </w:r>
            <w:proofErr w:type="spellEnd"/>
            <w:r w:rsidRPr="009B4553">
              <w:rPr>
                <w:rFonts w:cs="Calibri"/>
                <w:color w:val="000000"/>
              </w:rPr>
              <w:t xml:space="preserve"> 32 Contact Surgical Leads</w:t>
            </w:r>
          </w:p>
        </w:tc>
        <w:tc>
          <w:tcPr>
            <w:tcW w:w="1559" w:type="dxa"/>
            <w:shd w:val="clear" w:color="auto" w:fill="auto"/>
          </w:tcPr>
          <w:p w14:paraId="2E4B0AA9" w14:textId="77777777" w:rsidR="009D7AD2" w:rsidRPr="009B4553" w:rsidRDefault="009D7AD2" w:rsidP="009D7AD2">
            <w:pPr>
              <w:pStyle w:val="051Tabletext228pt"/>
              <w:rPr>
                <w:rFonts w:cs="Calibri"/>
              </w:rPr>
            </w:pPr>
            <w:r w:rsidRPr="009B4553">
              <w:rPr>
                <w:rFonts w:cs="Calibri"/>
                <w:color w:val="000000"/>
              </w:rPr>
              <w:t>Boston Scientific Australia Pty Ltd</w:t>
            </w:r>
          </w:p>
        </w:tc>
        <w:tc>
          <w:tcPr>
            <w:tcW w:w="1100" w:type="dxa"/>
            <w:shd w:val="clear" w:color="auto" w:fill="auto"/>
          </w:tcPr>
          <w:p w14:paraId="0FE4BA8E" w14:textId="77777777" w:rsidR="009D7AD2" w:rsidRPr="009B4553" w:rsidRDefault="009D7AD2" w:rsidP="009D7AD2">
            <w:pPr>
              <w:pStyle w:val="051Tabletext228pt"/>
              <w:rPr>
                <w:rFonts w:cs="Calibri"/>
              </w:rPr>
            </w:pPr>
            <w:r w:rsidRPr="009B4553">
              <w:rPr>
                <w:rFonts w:cs="Calibri"/>
                <w:color w:val="000000"/>
              </w:rPr>
              <w:t>BS255</w:t>
            </w:r>
          </w:p>
        </w:tc>
        <w:tc>
          <w:tcPr>
            <w:tcW w:w="743" w:type="dxa"/>
            <w:shd w:val="clear" w:color="auto" w:fill="auto"/>
          </w:tcPr>
          <w:p w14:paraId="54D5A629" w14:textId="77777777" w:rsidR="009D7AD2" w:rsidRPr="009B4553" w:rsidRDefault="009D7AD2" w:rsidP="009D7AD2">
            <w:pPr>
              <w:pStyle w:val="051Tabletext228pt"/>
              <w:rPr>
                <w:rFonts w:cs="Calibri"/>
              </w:rPr>
            </w:pPr>
            <w:r w:rsidRPr="009B4553">
              <w:rPr>
                <w:rFonts w:cs="Calibri"/>
                <w:color w:val="000000"/>
              </w:rPr>
              <w:t>$11,011</w:t>
            </w:r>
          </w:p>
        </w:tc>
        <w:tc>
          <w:tcPr>
            <w:tcW w:w="707" w:type="dxa"/>
            <w:shd w:val="clear" w:color="auto" w:fill="auto"/>
          </w:tcPr>
          <w:p w14:paraId="2354652A" w14:textId="77777777" w:rsidR="009D7AD2" w:rsidRPr="009B4553" w:rsidRDefault="009D7AD2" w:rsidP="009D7AD2">
            <w:pPr>
              <w:pStyle w:val="051Tabletext228pt"/>
              <w:rPr>
                <w:rFonts w:cs="Calibri"/>
              </w:rPr>
            </w:pPr>
            <w:r w:rsidRPr="009B4553">
              <w:rPr>
                <w:rFonts w:cs="Calibri"/>
                <w:color w:val="000000"/>
              </w:rPr>
              <w:t>218230</w:t>
            </w:r>
          </w:p>
        </w:tc>
      </w:tr>
      <w:tr w:rsidR="009D7AD2" w:rsidRPr="009B4553" w14:paraId="55E68F9C" w14:textId="77777777">
        <w:trPr>
          <w:cantSplit/>
        </w:trPr>
        <w:tc>
          <w:tcPr>
            <w:tcW w:w="1362" w:type="dxa"/>
            <w:shd w:val="clear" w:color="auto" w:fill="auto"/>
          </w:tcPr>
          <w:p w14:paraId="299A70D7"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4E7BD73"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695BBA58" w14:textId="77777777" w:rsidR="009D7AD2" w:rsidRPr="009B4553" w:rsidRDefault="009D7AD2" w:rsidP="009D7AD2">
            <w:pPr>
              <w:pStyle w:val="051Tabletext228pt"/>
              <w:rPr>
                <w:rFonts w:cs="Calibri"/>
              </w:rPr>
            </w:pPr>
            <w:r w:rsidRPr="009B4553">
              <w:rPr>
                <w:rFonts w:cs="Calibri"/>
                <w:color w:val="000000"/>
              </w:rPr>
              <w:t>INFINION Lead</w:t>
            </w:r>
          </w:p>
        </w:tc>
        <w:tc>
          <w:tcPr>
            <w:tcW w:w="1559" w:type="dxa"/>
            <w:shd w:val="clear" w:color="auto" w:fill="auto"/>
          </w:tcPr>
          <w:p w14:paraId="7F08AC70" w14:textId="77777777" w:rsidR="009D7AD2" w:rsidRPr="009B4553" w:rsidRDefault="009D7AD2" w:rsidP="009D7AD2">
            <w:pPr>
              <w:pStyle w:val="051Tabletext228pt"/>
              <w:rPr>
                <w:rFonts w:cs="Calibri"/>
              </w:rPr>
            </w:pPr>
            <w:r w:rsidRPr="009B4553">
              <w:rPr>
                <w:rFonts w:cs="Calibri"/>
                <w:color w:val="000000"/>
              </w:rPr>
              <w:t>Boston Scientific Australia Pty Ltd</w:t>
            </w:r>
          </w:p>
        </w:tc>
        <w:tc>
          <w:tcPr>
            <w:tcW w:w="1100" w:type="dxa"/>
            <w:shd w:val="clear" w:color="auto" w:fill="auto"/>
          </w:tcPr>
          <w:p w14:paraId="0ACC492A" w14:textId="77777777" w:rsidR="009D7AD2" w:rsidRPr="009B4553" w:rsidRDefault="009D7AD2" w:rsidP="009D7AD2">
            <w:pPr>
              <w:pStyle w:val="051Tabletext228pt"/>
              <w:rPr>
                <w:rFonts w:cs="Calibri"/>
              </w:rPr>
            </w:pPr>
            <w:r w:rsidRPr="009B4553">
              <w:rPr>
                <w:rFonts w:cs="Calibri"/>
                <w:color w:val="000000"/>
              </w:rPr>
              <w:t>BS356</w:t>
            </w:r>
          </w:p>
        </w:tc>
        <w:tc>
          <w:tcPr>
            <w:tcW w:w="743" w:type="dxa"/>
            <w:shd w:val="clear" w:color="auto" w:fill="auto"/>
          </w:tcPr>
          <w:p w14:paraId="5A1F8921"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06DC8BA9" w14:textId="77777777" w:rsidR="009D7AD2" w:rsidRPr="009B4553" w:rsidRDefault="009D7AD2" w:rsidP="009D7AD2">
            <w:pPr>
              <w:pStyle w:val="051Tabletext228pt"/>
              <w:rPr>
                <w:rFonts w:cs="Calibri"/>
              </w:rPr>
            </w:pPr>
            <w:r w:rsidRPr="009B4553">
              <w:rPr>
                <w:rFonts w:cs="Calibri"/>
                <w:color w:val="000000"/>
              </w:rPr>
              <w:t>197909</w:t>
            </w:r>
          </w:p>
        </w:tc>
      </w:tr>
      <w:tr w:rsidR="009D7AD2" w:rsidRPr="009B4553" w14:paraId="5FACCF63" w14:textId="77777777">
        <w:trPr>
          <w:cantSplit/>
        </w:trPr>
        <w:tc>
          <w:tcPr>
            <w:tcW w:w="1362" w:type="dxa"/>
            <w:shd w:val="clear" w:color="auto" w:fill="auto"/>
          </w:tcPr>
          <w:p w14:paraId="09203CE0"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34CC11C0"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13D1CB51" w14:textId="77777777" w:rsidR="009D7AD2" w:rsidRPr="009B4553" w:rsidRDefault="009D7AD2" w:rsidP="009D7AD2">
            <w:pPr>
              <w:pStyle w:val="051Tabletext228pt"/>
              <w:rPr>
                <w:rFonts w:cs="Calibri"/>
              </w:rPr>
            </w:pPr>
            <w:r w:rsidRPr="009B4553">
              <w:rPr>
                <w:rFonts w:cs="Calibri"/>
                <w:color w:val="000000"/>
              </w:rPr>
              <w:t>ARTISAN, ARTISAN MRI Lead</w:t>
            </w:r>
          </w:p>
        </w:tc>
        <w:tc>
          <w:tcPr>
            <w:tcW w:w="1559" w:type="dxa"/>
            <w:shd w:val="clear" w:color="auto" w:fill="auto"/>
          </w:tcPr>
          <w:p w14:paraId="7271B0B9" w14:textId="77777777" w:rsidR="009D7AD2" w:rsidRPr="009B4553" w:rsidRDefault="009D7AD2" w:rsidP="009D7AD2">
            <w:pPr>
              <w:pStyle w:val="051Tabletext228pt"/>
              <w:rPr>
                <w:rFonts w:cs="Calibri"/>
              </w:rPr>
            </w:pPr>
            <w:r w:rsidRPr="009B4553">
              <w:rPr>
                <w:rFonts w:cs="Calibri"/>
                <w:color w:val="000000"/>
              </w:rPr>
              <w:t>Boston Scientific Australia Pty Ltd</w:t>
            </w:r>
          </w:p>
        </w:tc>
        <w:tc>
          <w:tcPr>
            <w:tcW w:w="1100" w:type="dxa"/>
            <w:shd w:val="clear" w:color="auto" w:fill="auto"/>
          </w:tcPr>
          <w:p w14:paraId="0E95A24B" w14:textId="77777777" w:rsidR="009D7AD2" w:rsidRPr="009B4553" w:rsidRDefault="009D7AD2" w:rsidP="009D7AD2">
            <w:pPr>
              <w:pStyle w:val="051Tabletext228pt"/>
              <w:rPr>
                <w:rFonts w:cs="Calibri"/>
              </w:rPr>
            </w:pPr>
            <w:r w:rsidRPr="009B4553">
              <w:rPr>
                <w:rFonts w:cs="Calibri"/>
                <w:color w:val="000000"/>
              </w:rPr>
              <w:t>BS357</w:t>
            </w:r>
          </w:p>
        </w:tc>
        <w:tc>
          <w:tcPr>
            <w:tcW w:w="743" w:type="dxa"/>
            <w:shd w:val="clear" w:color="auto" w:fill="auto"/>
          </w:tcPr>
          <w:p w14:paraId="1D7FDF1B"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4D9EC9B4" w14:textId="77777777" w:rsidR="009D7AD2" w:rsidRPr="009B4553" w:rsidRDefault="009D7AD2" w:rsidP="009D7AD2">
            <w:pPr>
              <w:pStyle w:val="051Tabletext228pt"/>
              <w:rPr>
                <w:rFonts w:cs="Calibri"/>
              </w:rPr>
            </w:pPr>
            <w:r w:rsidRPr="009B4553">
              <w:rPr>
                <w:rFonts w:cs="Calibri"/>
                <w:color w:val="000000"/>
              </w:rPr>
              <w:t>163471</w:t>
            </w:r>
            <w:r w:rsidRPr="009B4553">
              <w:rPr>
                <w:rFonts w:cs="Calibri"/>
                <w:color w:val="000000"/>
              </w:rPr>
              <w:br/>
              <w:t>308180</w:t>
            </w:r>
          </w:p>
        </w:tc>
      </w:tr>
      <w:tr w:rsidR="009D7AD2" w:rsidRPr="009B4553" w14:paraId="06E47D43" w14:textId="77777777">
        <w:trPr>
          <w:cantSplit/>
        </w:trPr>
        <w:tc>
          <w:tcPr>
            <w:tcW w:w="1362" w:type="dxa"/>
            <w:shd w:val="clear" w:color="auto" w:fill="auto"/>
          </w:tcPr>
          <w:p w14:paraId="039CF05F"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36BE131A"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34EF94D4" w14:textId="77777777" w:rsidR="009D7AD2" w:rsidRPr="009B4553" w:rsidRDefault="009D7AD2" w:rsidP="009D7AD2">
            <w:pPr>
              <w:pStyle w:val="051Tabletext228pt"/>
              <w:rPr>
                <w:rFonts w:cs="Calibri"/>
              </w:rPr>
            </w:pPr>
            <w:r w:rsidRPr="009B4553">
              <w:rPr>
                <w:rFonts w:cs="Calibri"/>
                <w:color w:val="000000"/>
              </w:rPr>
              <w:t>Specify 5-6-5 Surgical Lead</w:t>
            </w:r>
          </w:p>
        </w:tc>
        <w:tc>
          <w:tcPr>
            <w:tcW w:w="1559" w:type="dxa"/>
            <w:shd w:val="clear" w:color="auto" w:fill="auto"/>
          </w:tcPr>
          <w:p w14:paraId="662D4E53"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7322A0AA" w14:textId="77777777" w:rsidR="009D7AD2" w:rsidRPr="009B4553" w:rsidRDefault="009D7AD2" w:rsidP="009D7AD2">
            <w:pPr>
              <w:pStyle w:val="051Tabletext228pt"/>
              <w:rPr>
                <w:rFonts w:cs="Calibri"/>
              </w:rPr>
            </w:pPr>
            <w:r w:rsidRPr="009B4553">
              <w:rPr>
                <w:rFonts w:cs="Calibri"/>
                <w:color w:val="000000"/>
              </w:rPr>
              <w:t>MC776</w:t>
            </w:r>
          </w:p>
        </w:tc>
        <w:tc>
          <w:tcPr>
            <w:tcW w:w="743" w:type="dxa"/>
            <w:shd w:val="clear" w:color="auto" w:fill="auto"/>
          </w:tcPr>
          <w:p w14:paraId="127A83C9"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011E6A66" w14:textId="77777777" w:rsidR="009D7AD2" w:rsidRPr="009B4553" w:rsidRDefault="009D7AD2" w:rsidP="009D7AD2">
            <w:pPr>
              <w:pStyle w:val="051Tabletext228pt"/>
              <w:rPr>
                <w:rFonts w:cs="Calibri"/>
              </w:rPr>
            </w:pPr>
            <w:r w:rsidRPr="009B4553">
              <w:rPr>
                <w:rFonts w:cs="Calibri"/>
                <w:color w:val="000000"/>
              </w:rPr>
              <w:t>148397</w:t>
            </w:r>
          </w:p>
        </w:tc>
      </w:tr>
      <w:tr w:rsidR="009D7AD2" w:rsidRPr="009B4553" w14:paraId="74353533" w14:textId="77777777">
        <w:trPr>
          <w:cantSplit/>
        </w:trPr>
        <w:tc>
          <w:tcPr>
            <w:tcW w:w="1362" w:type="dxa"/>
            <w:shd w:val="clear" w:color="auto" w:fill="auto"/>
          </w:tcPr>
          <w:p w14:paraId="06A61B48"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D715104"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6F3DDCF5" w14:textId="77777777" w:rsidR="009D7AD2" w:rsidRPr="009B4553" w:rsidRDefault="009D7AD2" w:rsidP="009D7AD2">
            <w:pPr>
              <w:pStyle w:val="051Tabletext228pt"/>
              <w:rPr>
                <w:rFonts w:cs="Calibri"/>
              </w:rPr>
            </w:pPr>
            <w:r w:rsidRPr="009B4553">
              <w:rPr>
                <w:rFonts w:cs="Calibri"/>
                <w:color w:val="000000"/>
              </w:rPr>
              <w:t>Specify 2x8 Surgical Lead</w:t>
            </w:r>
          </w:p>
        </w:tc>
        <w:tc>
          <w:tcPr>
            <w:tcW w:w="1559" w:type="dxa"/>
            <w:shd w:val="clear" w:color="auto" w:fill="auto"/>
          </w:tcPr>
          <w:p w14:paraId="335284AD"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7FB89EA9" w14:textId="77777777" w:rsidR="009D7AD2" w:rsidRPr="009B4553" w:rsidRDefault="009D7AD2" w:rsidP="009D7AD2">
            <w:pPr>
              <w:pStyle w:val="051Tabletext228pt"/>
              <w:rPr>
                <w:rFonts w:cs="Calibri"/>
              </w:rPr>
            </w:pPr>
            <w:r w:rsidRPr="009B4553">
              <w:rPr>
                <w:rFonts w:cs="Calibri"/>
                <w:color w:val="000000"/>
              </w:rPr>
              <w:t>MC942</w:t>
            </w:r>
          </w:p>
        </w:tc>
        <w:tc>
          <w:tcPr>
            <w:tcW w:w="743" w:type="dxa"/>
            <w:shd w:val="clear" w:color="auto" w:fill="auto"/>
          </w:tcPr>
          <w:p w14:paraId="68ABB3FA"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1E245DF5" w14:textId="77777777" w:rsidR="009D7AD2" w:rsidRPr="009B4553" w:rsidRDefault="009D7AD2" w:rsidP="009D7AD2">
            <w:pPr>
              <w:pStyle w:val="051Tabletext228pt"/>
              <w:rPr>
                <w:rFonts w:cs="Calibri"/>
              </w:rPr>
            </w:pPr>
            <w:r w:rsidRPr="009B4553">
              <w:rPr>
                <w:rFonts w:cs="Calibri"/>
                <w:color w:val="000000"/>
              </w:rPr>
              <w:t>163895</w:t>
            </w:r>
          </w:p>
        </w:tc>
      </w:tr>
      <w:tr w:rsidR="009D7AD2" w:rsidRPr="009B4553" w14:paraId="5D205248" w14:textId="77777777">
        <w:trPr>
          <w:cantSplit/>
        </w:trPr>
        <w:tc>
          <w:tcPr>
            <w:tcW w:w="1362" w:type="dxa"/>
            <w:shd w:val="clear" w:color="auto" w:fill="auto"/>
          </w:tcPr>
          <w:p w14:paraId="3846E462"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12B44B03"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9AE698A" w14:textId="77777777" w:rsidR="009D7AD2" w:rsidRPr="009B4553" w:rsidRDefault="009D7AD2" w:rsidP="009D7AD2">
            <w:pPr>
              <w:pStyle w:val="051Tabletext228pt"/>
              <w:rPr>
                <w:rFonts w:cs="Calibri"/>
              </w:rPr>
            </w:pPr>
            <w:r w:rsidRPr="009B4553">
              <w:rPr>
                <w:rFonts w:cs="Calibri"/>
                <w:color w:val="000000"/>
              </w:rPr>
              <w:t xml:space="preserve">Specify </w:t>
            </w:r>
            <w:proofErr w:type="spellStart"/>
            <w:r w:rsidRPr="009B4553">
              <w:rPr>
                <w:rFonts w:cs="Calibri"/>
                <w:color w:val="000000"/>
              </w:rPr>
              <w:t>SureScan</w:t>
            </w:r>
            <w:proofErr w:type="spellEnd"/>
            <w:r w:rsidRPr="009B4553">
              <w:rPr>
                <w:rFonts w:cs="Calibri"/>
                <w:color w:val="000000"/>
              </w:rPr>
              <w:t xml:space="preserve"> MRI 5-6-5 Lead Kit</w:t>
            </w:r>
          </w:p>
        </w:tc>
        <w:tc>
          <w:tcPr>
            <w:tcW w:w="1559" w:type="dxa"/>
            <w:shd w:val="clear" w:color="auto" w:fill="auto"/>
          </w:tcPr>
          <w:p w14:paraId="2313967F"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418144ED" w14:textId="77777777" w:rsidR="009D7AD2" w:rsidRPr="009B4553" w:rsidRDefault="009D7AD2" w:rsidP="009D7AD2">
            <w:pPr>
              <w:pStyle w:val="051Tabletext228pt"/>
              <w:rPr>
                <w:rFonts w:cs="Calibri"/>
              </w:rPr>
            </w:pPr>
            <w:r w:rsidRPr="009B4553">
              <w:rPr>
                <w:rFonts w:cs="Calibri"/>
                <w:color w:val="000000"/>
              </w:rPr>
              <w:t>MI199</w:t>
            </w:r>
          </w:p>
        </w:tc>
        <w:tc>
          <w:tcPr>
            <w:tcW w:w="743" w:type="dxa"/>
            <w:shd w:val="clear" w:color="auto" w:fill="auto"/>
          </w:tcPr>
          <w:p w14:paraId="173E1A2E"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447F27A2" w14:textId="77777777" w:rsidR="009D7AD2" w:rsidRPr="009B4553" w:rsidRDefault="009D7AD2" w:rsidP="009D7AD2">
            <w:pPr>
              <w:pStyle w:val="051Tabletext228pt"/>
              <w:rPr>
                <w:rFonts w:cs="Calibri"/>
              </w:rPr>
            </w:pPr>
            <w:r w:rsidRPr="009B4553">
              <w:rPr>
                <w:rFonts w:cs="Calibri"/>
                <w:color w:val="000000"/>
              </w:rPr>
              <w:t>280179</w:t>
            </w:r>
          </w:p>
        </w:tc>
      </w:tr>
      <w:tr w:rsidR="009D7AD2" w:rsidRPr="009B4553" w14:paraId="5EAFB4F3" w14:textId="77777777">
        <w:trPr>
          <w:cantSplit/>
        </w:trPr>
        <w:tc>
          <w:tcPr>
            <w:tcW w:w="1362" w:type="dxa"/>
            <w:shd w:val="clear" w:color="auto" w:fill="auto"/>
          </w:tcPr>
          <w:p w14:paraId="3C018B98"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2550E3A"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340F8FE7" w14:textId="77777777" w:rsidR="009D7AD2" w:rsidRPr="009B4553" w:rsidRDefault="009D7AD2" w:rsidP="009D7AD2">
            <w:pPr>
              <w:pStyle w:val="051Tabletext228pt"/>
              <w:rPr>
                <w:rFonts w:cs="Calibri"/>
              </w:rPr>
            </w:pPr>
            <w:r w:rsidRPr="009B4553">
              <w:rPr>
                <w:rFonts w:cs="Calibri"/>
                <w:color w:val="000000"/>
              </w:rPr>
              <w:t xml:space="preserve">Specify </w:t>
            </w:r>
            <w:proofErr w:type="spellStart"/>
            <w:r w:rsidRPr="009B4553">
              <w:rPr>
                <w:rFonts w:cs="Calibri"/>
                <w:color w:val="000000"/>
              </w:rPr>
              <w:t>SureScan</w:t>
            </w:r>
            <w:proofErr w:type="spellEnd"/>
            <w:r w:rsidRPr="009B4553">
              <w:rPr>
                <w:rFonts w:cs="Calibri"/>
                <w:color w:val="000000"/>
              </w:rPr>
              <w:t xml:space="preserve"> MRI 2x8 Surgical Lead Kit</w:t>
            </w:r>
          </w:p>
        </w:tc>
        <w:tc>
          <w:tcPr>
            <w:tcW w:w="1559" w:type="dxa"/>
            <w:shd w:val="clear" w:color="auto" w:fill="auto"/>
          </w:tcPr>
          <w:p w14:paraId="541059AC"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124D03A3" w14:textId="77777777" w:rsidR="009D7AD2" w:rsidRPr="009B4553" w:rsidRDefault="009D7AD2" w:rsidP="009D7AD2">
            <w:pPr>
              <w:pStyle w:val="051Tabletext228pt"/>
              <w:rPr>
                <w:rFonts w:cs="Calibri"/>
              </w:rPr>
            </w:pPr>
            <w:r w:rsidRPr="009B4553">
              <w:rPr>
                <w:rFonts w:cs="Calibri"/>
                <w:color w:val="000000"/>
              </w:rPr>
              <w:t>MI209</w:t>
            </w:r>
          </w:p>
        </w:tc>
        <w:tc>
          <w:tcPr>
            <w:tcW w:w="743" w:type="dxa"/>
            <w:shd w:val="clear" w:color="auto" w:fill="auto"/>
          </w:tcPr>
          <w:p w14:paraId="2F914A20"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73D57328" w14:textId="77777777" w:rsidR="009D7AD2" w:rsidRPr="009B4553" w:rsidRDefault="009D7AD2" w:rsidP="009D7AD2">
            <w:pPr>
              <w:pStyle w:val="051Tabletext228pt"/>
              <w:rPr>
                <w:rFonts w:cs="Calibri"/>
              </w:rPr>
            </w:pPr>
            <w:r w:rsidRPr="009B4553">
              <w:rPr>
                <w:rFonts w:cs="Calibri"/>
                <w:color w:val="000000"/>
              </w:rPr>
              <w:t>280180</w:t>
            </w:r>
          </w:p>
        </w:tc>
      </w:tr>
      <w:tr w:rsidR="009D7AD2" w:rsidRPr="009B4553" w14:paraId="458F59DE" w14:textId="77777777">
        <w:trPr>
          <w:cantSplit/>
        </w:trPr>
        <w:tc>
          <w:tcPr>
            <w:tcW w:w="1362" w:type="dxa"/>
            <w:shd w:val="clear" w:color="auto" w:fill="auto"/>
          </w:tcPr>
          <w:p w14:paraId="15BDAC04"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87CD1D9"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578B34BE" w14:textId="77777777" w:rsidR="009D7AD2" w:rsidRPr="009B4553" w:rsidRDefault="009D7AD2" w:rsidP="009D7AD2">
            <w:pPr>
              <w:pStyle w:val="051Tabletext228pt"/>
              <w:rPr>
                <w:rFonts w:cs="Calibri"/>
              </w:rPr>
            </w:pPr>
            <w:proofErr w:type="spellStart"/>
            <w:r w:rsidRPr="009B4553">
              <w:rPr>
                <w:rFonts w:cs="Calibri"/>
              </w:rPr>
              <w:t>Lamitrode</w:t>
            </w:r>
            <w:proofErr w:type="spellEnd"/>
            <w:r w:rsidRPr="009B4553">
              <w:rPr>
                <w:rFonts w:cs="Calibri"/>
              </w:rPr>
              <w:t xml:space="preserve"> Lead - </w:t>
            </w:r>
            <w:proofErr w:type="spellStart"/>
            <w:r w:rsidRPr="009B4553">
              <w:rPr>
                <w:rFonts w:cs="Calibri"/>
              </w:rPr>
              <w:t>Tripole</w:t>
            </w:r>
            <w:proofErr w:type="spellEnd"/>
            <w:r w:rsidRPr="009B4553">
              <w:rPr>
                <w:rFonts w:cs="Calibri"/>
              </w:rPr>
              <w:t xml:space="preserve"> 16C</w:t>
            </w:r>
          </w:p>
        </w:tc>
        <w:tc>
          <w:tcPr>
            <w:tcW w:w="1559" w:type="dxa"/>
            <w:shd w:val="clear" w:color="auto" w:fill="auto"/>
          </w:tcPr>
          <w:p w14:paraId="12733EBC"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6A3A6060" w14:textId="77777777" w:rsidR="009D7AD2" w:rsidRPr="009B4553" w:rsidRDefault="009D7AD2" w:rsidP="009D7AD2">
            <w:pPr>
              <w:pStyle w:val="051Tabletext228pt"/>
              <w:rPr>
                <w:rFonts w:cs="Calibri"/>
              </w:rPr>
            </w:pPr>
            <w:r w:rsidRPr="009B4553">
              <w:rPr>
                <w:rFonts w:cs="Calibri"/>
                <w:color w:val="000000"/>
              </w:rPr>
              <w:t>SJ138</w:t>
            </w:r>
          </w:p>
        </w:tc>
        <w:tc>
          <w:tcPr>
            <w:tcW w:w="743" w:type="dxa"/>
            <w:shd w:val="clear" w:color="auto" w:fill="auto"/>
          </w:tcPr>
          <w:p w14:paraId="5C9037E9"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23BDDB36" w14:textId="77777777" w:rsidR="009D7AD2" w:rsidRPr="009B4553" w:rsidRDefault="009D7AD2" w:rsidP="009D7AD2">
            <w:pPr>
              <w:pStyle w:val="051Tabletext228pt"/>
              <w:rPr>
                <w:rFonts w:cs="Calibri"/>
              </w:rPr>
            </w:pPr>
            <w:r w:rsidRPr="009B4553">
              <w:rPr>
                <w:rFonts w:cs="Calibri"/>
                <w:color w:val="000000"/>
              </w:rPr>
              <w:t>155013</w:t>
            </w:r>
          </w:p>
        </w:tc>
      </w:tr>
      <w:tr w:rsidR="009D7AD2" w:rsidRPr="009B4553" w14:paraId="1277FC34" w14:textId="77777777">
        <w:trPr>
          <w:cantSplit/>
        </w:trPr>
        <w:tc>
          <w:tcPr>
            <w:tcW w:w="1362" w:type="dxa"/>
            <w:shd w:val="clear" w:color="auto" w:fill="auto"/>
          </w:tcPr>
          <w:p w14:paraId="27777CC8"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DFAC40C"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083FCD77" w14:textId="77777777" w:rsidR="009D7AD2" w:rsidRPr="009B4553" w:rsidRDefault="009D7AD2" w:rsidP="009D7AD2">
            <w:pPr>
              <w:pStyle w:val="051Tabletext228pt"/>
              <w:rPr>
                <w:rFonts w:cs="Calibri"/>
              </w:rPr>
            </w:pPr>
            <w:r w:rsidRPr="009B4553">
              <w:rPr>
                <w:rFonts w:cs="Calibri"/>
              </w:rPr>
              <w:t>ANS Spinal Cord Stimulation System (SCS)</w:t>
            </w:r>
          </w:p>
        </w:tc>
        <w:tc>
          <w:tcPr>
            <w:tcW w:w="1559" w:type="dxa"/>
            <w:shd w:val="clear" w:color="auto" w:fill="auto"/>
          </w:tcPr>
          <w:p w14:paraId="12B9FE30"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04593482" w14:textId="77777777" w:rsidR="009D7AD2" w:rsidRPr="009B4553" w:rsidRDefault="009D7AD2" w:rsidP="009D7AD2">
            <w:pPr>
              <w:pStyle w:val="051Tabletext228pt"/>
              <w:rPr>
                <w:rFonts w:cs="Calibri"/>
              </w:rPr>
            </w:pPr>
            <w:r w:rsidRPr="009B4553">
              <w:rPr>
                <w:rFonts w:cs="Calibri"/>
                <w:color w:val="000000"/>
              </w:rPr>
              <w:t>SJ169</w:t>
            </w:r>
          </w:p>
        </w:tc>
        <w:tc>
          <w:tcPr>
            <w:tcW w:w="743" w:type="dxa"/>
            <w:shd w:val="clear" w:color="auto" w:fill="auto"/>
          </w:tcPr>
          <w:p w14:paraId="6D401420"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4E50F29B" w14:textId="77777777" w:rsidR="009D7AD2" w:rsidRPr="009B4553" w:rsidRDefault="009D7AD2" w:rsidP="009D7AD2">
            <w:pPr>
              <w:pStyle w:val="051Tabletext228pt"/>
              <w:rPr>
                <w:rFonts w:cs="Calibri"/>
              </w:rPr>
            </w:pPr>
            <w:r w:rsidRPr="009B4553">
              <w:rPr>
                <w:rFonts w:cs="Calibri"/>
                <w:color w:val="000000"/>
              </w:rPr>
              <w:t>126004</w:t>
            </w:r>
          </w:p>
        </w:tc>
      </w:tr>
      <w:tr w:rsidR="009D7AD2" w:rsidRPr="009B4553" w14:paraId="45B85394" w14:textId="77777777">
        <w:trPr>
          <w:cantSplit/>
        </w:trPr>
        <w:tc>
          <w:tcPr>
            <w:tcW w:w="1362" w:type="dxa"/>
            <w:shd w:val="clear" w:color="auto" w:fill="auto"/>
          </w:tcPr>
          <w:p w14:paraId="20130CD7"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15E0658E"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5CA4BD12" w14:textId="77777777" w:rsidR="009D7AD2" w:rsidRPr="009B4553" w:rsidRDefault="009D7AD2" w:rsidP="009D7AD2">
            <w:pPr>
              <w:pStyle w:val="051Tabletext228pt"/>
              <w:rPr>
                <w:rFonts w:cs="Calibri"/>
              </w:rPr>
            </w:pPr>
            <w:r w:rsidRPr="009B4553">
              <w:rPr>
                <w:rFonts w:cs="Calibri"/>
              </w:rPr>
              <w:t xml:space="preserve">Evoke 12C Percutaneous Lead Kit </w:t>
            </w:r>
          </w:p>
        </w:tc>
        <w:tc>
          <w:tcPr>
            <w:tcW w:w="1559" w:type="dxa"/>
            <w:shd w:val="clear" w:color="auto" w:fill="auto"/>
          </w:tcPr>
          <w:p w14:paraId="36F63621" w14:textId="77777777" w:rsidR="009D7AD2" w:rsidRPr="009B4553" w:rsidRDefault="009D7AD2" w:rsidP="009D7AD2">
            <w:pPr>
              <w:pStyle w:val="051Tabletext228pt"/>
              <w:rPr>
                <w:rFonts w:cs="Calibri"/>
              </w:rPr>
            </w:pPr>
            <w:r w:rsidRPr="009B4553">
              <w:rPr>
                <w:rFonts w:cs="Calibri"/>
                <w:color w:val="000000"/>
              </w:rPr>
              <w:t>SALUDA MEDICAL PTY LIMITED</w:t>
            </w:r>
          </w:p>
        </w:tc>
        <w:tc>
          <w:tcPr>
            <w:tcW w:w="1100" w:type="dxa"/>
            <w:shd w:val="clear" w:color="auto" w:fill="auto"/>
          </w:tcPr>
          <w:p w14:paraId="1E875A9F" w14:textId="77777777" w:rsidR="009D7AD2" w:rsidRPr="009B4553" w:rsidRDefault="009D7AD2" w:rsidP="009D7AD2">
            <w:pPr>
              <w:pStyle w:val="051Tabletext228pt"/>
              <w:rPr>
                <w:rFonts w:cs="Calibri"/>
              </w:rPr>
            </w:pPr>
            <w:r w:rsidRPr="009B4553">
              <w:rPr>
                <w:rFonts w:cs="Calibri"/>
                <w:color w:val="000000"/>
              </w:rPr>
              <w:t>UY009</w:t>
            </w:r>
          </w:p>
        </w:tc>
        <w:tc>
          <w:tcPr>
            <w:tcW w:w="743" w:type="dxa"/>
            <w:shd w:val="clear" w:color="auto" w:fill="auto"/>
          </w:tcPr>
          <w:p w14:paraId="49AC35F1" w14:textId="77777777" w:rsidR="009D7AD2" w:rsidRPr="009B4553" w:rsidRDefault="009D7AD2" w:rsidP="009D7AD2">
            <w:pPr>
              <w:pStyle w:val="051Tabletext228pt"/>
              <w:rPr>
                <w:rFonts w:cs="Calibri"/>
              </w:rPr>
            </w:pPr>
            <w:r w:rsidRPr="009B4553">
              <w:rPr>
                <w:rFonts w:cs="Calibri"/>
                <w:color w:val="000000"/>
              </w:rPr>
              <w:t>$6,895</w:t>
            </w:r>
          </w:p>
        </w:tc>
        <w:tc>
          <w:tcPr>
            <w:tcW w:w="707" w:type="dxa"/>
            <w:shd w:val="clear" w:color="auto" w:fill="auto"/>
          </w:tcPr>
          <w:p w14:paraId="6E9E3085" w14:textId="77777777" w:rsidR="009D7AD2" w:rsidRPr="009B4553" w:rsidRDefault="009D7AD2" w:rsidP="009D7AD2">
            <w:pPr>
              <w:pStyle w:val="051Tabletext228pt"/>
              <w:rPr>
                <w:rFonts w:cs="Calibri"/>
              </w:rPr>
            </w:pPr>
            <w:r w:rsidRPr="009B4553">
              <w:rPr>
                <w:rFonts w:cs="Calibri"/>
                <w:color w:val="000000"/>
              </w:rPr>
              <w:t>336573</w:t>
            </w:r>
          </w:p>
        </w:tc>
      </w:tr>
      <w:tr w:rsidR="009D7AD2" w:rsidRPr="009B4553" w14:paraId="3FB67044" w14:textId="77777777">
        <w:trPr>
          <w:cantSplit/>
        </w:trPr>
        <w:tc>
          <w:tcPr>
            <w:tcW w:w="1362" w:type="dxa"/>
            <w:shd w:val="clear" w:color="auto" w:fill="auto"/>
          </w:tcPr>
          <w:p w14:paraId="4B6B38F2"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6B747022"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6CFEA87B" w14:textId="77777777" w:rsidR="009D7AD2" w:rsidRPr="009B4553" w:rsidRDefault="009D7AD2" w:rsidP="009D7AD2">
            <w:pPr>
              <w:pStyle w:val="051Tabletext228pt"/>
              <w:rPr>
                <w:rFonts w:cs="Calibri"/>
              </w:rPr>
            </w:pPr>
            <w:proofErr w:type="spellStart"/>
            <w:r w:rsidRPr="009B4553">
              <w:rPr>
                <w:rFonts w:cs="Calibri"/>
              </w:rPr>
              <w:t>Infinion</w:t>
            </w:r>
            <w:proofErr w:type="spellEnd"/>
            <w:r w:rsidRPr="009B4553">
              <w:rPr>
                <w:rFonts w:cs="Calibri"/>
              </w:rPr>
              <w:t xml:space="preserve"> CX Lead</w:t>
            </w:r>
          </w:p>
        </w:tc>
        <w:tc>
          <w:tcPr>
            <w:tcW w:w="1559" w:type="dxa"/>
            <w:shd w:val="clear" w:color="auto" w:fill="auto"/>
          </w:tcPr>
          <w:p w14:paraId="009278B0" w14:textId="77777777" w:rsidR="009D7AD2" w:rsidRPr="009B4553" w:rsidRDefault="009D7AD2" w:rsidP="009D7AD2">
            <w:pPr>
              <w:pStyle w:val="051Tabletext228pt"/>
              <w:rPr>
                <w:rFonts w:cs="Calibri"/>
              </w:rPr>
            </w:pPr>
            <w:r w:rsidRPr="009B4553">
              <w:rPr>
                <w:rFonts w:cs="Calibri"/>
                <w:color w:val="000000"/>
              </w:rPr>
              <w:t>Boston Scientific Australia Pty Ltd</w:t>
            </w:r>
          </w:p>
        </w:tc>
        <w:tc>
          <w:tcPr>
            <w:tcW w:w="1100" w:type="dxa"/>
            <w:shd w:val="clear" w:color="auto" w:fill="auto"/>
          </w:tcPr>
          <w:p w14:paraId="0E2CB11C" w14:textId="77777777" w:rsidR="009D7AD2" w:rsidRPr="009B4553" w:rsidRDefault="009D7AD2" w:rsidP="009D7AD2">
            <w:pPr>
              <w:pStyle w:val="051Tabletext228pt"/>
              <w:rPr>
                <w:rFonts w:cs="Calibri"/>
              </w:rPr>
            </w:pPr>
            <w:r w:rsidRPr="009B4553">
              <w:rPr>
                <w:rFonts w:cs="Calibri"/>
                <w:color w:val="000000"/>
              </w:rPr>
              <w:t>BS312</w:t>
            </w:r>
          </w:p>
        </w:tc>
        <w:tc>
          <w:tcPr>
            <w:tcW w:w="743" w:type="dxa"/>
            <w:shd w:val="clear" w:color="auto" w:fill="auto"/>
          </w:tcPr>
          <w:p w14:paraId="6393495A" w14:textId="77777777" w:rsidR="009D7AD2" w:rsidRPr="009B4553" w:rsidRDefault="009D7AD2" w:rsidP="009D7AD2">
            <w:pPr>
              <w:pStyle w:val="051Tabletext228pt"/>
              <w:rPr>
                <w:rFonts w:cs="Calibri"/>
              </w:rPr>
            </w:pPr>
            <w:r w:rsidRPr="009B4553">
              <w:rPr>
                <w:rFonts w:cs="Calibri"/>
                <w:color w:val="000000"/>
              </w:rPr>
              <w:t>$8,123</w:t>
            </w:r>
          </w:p>
        </w:tc>
        <w:tc>
          <w:tcPr>
            <w:tcW w:w="707" w:type="dxa"/>
            <w:shd w:val="clear" w:color="auto" w:fill="auto"/>
          </w:tcPr>
          <w:p w14:paraId="2471E04B" w14:textId="77777777" w:rsidR="009D7AD2" w:rsidRPr="009B4553" w:rsidRDefault="009D7AD2" w:rsidP="009D7AD2">
            <w:pPr>
              <w:pStyle w:val="051Tabletext228pt"/>
              <w:rPr>
                <w:rFonts w:cs="Calibri"/>
              </w:rPr>
            </w:pPr>
            <w:r w:rsidRPr="009B4553">
              <w:rPr>
                <w:rFonts w:cs="Calibri"/>
                <w:color w:val="000000"/>
              </w:rPr>
              <w:t>275241</w:t>
            </w:r>
          </w:p>
        </w:tc>
      </w:tr>
      <w:tr w:rsidR="009D7AD2" w:rsidRPr="009B4553" w14:paraId="5BE689A8" w14:textId="77777777">
        <w:trPr>
          <w:cantSplit/>
        </w:trPr>
        <w:tc>
          <w:tcPr>
            <w:tcW w:w="1362" w:type="dxa"/>
            <w:shd w:val="clear" w:color="auto" w:fill="auto"/>
          </w:tcPr>
          <w:p w14:paraId="54FDC46F"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665A719"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24C83C94" w14:textId="77777777" w:rsidR="009D7AD2" w:rsidRPr="009B4553" w:rsidRDefault="009D7AD2" w:rsidP="009D7AD2">
            <w:pPr>
              <w:pStyle w:val="051Tabletext228pt"/>
              <w:rPr>
                <w:rFonts w:cs="Calibri"/>
              </w:rPr>
            </w:pPr>
            <w:r w:rsidRPr="009B4553">
              <w:rPr>
                <w:rFonts w:cs="Calibri"/>
              </w:rPr>
              <w:t>Surpass Surgical Lead</w:t>
            </w:r>
          </w:p>
        </w:tc>
        <w:tc>
          <w:tcPr>
            <w:tcW w:w="1559" w:type="dxa"/>
            <w:shd w:val="clear" w:color="auto" w:fill="auto"/>
          </w:tcPr>
          <w:p w14:paraId="30C8D315" w14:textId="77777777" w:rsidR="009D7AD2" w:rsidRPr="009B4553" w:rsidRDefault="009D7AD2" w:rsidP="009D7AD2">
            <w:pPr>
              <w:pStyle w:val="051Tabletext228pt"/>
              <w:rPr>
                <w:rFonts w:cs="Calibri"/>
              </w:rPr>
            </w:pPr>
            <w:r w:rsidRPr="009B4553">
              <w:rPr>
                <w:rFonts w:cs="Calibri"/>
                <w:color w:val="000000"/>
              </w:rPr>
              <w:t>Emergo Asia Pacific Pty Ltd</w:t>
            </w:r>
          </w:p>
        </w:tc>
        <w:tc>
          <w:tcPr>
            <w:tcW w:w="1100" w:type="dxa"/>
            <w:shd w:val="clear" w:color="auto" w:fill="auto"/>
          </w:tcPr>
          <w:p w14:paraId="235693E3" w14:textId="77777777" w:rsidR="009D7AD2" w:rsidRPr="009B4553" w:rsidRDefault="009D7AD2" w:rsidP="009D7AD2">
            <w:pPr>
              <w:pStyle w:val="051Tabletext228pt"/>
              <w:rPr>
                <w:rFonts w:cs="Calibri"/>
              </w:rPr>
            </w:pPr>
            <w:r w:rsidRPr="009B4553">
              <w:rPr>
                <w:rFonts w:cs="Calibri"/>
                <w:color w:val="000000"/>
              </w:rPr>
              <w:t>ER388</w:t>
            </w:r>
          </w:p>
        </w:tc>
        <w:tc>
          <w:tcPr>
            <w:tcW w:w="743" w:type="dxa"/>
            <w:shd w:val="clear" w:color="auto" w:fill="auto"/>
          </w:tcPr>
          <w:p w14:paraId="4B743B57" w14:textId="77777777" w:rsidR="009D7AD2" w:rsidRPr="009B4553" w:rsidRDefault="009D7AD2" w:rsidP="009D7AD2">
            <w:pPr>
              <w:pStyle w:val="051Tabletext228pt"/>
              <w:rPr>
                <w:rFonts w:cs="Calibri"/>
              </w:rPr>
            </w:pPr>
            <w:r w:rsidRPr="009B4553">
              <w:rPr>
                <w:rFonts w:cs="Calibri"/>
                <w:color w:val="000000"/>
              </w:rPr>
              <w:t>$8,123</w:t>
            </w:r>
          </w:p>
        </w:tc>
        <w:tc>
          <w:tcPr>
            <w:tcW w:w="707" w:type="dxa"/>
            <w:shd w:val="clear" w:color="auto" w:fill="auto"/>
          </w:tcPr>
          <w:p w14:paraId="45154435" w14:textId="77777777" w:rsidR="009D7AD2" w:rsidRPr="009B4553" w:rsidRDefault="009D7AD2" w:rsidP="009D7AD2">
            <w:pPr>
              <w:pStyle w:val="051Tabletext228pt"/>
              <w:rPr>
                <w:rFonts w:cs="Calibri"/>
              </w:rPr>
            </w:pPr>
            <w:r w:rsidRPr="009B4553">
              <w:rPr>
                <w:rFonts w:cs="Calibri"/>
                <w:color w:val="000000"/>
              </w:rPr>
              <w:t>284256</w:t>
            </w:r>
          </w:p>
        </w:tc>
      </w:tr>
      <w:tr w:rsidR="009D7AD2" w:rsidRPr="009B4553" w14:paraId="37BF8403" w14:textId="77777777">
        <w:trPr>
          <w:cantSplit/>
        </w:trPr>
        <w:tc>
          <w:tcPr>
            <w:tcW w:w="1362" w:type="dxa"/>
            <w:shd w:val="clear" w:color="auto" w:fill="auto"/>
          </w:tcPr>
          <w:p w14:paraId="363BDB28"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3153614D"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66C8A3A8" w14:textId="77777777" w:rsidR="009D7AD2" w:rsidRPr="009B4553" w:rsidRDefault="009D7AD2" w:rsidP="009D7AD2">
            <w:pPr>
              <w:pStyle w:val="051Tabletext228pt"/>
              <w:rPr>
                <w:rFonts w:cs="Calibri"/>
              </w:rPr>
            </w:pPr>
            <w:r w:rsidRPr="009B4553">
              <w:rPr>
                <w:rFonts w:cs="Calibri"/>
              </w:rPr>
              <w:t>Surpass-C Surgical Lead</w:t>
            </w:r>
          </w:p>
        </w:tc>
        <w:tc>
          <w:tcPr>
            <w:tcW w:w="1559" w:type="dxa"/>
            <w:shd w:val="clear" w:color="auto" w:fill="auto"/>
          </w:tcPr>
          <w:p w14:paraId="3A3B5852" w14:textId="77777777" w:rsidR="009D7AD2" w:rsidRPr="009B4553" w:rsidRDefault="009D7AD2" w:rsidP="009D7AD2">
            <w:pPr>
              <w:pStyle w:val="051Tabletext228pt"/>
              <w:rPr>
                <w:rFonts w:cs="Calibri"/>
              </w:rPr>
            </w:pPr>
            <w:r w:rsidRPr="009B4553">
              <w:rPr>
                <w:rFonts w:cs="Calibri"/>
                <w:color w:val="000000"/>
              </w:rPr>
              <w:t>Emergo Asia Pacific Pty Ltd</w:t>
            </w:r>
          </w:p>
        </w:tc>
        <w:tc>
          <w:tcPr>
            <w:tcW w:w="1100" w:type="dxa"/>
            <w:shd w:val="clear" w:color="auto" w:fill="auto"/>
          </w:tcPr>
          <w:p w14:paraId="11B81809" w14:textId="77777777" w:rsidR="009D7AD2" w:rsidRPr="009B4553" w:rsidRDefault="009D7AD2" w:rsidP="009D7AD2">
            <w:pPr>
              <w:pStyle w:val="051Tabletext228pt"/>
              <w:rPr>
                <w:rFonts w:cs="Calibri"/>
              </w:rPr>
            </w:pPr>
            <w:r w:rsidRPr="009B4553">
              <w:rPr>
                <w:rFonts w:cs="Calibri"/>
                <w:color w:val="000000"/>
              </w:rPr>
              <w:t>ER607</w:t>
            </w:r>
          </w:p>
        </w:tc>
        <w:tc>
          <w:tcPr>
            <w:tcW w:w="743" w:type="dxa"/>
            <w:shd w:val="clear" w:color="auto" w:fill="auto"/>
          </w:tcPr>
          <w:p w14:paraId="5E7EC75E" w14:textId="77777777" w:rsidR="009D7AD2" w:rsidRPr="009B4553" w:rsidRDefault="009D7AD2" w:rsidP="009D7AD2">
            <w:pPr>
              <w:pStyle w:val="051Tabletext228pt"/>
              <w:rPr>
                <w:rFonts w:cs="Calibri"/>
              </w:rPr>
            </w:pPr>
            <w:r w:rsidRPr="009B4553">
              <w:rPr>
                <w:rFonts w:cs="Calibri"/>
                <w:color w:val="000000"/>
              </w:rPr>
              <w:t>$8,123</w:t>
            </w:r>
          </w:p>
        </w:tc>
        <w:tc>
          <w:tcPr>
            <w:tcW w:w="707" w:type="dxa"/>
            <w:shd w:val="clear" w:color="auto" w:fill="auto"/>
          </w:tcPr>
          <w:p w14:paraId="40B34088" w14:textId="77777777" w:rsidR="009D7AD2" w:rsidRPr="009B4553" w:rsidRDefault="009D7AD2" w:rsidP="009D7AD2">
            <w:pPr>
              <w:pStyle w:val="051Tabletext228pt"/>
              <w:rPr>
                <w:rFonts w:cs="Calibri"/>
              </w:rPr>
            </w:pPr>
            <w:r w:rsidRPr="009B4553">
              <w:rPr>
                <w:rFonts w:cs="Calibri"/>
                <w:color w:val="000000"/>
              </w:rPr>
              <w:t>368530</w:t>
            </w:r>
          </w:p>
        </w:tc>
      </w:tr>
      <w:tr w:rsidR="009D7AD2" w:rsidRPr="009B4553" w14:paraId="29D63522" w14:textId="77777777">
        <w:trPr>
          <w:cantSplit/>
        </w:trPr>
        <w:tc>
          <w:tcPr>
            <w:tcW w:w="1362" w:type="dxa"/>
            <w:shd w:val="clear" w:color="auto" w:fill="auto"/>
          </w:tcPr>
          <w:p w14:paraId="4938426D"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0E59398D" w14:textId="77777777" w:rsidR="009D7AD2" w:rsidRPr="009B4553" w:rsidRDefault="009D7AD2" w:rsidP="009D7AD2">
            <w:pPr>
              <w:pStyle w:val="051Tabletext228pt"/>
              <w:rPr>
                <w:rFonts w:cs="Calibri"/>
              </w:rPr>
            </w:pPr>
            <w:r w:rsidRPr="009B4553">
              <w:rPr>
                <w:rFonts w:cs="Calibri"/>
                <w:color w:val="000000"/>
              </w:rPr>
              <w:t>04.05.03.01 - Permanent Lead</w:t>
            </w:r>
          </w:p>
        </w:tc>
        <w:tc>
          <w:tcPr>
            <w:tcW w:w="1843" w:type="dxa"/>
            <w:shd w:val="clear" w:color="auto" w:fill="auto"/>
          </w:tcPr>
          <w:p w14:paraId="1001838F" w14:textId="77777777" w:rsidR="009D7AD2" w:rsidRPr="009B4553" w:rsidRDefault="009D7AD2" w:rsidP="009D7AD2">
            <w:pPr>
              <w:pStyle w:val="051Tabletext228pt"/>
              <w:rPr>
                <w:rFonts w:cs="Calibri"/>
              </w:rPr>
            </w:pPr>
            <w:r w:rsidRPr="009B4553">
              <w:rPr>
                <w:rFonts w:cs="Calibri"/>
              </w:rPr>
              <w:t>Penta Leads</w:t>
            </w:r>
          </w:p>
        </w:tc>
        <w:tc>
          <w:tcPr>
            <w:tcW w:w="1559" w:type="dxa"/>
            <w:shd w:val="clear" w:color="auto" w:fill="auto"/>
          </w:tcPr>
          <w:p w14:paraId="2520B44E" w14:textId="77777777" w:rsidR="009D7AD2" w:rsidRPr="009B4553" w:rsidRDefault="009D7AD2" w:rsidP="009D7AD2">
            <w:pPr>
              <w:pStyle w:val="051Tabletext228pt"/>
              <w:rPr>
                <w:rFonts w:cs="Calibri"/>
              </w:rPr>
            </w:pPr>
            <w:r w:rsidRPr="009B4553">
              <w:rPr>
                <w:rFonts w:cs="Calibri"/>
                <w:color w:val="000000"/>
              </w:rPr>
              <w:t>ABBOTT MEDICAL AUSTRALIA PTY LTD.</w:t>
            </w:r>
          </w:p>
        </w:tc>
        <w:tc>
          <w:tcPr>
            <w:tcW w:w="1100" w:type="dxa"/>
            <w:shd w:val="clear" w:color="auto" w:fill="auto"/>
          </w:tcPr>
          <w:p w14:paraId="72B1E661" w14:textId="77777777" w:rsidR="009D7AD2" w:rsidRPr="009B4553" w:rsidRDefault="009D7AD2" w:rsidP="009D7AD2">
            <w:pPr>
              <w:pStyle w:val="051Tabletext228pt"/>
              <w:rPr>
                <w:rFonts w:cs="Calibri"/>
              </w:rPr>
            </w:pPr>
            <w:r w:rsidRPr="009B4553">
              <w:rPr>
                <w:rFonts w:cs="Calibri"/>
                <w:color w:val="000000"/>
              </w:rPr>
              <w:t>SJ231</w:t>
            </w:r>
          </w:p>
        </w:tc>
        <w:tc>
          <w:tcPr>
            <w:tcW w:w="743" w:type="dxa"/>
            <w:shd w:val="clear" w:color="auto" w:fill="auto"/>
          </w:tcPr>
          <w:p w14:paraId="2DE01379" w14:textId="77777777" w:rsidR="009D7AD2" w:rsidRPr="009B4553" w:rsidRDefault="009D7AD2" w:rsidP="009D7AD2">
            <w:pPr>
              <w:pStyle w:val="051Tabletext228pt"/>
              <w:rPr>
                <w:rFonts w:cs="Calibri"/>
              </w:rPr>
            </w:pPr>
            <w:r w:rsidRPr="009B4553">
              <w:rPr>
                <w:rFonts w:cs="Calibri"/>
                <w:color w:val="000000"/>
              </w:rPr>
              <w:t>$8,123</w:t>
            </w:r>
          </w:p>
        </w:tc>
        <w:tc>
          <w:tcPr>
            <w:tcW w:w="707" w:type="dxa"/>
            <w:shd w:val="clear" w:color="auto" w:fill="auto"/>
          </w:tcPr>
          <w:p w14:paraId="0857C2BB" w14:textId="77777777" w:rsidR="009D7AD2" w:rsidRPr="009B4553" w:rsidRDefault="009D7AD2" w:rsidP="009D7AD2">
            <w:pPr>
              <w:pStyle w:val="051Tabletext228pt"/>
              <w:rPr>
                <w:rFonts w:cs="Calibri"/>
              </w:rPr>
            </w:pPr>
            <w:r w:rsidRPr="009B4553">
              <w:rPr>
                <w:rFonts w:cs="Calibri"/>
                <w:color w:val="000000"/>
              </w:rPr>
              <w:t>170450</w:t>
            </w:r>
          </w:p>
        </w:tc>
      </w:tr>
      <w:tr w:rsidR="009D7AD2" w:rsidRPr="009B4553" w14:paraId="3FFB6DD0" w14:textId="77777777">
        <w:trPr>
          <w:cantSplit/>
        </w:trPr>
        <w:tc>
          <w:tcPr>
            <w:tcW w:w="1362" w:type="dxa"/>
            <w:shd w:val="clear" w:color="auto" w:fill="auto"/>
          </w:tcPr>
          <w:p w14:paraId="19C131D8"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23A1F2CD" w14:textId="77777777" w:rsidR="009D7AD2" w:rsidRPr="009B4553" w:rsidRDefault="009D7AD2" w:rsidP="009D7AD2">
            <w:pPr>
              <w:pStyle w:val="051Tabletext228pt"/>
              <w:rPr>
                <w:rFonts w:cs="Calibri"/>
              </w:rPr>
            </w:pPr>
            <w:r w:rsidRPr="009B4553">
              <w:rPr>
                <w:rFonts w:cs="Calibri"/>
                <w:color w:val="000000"/>
              </w:rPr>
              <w:t>04.05.03.02 - Trial Lead</w:t>
            </w:r>
          </w:p>
        </w:tc>
        <w:tc>
          <w:tcPr>
            <w:tcW w:w="1843" w:type="dxa"/>
            <w:shd w:val="clear" w:color="auto" w:fill="auto"/>
          </w:tcPr>
          <w:p w14:paraId="16EC7951" w14:textId="77777777" w:rsidR="009D7AD2" w:rsidRPr="009B4553" w:rsidRDefault="009D7AD2" w:rsidP="009D7AD2">
            <w:pPr>
              <w:pStyle w:val="051Tabletext228pt"/>
              <w:rPr>
                <w:rFonts w:cs="Calibri"/>
              </w:rPr>
            </w:pPr>
            <w:r w:rsidRPr="009B4553">
              <w:rPr>
                <w:rFonts w:cs="Calibri"/>
              </w:rPr>
              <w:t>Precision SCS Lead Blanks</w:t>
            </w:r>
          </w:p>
        </w:tc>
        <w:tc>
          <w:tcPr>
            <w:tcW w:w="1559" w:type="dxa"/>
            <w:shd w:val="clear" w:color="auto" w:fill="auto"/>
          </w:tcPr>
          <w:p w14:paraId="08F6DFE9" w14:textId="77777777" w:rsidR="009D7AD2" w:rsidRPr="009B4553" w:rsidRDefault="009D7AD2" w:rsidP="009D7AD2">
            <w:pPr>
              <w:pStyle w:val="051Tabletext228pt"/>
              <w:rPr>
                <w:rFonts w:cs="Calibri"/>
              </w:rPr>
            </w:pPr>
            <w:r w:rsidRPr="009B4553">
              <w:rPr>
                <w:rFonts w:cs="Calibri"/>
                <w:color w:val="000000"/>
              </w:rPr>
              <w:t>Boston Scientific Australia Pty Ltd</w:t>
            </w:r>
          </w:p>
        </w:tc>
        <w:tc>
          <w:tcPr>
            <w:tcW w:w="1100" w:type="dxa"/>
            <w:shd w:val="clear" w:color="auto" w:fill="auto"/>
          </w:tcPr>
          <w:p w14:paraId="01F8AC10" w14:textId="77777777" w:rsidR="009D7AD2" w:rsidRPr="009B4553" w:rsidRDefault="009D7AD2" w:rsidP="009D7AD2">
            <w:pPr>
              <w:pStyle w:val="051Tabletext228pt"/>
              <w:rPr>
                <w:rFonts w:cs="Calibri"/>
              </w:rPr>
            </w:pPr>
            <w:r w:rsidRPr="009B4553">
              <w:rPr>
                <w:rFonts w:cs="Calibri"/>
                <w:color w:val="000000"/>
              </w:rPr>
              <w:t>BS118</w:t>
            </w:r>
          </w:p>
        </w:tc>
        <w:tc>
          <w:tcPr>
            <w:tcW w:w="743" w:type="dxa"/>
            <w:shd w:val="clear" w:color="auto" w:fill="auto"/>
          </w:tcPr>
          <w:p w14:paraId="3BEDA10D" w14:textId="77777777" w:rsidR="009D7AD2" w:rsidRPr="009B4553" w:rsidRDefault="009D7AD2" w:rsidP="009D7AD2">
            <w:pPr>
              <w:pStyle w:val="051Tabletext228pt"/>
              <w:rPr>
                <w:rFonts w:cs="Calibri"/>
              </w:rPr>
            </w:pPr>
            <w:r w:rsidRPr="009B4553">
              <w:rPr>
                <w:rFonts w:cs="Calibri"/>
                <w:color w:val="000000"/>
              </w:rPr>
              <w:t>$438</w:t>
            </w:r>
          </w:p>
        </w:tc>
        <w:tc>
          <w:tcPr>
            <w:tcW w:w="707" w:type="dxa"/>
            <w:shd w:val="clear" w:color="auto" w:fill="auto"/>
          </w:tcPr>
          <w:p w14:paraId="26485541" w14:textId="77777777" w:rsidR="009D7AD2" w:rsidRPr="009B4553" w:rsidRDefault="009D7AD2" w:rsidP="009D7AD2">
            <w:pPr>
              <w:pStyle w:val="051Tabletext228pt"/>
              <w:rPr>
                <w:rFonts w:cs="Calibri"/>
              </w:rPr>
            </w:pPr>
            <w:r w:rsidRPr="009B4553">
              <w:rPr>
                <w:rFonts w:cs="Calibri"/>
                <w:color w:val="000000"/>
              </w:rPr>
              <w:t>156757</w:t>
            </w:r>
          </w:p>
        </w:tc>
      </w:tr>
      <w:tr w:rsidR="009D7AD2" w:rsidRPr="009B4553" w14:paraId="44EC3E5D" w14:textId="77777777">
        <w:trPr>
          <w:cantSplit/>
        </w:trPr>
        <w:tc>
          <w:tcPr>
            <w:tcW w:w="1362" w:type="dxa"/>
            <w:shd w:val="clear" w:color="auto" w:fill="auto"/>
          </w:tcPr>
          <w:p w14:paraId="2BB09E2E" w14:textId="77777777" w:rsidR="009D7AD2" w:rsidRPr="009B4553" w:rsidRDefault="009D7AD2" w:rsidP="009D7AD2">
            <w:pPr>
              <w:pStyle w:val="051Tabletext228pt"/>
              <w:rPr>
                <w:rFonts w:cs="Calibri"/>
              </w:rPr>
            </w:pPr>
            <w:r w:rsidRPr="009B4553">
              <w:rPr>
                <w:rFonts w:cs="Calibri"/>
                <w:color w:val="000000"/>
              </w:rPr>
              <w:t>04.05.03 - Leads</w:t>
            </w:r>
          </w:p>
        </w:tc>
        <w:tc>
          <w:tcPr>
            <w:tcW w:w="2324" w:type="dxa"/>
            <w:gridSpan w:val="5"/>
            <w:shd w:val="clear" w:color="auto" w:fill="auto"/>
          </w:tcPr>
          <w:p w14:paraId="31B1077B" w14:textId="77777777" w:rsidR="009D7AD2" w:rsidRPr="009B4553" w:rsidRDefault="009D7AD2" w:rsidP="009D7AD2">
            <w:pPr>
              <w:pStyle w:val="051Tabletext228pt"/>
              <w:rPr>
                <w:rFonts w:cs="Calibri"/>
              </w:rPr>
            </w:pPr>
            <w:r w:rsidRPr="009B4553">
              <w:rPr>
                <w:rFonts w:cs="Calibri"/>
                <w:color w:val="000000"/>
              </w:rPr>
              <w:t>04.05.03.02 - Trial Lead</w:t>
            </w:r>
          </w:p>
        </w:tc>
        <w:tc>
          <w:tcPr>
            <w:tcW w:w="1843" w:type="dxa"/>
            <w:shd w:val="clear" w:color="auto" w:fill="auto"/>
          </w:tcPr>
          <w:p w14:paraId="6F78B912" w14:textId="77777777" w:rsidR="009D7AD2" w:rsidRPr="009B4553" w:rsidRDefault="009D7AD2" w:rsidP="009D7AD2">
            <w:pPr>
              <w:pStyle w:val="051Tabletext228pt"/>
              <w:rPr>
                <w:rFonts w:cs="Calibri"/>
              </w:rPr>
            </w:pPr>
            <w:r w:rsidRPr="009B4553">
              <w:rPr>
                <w:rFonts w:cs="Calibri"/>
              </w:rPr>
              <w:t xml:space="preserve">Medtronic </w:t>
            </w:r>
            <w:proofErr w:type="spellStart"/>
            <w:r w:rsidRPr="009B4553">
              <w:rPr>
                <w:rFonts w:cs="Calibri"/>
              </w:rPr>
              <w:t>Vectris</w:t>
            </w:r>
            <w:proofErr w:type="spellEnd"/>
            <w:r w:rsidRPr="009B4553">
              <w:rPr>
                <w:rFonts w:cs="Calibri"/>
              </w:rPr>
              <w:t xml:space="preserve"> Neurostimulation Trial Lead</w:t>
            </w:r>
          </w:p>
        </w:tc>
        <w:tc>
          <w:tcPr>
            <w:tcW w:w="1559" w:type="dxa"/>
            <w:shd w:val="clear" w:color="auto" w:fill="auto"/>
          </w:tcPr>
          <w:p w14:paraId="0560DB02" w14:textId="77777777" w:rsidR="009D7AD2" w:rsidRPr="009B4553" w:rsidRDefault="009D7AD2" w:rsidP="009D7AD2">
            <w:pPr>
              <w:pStyle w:val="051Tabletext228pt"/>
              <w:rPr>
                <w:rFonts w:cs="Calibri"/>
              </w:rPr>
            </w:pPr>
            <w:r w:rsidRPr="009B4553">
              <w:rPr>
                <w:rFonts w:cs="Calibri"/>
                <w:color w:val="000000"/>
              </w:rPr>
              <w:t>Medtronic Australasia Pty Ltd</w:t>
            </w:r>
          </w:p>
        </w:tc>
        <w:tc>
          <w:tcPr>
            <w:tcW w:w="1100" w:type="dxa"/>
            <w:shd w:val="clear" w:color="auto" w:fill="auto"/>
          </w:tcPr>
          <w:p w14:paraId="6FBE8BC1" w14:textId="77777777" w:rsidR="009D7AD2" w:rsidRPr="009B4553" w:rsidRDefault="009D7AD2" w:rsidP="009D7AD2">
            <w:pPr>
              <w:pStyle w:val="051Tabletext228pt"/>
              <w:rPr>
                <w:rFonts w:cs="Calibri"/>
              </w:rPr>
            </w:pPr>
            <w:r w:rsidRPr="009B4553">
              <w:rPr>
                <w:rFonts w:cs="Calibri"/>
                <w:color w:val="000000"/>
              </w:rPr>
              <w:t>MI137</w:t>
            </w:r>
          </w:p>
        </w:tc>
        <w:tc>
          <w:tcPr>
            <w:tcW w:w="743" w:type="dxa"/>
            <w:shd w:val="clear" w:color="auto" w:fill="auto"/>
          </w:tcPr>
          <w:p w14:paraId="7C045582" w14:textId="77777777" w:rsidR="009D7AD2" w:rsidRPr="009B4553" w:rsidRDefault="009D7AD2" w:rsidP="009D7AD2">
            <w:pPr>
              <w:pStyle w:val="051Tabletext228pt"/>
              <w:rPr>
                <w:rFonts w:cs="Calibri"/>
              </w:rPr>
            </w:pPr>
            <w:r w:rsidRPr="009B4553">
              <w:rPr>
                <w:rFonts w:cs="Calibri"/>
                <w:color w:val="000000"/>
              </w:rPr>
              <w:t>$438</w:t>
            </w:r>
          </w:p>
        </w:tc>
        <w:tc>
          <w:tcPr>
            <w:tcW w:w="707" w:type="dxa"/>
            <w:shd w:val="clear" w:color="auto" w:fill="auto"/>
          </w:tcPr>
          <w:p w14:paraId="4D5159BB" w14:textId="77777777" w:rsidR="009D7AD2" w:rsidRPr="009B4553" w:rsidRDefault="009D7AD2" w:rsidP="009D7AD2">
            <w:pPr>
              <w:pStyle w:val="051Tabletext228pt"/>
              <w:rPr>
                <w:rFonts w:cs="Calibri"/>
              </w:rPr>
            </w:pPr>
            <w:r w:rsidRPr="009B4553">
              <w:rPr>
                <w:rFonts w:cs="Calibri"/>
                <w:color w:val="000000"/>
              </w:rPr>
              <w:t>219258</w:t>
            </w:r>
            <w:r w:rsidRPr="009B4553">
              <w:rPr>
                <w:rFonts w:cs="Calibri"/>
                <w:color w:val="000000"/>
              </w:rPr>
              <w:br/>
              <w:t>219259</w:t>
            </w:r>
          </w:p>
        </w:tc>
      </w:tr>
      <w:tr w:rsidR="009D7AD2" w:rsidRPr="009B4553" w14:paraId="146ACAF2" w14:textId="77777777">
        <w:trPr>
          <w:cantSplit/>
        </w:trPr>
        <w:tc>
          <w:tcPr>
            <w:tcW w:w="2127" w:type="dxa"/>
            <w:gridSpan w:val="5"/>
            <w:tcBorders>
              <w:bottom w:val="single" w:sz="4" w:space="0" w:color="auto"/>
            </w:tcBorders>
            <w:shd w:val="clear" w:color="auto" w:fill="F2F2F2" w:themeFill="background1" w:themeFillShade="F2"/>
          </w:tcPr>
          <w:p w14:paraId="3621510C" w14:textId="77777777" w:rsidR="009D7AD2" w:rsidRPr="009B4553" w:rsidRDefault="009D7AD2" w:rsidP="009D7AD2">
            <w:pPr>
              <w:pStyle w:val="031Tablesubheading8pt"/>
            </w:pPr>
            <w:r w:rsidRPr="009B4553">
              <w:t>Lead Extension</w:t>
            </w:r>
          </w:p>
        </w:tc>
        <w:tc>
          <w:tcPr>
            <w:tcW w:w="1559" w:type="dxa"/>
            <w:tcBorders>
              <w:bottom w:val="single" w:sz="4" w:space="0" w:color="auto"/>
            </w:tcBorders>
            <w:shd w:val="clear" w:color="auto" w:fill="F2F2F2" w:themeFill="background1" w:themeFillShade="F2"/>
          </w:tcPr>
          <w:p w14:paraId="372F1C57" w14:textId="77777777" w:rsidR="009D7AD2" w:rsidRPr="009B4553" w:rsidRDefault="009D7AD2" w:rsidP="009D7AD2">
            <w:pPr>
              <w:pStyle w:val="031Tablesubheading8pt"/>
            </w:pPr>
          </w:p>
        </w:tc>
        <w:tc>
          <w:tcPr>
            <w:tcW w:w="1843" w:type="dxa"/>
            <w:tcBorders>
              <w:bottom w:val="single" w:sz="4" w:space="0" w:color="auto"/>
            </w:tcBorders>
            <w:shd w:val="clear" w:color="auto" w:fill="F2F2F2" w:themeFill="background1" w:themeFillShade="F2"/>
          </w:tcPr>
          <w:p w14:paraId="255F0D6C" w14:textId="77777777" w:rsidR="009D7AD2" w:rsidRPr="009B4553" w:rsidRDefault="009D7AD2" w:rsidP="009D7AD2">
            <w:pPr>
              <w:pStyle w:val="031Tablesubheading8pt"/>
            </w:pPr>
          </w:p>
        </w:tc>
        <w:tc>
          <w:tcPr>
            <w:tcW w:w="1559" w:type="dxa"/>
            <w:tcBorders>
              <w:bottom w:val="single" w:sz="4" w:space="0" w:color="auto"/>
            </w:tcBorders>
            <w:shd w:val="clear" w:color="auto" w:fill="F2F2F2" w:themeFill="background1" w:themeFillShade="F2"/>
          </w:tcPr>
          <w:p w14:paraId="4A92BD94" w14:textId="77777777" w:rsidR="009D7AD2" w:rsidRPr="009B4553" w:rsidRDefault="009D7AD2" w:rsidP="009D7AD2">
            <w:pPr>
              <w:pStyle w:val="031Tablesubheading8pt"/>
            </w:pPr>
          </w:p>
        </w:tc>
        <w:tc>
          <w:tcPr>
            <w:tcW w:w="1100" w:type="dxa"/>
            <w:tcBorders>
              <w:bottom w:val="single" w:sz="4" w:space="0" w:color="auto"/>
            </w:tcBorders>
            <w:shd w:val="clear" w:color="auto" w:fill="F2F2F2" w:themeFill="background1" w:themeFillShade="F2"/>
          </w:tcPr>
          <w:p w14:paraId="7A7FAC55" w14:textId="77777777" w:rsidR="009D7AD2" w:rsidRPr="009B4553" w:rsidRDefault="009D7AD2" w:rsidP="009D7AD2">
            <w:pPr>
              <w:pStyle w:val="031Tablesubheading8pt"/>
            </w:pPr>
          </w:p>
        </w:tc>
        <w:tc>
          <w:tcPr>
            <w:tcW w:w="743" w:type="dxa"/>
            <w:tcBorders>
              <w:bottom w:val="single" w:sz="4" w:space="0" w:color="auto"/>
            </w:tcBorders>
            <w:shd w:val="clear" w:color="auto" w:fill="F2F2F2" w:themeFill="background1" w:themeFillShade="F2"/>
          </w:tcPr>
          <w:p w14:paraId="0F03235B" w14:textId="77777777" w:rsidR="009D7AD2" w:rsidRPr="009B4553" w:rsidRDefault="009D7AD2" w:rsidP="009D7AD2">
            <w:pPr>
              <w:pStyle w:val="031Tablesubheading8pt"/>
            </w:pPr>
          </w:p>
        </w:tc>
        <w:tc>
          <w:tcPr>
            <w:tcW w:w="707" w:type="dxa"/>
            <w:tcBorders>
              <w:bottom w:val="single" w:sz="4" w:space="0" w:color="auto"/>
            </w:tcBorders>
            <w:shd w:val="clear" w:color="auto" w:fill="F2F2F2" w:themeFill="background1" w:themeFillShade="F2"/>
          </w:tcPr>
          <w:p w14:paraId="067011E2" w14:textId="77777777" w:rsidR="009D7AD2" w:rsidRPr="009B4553" w:rsidRDefault="009D7AD2" w:rsidP="009D7AD2">
            <w:pPr>
              <w:pStyle w:val="031Tablesubheading8pt"/>
            </w:pPr>
          </w:p>
        </w:tc>
      </w:tr>
      <w:tr w:rsidR="009D7AD2" w:rsidRPr="009B4553" w14:paraId="39758350"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5FF85019"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5425B309" w14:textId="77777777" w:rsidR="009D7AD2" w:rsidRPr="002F4389" w:rsidRDefault="009D7AD2" w:rsidP="009D7AD2">
            <w:pPr>
              <w:pStyle w:val="051Tabletext228pt"/>
              <w:rPr>
                <w:rFonts w:cs="Calibri"/>
                <w:color w:val="000000"/>
              </w:rPr>
            </w:pPr>
            <w:r>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455245F2" w14:textId="77777777" w:rsidR="009D7AD2" w:rsidRPr="002F4389" w:rsidRDefault="009D7AD2" w:rsidP="009D7AD2">
            <w:pPr>
              <w:pStyle w:val="051Tabletext228pt"/>
              <w:rPr>
                <w:rFonts w:cs="Calibri"/>
              </w:rPr>
            </w:pPr>
            <w:r w:rsidRPr="002F4389">
              <w:rPr>
                <w:rFonts w:cs="Calibri"/>
              </w:rPr>
              <w:t>Precision SCS Lead Extensions</w:t>
            </w:r>
          </w:p>
        </w:tc>
        <w:tc>
          <w:tcPr>
            <w:tcW w:w="1559" w:type="dxa"/>
            <w:tcBorders>
              <w:top w:val="single" w:sz="4" w:space="0" w:color="auto"/>
              <w:left w:val="nil"/>
              <w:bottom w:val="single" w:sz="4" w:space="0" w:color="auto"/>
              <w:right w:val="nil"/>
            </w:tcBorders>
            <w:shd w:val="clear" w:color="auto" w:fill="FFFFFF" w:themeFill="background1"/>
          </w:tcPr>
          <w:p w14:paraId="0052416A" w14:textId="77777777" w:rsidR="009D7AD2" w:rsidRPr="002F4389" w:rsidRDefault="009D7AD2" w:rsidP="009D7AD2">
            <w:pPr>
              <w:pStyle w:val="051Tabletext228pt"/>
              <w:rPr>
                <w:rFonts w:cs="Calibri"/>
                <w:color w:val="000000"/>
              </w:rPr>
            </w:pPr>
            <w:r w:rsidRPr="002F4389">
              <w:rPr>
                <w:rFonts w:cs="Calibri"/>
                <w:color w:val="000000"/>
              </w:rPr>
              <w:t>Boston Scientific Australia Pty Ltd</w:t>
            </w:r>
          </w:p>
        </w:tc>
        <w:tc>
          <w:tcPr>
            <w:tcW w:w="1100" w:type="dxa"/>
            <w:tcBorders>
              <w:top w:val="single" w:sz="4" w:space="0" w:color="auto"/>
              <w:left w:val="nil"/>
              <w:bottom w:val="single" w:sz="4" w:space="0" w:color="auto"/>
              <w:right w:val="nil"/>
            </w:tcBorders>
            <w:shd w:val="clear" w:color="auto" w:fill="FFFFFF" w:themeFill="background1"/>
          </w:tcPr>
          <w:p w14:paraId="6EA43395" w14:textId="77777777" w:rsidR="009D7AD2" w:rsidRPr="002F4389" w:rsidRDefault="009D7AD2" w:rsidP="009D7AD2">
            <w:pPr>
              <w:pStyle w:val="051Tabletext228pt"/>
              <w:rPr>
                <w:rFonts w:cs="Calibri"/>
                <w:color w:val="000000"/>
              </w:rPr>
            </w:pPr>
            <w:r w:rsidRPr="002F4389">
              <w:rPr>
                <w:rFonts w:cs="Calibri"/>
                <w:color w:val="000000"/>
              </w:rPr>
              <w:t>BS111</w:t>
            </w:r>
          </w:p>
        </w:tc>
        <w:tc>
          <w:tcPr>
            <w:tcW w:w="743" w:type="dxa"/>
            <w:tcBorders>
              <w:top w:val="single" w:sz="4" w:space="0" w:color="auto"/>
              <w:left w:val="nil"/>
              <w:bottom w:val="single" w:sz="4" w:space="0" w:color="auto"/>
              <w:right w:val="nil"/>
            </w:tcBorders>
            <w:shd w:val="clear" w:color="auto" w:fill="FFFFFF" w:themeFill="background1"/>
          </w:tcPr>
          <w:p w14:paraId="2C5BBE30"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569BFE3E" w14:textId="77777777" w:rsidR="009D7AD2" w:rsidRPr="002F4389" w:rsidRDefault="009D7AD2" w:rsidP="009D7AD2">
            <w:pPr>
              <w:pStyle w:val="051Tabletext228pt"/>
              <w:rPr>
                <w:rFonts w:cs="Calibri"/>
                <w:color w:val="000000"/>
              </w:rPr>
            </w:pPr>
            <w:r w:rsidRPr="002F4389">
              <w:rPr>
                <w:rFonts w:cs="Calibri"/>
                <w:color w:val="000000"/>
              </w:rPr>
              <w:t>128679</w:t>
            </w:r>
          </w:p>
        </w:tc>
      </w:tr>
      <w:tr w:rsidR="009D7AD2" w:rsidRPr="009B4553" w14:paraId="40D09FAF"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6C3B7864"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4086767C"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017C4B17" w14:textId="77777777" w:rsidR="009D7AD2" w:rsidRPr="002F4389" w:rsidRDefault="009D7AD2" w:rsidP="009D7AD2">
            <w:pPr>
              <w:pStyle w:val="051Tabletext228pt"/>
              <w:rPr>
                <w:rFonts w:cs="Calibri"/>
              </w:rPr>
            </w:pPr>
            <w:r w:rsidRPr="002F4389">
              <w:rPr>
                <w:rFonts w:cs="Calibri"/>
              </w:rPr>
              <w:t>Precision Connector M1</w:t>
            </w:r>
          </w:p>
        </w:tc>
        <w:tc>
          <w:tcPr>
            <w:tcW w:w="1559" w:type="dxa"/>
            <w:tcBorders>
              <w:top w:val="single" w:sz="4" w:space="0" w:color="auto"/>
              <w:left w:val="nil"/>
              <w:bottom w:val="single" w:sz="4" w:space="0" w:color="auto"/>
              <w:right w:val="nil"/>
            </w:tcBorders>
            <w:shd w:val="clear" w:color="auto" w:fill="FFFFFF" w:themeFill="background1"/>
          </w:tcPr>
          <w:p w14:paraId="1859753E" w14:textId="77777777" w:rsidR="009D7AD2" w:rsidRPr="002F4389" w:rsidRDefault="009D7AD2" w:rsidP="009D7AD2">
            <w:pPr>
              <w:pStyle w:val="051Tabletext228pt"/>
              <w:rPr>
                <w:rFonts w:cs="Calibri"/>
                <w:color w:val="000000"/>
              </w:rPr>
            </w:pPr>
            <w:r w:rsidRPr="002F4389">
              <w:rPr>
                <w:rFonts w:cs="Calibri"/>
                <w:color w:val="000000"/>
              </w:rPr>
              <w:t>Boston Scientific Australia Pty Ltd</w:t>
            </w:r>
          </w:p>
        </w:tc>
        <w:tc>
          <w:tcPr>
            <w:tcW w:w="1100" w:type="dxa"/>
            <w:tcBorders>
              <w:top w:val="single" w:sz="4" w:space="0" w:color="auto"/>
              <w:left w:val="nil"/>
              <w:bottom w:val="single" w:sz="4" w:space="0" w:color="auto"/>
              <w:right w:val="nil"/>
            </w:tcBorders>
            <w:shd w:val="clear" w:color="auto" w:fill="FFFFFF" w:themeFill="background1"/>
          </w:tcPr>
          <w:p w14:paraId="3AF394BB" w14:textId="77777777" w:rsidR="009D7AD2" w:rsidRPr="002F4389" w:rsidRDefault="009D7AD2" w:rsidP="009D7AD2">
            <w:pPr>
              <w:pStyle w:val="051Tabletext228pt"/>
              <w:rPr>
                <w:rFonts w:cs="Calibri"/>
                <w:color w:val="000000"/>
              </w:rPr>
            </w:pPr>
            <w:r w:rsidRPr="002F4389">
              <w:rPr>
                <w:rFonts w:cs="Calibri"/>
                <w:color w:val="000000"/>
              </w:rPr>
              <w:t>BS158</w:t>
            </w:r>
          </w:p>
        </w:tc>
        <w:tc>
          <w:tcPr>
            <w:tcW w:w="743" w:type="dxa"/>
            <w:tcBorders>
              <w:top w:val="single" w:sz="4" w:space="0" w:color="auto"/>
              <w:left w:val="nil"/>
              <w:bottom w:val="single" w:sz="4" w:space="0" w:color="auto"/>
              <w:right w:val="nil"/>
            </w:tcBorders>
            <w:shd w:val="clear" w:color="auto" w:fill="FFFFFF" w:themeFill="background1"/>
          </w:tcPr>
          <w:p w14:paraId="2D9D9AAC"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12437448" w14:textId="77777777" w:rsidR="009D7AD2" w:rsidRPr="002F4389" w:rsidRDefault="009D7AD2" w:rsidP="009D7AD2">
            <w:pPr>
              <w:pStyle w:val="051Tabletext228pt"/>
              <w:rPr>
                <w:rFonts w:cs="Calibri"/>
                <w:color w:val="000000"/>
              </w:rPr>
            </w:pPr>
            <w:r w:rsidRPr="002F4389">
              <w:rPr>
                <w:rFonts w:cs="Calibri"/>
                <w:color w:val="000000"/>
              </w:rPr>
              <w:t>162422</w:t>
            </w:r>
          </w:p>
        </w:tc>
      </w:tr>
      <w:tr w:rsidR="009D7AD2" w:rsidRPr="009B4553" w14:paraId="0F83C491"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1E8AD8E3"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4FAF4DE9"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134CCE7F" w14:textId="77777777" w:rsidR="009D7AD2" w:rsidRPr="002F4389" w:rsidRDefault="009D7AD2" w:rsidP="009D7AD2">
            <w:pPr>
              <w:pStyle w:val="051Tabletext228pt"/>
              <w:rPr>
                <w:rFonts w:cs="Calibri"/>
              </w:rPr>
            </w:pPr>
            <w:r w:rsidRPr="002F4389">
              <w:rPr>
                <w:rFonts w:cs="Calibri"/>
              </w:rPr>
              <w:t>Precision SCS Splitter</w:t>
            </w:r>
          </w:p>
        </w:tc>
        <w:tc>
          <w:tcPr>
            <w:tcW w:w="1559" w:type="dxa"/>
            <w:tcBorders>
              <w:top w:val="single" w:sz="4" w:space="0" w:color="auto"/>
              <w:left w:val="nil"/>
              <w:bottom w:val="single" w:sz="4" w:space="0" w:color="auto"/>
              <w:right w:val="nil"/>
            </w:tcBorders>
            <w:shd w:val="clear" w:color="auto" w:fill="FFFFFF" w:themeFill="background1"/>
          </w:tcPr>
          <w:p w14:paraId="049A925E" w14:textId="77777777" w:rsidR="009D7AD2" w:rsidRPr="002F4389" w:rsidRDefault="009D7AD2" w:rsidP="009D7AD2">
            <w:pPr>
              <w:pStyle w:val="051Tabletext228pt"/>
              <w:rPr>
                <w:rFonts w:cs="Calibri"/>
                <w:color w:val="000000"/>
              </w:rPr>
            </w:pPr>
            <w:r w:rsidRPr="002F4389">
              <w:rPr>
                <w:rFonts w:cs="Calibri"/>
                <w:color w:val="000000"/>
              </w:rPr>
              <w:t>Boston Scientific Australia Pty Ltd</w:t>
            </w:r>
          </w:p>
        </w:tc>
        <w:tc>
          <w:tcPr>
            <w:tcW w:w="1100" w:type="dxa"/>
            <w:tcBorders>
              <w:top w:val="single" w:sz="4" w:space="0" w:color="auto"/>
              <w:left w:val="nil"/>
              <w:bottom w:val="single" w:sz="4" w:space="0" w:color="auto"/>
              <w:right w:val="nil"/>
            </w:tcBorders>
            <w:shd w:val="clear" w:color="auto" w:fill="FFFFFF" w:themeFill="background1"/>
          </w:tcPr>
          <w:p w14:paraId="38EDC46A" w14:textId="77777777" w:rsidR="009D7AD2" w:rsidRPr="002F4389" w:rsidRDefault="009D7AD2" w:rsidP="009D7AD2">
            <w:pPr>
              <w:pStyle w:val="051Tabletext228pt"/>
              <w:rPr>
                <w:rFonts w:cs="Calibri"/>
                <w:color w:val="000000"/>
              </w:rPr>
            </w:pPr>
            <w:r w:rsidRPr="002F4389">
              <w:rPr>
                <w:rFonts w:cs="Calibri"/>
                <w:color w:val="000000"/>
              </w:rPr>
              <w:t>BS169</w:t>
            </w:r>
          </w:p>
        </w:tc>
        <w:tc>
          <w:tcPr>
            <w:tcW w:w="743" w:type="dxa"/>
            <w:tcBorders>
              <w:top w:val="single" w:sz="4" w:space="0" w:color="auto"/>
              <w:left w:val="nil"/>
              <w:bottom w:val="single" w:sz="4" w:space="0" w:color="auto"/>
              <w:right w:val="nil"/>
            </w:tcBorders>
            <w:shd w:val="clear" w:color="auto" w:fill="FFFFFF" w:themeFill="background1"/>
          </w:tcPr>
          <w:p w14:paraId="1494ED0E"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3056DDB2" w14:textId="77777777" w:rsidR="009D7AD2" w:rsidRPr="002F4389" w:rsidRDefault="009D7AD2" w:rsidP="009D7AD2">
            <w:pPr>
              <w:pStyle w:val="051Tabletext228pt"/>
              <w:rPr>
                <w:rFonts w:cs="Calibri"/>
                <w:color w:val="000000"/>
              </w:rPr>
            </w:pPr>
            <w:r w:rsidRPr="002F4389">
              <w:rPr>
                <w:rFonts w:cs="Calibri"/>
                <w:color w:val="000000"/>
              </w:rPr>
              <w:t>167101</w:t>
            </w:r>
            <w:r w:rsidRPr="002F4389">
              <w:rPr>
                <w:rFonts w:cs="Calibri"/>
                <w:color w:val="000000"/>
              </w:rPr>
              <w:br/>
              <w:t>167102</w:t>
            </w:r>
            <w:r w:rsidRPr="002F4389">
              <w:rPr>
                <w:rFonts w:cs="Calibri"/>
                <w:color w:val="000000"/>
              </w:rPr>
              <w:br/>
              <w:t>197908</w:t>
            </w:r>
          </w:p>
        </w:tc>
      </w:tr>
      <w:tr w:rsidR="009D7AD2" w:rsidRPr="009B4553" w14:paraId="44E30E12"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4D18AC6B" w14:textId="77777777" w:rsidR="009D7AD2" w:rsidRPr="002F4389" w:rsidRDefault="009D7AD2" w:rsidP="009D7AD2">
            <w:pPr>
              <w:pStyle w:val="051Tabletext228pt"/>
              <w:rPr>
                <w:rFonts w:cs="Calibri"/>
                <w:color w:val="000000"/>
              </w:rPr>
            </w:pPr>
            <w:r w:rsidRPr="002F4389">
              <w:rPr>
                <w:rFonts w:cs="Calibri"/>
                <w:color w:val="000000"/>
              </w:rPr>
              <w:lastRenderedPageBreak/>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469B521F"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4FAA5384" w14:textId="77777777" w:rsidR="009D7AD2" w:rsidRPr="002F4389" w:rsidRDefault="009D7AD2" w:rsidP="009D7AD2">
            <w:pPr>
              <w:pStyle w:val="051Tabletext228pt"/>
              <w:rPr>
                <w:rFonts w:cs="Calibri"/>
              </w:rPr>
            </w:pPr>
            <w:r w:rsidRPr="002F4389">
              <w:rPr>
                <w:rFonts w:cs="Calibri"/>
              </w:rPr>
              <w:t>Precision M8 Adaptor</w:t>
            </w:r>
          </w:p>
        </w:tc>
        <w:tc>
          <w:tcPr>
            <w:tcW w:w="1559" w:type="dxa"/>
            <w:tcBorders>
              <w:top w:val="single" w:sz="4" w:space="0" w:color="auto"/>
              <w:left w:val="nil"/>
              <w:bottom w:val="single" w:sz="4" w:space="0" w:color="auto"/>
              <w:right w:val="nil"/>
            </w:tcBorders>
            <w:shd w:val="clear" w:color="auto" w:fill="FFFFFF" w:themeFill="background1"/>
          </w:tcPr>
          <w:p w14:paraId="5452CA24" w14:textId="77777777" w:rsidR="009D7AD2" w:rsidRPr="002F4389" w:rsidRDefault="009D7AD2" w:rsidP="009D7AD2">
            <w:pPr>
              <w:pStyle w:val="051Tabletext228pt"/>
              <w:rPr>
                <w:rFonts w:cs="Calibri"/>
                <w:color w:val="000000"/>
              </w:rPr>
            </w:pPr>
            <w:r w:rsidRPr="002F4389">
              <w:rPr>
                <w:rFonts w:cs="Calibri"/>
                <w:color w:val="000000"/>
              </w:rPr>
              <w:t>Boston Scientific Australia Pty Ltd</w:t>
            </w:r>
          </w:p>
        </w:tc>
        <w:tc>
          <w:tcPr>
            <w:tcW w:w="1100" w:type="dxa"/>
            <w:tcBorders>
              <w:top w:val="single" w:sz="4" w:space="0" w:color="auto"/>
              <w:left w:val="nil"/>
              <w:bottom w:val="single" w:sz="4" w:space="0" w:color="auto"/>
              <w:right w:val="nil"/>
            </w:tcBorders>
            <w:shd w:val="clear" w:color="auto" w:fill="FFFFFF" w:themeFill="background1"/>
          </w:tcPr>
          <w:p w14:paraId="0721A318" w14:textId="77777777" w:rsidR="009D7AD2" w:rsidRPr="002F4389" w:rsidRDefault="009D7AD2" w:rsidP="009D7AD2">
            <w:pPr>
              <w:pStyle w:val="051Tabletext228pt"/>
              <w:rPr>
                <w:rFonts w:cs="Calibri"/>
                <w:color w:val="000000"/>
              </w:rPr>
            </w:pPr>
            <w:r w:rsidRPr="002F4389">
              <w:rPr>
                <w:rFonts w:cs="Calibri"/>
                <w:color w:val="000000"/>
              </w:rPr>
              <w:t>BS323</w:t>
            </w:r>
          </w:p>
        </w:tc>
        <w:tc>
          <w:tcPr>
            <w:tcW w:w="743" w:type="dxa"/>
            <w:tcBorders>
              <w:top w:val="single" w:sz="4" w:space="0" w:color="auto"/>
              <w:left w:val="nil"/>
              <w:bottom w:val="single" w:sz="4" w:space="0" w:color="auto"/>
              <w:right w:val="nil"/>
            </w:tcBorders>
            <w:shd w:val="clear" w:color="auto" w:fill="FFFFFF" w:themeFill="background1"/>
          </w:tcPr>
          <w:p w14:paraId="307A854B"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67586336" w14:textId="77777777" w:rsidR="009D7AD2" w:rsidRPr="002F4389" w:rsidRDefault="009D7AD2" w:rsidP="009D7AD2">
            <w:pPr>
              <w:pStyle w:val="051Tabletext228pt"/>
              <w:rPr>
                <w:rFonts w:cs="Calibri"/>
                <w:color w:val="000000"/>
              </w:rPr>
            </w:pPr>
            <w:r w:rsidRPr="002F4389">
              <w:rPr>
                <w:rFonts w:cs="Calibri"/>
                <w:color w:val="000000"/>
              </w:rPr>
              <w:t>281250</w:t>
            </w:r>
          </w:p>
        </w:tc>
      </w:tr>
      <w:tr w:rsidR="009D7AD2" w:rsidRPr="009B4553" w14:paraId="2B8B9765"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559FA141"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67FA16D9"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004B73AE" w14:textId="77777777" w:rsidR="009D7AD2" w:rsidRPr="002F4389" w:rsidRDefault="009D7AD2" w:rsidP="009D7AD2">
            <w:pPr>
              <w:pStyle w:val="051Tabletext228pt"/>
              <w:rPr>
                <w:rFonts w:cs="Calibri"/>
              </w:rPr>
            </w:pPr>
            <w:r w:rsidRPr="002F4389">
              <w:rPr>
                <w:rFonts w:cs="Calibri"/>
              </w:rPr>
              <w:t>Nevro Spinal Cord Stimulation System (SCSS) - Lead Extension Kit</w:t>
            </w:r>
          </w:p>
        </w:tc>
        <w:tc>
          <w:tcPr>
            <w:tcW w:w="1559" w:type="dxa"/>
            <w:tcBorders>
              <w:top w:val="single" w:sz="4" w:space="0" w:color="auto"/>
              <w:left w:val="nil"/>
              <w:bottom w:val="single" w:sz="4" w:space="0" w:color="auto"/>
              <w:right w:val="nil"/>
            </w:tcBorders>
            <w:shd w:val="clear" w:color="auto" w:fill="FFFFFF" w:themeFill="background1"/>
          </w:tcPr>
          <w:p w14:paraId="69A17C73" w14:textId="77777777" w:rsidR="009D7AD2" w:rsidRPr="002F4389" w:rsidRDefault="009D7AD2" w:rsidP="009D7AD2">
            <w:pPr>
              <w:pStyle w:val="051Tabletext228pt"/>
              <w:rPr>
                <w:rFonts w:cs="Calibri"/>
                <w:color w:val="000000"/>
              </w:rPr>
            </w:pPr>
            <w:r w:rsidRPr="002F4389">
              <w:rPr>
                <w:rFonts w:cs="Calibri"/>
                <w:color w:val="000000"/>
              </w:rPr>
              <w:t>Emergo Asia Pacific Pty Ltd</w:t>
            </w:r>
          </w:p>
        </w:tc>
        <w:tc>
          <w:tcPr>
            <w:tcW w:w="1100" w:type="dxa"/>
            <w:tcBorders>
              <w:top w:val="single" w:sz="4" w:space="0" w:color="auto"/>
              <w:left w:val="nil"/>
              <w:bottom w:val="single" w:sz="4" w:space="0" w:color="auto"/>
              <w:right w:val="nil"/>
            </w:tcBorders>
            <w:shd w:val="clear" w:color="auto" w:fill="FFFFFF" w:themeFill="background1"/>
          </w:tcPr>
          <w:p w14:paraId="7330485A" w14:textId="77777777" w:rsidR="009D7AD2" w:rsidRPr="002F4389" w:rsidRDefault="009D7AD2" w:rsidP="009D7AD2">
            <w:pPr>
              <w:pStyle w:val="051Tabletext228pt"/>
              <w:rPr>
                <w:rFonts w:cs="Calibri"/>
                <w:color w:val="000000"/>
              </w:rPr>
            </w:pPr>
            <w:r w:rsidRPr="002F4389">
              <w:rPr>
                <w:rFonts w:cs="Calibri"/>
                <w:color w:val="000000"/>
              </w:rPr>
              <w:t>ER007</w:t>
            </w:r>
          </w:p>
        </w:tc>
        <w:tc>
          <w:tcPr>
            <w:tcW w:w="743" w:type="dxa"/>
            <w:tcBorders>
              <w:top w:val="single" w:sz="4" w:space="0" w:color="auto"/>
              <w:left w:val="nil"/>
              <w:bottom w:val="single" w:sz="4" w:space="0" w:color="auto"/>
              <w:right w:val="nil"/>
            </w:tcBorders>
            <w:shd w:val="clear" w:color="auto" w:fill="FFFFFF" w:themeFill="background1"/>
          </w:tcPr>
          <w:p w14:paraId="1E54A799"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30AE58A6" w14:textId="77777777" w:rsidR="009D7AD2" w:rsidRPr="002F4389" w:rsidRDefault="009D7AD2" w:rsidP="009D7AD2">
            <w:pPr>
              <w:pStyle w:val="051Tabletext228pt"/>
              <w:rPr>
                <w:rFonts w:cs="Calibri"/>
                <w:color w:val="000000"/>
              </w:rPr>
            </w:pPr>
            <w:r w:rsidRPr="002F4389">
              <w:rPr>
                <w:rFonts w:cs="Calibri"/>
                <w:color w:val="000000"/>
              </w:rPr>
              <w:t>185993</w:t>
            </w:r>
          </w:p>
        </w:tc>
      </w:tr>
      <w:tr w:rsidR="009D7AD2" w:rsidRPr="009B4553" w14:paraId="0DCBF9C3"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253BD549"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037211F6"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4A27C5EF" w14:textId="77777777" w:rsidR="009D7AD2" w:rsidRPr="002F4389" w:rsidRDefault="009D7AD2" w:rsidP="009D7AD2">
            <w:pPr>
              <w:pStyle w:val="051Tabletext228pt"/>
              <w:rPr>
                <w:rFonts w:cs="Calibri"/>
              </w:rPr>
            </w:pPr>
            <w:r w:rsidRPr="002F4389">
              <w:rPr>
                <w:rFonts w:cs="Calibri"/>
              </w:rPr>
              <w:t>Nevro Spinal Cord Stimulation System (SCSS) - Pocket Adaptor Kit - S8</w:t>
            </w:r>
          </w:p>
        </w:tc>
        <w:tc>
          <w:tcPr>
            <w:tcW w:w="1559" w:type="dxa"/>
            <w:tcBorders>
              <w:top w:val="single" w:sz="4" w:space="0" w:color="auto"/>
              <w:left w:val="nil"/>
              <w:bottom w:val="single" w:sz="4" w:space="0" w:color="auto"/>
              <w:right w:val="nil"/>
            </w:tcBorders>
            <w:shd w:val="clear" w:color="auto" w:fill="FFFFFF" w:themeFill="background1"/>
          </w:tcPr>
          <w:p w14:paraId="72E14B2C" w14:textId="77777777" w:rsidR="009D7AD2" w:rsidRPr="002F4389" w:rsidRDefault="009D7AD2" w:rsidP="009D7AD2">
            <w:pPr>
              <w:pStyle w:val="051Tabletext228pt"/>
              <w:rPr>
                <w:rFonts w:cs="Calibri"/>
                <w:color w:val="000000"/>
              </w:rPr>
            </w:pPr>
            <w:r w:rsidRPr="002F4389">
              <w:rPr>
                <w:rFonts w:cs="Calibri"/>
                <w:color w:val="000000"/>
              </w:rPr>
              <w:t>Emergo Asia Pacific Pty Ltd</w:t>
            </w:r>
          </w:p>
        </w:tc>
        <w:tc>
          <w:tcPr>
            <w:tcW w:w="1100" w:type="dxa"/>
            <w:tcBorders>
              <w:top w:val="single" w:sz="4" w:space="0" w:color="auto"/>
              <w:left w:val="nil"/>
              <w:bottom w:val="single" w:sz="4" w:space="0" w:color="auto"/>
              <w:right w:val="nil"/>
            </w:tcBorders>
            <w:shd w:val="clear" w:color="auto" w:fill="FFFFFF" w:themeFill="background1"/>
          </w:tcPr>
          <w:p w14:paraId="480DBFA9" w14:textId="77777777" w:rsidR="009D7AD2" w:rsidRPr="002F4389" w:rsidRDefault="009D7AD2" w:rsidP="009D7AD2">
            <w:pPr>
              <w:pStyle w:val="051Tabletext228pt"/>
              <w:rPr>
                <w:rFonts w:cs="Calibri"/>
                <w:color w:val="000000"/>
              </w:rPr>
            </w:pPr>
            <w:r w:rsidRPr="002F4389">
              <w:rPr>
                <w:rFonts w:cs="Calibri"/>
                <w:color w:val="000000"/>
              </w:rPr>
              <w:t>ER102</w:t>
            </w:r>
          </w:p>
        </w:tc>
        <w:tc>
          <w:tcPr>
            <w:tcW w:w="743" w:type="dxa"/>
            <w:tcBorders>
              <w:top w:val="single" w:sz="4" w:space="0" w:color="auto"/>
              <w:left w:val="nil"/>
              <w:bottom w:val="single" w:sz="4" w:space="0" w:color="auto"/>
              <w:right w:val="nil"/>
            </w:tcBorders>
            <w:shd w:val="clear" w:color="auto" w:fill="FFFFFF" w:themeFill="background1"/>
          </w:tcPr>
          <w:p w14:paraId="527E86CB"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5B05EFC3" w14:textId="77777777" w:rsidR="009D7AD2" w:rsidRPr="002F4389" w:rsidRDefault="009D7AD2" w:rsidP="009D7AD2">
            <w:pPr>
              <w:pStyle w:val="051Tabletext228pt"/>
              <w:rPr>
                <w:rFonts w:cs="Calibri"/>
                <w:color w:val="000000"/>
              </w:rPr>
            </w:pPr>
            <w:r w:rsidRPr="002F4389">
              <w:rPr>
                <w:rFonts w:cs="Calibri"/>
                <w:color w:val="000000"/>
              </w:rPr>
              <w:t>199081</w:t>
            </w:r>
          </w:p>
        </w:tc>
      </w:tr>
      <w:tr w:rsidR="009D7AD2" w:rsidRPr="009B4553" w14:paraId="11D2788C"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65397339"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68063330"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50E69E57" w14:textId="77777777" w:rsidR="009D7AD2" w:rsidRPr="002F4389" w:rsidRDefault="009D7AD2" w:rsidP="009D7AD2">
            <w:pPr>
              <w:pStyle w:val="051Tabletext228pt"/>
              <w:rPr>
                <w:rFonts w:cs="Calibri"/>
              </w:rPr>
            </w:pPr>
            <w:r w:rsidRPr="002F4389">
              <w:rPr>
                <w:rFonts w:cs="Calibri"/>
              </w:rPr>
              <w:t>Nevro Spinal Cord Stimulation System (SCSS) - Pocket Adaptor Kit - M8</w:t>
            </w:r>
          </w:p>
        </w:tc>
        <w:tc>
          <w:tcPr>
            <w:tcW w:w="1559" w:type="dxa"/>
            <w:tcBorders>
              <w:top w:val="single" w:sz="4" w:space="0" w:color="auto"/>
              <w:left w:val="nil"/>
              <w:bottom w:val="single" w:sz="4" w:space="0" w:color="auto"/>
              <w:right w:val="nil"/>
            </w:tcBorders>
            <w:shd w:val="clear" w:color="auto" w:fill="FFFFFF" w:themeFill="background1"/>
          </w:tcPr>
          <w:p w14:paraId="3A554AA5" w14:textId="77777777" w:rsidR="009D7AD2" w:rsidRPr="002F4389" w:rsidRDefault="009D7AD2" w:rsidP="009D7AD2">
            <w:pPr>
              <w:pStyle w:val="051Tabletext228pt"/>
              <w:rPr>
                <w:rFonts w:cs="Calibri"/>
                <w:color w:val="000000"/>
              </w:rPr>
            </w:pPr>
            <w:r w:rsidRPr="002F4389">
              <w:rPr>
                <w:rFonts w:cs="Calibri"/>
                <w:color w:val="000000"/>
              </w:rPr>
              <w:t>Emergo Asia Pacific Pty Ltd</w:t>
            </w:r>
          </w:p>
        </w:tc>
        <w:tc>
          <w:tcPr>
            <w:tcW w:w="1100" w:type="dxa"/>
            <w:tcBorders>
              <w:top w:val="single" w:sz="4" w:space="0" w:color="auto"/>
              <w:left w:val="nil"/>
              <w:bottom w:val="single" w:sz="4" w:space="0" w:color="auto"/>
              <w:right w:val="nil"/>
            </w:tcBorders>
            <w:shd w:val="clear" w:color="auto" w:fill="FFFFFF" w:themeFill="background1"/>
          </w:tcPr>
          <w:p w14:paraId="751D6A04" w14:textId="77777777" w:rsidR="009D7AD2" w:rsidRPr="002F4389" w:rsidRDefault="009D7AD2" w:rsidP="009D7AD2">
            <w:pPr>
              <w:pStyle w:val="051Tabletext228pt"/>
              <w:rPr>
                <w:rFonts w:cs="Calibri"/>
                <w:color w:val="000000"/>
              </w:rPr>
            </w:pPr>
            <w:r w:rsidRPr="002F4389">
              <w:rPr>
                <w:rFonts w:cs="Calibri"/>
                <w:color w:val="000000"/>
              </w:rPr>
              <w:t>ER130</w:t>
            </w:r>
          </w:p>
        </w:tc>
        <w:tc>
          <w:tcPr>
            <w:tcW w:w="743" w:type="dxa"/>
            <w:tcBorders>
              <w:top w:val="single" w:sz="4" w:space="0" w:color="auto"/>
              <w:left w:val="nil"/>
              <w:bottom w:val="single" w:sz="4" w:space="0" w:color="auto"/>
              <w:right w:val="nil"/>
            </w:tcBorders>
            <w:shd w:val="clear" w:color="auto" w:fill="FFFFFF" w:themeFill="background1"/>
          </w:tcPr>
          <w:p w14:paraId="0478FFA3"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30F3BE26" w14:textId="77777777" w:rsidR="009D7AD2" w:rsidRPr="002F4389" w:rsidRDefault="009D7AD2" w:rsidP="009D7AD2">
            <w:pPr>
              <w:pStyle w:val="051Tabletext228pt"/>
              <w:rPr>
                <w:rFonts w:cs="Calibri"/>
                <w:color w:val="000000"/>
              </w:rPr>
            </w:pPr>
            <w:r w:rsidRPr="002F4389">
              <w:rPr>
                <w:rFonts w:cs="Calibri"/>
                <w:color w:val="000000"/>
              </w:rPr>
              <w:t>204062</w:t>
            </w:r>
          </w:p>
        </w:tc>
      </w:tr>
      <w:tr w:rsidR="009D7AD2" w:rsidRPr="009B4553" w14:paraId="0A27DEED"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526743F0"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5EA6270D"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273507E6" w14:textId="77777777" w:rsidR="009D7AD2" w:rsidRPr="002F4389" w:rsidRDefault="009D7AD2" w:rsidP="009D7AD2">
            <w:pPr>
              <w:pStyle w:val="051Tabletext228pt"/>
              <w:rPr>
                <w:rFonts w:cs="Calibri"/>
              </w:rPr>
            </w:pPr>
            <w:r w:rsidRPr="002F4389">
              <w:rPr>
                <w:rFonts w:cs="Calibri"/>
              </w:rPr>
              <w:t>Quadripolar Stretch-Coil Extensions</w:t>
            </w:r>
          </w:p>
        </w:tc>
        <w:tc>
          <w:tcPr>
            <w:tcW w:w="1559" w:type="dxa"/>
            <w:tcBorders>
              <w:top w:val="single" w:sz="4" w:space="0" w:color="auto"/>
              <w:left w:val="nil"/>
              <w:bottom w:val="single" w:sz="4" w:space="0" w:color="auto"/>
              <w:right w:val="nil"/>
            </w:tcBorders>
            <w:shd w:val="clear" w:color="auto" w:fill="FFFFFF" w:themeFill="background1"/>
          </w:tcPr>
          <w:p w14:paraId="387CC4CB" w14:textId="77777777" w:rsidR="009D7AD2" w:rsidRPr="002F4389" w:rsidRDefault="009D7AD2" w:rsidP="009D7AD2">
            <w:pPr>
              <w:pStyle w:val="051Tabletext228pt"/>
              <w:rPr>
                <w:rFonts w:cs="Calibri"/>
                <w:color w:val="000000"/>
              </w:rPr>
            </w:pPr>
            <w:r w:rsidRPr="002F4389">
              <w:rPr>
                <w:rFonts w:cs="Calibri"/>
                <w:color w:val="000000"/>
              </w:rPr>
              <w:t>Medtronic Australasia Pty Ltd</w:t>
            </w:r>
          </w:p>
        </w:tc>
        <w:tc>
          <w:tcPr>
            <w:tcW w:w="1100" w:type="dxa"/>
            <w:tcBorders>
              <w:top w:val="single" w:sz="4" w:space="0" w:color="auto"/>
              <w:left w:val="nil"/>
              <w:bottom w:val="single" w:sz="4" w:space="0" w:color="auto"/>
              <w:right w:val="nil"/>
            </w:tcBorders>
            <w:shd w:val="clear" w:color="auto" w:fill="FFFFFF" w:themeFill="background1"/>
          </w:tcPr>
          <w:p w14:paraId="2596691A" w14:textId="77777777" w:rsidR="009D7AD2" w:rsidRPr="002F4389" w:rsidRDefault="009D7AD2" w:rsidP="009D7AD2">
            <w:pPr>
              <w:pStyle w:val="051Tabletext228pt"/>
              <w:rPr>
                <w:rFonts w:cs="Calibri"/>
                <w:color w:val="000000"/>
              </w:rPr>
            </w:pPr>
            <w:r w:rsidRPr="002F4389">
              <w:rPr>
                <w:rFonts w:cs="Calibri"/>
                <w:color w:val="000000"/>
              </w:rPr>
              <w:t>MC733</w:t>
            </w:r>
          </w:p>
        </w:tc>
        <w:tc>
          <w:tcPr>
            <w:tcW w:w="743" w:type="dxa"/>
            <w:tcBorders>
              <w:top w:val="single" w:sz="4" w:space="0" w:color="auto"/>
              <w:left w:val="nil"/>
              <w:bottom w:val="single" w:sz="4" w:space="0" w:color="auto"/>
              <w:right w:val="nil"/>
            </w:tcBorders>
            <w:shd w:val="clear" w:color="auto" w:fill="FFFFFF" w:themeFill="background1"/>
          </w:tcPr>
          <w:p w14:paraId="164ADD9E"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5124C1B3" w14:textId="77777777" w:rsidR="009D7AD2" w:rsidRPr="002F4389" w:rsidRDefault="009D7AD2" w:rsidP="009D7AD2">
            <w:pPr>
              <w:pStyle w:val="051Tabletext228pt"/>
              <w:rPr>
                <w:rFonts w:cs="Calibri"/>
                <w:color w:val="000000"/>
              </w:rPr>
            </w:pPr>
            <w:r w:rsidRPr="002F4389">
              <w:rPr>
                <w:rFonts w:cs="Calibri"/>
                <w:color w:val="000000"/>
              </w:rPr>
              <w:t>239412</w:t>
            </w:r>
          </w:p>
        </w:tc>
      </w:tr>
      <w:tr w:rsidR="009D7AD2" w:rsidRPr="009B4553" w14:paraId="318A463C"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369FD6FB"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2D072D75"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0767A5EB" w14:textId="77777777" w:rsidR="009D7AD2" w:rsidRPr="002F4389" w:rsidRDefault="009D7AD2" w:rsidP="009D7AD2">
            <w:pPr>
              <w:pStyle w:val="051Tabletext228pt"/>
              <w:rPr>
                <w:rFonts w:cs="Calibri"/>
              </w:rPr>
            </w:pPr>
            <w:r w:rsidRPr="002F4389">
              <w:rPr>
                <w:rFonts w:cs="Calibri"/>
              </w:rPr>
              <w:t>Quadripolar Stretch-Coil Extensions</w:t>
            </w:r>
          </w:p>
        </w:tc>
        <w:tc>
          <w:tcPr>
            <w:tcW w:w="1559" w:type="dxa"/>
            <w:tcBorders>
              <w:top w:val="single" w:sz="4" w:space="0" w:color="auto"/>
              <w:left w:val="nil"/>
              <w:bottom w:val="single" w:sz="4" w:space="0" w:color="auto"/>
              <w:right w:val="nil"/>
            </w:tcBorders>
            <w:shd w:val="clear" w:color="auto" w:fill="FFFFFF" w:themeFill="background1"/>
          </w:tcPr>
          <w:p w14:paraId="2E54D5A1" w14:textId="77777777" w:rsidR="009D7AD2" w:rsidRPr="002F4389" w:rsidRDefault="009D7AD2" w:rsidP="009D7AD2">
            <w:pPr>
              <w:pStyle w:val="051Tabletext228pt"/>
              <w:rPr>
                <w:rFonts w:cs="Calibri"/>
                <w:color w:val="000000"/>
              </w:rPr>
            </w:pPr>
            <w:r w:rsidRPr="002F4389">
              <w:rPr>
                <w:rFonts w:cs="Calibri"/>
                <w:color w:val="000000"/>
              </w:rPr>
              <w:t>Medtronic Australasia Pty Ltd</w:t>
            </w:r>
          </w:p>
        </w:tc>
        <w:tc>
          <w:tcPr>
            <w:tcW w:w="1100" w:type="dxa"/>
            <w:tcBorders>
              <w:top w:val="single" w:sz="4" w:space="0" w:color="auto"/>
              <w:left w:val="nil"/>
              <w:bottom w:val="single" w:sz="4" w:space="0" w:color="auto"/>
              <w:right w:val="nil"/>
            </w:tcBorders>
            <w:shd w:val="clear" w:color="auto" w:fill="FFFFFF" w:themeFill="background1"/>
          </w:tcPr>
          <w:p w14:paraId="0794503E" w14:textId="77777777" w:rsidR="009D7AD2" w:rsidRPr="002F4389" w:rsidRDefault="009D7AD2" w:rsidP="009D7AD2">
            <w:pPr>
              <w:pStyle w:val="051Tabletext228pt"/>
              <w:rPr>
                <w:rFonts w:cs="Calibri"/>
                <w:color w:val="000000"/>
              </w:rPr>
            </w:pPr>
            <w:r w:rsidRPr="002F4389">
              <w:rPr>
                <w:rFonts w:cs="Calibri"/>
                <w:color w:val="000000"/>
              </w:rPr>
              <w:t>MC734</w:t>
            </w:r>
          </w:p>
        </w:tc>
        <w:tc>
          <w:tcPr>
            <w:tcW w:w="743" w:type="dxa"/>
            <w:tcBorders>
              <w:top w:val="single" w:sz="4" w:space="0" w:color="auto"/>
              <w:left w:val="nil"/>
              <w:bottom w:val="single" w:sz="4" w:space="0" w:color="auto"/>
              <w:right w:val="nil"/>
            </w:tcBorders>
            <w:shd w:val="clear" w:color="auto" w:fill="FFFFFF" w:themeFill="background1"/>
          </w:tcPr>
          <w:p w14:paraId="5FD70A53"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57B40E02" w14:textId="77777777" w:rsidR="009D7AD2" w:rsidRPr="002F4389" w:rsidRDefault="009D7AD2" w:rsidP="009D7AD2">
            <w:pPr>
              <w:pStyle w:val="051Tabletext228pt"/>
              <w:rPr>
                <w:rFonts w:cs="Calibri"/>
                <w:color w:val="000000"/>
              </w:rPr>
            </w:pPr>
            <w:r w:rsidRPr="002F4389">
              <w:rPr>
                <w:rFonts w:cs="Calibri"/>
                <w:color w:val="000000"/>
              </w:rPr>
              <w:t>239412</w:t>
            </w:r>
          </w:p>
        </w:tc>
      </w:tr>
      <w:tr w:rsidR="009D7AD2" w:rsidRPr="009B4553" w14:paraId="0B94696E"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20B527AB"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60BF839E"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2E291C97" w14:textId="77777777" w:rsidR="009D7AD2" w:rsidRPr="002F4389" w:rsidRDefault="009D7AD2" w:rsidP="009D7AD2">
            <w:pPr>
              <w:pStyle w:val="051Tabletext228pt"/>
              <w:rPr>
                <w:rFonts w:cs="Calibri"/>
              </w:rPr>
            </w:pPr>
            <w:r w:rsidRPr="002F4389">
              <w:rPr>
                <w:rFonts w:cs="Calibri"/>
              </w:rPr>
              <w:t>Pocket Adaptors for Spinal Cord Stimulation</w:t>
            </w:r>
          </w:p>
        </w:tc>
        <w:tc>
          <w:tcPr>
            <w:tcW w:w="1559" w:type="dxa"/>
            <w:tcBorders>
              <w:top w:val="single" w:sz="4" w:space="0" w:color="auto"/>
              <w:left w:val="nil"/>
              <w:bottom w:val="single" w:sz="4" w:space="0" w:color="auto"/>
              <w:right w:val="nil"/>
            </w:tcBorders>
            <w:shd w:val="clear" w:color="auto" w:fill="FFFFFF" w:themeFill="background1"/>
          </w:tcPr>
          <w:p w14:paraId="7A3A9EAD" w14:textId="77777777" w:rsidR="009D7AD2" w:rsidRPr="002F4389" w:rsidRDefault="009D7AD2" w:rsidP="009D7AD2">
            <w:pPr>
              <w:pStyle w:val="051Tabletext228pt"/>
              <w:rPr>
                <w:rFonts w:cs="Calibri"/>
                <w:color w:val="000000"/>
              </w:rPr>
            </w:pPr>
            <w:r w:rsidRPr="002F4389">
              <w:rPr>
                <w:rFonts w:cs="Calibri"/>
                <w:color w:val="000000"/>
              </w:rPr>
              <w:t>Medtronic Australasia Pty Ltd</w:t>
            </w:r>
          </w:p>
        </w:tc>
        <w:tc>
          <w:tcPr>
            <w:tcW w:w="1100" w:type="dxa"/>
            <w:tcBorders>
              <w:top w:val="single" w:sz="4" w:space="0" w:color="auto"/>
              <w:left w:val="nil"/>
              <w:bottom w:val="single" w:sz="4" w:space="0" w:color="auto"/>
              <w:right w:val="nil"/>
            </w:tcBorders>
            <w:shd w:val="clear" w:color="auto" w:fill="FFFFFF" w:themeFill="background1"/>
          </w:tcPr>
          <w:p w14:paraId="35E63A2D" w14:textId="77777777" w:rsidR="009D7AD2" w:rsidRPr="002F4389" w:rsidRDefault="009D7AD2" w:rsidP="009D7AD2">
            <w:pPr>
              <w:pStyle w:val="051Tabletext228pt"/>
              <w:rPr>
                <w:rFonts w:cs="Calibri"/>
                <w:color w:val="000000"/>
              </w:rPr>
            </w:pPr>
            <w:r w:rsidRPr="002F4389">
              <w:rPr>
                <w:rFonts w:cs="Calibri"/>
                <w:color w:val="000000"/>
              </w:rPr>
              <w:t>MC941</w:t>
            </w:r>
          </w:p>
        </w:tc>
        <w:tc>
          <w:tcPr>
            <w:tcW w:w="743" w:type="dxa"/>
            <w:tcBorders>
              <w:top w:val="single" w:sz="4" w:space="0" w:color="auto"/>
              <w:left w:val="nil"/>
              <w:bottom w:val="single" w:sz="4" w:space="0" w:color="auto"/>
              <w:right w:val="nil"/>
            </w:tcBorders>
            <w:shd w:val="clear" w:color="auto" w:fill="FFFFFF" w:themeFill="background1"/>
          </w:tcPr>
          <w:p w14:paraId="5C529667"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6760E740" w14:textId="77777777" w:rsidR="009D7AD2" w:rsidRPr="002F4389" w:rsidRDefault="009D7AD2" w:rsidP="009D7AD2">
            <w:pPr>
              <w:pStyle w:val="051Tabletext228pt"/>
              <w:rPr>
                <w:rFonts w:cs="Calibri"/>
                <w:color w:val="000000"/>
              </w:rPr>
            </w:pPr>
            <w:r w:rsidRPr="002F4389">
              <w:rPr>
                <w:rFonts w:cs="Calibri"/>
                <w:color w:val="000000"/>
              </w:rPr>
              <w:t>165114</w:t>
            </w:r>
          </w:p>
        </w:tc>
      </w:tr>
      <w:tr w:rsidR="009D7AD2" w:rsidRPr="009B4553" w14:paraId="21A2DEE8"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579D5902"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4A6C7678"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3E09C424" w14:textId="77777777" w:rsidR="009D7AD2" w:rsidRPr="002F4389" w:rsidRDefault="009D7AD2" w:rsidP="009D7AD2">
            <w:pPr>
              <w:pStyle w:val="051Tabletext228pt"/>
              <w:rPr>
                <w:rFonts w:cs="Calibri"/>
              </w:rPr>
            </w:pPr>
            <w:r w:rsidRPr="002F4389">
              <w:rPr>
                <w:rFonts w:cs="Calibri"/>
              </w:rPr>
              <w:t>Neurostimulation System - Extensions</w:t>
            </w:r>
          </w:p>
        </w:tc>
        <w:tc>
          <w:tcPr>
            <w:tcW w:w="1559" w:type="dxa"/>
            <w:tcBorders>
              <w:top w:val="single" w:sz="4" w:space="0" w:color="auto"/>
              <w:left w:val="nil"/>
              <w:bottom w:val="single" w:sz="4" w:space="0" w:color="auto"/>
              <w:right w:val="nil"/>
            </w:tcBorders>
            <w:shd w:val="clear" w:color="auto" w:fill="FFFFFF" w:themeFill="background1"/>
          </w:tcPr>
          <w:p w14:paraId="17B67E29" w14:textId="77777777" w:rsidR="009D7AD2" w:rsidRPr="002F4389" w:rsidRDefault="009D7AD2" w:rsidP="009D7AD2">
            <w:pPr>
              <w:pStyle w:val="051Tabletext228pt"/>
              <w:rPr>
                <w:rFonts w:cs="Calibri"/>
                <w:color w:val="000000"/>
              </w:rPr>
            </w:pPr>
            <w:r w:rsidRPr="002F4389">
              <w:rPr>
                <w:rFonts w:cs="Calibri"/>
                <w:color w:val="000000"/>
              </w:rPr>
              <w:t>Medtronic Australasia Pty Ltd</w:t>
            </w:r>
          </w:p>
        </w:tc>
        <w:tc>
          <w:tcPr>
            <w:tcW w:w="1100" w:type="dxa"/>
            <w:tcBorders>
              <w:top w:val="single" w:sz="4" w:space="0" w:color="auto"/>
              <w:left w:val="nil"/>
              <w:bottom w:val="single" w:sz="4" w:space="0" w:color="auto"/>
              <w:right w:val="nil"/>
            </w:tcBorders>
            <w:shd w:val="clear" w:color="auto" w:fill="FFFFFF" w:themeFill="background1"/>
          </w:tcPr>
          <w:p w14:paraId="4F129FA5" w14:textId="77777777" w:rsidR="009D7AD2" w:rsidRPr="002F4389" w:rsidRDefault="009D7AD2" w:rsidP="009D7AD2">
            <w:pPr>
              <w:pStyle w:val="051Tabletext228pt"/>
              <w:rPr>
                <w:rFonts w:cs="Calibri"/>
                <w:color w:val="000000"/>
              </w:rPr>
            </w:pPr>
            <w:r w:rsidRPr="002F4389">
              <w:rPr>
                <w:rFonts w:cs="Calibri"/>
                <w:color w:val="000000"/>
              </w:rPr>
              <w:t>MI445</w:t>
            </w:r>
          </w:p>
        </w:tc>
        <w:tc>
          <w:tcPr>
            <w:tcW w:w="743" w:type="dxa"/>
            <w:tcBorders>
              <w:top w:val="single" w:sz="4" w:space="0" w:color="auto"/>
              <w:left w:val="nil"/>
              <w:bottom w:val="single" w:sz="4" w:space="0" w:color="auto"/>
              <w:right w:val="nil"/>
            </w:tcBorders>
            <w:shd w:val="clear" w:color="auto" w:fill="FFFFFF" w:themeFill="background1"/>
          </w:tcPr>
          <w:p w14:paraId="188351FD"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00ED109C" w14:textId="77777777" w:rsidR="009D7AD2" w:rsidRPr="002F4389" w:rsidRDefault="009D7AD2" w:rsidP="009D7AD2">
            <w:pPr>
              <w:pStyle w:val="051Tabletext228pt"/>
              <w:rPr>
                <w:rFonts w:cs="Calibri"/>
                <w:color w:val="000000"/>
              </w:rPr>
            </w:pPr>
            <w:r w:rsidRPr="002F4389">
              <w:rPr>
                <w:rFonts w:cs="Calibri"/>
                <w:color w:val="000000"/>
              </w:rPr>
              <w:t>239412</w:t>
            </w:r>
          </w:p>
        </w:tc>
      </w:tr>
      <w:tr w:rsidR="009D7AD2" w:rsidRPr="009B4553" w14:paraId="0A0DCD6D"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004E2089"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5042D3DD"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2EC6AE4D" w14:textId="77777777" w:rsidR="009D7AD2" w:rsidRPr="002F4389" w:rsidRDefault="009D7AD2" w:rsidP="009D7AD2">
            <w:pPr>
              <w:pStyle w:val="051Tabletext228pt"/>
              <w:rPr>
                <w:rFonts w:cs="Calibri"/>
              </w:rPr>
            </w:pPr>
            <w:r w:rsidRPr="002F4389">
              <w:rPr>
                <w:rFonts w:cs="Calibri"/>
              </w:rPr>
              <w:t>ANS Spinal Cord Stimulation System (SCS)</w:t>
            </w:r>
          </w:p>
        </w:tc>
        <w:tc>
          <w:tcPr>
            <w:tcW w:w="1559" w:type="dxa"/>
            <w:tcBorders>
              <w:top w:val="single" w:sz="4" w:space="0" w:color="auto"/>
              <w:left w:val="nil"/>
              <w:bottom w:val="single" w:sz="4" w:space="0" w:color="auto"/>
              <w:right w:val="nil"/>
            </w:tcBorders>
            <w:shd w:val="clear" w:color="auto" w:fill="FFFFFF" w:themeFill="background1"/>
          </w:tcPr>
          <w:p w14:paraId="17198476" w14:textId="77777777" w:rsidR="009D7AD2" w:rsidRPr="002F4389" w:rsidRDefault="009D7AD2" w:rsidP="009D7AD2">
            <w:pPr>
              <w:pStyle w:val="051Tabletext228pt"/>
              <w:rPr>
                <w:rFonts w:cs="Calibri"/>
                <w:color w:val="000000"/>
              </w:rPr>
            </w:pPr>
            <w:r w:rsidRPr="002F4389">
              <w:rPr>
                <w:rFonts w:cs="Calibri"/>
                <w:color w:val="000000"/>
              </w:rPr>
              <w:t>ABBOTT MEDICAL AUSTRALIA PTY LTD.</w:t>
            </w:r>
          </w:p>
        </w:tc>
        <w:tc>
          <w:tcPr>
            <w:tcW w:w="1100" w:type="dxa"/>
            <w:tcBorders>
              <w:top w:val="single" w:sz="4" w:space="0" w:color="auto"/>
              <w:left w:val="nil"/>
              <w:bottom w:val="single" w:sz="4" w:space="0" w:color="auto"/>
              <w:right w:val="nil"/>
            </w:tcBorders>
            <w:shd w:val="clear" w:color="auto" w:fill="FFFFFF" w:themeFill="background1"/>
          </w:tcPr>
          <w:p w14:paraId="48FB5718" w14:textId="77777777" w:rsidR="009D7AD2" w:rsidRPr="002F4389" w:rsidRDefault="009D7AD2" w:rsidP="009D7AD2">
            <w:pPr>
              <w:pStyle w:val="051Tabletext228pt"/>
              <w:rPr>
                <w:rFonts w:cs="Calibri"/>
                <w:color w:val="000000"/>
              </w:rPr>
            </w:pPr>
            <w:r w:rsidRPr="002F4389">
              <w:rPr>
                <w:rFonts w:cs="Calibri"/>
                <w:color w:val="000000"/>
              </w:rPr>
              <w:t>SJ160</w:t>
            </w:r>
          </w:p>
        </w:tc>
        <w:tc>
          <w:tcPr>
            <w:tcW w:w="743" w:type="dxa"/>
            <w:tcBorders>
              <w:top w:val="single" w:sz="4" w:space="0" w:color="auto"/>
              <w:left w:val="nil"/>
              <w:bottom w:val="single" w:sz="4" w:space="0" w:color="auto"/>
              <w:right w:val="nil"/>
            </w:tcBorders>
            <w:shd w:val="clear" w:color="auto" w:fill="FFFFFF" w:themeFill="background1"/>
          </w:tcPr>
          <w:p w14:paraId="6D48FE58"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245272E0" w14:textId="77777777" w:rsidR="009D7AD2" w:rsidRPr="002F4389" w:rsidRDefault="009D7AD2" w:rsidP="009D7AD2">
            <w:pPr>
              <w:pStyle w:val="051Tabletext228pt"/>
              <w:rPr>
                <w:rFonts w:cs="Calibri"/>
                <w:color w:val="000000"/>
              </w:rPr>
            </w:pPr>
            <w:r w:rsidRPr="002F4389">
              <w:rPr>
                <w:rFonts w:cs="Calibri"/>
                <w:color w:val="000000"/>
              </w:rPr>
              <w:t>126001</w:t>
            </w:r>
            <w:r w:rsidRPr="002F4389">
              <w:rPr>
                <w:rFonts w:cs="Calibri"/>
                <w:color w:val="000000"/>
              </w:rPr>
              <w:br/>
              <w:t>126078</w:t>
            </w:r>
          </w:p>
        </w:tc>
      </w:tr>
      <w:tr w:rsidR="009D7AD2" w:rsidRPr="009B4553" w14:paraId="5005E90A"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4E8E7E1A"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4B888B6E"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5059C896" w14:textId="77777777" w:rsidR="009D7AD2" w:rsidRPr="002F4389" w:rsidRDefault="009D7AD2" w:rsidP="009D7AD2">
            <w:pPr>
              <w:pStyle w:val="051Tabletext228pt"/>
              <w:rPr>
                <w:rFonts w:cs="Calibri"/>
              </w:rPr>
            </w:pPr>
            <w:r w:rsidRPr="002F4389">
              <w:rPr>
                <w:rFonts w:cs="Calibri"/>
              </w:rPr>
              <w:t>A127 Lead Extension</w:t>
            </w:r>
          </w:p>
        </w:tc>
        <w:tc>
          <w:tcPr>
            <w:tcW w:w="1559" w:type="dxa"/>
            <w:tcBorders>
              <w:top w:val="single" w:sz="4" w:space="0" w:color="auto"/>
              <w:left w:val="nil"/>
              <w:bottom w:val="single" w:sz="4" w:space="0" w:color="auto"/>
              <w:right w:val="nil"/>
            </w:tcBorders>
            <w:shd w:val="clear" w:color="auto" w:fill="FFFFFF" w:themeFill="background1"/>
          </w:tcPr>
          <w:p w14:paraId="1F71033A" w14:textId="77777777" w:rsidR="009D7AD2" w:rsidRPr="002F4389" w:rsidRDefault="009D7AD2" w:rsidP="009D7AD2">
            <w:pPr>
              <w:pStyle w:val="051Tabletext228pt"/>
              <w:rPr>
                <w:rFonts w:cs="Calibri"/>
                <w:color w:val="000000"/>
              </w:rPr>
            </w:pPr>
            <w:r w:rsidRPr="002F4389">
              <w:rPr>
                <w:rFonts w:cs="Calibri"/>
                <w:color w:val="000000"/>
              </w:rPr>
              <w:t>ABBOTT MEDICAL AUSTRALIA PTY LTD.</w:t>
            </w:r>
          </w:p>
        </w:tc>
        <w:tc>
          <w:tcPr>
            <w:tcW w:w="1100" w:type="dxa"/>
            <w:tcBorders>
              <w:top w:val="single" w:sz="4" w:space="0" w:color="auto"/>
              <w:left w:val="nil"/>
              <w:bottom w:val="single" w:sz="4" w:space="0" w:color="auto"/>
              <w:right w:val="nil"/>
            </w:tcBorders>
            <w:shd w:val="clear" w:color="auto" w:fill="FFFFFF" w:themeFill="background1"/>
          </w:tcPr>
          <w:p w14:paraId="4D958EA7" w14:textId="77777777" w:rsidR="009D7AD2" w:rsidRPr="002F4389" w:rsidRDefault="009D7AD2" w:rsidP="009D7AD2">
            <w:pPr>
              <w:pStyle w:val="051Tabletext228pt"/>
              <w:rPr>
                <w:rFonts w:cs="Calibri"/>
                <w:color w:val="000000"/>
              </w:rPr>
            </w:pPr>
            <w:r w:rsidRPr="002F4389">
              <w:rPr>
                <w:rFonts w:cs="Calibri"/>
                <w:color w:val="000000"/>
              </w:rPr>
              <w:t>SJ178</w:t>
            </w:r>
          </w:p>
        </w:tc>
        <w:tc>
          <w:tcPr>
            <w:tcW w:w="743" w:type="dxa"/>
            <w:tcBorders>
              <w:top w:val="single" w:sz="4" w:space="0" w:color="auto"/>
              <w:left w:val="nil"/>
              <w:bottom w:val="single" w:sz="4" w:space="0" w:color="auto"/>
              <w:right w:val="nil"/>
            </w:tcBorders>
            <w:shd w:val="clear" w:color="auto" w:fill="FFFFFF" w:themeFill="background1"/>
          </w:tcPr>
          <w:p w14:paraId="7D8E7A8D"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5E0063EA" w14:textId="77777777" w:rsidR="009D7AD2" w:rsidRPr="002F4389" w:rsidRDefault="009D7AD2" w:rsidP="009D7AD2">
            <w:pPr>
              <w:pStyle w:val="051Tabletext228pt"/>
              <w:rPr>
                <w:rFonts w:cs="Calibri"/>
                <w:color w:val="000000"/>
              </w:rPr>
            </w:pPr>
            <w:r w:rsidRPr="002F4389">
              <w:rPr>
                <w:rFonts w:cs="Calibri"/>
                <w:color w:val="000000"/>
              </w:rPr>
              <w:t>119863</w:t>
            </w:r>
          </w:p>
        </w:tc>
      </w:tr>
      <w:tr w:rsidR="009D7AD2" w:rsidRPr="009B4553" w14:paraId="2694127E"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0DCA0718"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1A7ECAC2" w14:textId="77777777" w:rsidR="009D7AD2" w:rsidRPr="002F4389" w:rsidRDefault="009D7AD2" w:rsidP="009D7AD2">
            <w:pPr>
              <w:pStyle w:val="051Tabletext228pt"/>
              <w:rPr>
                <w:rFonts w:cs="Calibri"/>
                <w:color w:val="000000"/>
              </w:rPr>
            </w:pPr>
            <w:r w:rsidRPr="00E47F15">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0D35404F" w14:textId="77777777" w:rsidR="009D7AD2" w:rsidRPr="002F4389" w:rsidRDefault="009D7AD2" w:rsidP="009D7AD2">
            <w:pPr>
              <w:pStyle w:val="051Tabletext228pt"/>
              <w:rPr>
                <w:rFonts w:cs="Calibri"/>
              </w:rPr>
            </w:pPr>
            <w:r w:rsidRPr="002F4389">
              <w:rPr>
                <w:rFonts w:cs="Calibri"/>
              </w:rPr>
              <w:t>Axium Neurostimulator System - Lead Extension Kit</w:t>
            </w:r>
          </w:p>
        </w:tc>
        <w:tc>
          <w:tcPr>
            <w:tcW w:w="1559" w:type="dxa"/>
            <w:tcBorders>
              <w:top w:val="single" w:sz="4" w:space="0" w:color="auto"/>
              <w:left w:val="nil"/>
              <w:bottom w:val="single" w:sz="4" w:space="0" w:color="auto"/>
              <w:right w:val="nil"/>
            </w:tcBorders>
            <w:shd w:val="clear" w:color="auto" w:fill="FFFFFF" w:themeFill="background1"/>
          </w:tcPr>
          <w:p w14:paraId="4EF0C348" w14:textId="77777777" w:rsidR="009D7AD2" w:rsidRPr="002F4389" w:rsidRDefault="009D7AD2" w:rsidP="009D7AD2">
            <w:pPr>
              <w:pStyle w:val="051Tabletext228pt"/>
              <w:rPr>
                <w:rFonts w:cs="Calibri"/>
                <w:color w:val="000000"/>
              </w:rPr>
            </w:pPr>
            <w:r w:rsidRPr="002F4389">
              <w:rPr>
                <w:rFonts w:cs="Calibri"/>
                <w:color w:val="000000"/>
              </w:rPr>
              <w:t>ABBOTT MEDICAL AUSTRALIA PTY LTD.</w:t>
            </w:r>
          </w:p>
        </w:tc>
        <w:tc>
          <w:tcPr>
            <w:tcW w:w="1100" w:type="dxa"/>
            <w:tcBorders>
              <w:top w:val="single" w:sz="4" w:space="0" w:color="auto"/>
              <w:left w:val="nil"/>
              <w:bottom w:val="single" w:sz="4" w:space="0" w:color="auto"/>
              <w:right w:val="nil"/>
            </w:tcBorders>
            <w:shd w:val="clear" w:color="auto" w:fill="FFFFFF" w:themeFill="background1"/>
          </w:tcPr>
          <w:p w14:paraId="05807DEC" w14:textId="77777777" w:rsidR="009D7AD2" w:rsidRPr="002F4389" w:rsidRDefault="009D7AD2" w:rsidP="009D7AD2">
            <w:pPr>
              <w:pStyle w:val="051Tabletext228pt"/>
              <w:rPr>
                <w:rFonts w:cs="Calibri"/>
                <w:color w:val="000000"/>
              </w:rPr>
            </w:pPr>
            <w:r w:rsidRPr="002F4389">
              <w:rPr>
                <w:rFonts w:cs="Calibri"/>
                <w:color w:val="000000"/>
              </w:rPr>
              <w:t>SJ358</w:t>
            </w:r>
          </w:p>
        </w:tc>
        <w:tc>
          <w:tcPr>
            <w:tcW w:w="743" w:type="dxa"/>
            <w:tcBorders>
              <w:top w:val="single" w:sz="4" w:space="0" w:color="auto"/>
              <w:left w:val="nil"/>
              <w:bottom w:val="single" w:sz="4" w:space="0" w:color="auto"/>
              <w:right w:val="nil"/>
            </w:tcBorders>
            <w:shd w:val="clear" w:color="auto" w:fill="FFFFFF" w:themeFill="background1"/>
          </w:tcPr>
          <w:p w14:paraId="2D6B7544"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0E7E83D4" w14:textId="77777777" w:rsidR="009D7AD2" w:rsidRPr="002F4389" w:rsidRDefault="009D7AD2" w:rsidP="009D7AD2">
            <w:pPr>
              <w:pStyle w:val="051Tabletext228pt"/>
              <w:rPr>
                <w:rFonts w:cs="Calibri"/>
                <w:color w:val="000000"/>
              </w:rPr>
            </w:pPr>
            <w:r w:rsidRPr="002F4389">
              <w:rPr>
                <w:rFonts w:cs="Calibri"/>
                <w:color w:val="000000"/>
              </w:rPr>
              <w:t>203096</w:t>
            </w:r>
            <w:r w:rsidRPr="002F4389">
              <w:rPr>
                <w:rFonts w:cs="Calibri"/>
                <w:color w:val="000000"/>
              </w:rPr>
              <w:br/>
              <w:t>301410</w:t>
            </w:r>
            <w:r w:rsidRPr="002F4389">
              <w:rPr>
                <w:rFonts w:cs="Calibri"/>
                <w:color w:val="000000"/>
              </w:rPr>
              <w:br/>
              <w:t>333448</w:t>
            </w:r>
          </w:p>
        </w:tc>
      </w:tr>
      <w:tr w:rsidR="009D7AD2" w:rsidRPr="009B4553" w14:paraId="14D90ADC"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19962146" w14:textId="77777777" w:rsidR="009D7AD2" w:rsidRPr="002F4389" w:rsidRDefault="009D7AD2" w:rsidP="009D7AD2">
            <w:pPr>
              <w:pStyle w:val="051Tabletext228pt"/>
              <w:rPr>
                <w:rFonts w:cs="Calibri"/>
                <w:color w:val="000000"/>
              </w:rPr>
            </w:pPr>
            <w:r w:rsidRPr="002F4389">
              <w:rPr>
                <w:rFonts w:cs="Calibri"/>
                <w:color w:val="000000"/>
              </w:rPr>
              <w:t>04.05.04 - Lead Extension</w:t>
            </w:r>
          </w:p>
        </w:tc>
        <w:tc>
          <w:tcPr>
            <w:tcW w:w="2268" w:type="dxa"/>
            <w:gridSpan w:val="4"/>
            <w:tcBorders>
              <w:top w:val="single" w:sz="4" w:space="0" w:color="auto"/>
              <w:left w:val="nil"/>
              <w:bottom w:val="single" w:sz="4" w:space="0" w:color="auto"/>
              <w:right w:val="nil"/>
            </w:tcBorders>
            <w:shd w:val="clear" w:color="auto" w:fill="FFFFFF" w:themeFill="background1"/>
          </w:tcPr>
          <w:p w14:paraId="2F87486E" w14:textId="77777777" w:rsidR="009D7AD2" w:rsidRPr="002F4389" w:rsidRDefault="009D7AD2" w:rsidP="009D7AD2">
            <w:pPr>
              <w:pStyle w:val="051Tabletext228pt"/>
              <w:rPr>
                <w:rFonts w:cs="Calibri"/>
                <w:color w:val="000000"/>
              </w:rPr>
            </w:pPr>
            <w:r>
              <w:rPr>
                <w:rFonts w:cs="Calibri"/>
                <w:color w:val="000000"/>
              </w:rPr>
              <w:t>No subgroup</w:t>
            </w:r>
          </w:p>
        </w:tc>
        <w:tc>
          <w:tcPr>
            <w:tcW w:w="1843" w:type="dxa"/>
            <w:tcBorders>
              <w:top w:val="single" w:sz="4" w:space="0" w:color="auto"/>
              <w:left w:val="nil"/>
              <w:bottom w:val="single" w:sz="4" w:space="0" w:color="auto"/>
              <w:right w:val="nil"/>
            </w:tcBorders>
            <w:shd w:val="clear" w:color="auto" w:fill="FFFFFF" w:themeFill="background1"/>
          </w:tcPr>
          <w:p w14:paraId="73F2812B" w14:textId="77777777" w:rsidR="009D7AD2" w:rsidRPr="002F4389" w:rsidRDefault="009D7AD2" w:rsidP="009D7AD2">
            <w:pPr>
              <w:pStyle w:val="051Tabletext228pt"/>
              <w:rPr>
                <w:rFonts w:cs="Calibri"/>
              </w:rPr>
            </w:pPr>
            <w:r w:rsidRPr="002F4389">
              <w:rPr>
                <w:rFonts w:cs="Calibri"/>
              </w:rPr>
              <w:t>Evoke 12C Lead Extension Kit - 55cm</w:t>
            </w:r>
          </w:p>
        </w:tc>
        <w:tc>
          <w:tcPr>
            <w:tcW w:w="1559" w:type="dxa"/>
            <w:tcBorders>
              <w:top w:val="single" w:sz="4" w:space="0" w:color="auto"/>
              <w:left w:val="nil"/>
              <w:bottom w:val="single" w:sz="4" w:space="0" w:color="auto"/>
              <w:right w:val="nil"/>
            </w:tcBorders>
            <w:shd w:val="clear" w:color="auto" w:fill="FFFFFF" w:themeFill="background1"/>
          </w:tcPr>
          <w:p w14:paraId="39524D53" w14:textId="77777777" w:rsidR="009D7AD2" w:rsidRPr="002F4389" w:rsidRDefault="009D7AD2" w:rsidP="009D7AD2">
            <w:pPr>
              <w:pStyle w:val="051Tabletext228pt"/>
              <w:rPr>
                <w:rFonts w:cs="Calibri"/>
                <w:color w:val="000000"/>
              </w:rPr>
            </w:pPr>
            <w:r w:rsidRPr="002F4389">
              <w:rPr>
                <w:rFonts w:cs="Calibri"/>
                <w:color w:val="000000"/>
              </w:rPr>
              <w:t>SALUDA MEDICAL PTY LIMITED</w:t>
            </w:r>
          </w:p>
        </w:tc>
        <w:tc>
          <w:tcPr>
            <w:tcW w:w="1100" w:type="dxa"/>
            <w:tcBorders>
              <w:top w:val="single" w:sz="4" w:space="0" w:color="auto"/>
              <w:left w:val="nil"/>
              <w:bottom w:val="single" w:sz="4" w:space="0" w:color="auto"/>
              <w:right w:val="nil"/>
            </w:tcBorders>
            <w:shd w:val="clear" w:color="auto" w:fill="FFFFFF" w:themeFill="background1"/>
          </w:tcPr>
          <w:p w14:paraId="256D48FD" w14:textId="77777777" w:rsidR="009D7AD2" w:rsidRPr="002F4389" w:rsidRDefault="009D7AD2" w:rsidP="009D7AD2">
            <w:pPr>
              <w:pStyle w:val="051Tabletext228pt"/>
              <w:rPr>
                <w:rFonts w:cs="Calibri"/>
                <w:color w:val="000000"/>
              </w:rPr>
            </w:pPr>
            <w:r w:rsidRPr="002F4389">
              <w:rPr>
                <w:rFonts w:cs="Calibri"/>
                <w:color w:val="000000"/>
              </w:rPr>
              <w:t>UY004</w:t>
            </w:r>
          </w:p>
        </w:tc>
        <w:tc>
          <w:tcPr>
            <w:tcW w:w="743" w:type="dxa"/>
            <w:tcBorders>
              <w:top w:val="single" w:sz="4" w:space="0" w:color="auto"/>
              <w:left w:val="nil"/>
              <w:bottom w:val="single" w:sz="4" w:space="0" w:color="auto"/>
              <w:right w:val="nil"/>
            </w:tcBorders>
            <w:shd w:val="clear" w:color="auto" w:fill="FFFFFF" w:themeFill="background1"/>
          </w:tcPr>
          <w:p w14:paraId="6C95D199" w14:textId="77777777" w:rsidR="009D7AD2" w:rsidRPr="002F4389" w:rsidRDefault="009D7AD2" w:rsidP="009D7AD2">
            <w:pPr>
              <w:pStyle w:val="051Tabletext228pt"/>
              <w:rPr>
                <w:rFonts w:cs="Calibri"/>
                <w:color w:val="000000"/>
              </w:rPr>
            </w:pPr>
            <w:r w:rsidRPr="002F4389">
              <w:rPr>
                <w:rFonts w:cs="Calibri"/>
                <w:color w:val="000000"/>
              </w:rPr>
              <w:t>$1,362</w:t>
            </w:r>
          </w:p>
        </w:tc>
        <w:tc>
          <w:tcPr>
            <w:tcW w:w="707" w:type="dxa"/>
            <w:tcBorders>
              <w:top w:val="single" w:sz="4" w:space="0" w:color="auto"/>
              <w:left w:val="nil"/>
              <w:bottom w:val="single" w:sz="4" w:space="0" w:color="auto"/>
            </w:tcBorders>
            <w:shd w:val="clear" w:color="auto" w:fill="FFFFFF" w:themeFill="background1"/>
          </w:tcPr>
          <w:p w14:paraId="4A96C38E" w14:textId="77777777" w:rsidR="009D7AD2" w:rsidRPr="002F4389" w:rsidRDefault="009D7AD2" w:rsidP="009D7AD2">
            <w:pPr>
              <w:pStyle w:val="051Tabletext228pt"/>
              <w:rPr>
                <w:rFonts w:cs="Calibri"/>
                <w:color w:val="000000"/>
              </w:rPr>
            </w:pPr>
            <w:r w:rsidRPr="002F4389">
              <w:rPr>
                <w:rFonts w:cs="Calibri"/>
                <w:color w:val="000000"/>
              </w:rPr>
              <w:t>336571</w:t>
            </w:r>
          </w:p>
        </w:tc>
      </w:tr>
      <w:tr w:rsidR="009D7AD2" w:rsidRPr="009B4553" w14:paraId="1644CB3E" w14:textId="77777777">
        <w:trPr>
          <w:cantSplit/>
        </w:trPr>
        <w:tc>
          <w:tcPr>
            <w:tcW w:w="1418" w:type="dxa"/>
            <w:gridSpan w:val="2"/>
            <w:tcBorders>
              <w:top w:val="single" w:sz="4" w:space="0" w:color="auto"/>
              <w:bottom w:val="single" w:sz="4" w:space="0" w:color="auto"/>
              <w:right w:val="nil"/>
            </w:tcBorders>
            <w:shd w:val="clear" w:color="auto" w:fill="F2F2F2" w:themeFill="background1" w:themeFillShade="F2"/>
          </w:tcPr>
          <w:p w14:paraId="65825F74" w14:textId="77777777" w:rsidR="009D7AD2" w:rsidRPr="009B4553" w:rsidRDefault="009D7AD2" w:rsidP="009D7AD2">
            <w:pPr>
              <w:pStyle w:val="031Tablesubheading8pt"/>
            </w:pPr>
            <w:r w:rsidRPr="009B4553">
              <w:t>Accessories</w:t>
            </w:r>
          </w:p>
        </w:tc>
        <w:tc>
          <w:tcPr>
            <w:tcW w:w="2268" w:type="dxa"/>
            <w:gridSpan w:val="4"/>
            <w:tcBorders>
              <w:top w:val="single" w:sz="4" w:space="0" w:color="auto"/>
              <w:left w:val="nil"/>
              <w:bottom w:val="single" w:sz="4" w:space="0" w:color="auto"/>
              <w:right w:val="nil"/>
            </w:tcBorders>
            <w:shd w:val="clear" w:color="auto" w:fill="F2F2F2" w:themeFill="background1" w:themeFillShade="F2"/>
          </w:tcPr>
          <w:p w14:paraId="5594D48F" w14:textId="77777777" w:rsidR="009D7AD2" w:rsidRPr="009B4553" w:rsidRDefault="009D7AD2" w:rsidP="009D7AD2">
            <w:pPr>
              <w:pStyle w:val="031Tablesubheading8pt"/>
            </w:pPr>
          </w:p>
        </w:tc>
        <w:tc>
          <w:tcPr>
            <w:tcW w:w="1843" w:type="dxa"/>
            <w:tcBorders>
              <w:top w:val="single" w:sz="4" w:space="0" w:color="auto"/>
              <w:left w:val="nil"/>
              <w:bottom w:val="single" w:sz="4" w:space="0" w:color="auto"/>
              <w:right w:val="nil"/>
            </w:tcBorders>
            <w:shd w:val="clear" w:color="auto" w:fill="F2F2F2" w:themeFill="background1" w:themeFillShade="F2"/>
          </w:tcPr>
          <w:p w14:paraId="49AB4F9C" w14:textId="77777777" w:rsidR="009D7AD2" w:rsidRPr="009B4553" w:rsidRDefault="009D7AD2" w:rsidP="009D7AD2">
            <w:pPr>
              <w:pStyle w:val="031Tablesubheading8pt"/>
            </w:pPr>
          </w:p>
        </w:tc>
        <w:tc>
          <w:tcPr>
            <w:tcW w:w="1559" w:type="dxa"/>
            <w:tcBorders>
              <w:top w:val="single" w:sz="4" w:space="0" w:color="auto"/>
              <w:left w:val="nil"/>
              <w:bottom w:val="single" w:sz="4" w:space="0" w:color="auto"/>
              <w:right w:val="nil"/>
            </w:tcBorders>
            <w:shd w:val="clear" w:color="auto" w:fill="F2F2F2" w:themeFill="background1" w:themeFillShade="F2"/>
          </w:tcPr>
          <w:p w14:paraId="4C19EF75" w14:textId="77777777" w:rsidR="009D7AD2" w:rsidRPr="009B4553" w:rsidRDefault="009D7AD2" w:rsidP="009D7AD2">
            <w:pPr>
              <w:pStyle w:val="031Tablesubheading8pt"/>
            </w:pPr>
          </w:p>
        </w:tc>
        <w:tc>
          <w:tcPr>
            <w:tcW w:w="1100" w:type="dxa"/>
            <w:tcBorders>
              <w:top w:val="single" w:sz="4" w:space="0" w:color="auto"/>
              <w:left w:val="nil"/>
              <w:bottom w:val="single" w:sz="4" w:space="0" w:color="auto"/>
              <w:right w:val="nil"/>
            </w:tcBorders>
            <w:shd w:val="clear" w:color="auto" w:fill="F2F2F2" w:themeFill="background1" w:themeFillShade="F2"/>
          </w:tcPr>
          <w:p w14:paraId="1A0448E7" w14:textId="77777777" w:rsidR="009D7AD2" w:rsidRPr="009B4553" w:rsidRDefault="009D7AD2" w:rsidP="009D7AD2">
            <w:pPr>
              <w:pStyle w:val="031Tablesubheading8pt"/>
            </w:pPr>
          </w:p>
        </w:tc>
        <w:tc>
          <w:tcPr>
            <w:tcW w:w="743" w:type="dxa"/>
            <w:tcBorders>
              <w:top w:val="single" w:sz="4" w:space="0" w:color="auto"/>
              <w:left w:val="nil"/>
              <w:bottom w:val="single" w:sz="4" w:space="0" w:color="auto"/>
              <w:right w:val="nil"/>
            </w:tcBorders>
            <w:shd w:val="clear" w:color="auto" w:fill="F2F2F2" w:themeFill="background1" w:themeFillShade="F2"/>
          </w:tcPr>
          <w:p w14:paraId="316D80E3" w14:textId="77777777" w:rsidR="009D7AD2" w:rsidRPr="009B4553" w:rsidRDefault="009D7AD2" w:rsidP="009D7AD2">
            <w:pPr>
              <w:pStyle w:val="031Tablesubheading8pt"/>
            </w:pPr>
          </w:p>
        </w:tc>
        <w:tc>
          <w:tcPr>
            <w:tcW w:w="707" w:type="dxa"/>
            <w:tcBorders>
              <w:top w:val="single" w:sz="4" w:space="0" w:color="auto"/>
              <w:left w:val="nil"/>
              <w:bottom w:val="single" w:sz="4" w:space="0" w:color="auto"/>
            </w:tcBorders>
            <w:shd w:val="clear" w:color="auto" w:fill="F2F2F2" w:themeFill="background1" w:themeFillShade="F2"/>
          </w:tcPr>
          <w:p w14:paraId="50F65C6E" w14:textId="77777777" w:rsidR="009D7AD2" w:rsidRPr="009B4553" w:rsidRDefault="009D7AD2" w:rsidP="009D7AD2">
            <w:pPr>
              <w:pStyle w:val="031Tablesubheading8pt"/>
            </w:pPr>
          </w:p>
        </w:tc>
      </w:tr>
      <w:tr w:rsidR="009D7AD2" w:rsidRPr="009B4553" w14:paraId="3459B7D1"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6835D6D9" w14:textId="77777777" w:rsidR="009D7AD2" w:rsidRPr="009B4553" w:rsidRDefault="009D7AD2" w:rsidP="009D7AD2">
            <w:pPr>
              <w:pStyle w:val="051Tabletext228pt"/>
              <w:rPr>
                <w:rFonts w:cs="Calibri"/>
                <w:color w:val="000000"/>
              </w:rPr>
            </w:pPr>
            <w:r w:rsidRPr="009B4553">
              <w:rPr>
                <w:rFonts w:cs="Calibri"/>
                <w:color w:val="000000"/>
              </w:rPr>
              <w:t>04.05.05 - Accessories</w:t>
            </w:r>
          </w:p>
        </w:tc>
        <w:tc>
          <w:tcPr>
            <w:tcW w:w="2268" w:type="dxa"/>
            <w:gridSpan w:val="4"/>
            <w:tcBorders>
              <w:top w:val="single" w:sz="4" w:space="0" w:color="auto"/>
              <w:left w:val="nil"/>
              <w:bottom w:val="single" w:sz="4" w:space="0" w:color="auto"/>
              <w:right w:val="nil"/>
            </w:tcBorders>
            <w:shd w:val="clear" w:color="auto" w:fill="FFFFFF" w:themeFill="background1"/>
          </w:tcPr>
          <w:p w14:paraId="74802E0D" w14:textId="77777777" w:rsidR="009D7AD2" w:rsidRPr="009B4553" w:rsidRDefault="009D7AD2" w:rsidP="009D7AD2">
            <w:pPr>
              <w:pStyle w:val="051Tabletext228pt"/>
              <w:rPr>
                <w:rFonts w:cs="Calibri"/>
                <w:color w:val="000000"/>
              </w:rPr>
            </w:pPr>
            <w:r w:rsidRPr="009B4553">
              <w:rPr>
                <w:rFonts w:cs="Calibri"/>
                <w:color w:val="000000"/>
              </w:rPr>
              <w:t>04.05.05.02 - Plug</w:t>
            </w:r>
          </w:p>
        </w:tc>
        <w:tc>
          <w:tcPr>
            <w:tcW w:w="1843" w:type="dxa"/>
            <w:tcBorders>
              <w:top w:val="single" w:sz="4" w:space="0" w:color="auto"/>
              <w:left w:val="nil"/>
              <w:bottom w:val="single" w:sz="4" w:space="0" w:color="auto"/>
              <w:right w:val="nil"/>
            </w:tcBorders>
            <w:shd w:val="clear" w:color="auto" w:fill="FFFFFF" w:themeFill="background1"/>
          </w:tcPr>
          <w:p w14:paraId="7473A626" w14:textId="77777777" w:rsidR="009D7AD2" w:rsidRPr="009B4553" w:rsidRDefault="009D7AD2" w:rsidP="009D7AD2">
            <w:pPr>
              <w:pStyle w:val="051Tabletext228pt"/>
              <w:rPr>
                <w:rFonts w:cs="Calibri"/>
              </w:rPr>
            </w:pPr>
            <w:r w:rsidRPr="009B4553">
              <w:rPr>
                <w:rFonts w:cs="Calibri"/>
              </w:rPr>
              <w:t>Precision SCS IPG Port</w:t>
            </w:r>
          </w:p>
        </w:tc>
        <w:tc>
          <w:tcPr>
            <w:tcW w:w="1559" w:type="dxa"/>
            <w:tcBorders>
              <w:top w:val="single" w:sz="4" w:space="0" w:color="auto"/>
              <w:left w:val="nil"/>
              <w:bottom w:val="single" w:sz="4" w:space="0" w:color="auto"/>
              <w:right w:val="nil"/>
            </w:tcBorders>
            <w:shd w:val="clear" w:color="auto" w:fill="FFFFFF" w:themeFill="background1"/>
          </w:tcPr>
          <w:p w14:paraId="13BA02B5" w14:textId="77777777" w:rsidR="009D7AD2" w:rsidRPr="009B4553" w:rsidRDefault="009D7AD2" w:rsidP="009D7AD2">
            <w:pPr>
              <w:pStyle w:val="051Tabletext228pt"/>
              <w:rPr>
                <w:rFonts w:cs="Calibri"/>
                <w:color w:val="000000"/>
              </w:rPr>
            </w:pPr>
            <w:r w:rsidRPr="009B4553">
              <w:rPr>
                <w:rFonts w:cs="Calibri"/>
                <w:color w:val="000000"/>
              </w:rPr>
              <w:t>Boston Scientific Australia Pty Ltd</w:t>
            </w:r>
          </w:p>
        </w:tc>
        <w:tc>
          <w:tcPr>
            <w:tcW w:w="1100" w:type="dxa"/>
            <w:tcBorders>
              <w:top w:val="single" w:sz="4" w:space="0" w:color="auto"/>
              <w:left w:val="nil"/>
              <w:bottom w:val="single" w:sz="4" w:space="0" w:color="auto"/>
              <w:right w:val="nil"/>
            </w:tcBorders>
            <w:shd w:val="clear" w:color="auto" w:fill="FFFFFF" w:themeFill="background1"/>
          </w:tcPr>
          <w:p w14:paraId="620699D1" w14:textId="77777777" w:rsidR="009D7AD2" w:rsidRPr="009B4553" w:rsidRDefault="009D7AD2" w:rsidP="009D7AD2">
            <w:pPr>
              <w:pStyle w:val="051Tabletext228pt"/>
              <w:rPr>
                <w:rFonts w:cs="Calibri"/>
                <w:color w:val="000000"/>
              </w:rPr>
            </w:pPr>
            <w:r w:rsidRPr="009B4553">
              <w:rPr>
                <w:rFonts w:cs="Calibri"/>
                <w:color w:val="000000"/>
              </w:rPr>
              <w:t>BS121</w:t>
            </w:r>
          </w:p>
        </w:tc>
        <w:tc>
          <w:tcPr>
            <w:tcW w:w="743" w:type="dxa"/>
            <w:tcBorders>
              <w:top w:val="single" w:sz="4" w:space="0" w:color="auto"/>
              <w:left w:val="nil"/>
              <w:bottom w:val="single" w:sz="4" w:space="0" w:color="auto"/>
              <w:right w:val="nil"/>
            </w:tcBorders>
            <w:shd w:val="clear" w:color="auto" w:fill="FFFFFF" w:themeFill="background1"/>
          </w:tcPr>
          <w:p w14:paraId="3247CC61" w14:textId="77777777" w:rsidR="009D7AD2" w:rsidRPr="009B4553" w:rsidRDefault="009D7AD2" w:rsidP="009D7AD2">
            <w:pPr>
              <w:pStyle w:val="051Tabletext228pt"/>
              <w:rPr>
                <w:rFonts w:cs="Calibri"/>
                <w:color w:val="000000"/>
              </w:rPr>
            </w:pPr>
            <w:r w:rsidRPr="009B4553">
              <w:rPr>
                <w:rFonts w:cs="Calibri"/>
                <w:color w:val="000000"/>
              </w:rPr>
              <w:t>$152</w:t>
            </w:r>
          </w:p>
        </w:tc>
        <w:tc>
          <w:tcPr>
            <w:tcW w:w="707" w:type="dxa"/>
            <w:tcBorders>
              <w:top w:val="single" w:sz="4" w:space="0" w:color="auto"/>
              <w:left w:val="nil"/>
              <w:bottom w:val="single" w:sz="4" w:space="0" w:color="auto"/>
            </w:tcBorders>
            <w:shd w:val="clear" w:color="auto" w:fill="FFFFFF" w:themeFill="background1"/>
          </w:tcPr>
          <w:p w14:paraId="07787CD5" w14:textId="77777777" w:rsidR="009D7AD2" w:rsidRPr="009B4553" w:rsidRDefault="009D7AD2" w:rsidP="009D7AD2">
            <w:pPr>
              <w:pStyle w:val="051Tabletext228pt"/>
              <w:rPr>
                <w:rFonts w:cs="Calibri"/>
                <w:color w:val="000000"/>
              </w:rPr>
            </w:pPr>
            <w:r w:rsidRPr="009B4553">
              <w:rPr>
                <w:rFonts w:cs="Calibri"/>
                <w:color w:val="000000"/>
              </w:rPr>
              <w:t>156761</w:t>
            </w:r>
          </w:p>
        </w:tc>
      </w:tr>
      <w:tr w:rsidR="009D7AD2" w:rsidRPr="009B4553" w14:paraId="754ED0FD"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70EDAEDB" w14:textId="77777777" w:rsidR="009D7AD2" w:rsidRPr="009B4553" w:rsidRDefault="009D7AD2" w:rsidP="009D7AD2">
            <w:pPr>
              <w:pStyle w:val="051Tabletext228pt"/>
              <w:rPr>
                <w:rFonts w:cs="Calibri"/>
                <w:color w:val="000000"/>
              </w:rPr>
            </w:pPr>
            <w:r w:rsidRPr="009B4553">
              <w:rPr>
                <w:rFonts w:cs="Calibri"/>
                <w:color w:val="000000"/>
              </w:rPr>
              <w:t>04.05.05 - Accessories</w:t>
            </w:r>
          </w:p>
        </w:tc>
        <w:tc>
          <w:tcPr>
            <w:tcW w:w="2268" w:type="dxa"/>
            <w:gridSpan w:val="4"/>
            <w:tcBorders>
              <w:top w:val="single" w:sz="4" w:space="0" w:color="auto"/>
              <w:left w:val="nil"/>
              <w:bottom w:val="single" w:sz="4" w:space="0" w:color="auto"/>
              <w:right w:val="nil"/>
            </w:tcBorders>
            <w:shd w:val="clear" w:color="auto" w:fill="FFFFFF" w:themeFill="background1"/>
          </w:tcPr>
          <w:p w14:paraId="6959F0E8" w14:textId="77777777" w:rsidR="009D7AD2" w:rsidRPr="009B4553" w:rsidRDefault="009D7AD2" w:rsidP="009D7AD2">
            <w:pPr>
              <w:pStyle w:val="051Tabletext228pt"/>
              <w:rPr>
                <w:rFonts w:cs="Calibri"/>
                <w:color w:val="000000"/>
              </w:rPr>
            </w:pPr>
            <w:r w:rsidRPr="009B4553">
              <w:rPr>
                <w:rFonts w:cs="Calibri"/>
                <w:color w:val="000000"/>
              </w:rPr>
              <w:t>04.05.05.02 - Plug</w:t>
            </w:r>
          </w:p>
        </w:tc>
        <w:tc>
          <w:tcPr>
            <w:tcW w:w="1843" w:type="dxa"/>
            <w:tcBorders>
              <w:top w:val="single" w:sz="4" w:space="0" w:color="auto"/>
              <w:left w:val="nil"/>
              <w:bottom w:val="single" w:sz="4" w:space="0" w:color="auto"/>
              <w:right w:val="nil"/>
            </w:tcBorders>
            <w:shd w:val="clear" w:color="auto" w:fill="FFFFFF" w:themeFill="background1"/>
          </w:tcPr>
          <w:p w14:paraId="3A7BDD1B" w14:textId="77777777" w:rsidR="009D7AD2" w:rsidRPr="009B4553" w:rsidRDefault="009D7AD2" w:rsidP="009D7AD2">
            <w:pPr>
              <w:pStyle w:val="051Tabletext228pt"/>
              <w:rPr>
                <w:rFonts w:cs="Calibri"/>
              </w:rPr>
            </w:pPr>
            <w:r w:rsidRPr="009B4553">
              <w:rPr>
                <w:rFonts w:cs="Calibri"/>
              </w:rPr>
              <w:t>Nevro Spinal Cord Stimulation System (SCSS) - IPG Port Plug Kit</w:t>
            </w:r>
          </w:p>
        </w:tc>
        <w:tc>
          <w:tcPr>
            <w:tcW w:w="1559" w:type="dxa"/>
            <w:tcBorders>
              <w:top w:val="single" w:sz="4" w:space="0" w:color="auto"/>
              <w:left w:val="nil"/>
              <w:bottom w:val="single" w:sz="4" w:space="0" w:color="auto"/>
              <w:right w:val="nil"/>
            </w:tcBorders>
            <w:shd w:val="clear" w:color="auto" w:fill="FFFFFF" w:themeFill="background1"/>
          </w:tcPr>
          <w:p w14:paraId="3CDE3312" w14:textId="77777777" w:rsidR="009D7AD2" w:rsidRPr="009B4553" w:rsidRDefault="009D7AD2" w:rsidP="009D7AD2">
            <w:pPr>
              <w:pStyle w:val="051Tabletext228pt"/>
              <w:rPr>
                <w:rFonts w:cs="Calibri"/>
                <w:color w:val="000000"/>
              </w:rPr>
            </w:pPr>
            <w:r w:rsidRPr="009B4553">
              <w:rPr>
                <w:rFonts w:cs="Calibri"/>
                <w:color w:val="000000"/>
              </w:rPr>
              <w:t>Emergo Asia Pacific Pty Ltd</w:t>
            </w:r>
          </w:p>
        </w:tc>
        <w:tc>
          <w:tcPr>
            <w:tcW w:w="1100" w:type="dxa"/>
            <w:tcBorders>
              <w:top w:val="single" w:sz="4" w:space="0" w:color="auto"/>
              <w:left w:val="nil"/>
              <w:bottom w:val="single" w:sz="4" w:space="0" w:color="auto"/>
              <w:right w:val="nil"/>
            </w:tcBorders>
            <w:shd w:val="clear" w:color="auto" w:fill="FFFFFF" w:themeFill="background1"/>
          </w:tcPr>
          <w:p w14:paraId="335A0059" w14:textId="77777777" w:rsidR="009D7AD2" w:rsidRPr="009B4553" w:rsidRDefault="009D7AD2" w:rsidP="009D7AD2">
            <w:pPr>
              <w:pStyle w:val="051Tabletext228pt"/>
              <w:rPr>
                <w:rFonts w:cs="Calibri"/>
                <w:color w:val="000000"/>
              </w:rPr>
            </w:pPr>
            <w:r w:rsidRPr="009B4553">
              <w:rPr>
                <w:rFonts w:cs="Calibri"/>
                <w:color w:val="000000"/>
              </w:rPr>
              <w:t>ER042</w:t>
            </w:r>
          </w:p>
        </w:tc>
        <w:tc>
          <w:tcPr>
            <w:tcW w:w="743" w:type="dxa"/>
            <w:tcBorders>
              <w:top w:val="single" w:sz="4" w:space="0" w:color="auto"/>
              <w:left w:val="nil"/>
              <w:bottom w:val="single" w:sz="4" w:space="0" w:color="auto"/>
              <w:right w:val="nil"/>
            </w:tcBorders>
            <w:shd w:val="clear" w:color="auto" w:fill="FFFFFF" w:themeFill="background1"/>
          </w:tcPr>
          <w:p w14:paraId="1ECC22C3" w14:textId="77777777" w:rsidR="009D7AD2" w:rsidRPr="009B4553" w:rsidRDefault="009D7AD2" w:rsidP="009D7AD2">
            <w:pPr>
              <w:pStyle w:val="051Tabletext228pt"/>
              <w:rPr>
                <w:rFonts w:cs="Calibri"/>
                <w:color w:val="000000"/>
              </w:rPr>
            </w:pPr>
            <w:r w:rsidRPr="009B4553">
              <w:rPr>
                <w:rFonts w:cs="Calibri"/>
                <w:color w:val="000000"/>
              </w:rPr>
              <w:t>$152</w:t>
            </w:r>
          </w:p>
        </w:tc>
        <w:tc>
          <w:tcPr>
            <w:tcW w:w="707" w:type="dxa"/>
            <w:tcBorders>
              <w:top w:val="single" w:sz="4" w:space="0" w:color="auto"/>
              <w:left w:val="nil"/>
              <w:bottom w:val="single" w:sz="4" w:space="0" w:color="auto"/>
            </w:tcBorders>
            <w:shd w:val="clear" w:color="auto" w:fill="FFFFFF" w:themeFill="background1"/>
          </w:tcPr>
          <w:p w14:paraId="185E50CF" w14:textId="77777777" w:rsidR="009D7AD2" w:rsidRPr="009B4553" w:rsidRDefault="009D7AD2" w:rsidP="009D7AD2">
            <w:pPr>
              <w:pStyle w:val="051Tabletext228pt"/>
              <w:rPr>
                <w:rFonts w:cs="Calibri"/>
                <w:color w:val="000000"/>
              </w:rPr>
            </w:pPr>
            <w:r w:rsidRPr="009B4553">
              <w:rPr>
                <w:rFonts w:cs="Calibri"/>
                <w:color w:val="000000"/>
              </w:rPr>
              <w:t>190837</w:t>
            </w:r>
          </w:p>
        </w:tc>
      </w:tr>
      <w:tr w:rsidR="009D7AD2" w:rsidRPr="009B4553" w14:paraId="38D65796"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6BB47829" w14:textId="77777777" w:rsidR="009D7AD2" w:rsidRPr="009B4553" w:rsidRDefault="009D7AD2" w:rsidP="009D7AD2">
            <w:pPr>
              <w:pStyle w:val="051Tabletext228pt"/>
              <w:rPr>
                <w:rFonts w:cs="Calibri"/>
                <w:color w:val="000000"/>
              </w:rPr>
            </w:pPr>
            <w:r w:rsidRPr="009B4553">
              <w:rPr>
                <w:rFonts w:cs="Calibri"/>
                <w:color w:val="000000"/>
              </w:rPr>
              <w:t>04.05.05 - Accessories</w:t>
            </w:r>
          </w:p>
        </w:tc>
        <w:tc>
          <w:tcPr>
            <w:tcW w:w="2268" w:type="dxa"/>
            <w:gridSpan w:val="4"/>
            <w:tcBorders>
              <w:top w:val="single" w:sz="4" w:space="0" w:color="auto"/>
              <w:left w:val="nil"/>
              <w:bottom w:val="single" w:sz="4" w:space="0" w:color="auto"/>
              <w:right w:val="nil"/>
            </w:tcBorders>
            <w:shd w:val="clear" w:color="auto" w:fill="FFFFFF" w:themeFill="background1"/>
          </w:tcPr>
          <w:p w14:paraId="0572BFA6" w14:textId="77777777" w:rsidR="009D7AD2" w:rsidRPr="009B4553" w:rsidRDefault="009D7AD2" w:rsidP="009D7AD2">
            <w:pPr>
              <w:pStyle w:val="051Tabletext228pt"/>
              <w:rPr>
                <w:rFonts w:cs="Calibri"/>
                <w:color w:val="000000"/>
              </w:rPr>
            </w:pPr>
            <w:r w:rsidRPr="009B4553">
              <w:rPr>
                <w:rFonts w:cs="Calibri"/>
                <w:color w:val="000000"/>
              </w:rPr>
              <w:t>04.05.05.02 - Plug</w:t>
            </w:r>
          </w:p>
        </w:tc>
        <w:tc>
          <w:tcPr>
            <w:tcW w:w="1843" w:type="dxa"/>
            <w:tcBorders>
              <w:top w:val="single" w:sz="4" w:space="0" w:color="auto"/>
              <w:left w:val="nil"/>
              <w:bottom w:val="single" w:sz="4" w:space="0" w:color="auto"/>
              <w:right w:val="nil"/>
            </w:tcBorders>
            <w:shd w:val="clear" w:color="auto" w:fill="FFFFFF" w:themeFill="background1"/>
          </w:tcPr>
          <w:p w14:paraId="1E2EF56F" w14:textId="77777777" w:rsidR="009D7AD2" w:rsidRPr="009B4553" w:rsidRDefault="009D7AD2" w:rsidP="009D7AD2">
            <w:pPr>
              <w:pStyle w:val="051Tabletext228pt"/>
              <w:rPr>
                <w:rFonts w:cs="Calibri"/>
              </w:rPr>
            </w:pPr>
            <w:r w:rsidRPr="009B4553">
              <w:rPr>
                <w:rFonts w:cs="Calibri"/>
              </w:rPr>
              <w:t>Neurostimulation System - Accessory Kits</w:t>
            </w:r>
          </w:p>
        </w:tc>
        <w:tc>
          <w:tcPr>
            <w:tcW w:w="1559" w:type="dxa"/>
            <w:tcBorders>
              <w:top w:val="single" w:sz="4" w:space="0" w:color="auto"/>
              <w:left w:val="nil"/>
              <w:bottom w:val="single" w:sz="4" w:space="0" w:color="auto"/>
              <w:right w:val="nil"/>
            </w:tcBorders>
            <w:shd w:val="clear" w:color="auto" w:fill="FFFFFF" w:themeFill="background1"/>
          </w:tcPr>
          <w:p w14:paraId="0A8A6AA9" w14:textId="77777777" w:rsidR="009D7AD2" w:rsidRPr="009B4553" w:rsidRDefault="009D7AD2" w:rsidP="009D7AD2">
            <w:pPr>
              <w:pStyle w:val="051Tabletext228pt"/>
              <w:rPr>
                <w:rFonts w:cs="Calibri"/>
                <w:color w:val="000000"/>
              </w:rPr>
            </w:pPr>
            <w:r w:rsidRPr="009B4553">
              <w:rPr>
                <w:rFonts w:cs="Calibri"/>
                <w:color w:val="000000"/>
              </w:rPr>
              <w:t>Medtronic Australasia Pty Ltd</w:t>
            </w:r>
          </w:p>
        </w:tc>
        <w:tc>
          <w:tcPr>
            <w:tcW w:w="1100" w:type="dxa"/>
            <w:tcBorders>
              <w:top w:val="single" w:sz="4" w:space="0" w:color="auto"/>
              <w:left w:val="nil"/>
              <w:bottom w:val="single" w:sz="4" w:space="0" w:color="auto"/>
              <w:right w:val="nil"/>
            </w:tcBorders>
            <w:shd w:val="clear" w:color="auto" w:fill="FFFFFF" w:themeFill="background1"/>
          </w:tcPr>
          <w:p w14:paraId="7B2A85DF" w14:textId="77777777" w:rsidR="009D7AD2" w:rsidRPr="009B4553" w:rsidRDefault="009D7AD2" w:rsidP="009D7AD2">
            <w:pPr>
              <w:pStyle w:val="051Tabletext228pt"/>
              <w:rPr>
                <w:rFonts w:cs="Calibri"/>
                <w:color w:val="000000"/>
              </w:rPr>
            </w:pPr>
            <w:r w:rsidRPr="009B4553">
              <w:rPr>
                <w:rFonts w:cs="Calibri"/>
                <w:color w:val="000000"/>
              </w:rPr>
              <w:t>MC687</w:t>
            </w:r>
          </w:p>
        </w:tc>
        <w:tc>
          <w:tcPr>
            <w:tcW w:w="743" w:type="dxa"/>
            <w:tcBorders>
              <w:top w:val="single" w:sz="4" w:space="0" w:color="auto"/>
              <w:left w:val="nil"/>
              <w:bottom w:val="single" w:sz="4" w:space="0" w:color="auto"/>
              <w:right w:val="nil"/>
            </w:tcBorders>
            <w:shd w:val="clear" w:color="auto" w:fill="FFFFFF" w:themeFill="background1"/>
          </w:tcPr>
          <w:p w14:paraId="295EA9DC" w14:textId="77777777" w:rsidR="009D7AD2" w:rsidRPr="009B4553" w:rsidRDefault="009D7AD2" w:rsidP="009D7AD2">
            <w:pPr>
              <w:pStyle w:val="051Tabletext228pt"/>
              <w:rPr>
                <w:rFonts w:cs="Calibri"/>
                <w:color w:val="000000"/>
              </w:rPr>
            </w:pPr>
            <w:r w:rsidRPr="009B4553">
              <w:rPr>
                <w:rFonts w:cs="Calibri"/>
                <w:color w:val="000000"/>
              </w:rPr>
              <w:t>$152</w:t>
            </w:r>
          </w:p>
        </w:tc>
        <w:tc>
          <w:tcPr>
            <w:tcW w:w="707" w:type="dxa"/>
            <w:tcBorders>
              <w:top w:val="single" w:sz="4" w:space="0" w:color="auto"/>
              <w:left w:val="nil"/>
              <w:bottom w:val="single" w:sz="4" w:space="0" w:color="auto"/>
            </w:tcBorders>
            <w:shd w:val="clear" w:color="auto" w:fill="FFFFFF" w:themeFill="background1"/>
          </w:tcPr>
          <w:p w14:paraId="2FA71B7D" w14:textId="77777777" w:rsidR="009D7AD2" w:rsidRPr="009B4553" w:rsidRDefault="009D7AD2" w:rsidP="009D7AD2">
            <w:pPr>
              <w:pStyle w:val="051Tabletext228pt"/>
              <w:rPr>
                <w:rFonts w:cs="Calibri"/>
                <w:color w:val="000000"/>
              </w:rPr>
            </w:pPr>
            <w:r w:rsidRPr="009B4553">
              <w:rPr>
                <w:rFonts w:cs="Calibri"/>
                <w:color w:val="000000"/>
              </w:rPr>
              <w:t>121280</w:t>
            </w:r>
          </w:p>
        </w:tc>
      </w:tr>
      <w:tr w:rsidR="009D7AD2" w:rsidRPr="009B4553" w14:paraId="1D02F436"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11EAF2C8" w14:textId="77777777" w:rsidR="009D7AD2" w:rsidRPr="009B4553" w:rsidRDefault="009D7AD2" w:rsidP="009D7AD2">
            <w:pPr>
              <w:pStyle w:val="051Tabletext228pt"/>
              <w:rPr>
                <w:rFonts w:cs="Calibri"/>
                <w:color w:val="000000"/>
              </w:rPr>
            </w:pPr>
            <w:r w:rsidRPr="009B4553">
              <w:rPr>
                <w:rFonts w:cs="Calibri"/>
                <w:color w:val="000000"/>
              </w:rPr>
              <w:t>04.05.05 - Accessories</w:t>
            </w:r>
          </w:p>
        </w:tc>
        <w:tc>
          <w:tcPr>
            <w:tcW w:w="2268" w:type="dxa"/>
            <w:gridSpan w:val="4"/>
            <w:tcBorders>
              <w:top w:val="single" w:sz="4" w:space="0" w:color="auto"/>
              <w:left w:val="nil"/>
              <w:bottom w:val="single" w:sz="4" w:space="0" w:color="auto"/>
              <w:right w:val="nil"/>
            </w:tcBorders>
            <w:shd w:val="clear" w:color="auto" w:fill="FFFFFF" w:themeFill="background1"/>
          </w:tcPr>
          <w:p w14:paraId="7D709B99" w14:textId="77777777" w:rsidR="009D7AD2" w:rsidRPr="009B4553" w:rsidRDefault="009D7AD2" w:rsidP="009D7AD2">
            <w:pPr>
              <w:pStyle w:val="051Tabletext228pt"/>
              <w:rPr>
                <w:rFonts w:cs="Calibri"/>
                <w:color w:val="000000"/>
              </w:rPr>
            </w:pPr>
            <w:r w:rsidRPr="009B4553">
              <w:rPr>
                <w:rFonts w:cs="Calibri"/>
                <w:color w:val="000000"/>
              </w:rPr>
              <w:t>04.05.05.02 - Plug</w:t>
            </w:r>
          </w:p>
        </w:tc>
        <w:tc>
          <w:tcPr>
            <w:tcW w:w="1843" w:type="dxa"/>
            <w:tcBorders>
              <w:top w:val="single" w:sz="4" w:space="0" w:color="auto"/>
              <w:left w:val="nil"/>
              <w:bottom w:val="single" w:sz="4" w:space="0" w:color="auto"/>
              <w:right w:val="nil"/>
            </w:tcBorders>
            <w:shd w:val="clear" w:color="auto" w:fill="FFFFFF" w:themeFill="background1"/>
          </w:tcPr>
          <w:p w14:paraId="640E3E95" w14:textId="77777777" w:rsidR="009D7AD2" w:rsidRPr="009B4553" w:rsidRDefault="009D7AD2" w:rsidP="009D7AD2">
            <w:pPr>
              <w:pStyle w:val="051Tabletext228pt"/>
              <w:rPr>
                <w:rFonts w:cs="Calibri"/>
              </w:rPr>
            </w:pPr>
            <w:r w:rsidRPr="009B4553">
              <w:rPr>
                <w:rFonts w:cs="Calibri"/>
              </w:rPr>
              <w:t>Medtronic Percutaneous Quad extension</w:t>
            </w:r>
          </w:p>
        </w:tc>
        <w:tc>
          <w:tcPr>
            <w:tcW w:w="1559" w:type="dxa"/>
            <w:tcBorders>
              <w:top w:val="single" w:sz="4" w:space="0" w:color="auto"/>
              <w:left w:val="nil"/>
              <w:bottom w:val="single" w:sz="4" w:space="0" w:color="auto"/>
              <w:right w:val="nil"/>
            </w:tcBorders>
            <w:shd w:val="clear" w:color="auto" w:fill="FFFFFF" w:themeFill="background1"/>
          </w:tcPr>
          <w:p w14:paraId="1183B9AA" w14:textId="77777777" w:rsidR="009D7AD2" w:rsidRPr="009B4553" w:rsidRDefault="009D7AD2" w:rsidP="009D7AD2">
            <w:pPr>
              <w:pStyle w:val="051Tabletext228pt"/>
              <w:rPr>
                <w:rFonts w:cs="Calibri"/>
                <w:color w:val="000000"/>
              </w:rPr>
            </w:pPr>
            <w:r w:rsidRPr="009B4553">
              <w:rPr>
                <w:rFonts w:cs="Calibri"/>
                <w:color w:val="000000"/>
              </w:rPr>
              <w:t>Medtronic Australasia Pty Ltd</w:t>
            </w:r>
          </w:p>
        </w:tc>
        <w:tc>
          <w:tcPr>
            <w:tcW w:w="1100" w:type="dxa"/>
            <w:tcBorders>
              <w:top w:val="single" w:sz="4" w:space="0" w:color="auto"/>
              <w:left w:val="nil"/>
              <w:bottom w:val="single" w:sz="4" w:space="0" w:color="auto"/>
              <w:right w:val="nil"/>
            </w:tcBorders>
            <w:shd w:val="clear" w:color="auto" w:fill="FFFFFF" w:themeFill="background1"/>
          </w:tcPr>
          <w:p w14:paraId="057678F1" w14:textId="77777777" w:rsidR="009D7AD2" w:rsidRPr="009B4553" w:rsidRDefault="009D7AD2" w:rsidP="009D7AD2">
            <w:pPr>
              <w:pStyle w:val="051Tabletext228pt"/>
              <w:rPr>
                <w:rFonts w:cs="Calibri"/>
                <w:color w:val="000000"/>
              </w:rPr>
            </w:pPr>
            <w:r w:rsidRPr="009B4553">
              <w:rPr>
                <w:rFonts w:cs="Calibri"/>
                <w:color w:val="000000"/>
              </w:rPr>
              <w:t>MC825</w:t>
            </w:r>
          </w:p>
        </w:tc>
        <w:tc>
          <w:tcPr>
            <w:tcW w:w="743" w:type="dxa"/>
            <w:tcBorders>
              <w:top w:val="single" w:sz="4" w:space="0" w:color="auto"/>
              <w:left w:val="nil"/>
              <w:bottom w:val="single" w:sz="4" w:space="0" w:color="auto"/>
              <w:right w:val="nil"/>
            </w:tcBorders>
            <w:shd w:val="clear" w:color="auto" w:fill="FFFFFF" w:themeFill="background1"/>
          </w:tcPr>
          <w:p w14:paraId="2D0A6249" w14:textId="77777777" w:rsidR="009D7AD2" w:rsidRPr="009B4553" w:rsidRDefault="009D7AD2" w:rsidP="009D7AD2">
            <w:pPr>
              <w:pStyle w:val="051Tabletext228pt"/>
              <w:rPr>
                <w:rFonts w:cs="Calibri"/>
                <w:color w:val="000000"/>
              </w:rPr>
            </w:pPr>
            <w:r w:rsidRPr="009B4553">
              <w:rPr>
                <w:rFonts w:cs="Calibri"/>
                <w:color w:val="000000"/>
              </w:rPr>
              <w:t>$152</w:t>
            </w:r>
          </w:p>
        </w:tc>
        <w:tc>
          <w:tcPr>
            <w:tcW w:w="707" w:type="dxa"/>
            <w:tcBorders>
              <w:top w:val="single" w:sz="4" w:space="0" w:color="auto"/>
              <w:left w:val="nil"/>
              <w:bottom w:val="single" w:sz="4" w:space="0" w:color="auto"/>
            </w:tcBorders>
            <w:shd w:val="clear" w:color="auto" w:fill="FFFFFF" w:themeFill="background1"/>
          </w:tcPr>
          <w:p w14:paraId="02694EDC" w14:textId="77777777" w:rsidR="009D7AD2" w:rsidRPr="009B4553" w:rsidRDefault="009D7AD2" w:rsidP="009D7AD2">
            <w:pPr>
              <w:pStyle w:val="051Tabletext228pt"/>
              <w:rPr>
                <w:rFonts w:cs="Calibri"/>
                <w:color w:val="000000"/>
              </w:rPr>
            </w:pPr>
            <w:r w:rsidRPr="009B4553">
              <w:rPr>
                <w:rFonts w:cs="Calibri"/>
                <w:color w:val="000000"/>
              </w:rPr>
              <w:t>239412</w:t>
            </w:r>
          </w:p>
        </w:tc>
      </w:tr>
      <w:tr w:rsidR="009D7AD2" w:rsidRPr="009B4553" w14:paraId="6D3588B8"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155F8E7E" w14:textId="77777777" w:rsidR="009D7AD2" w:rsidRPr="009B4553" w:rsidRDefault="009D7AD2" w:rsidP="009D7AD2">
            <w:pPr>
              <w:pStyle w:val="051Tabletext228pt"/>
              <w:rPr>
                <w:rFonts w:cs="Calibri"/>
                <w:color w:val="000000"/>
              </w:rPr>
            </w:pPr>
            <w:r w:rsidRPr="009B4553">
              <w:rPr>
                <w:rFonts w:cs="Calibri"/>
                <w:color w:val="000000"/>
              </w:rPr>
              <w:t>04.05.05 - Accessories</w:t>
            </w:r>
          </w:p>
        </w:tc>
        <w:tc>
          <w:tcPr>
            <w:tcW w:w="2268" w:type="dxa"/>
            <w:gridSpan w:val="4"/>
            <w:tcBorders>
              <w:top w:val="single" w:sz="4" w:space="0" w:color="auto"/>
              <w:left w:val="nil"/>
              <w:bottom w:val="single" w:sz="4" w:space="0" w:color="auto"/>
              <w:right w:val="nil"/>
            </w:tcBorders>
            <w:shd w:val="clear" w:color="auto" w:fill="FFFFFF" w:themeFill="background1"/>
          </w:tcPr>
          <w:p w14:paraId="0DEA3E36" w14:textId="77777777" w:rsidR="009D7AD2" w:rsidRPr="009B4553" w:rsidRDefault="009D7AD2" w:rsidP="009D7AD2">
            <w:pPr>
              <w:pStyle w:val="051Tabletext228pt"/>
              <w:rPr>
                <w:rFonts w:cs="Calibri"/>
                <w:color w:val="000000"/>
              </w:rPr>
            </w:pPr>
            <w:r w:rsidRPr="009B4553">
              <w:rPr>
                <w:rFonts w:cs="Calibri"/>
                <w:color w:val="000000"/>
              </w:rPr>
              <w:t>04.05.05.05 - Connectors and Cables</w:t>
            </w:r>
          </w:p>
        </w:tc>
        <w:tc>
          <w:tcPr>
            <w:tcW w:w="1843" w:type="dxa"/>
            <w:tcBorders>
              <w:top w:val="single" w:sz="4" w:space="0" w:color="auto"/>
              <w:left w:val="nil"/>
              <w:bottom w:val="single" w:sz="4" w:space="0" w:color="auto"/>
              <w:right w:val="nil"/>
            </w:tcBorders>
            <w:shd w:val="clear" w:color="auto" w:fill="FFFFFF" w:themeFill="background1"/>
          </w:tcPr>
          <w:p w14:paraId="6E614733" w14:textId="77777777" w:rsidR="009D7AD2" w:rsidRPr="009B4553" w:rsidRDefault="009D7AD2" w:rsidP="009D7AD2">
            <w:pPr>
              <w:pStyle w:val="051Tabletext228pt"/>
              <w:rPr>
                <w:rFonts w:cs="Calibri"/>
              </w:rPr>
            </w:pPr>
            <w:r w:rsidRPr="009B4553">
              <w:rPr>
                <w:rFonts w:cs="Calibri"/>
              </w:rPr>
              <w:t>Medtronic Neurostimulation Screening Cable</w:t>
            </w:r>
          </w:p>
        </w:tc>
        <w:tc>
          <w:tcPr>
            <w:tcW w:w="1559" w:type="dxa"/>
            <w:tcBorders>
              <w:top w:val="single" w:sz="4" w:space="0" w:color="auto"/>
              <w:left w:val="nil"/>
              <w:bottom w:val="single" w:sz="4" w:space="0" w:color="auto"/>
              <w:right w:val="nil"/>
            </w:tcBorders>
            <w:shd w:val="clear" w:color="auto" w:fill="FFFFFF" w:themeFill="background1"/>
          </w:tcPr>
          <w:p w14:paraId="24F56877" w14:textId="77777777" w:rsidR="009D7AD2" w:rsidRPr="009B4553" w:rsidRDefault="009D7AD2" w:rsidP="009D7AD2">
            <w:pPr>
              <w:pStyle w:val="051Tabletext228pt"/>
              <w:rPr>
                <w:rFonts w:cs="Calibri"/>
                <w:color w:val="000000"/>
              </w:rPr>
            </w:pPr>
            <w:r w:rsidRPr="009B4553">
              <w:rPr>
                <w:rFonts w:cs="Calibri"/>
                <w:color w:val="000000"/>
              </w:rPr>
              <w:t>Medtronic Australasia Pty Ltd</w:t>
            </w:r>
          </w:p>
        </w:tc>
        <w:tc>
          <w:tcPr>
            <w:tcW w:w="1100" w:type="dxa"/>
            <w:tcBorders>
              <w:top w:val="single" w:sz="4" w:space="0" w:color="auto"/>
              <w:left w:val="nil"/>
              <w:bottom w:val="single" w:sz="4" w:space="0" w:color="auto"/>
              <w:right w:val="nil"/>
            </w:tcBorders>
            <w:shd w:val="clear" w:color="auto" w:fill="FFFFFF" w:themeFill="background1"/>
          </w:tcPr>
          <w:p w14:paraId="75B5574C" w14:textId="77777777" w:rsidR="009D7AD2" w:rsidRPr="009B4553" w:rsidRDefault="009D7AD2" w:rsidP="009D7AD2">
            <w:pPr>
              <w:pStyle w:val="051Tabletext228pt"/>
              <w:rPr>
                <w:rFonts w:cs="Calibri"/>
                <w:color w:val="000000"/>
              </w:rPr>
            </w:pPr>
            <w:r w:rsidRPr="009B4553">
              <w:rPr>
                <w:rFonts w:cs="Calibri"/>
                <w:color w:val="000000"/>
              </w:rPr>
              <w:t>MI049</w:t>
            </w:r>
          </w:p>
        </w:tc>
        <w:tc>
          <w:tcPr>
            <w:tcW w:w="743" w:type="dxa"/>
            <w:tcBorders>
              <w:top w:val="single" w:sz="4" w:space="0" w:color="auto"/>
              <w:left w:val="nil"/>
              <w:bottom w:val="single" w:sz="4" w:space="0" w:color="auto"/>
              <w:right w:val="nil"/>
            </w:tcBorders>
            <w:shd w:val="clear" w:color="auto" w:fill="FFFFFF" w:themeFill="background1"/>
          </w:tcPr>
          <w:p w14:paraId="48E2F60B" w14:textId="77777777" w:rsidR="009D7AD2" w:rsidRPr="009B4553" w:rsidRDefault="009D7AD2" w:rsidP="009D7AD2">
            <w:pPr>
              <w:pStyle w:val="051Tabletext228pt"/>
              <w:rPr>
                <w:rFonts w:cs="Calibri"/>
                <w:color w:val="000000"/>
              </w:rPr>
            </w:pPr>
            <w:r w:rsidRPr="009B4553">
              <w:rPr>
                <w:rFonts w:cs="Calibri"/>
                <w:color w:val="000000"/>
              </w:rPr>
              <w:t>$181</w:t>
            </w:r>
          </w:p>
        </w:tc>
        <w:tc>
          <w:tcPr>
            <w:tcW w:w="707" w:type="dxa"/>
            <w:tcBorders>
              <w:top w:val="single" w:sz="4" w:space="0" w:color="auto"/>
              <w:left w:val="nil"/>
              <w:bottom w:val="single" w:sz="4" w:space="0" w:color="auto"/>
            </w:tcBorders>
            <w:shd w:val="clear" w:color="auto" w:fill="FFFFFF" w:themeFill="background1"/>
          </w:tcPr>
          <w:p w14:paraId="4605F284" w14:textId="77777777" w:rsidR="009D7AD2" w:rsidRPr="009B4553" w:rsidRDefault="009D7AD2" w:rsidP="009D7AD2">
            <w:pPr>
              <w:pStyle w:val="051Tabletext228pt"/>
              <w:rPr>
                <w:rFonts w:cs="Calibri"/>
                <w:color w:val="000000"/>
              </w:rPr>
            </w:pPr>
            <w:r w:rsidRPr="009B4553">
              <w:rPr>
                <w:rFonts w:cs="Calibri"/>
                <w:color w:val="000000"/>
              </w:rPr>
              <w:t>119991</w:t>
            </w:r>
          </w:p>
        </w:tc>
      </w:tr>
      <w:tr w:rsidR="009D7AD2" w:rsidRPr="009B4553" w14:paraId="4BE2E5F8" w14:textId="77777777">
        <w:trPr>
          <w:cantSplit/>
        </w:trPr>
        <w:tc>
          <w:tcPr>
            <w:tcW w:w="1418" w:type="dxa"/>
            <w:gridSpan w:val="2"/>
            <w:tcBorders>
              <w:top w:val="single" w:sz="4" w:space="0" w:color="auto"/>
              <w:bottom w:val="single" w:sz="4" w:space="0" w:color="auto"/>
              <w:right w:val="nil"/>
            </w:tcBorders>
            <w:shd w:val="clear" w:color="auto" w:fill="FFFFFF" w:themeFill="background1"/>
          </w:tcPr>
          <w:p w14:paraId="39CAE1B9" w14:textId="77777777" w:rsidR="009D7AD2" w:rsidRPr="009B4553" w:rsidRDefault="009D7AD2" w:rsidP="009D7AD2">
            <w:pPr>
              <w:pStyle w:val="051Tabletext228pt"/>
              <w:rPr>
                <w:rFonts w:cs="Calibri"/>
                <w:color w:val="000000"/>
              </w:rPr>
            </w:pPr>
            <w:r w:rsidRPr="009B4553">
              <w:rPr>
                <w:rFonts w:cs="Calibri"/>
                <w:color w:val="000000"/>
              </w:rPr>
              <w:t>04.05.05 - Accessories</w:t>
            </w:r>
          </w:p>
        </w:tc>
        <w:tc>
          <w:tcPr>
            <w:tcW w:w="2268" w:type="dxa"/>
            <w:gridSpan w:val="4"/>
            <w:tcBorders>
              <w:top w:val="single" w:sz="4" w:space="0" w:color="auto"/>
              <w:left w:val="nil"/>
              <w:bottom w:val="single" w:sz="4" w:space="0" w:color="auto"/>
              <w:right w:val="nil"/>
            </w:tcBorders>
            <w:shd w:val="clear" w:color="auto" w:fill="FFFFFF" w:themeFill="background1"/>
          </w:tcPr>
          <w:p w14:paraId="374238D2" w14:textId="77777777" w:rsidR="009D7AD2" w:rsidRPr="009B4553" w:rsidRDefault="009D7AD2" w:rsidP="009D7AD2">
            <w:pPr>
              <w:pStyle w:val="051Tabletext228pt"/>
              <w:rPr>
                <w:rFonts w:cs="Calibri"/>
                <w:color w:val="000000"/>
              </w:rPr>
            </w:pPr>
            <w:r w:rsidRPr="009B4553">
              <w:rPr>
                <w:rFonts w:cs="Calibri"/>
                <w:color w:val="000000"/>
              </w:rPr>
              <w:t>04.05.05.05 - Connectors and Cables</w:t>
            </w:r>
          </w:p>
        </w:tc>
        <w:tc>
          <w:tcPr>
            <w:tcW w:w="1843" w:type="dxa"/>
            <w:tcBorders>
              <w:top w:val="single" w:sz="4" w:space="0" w:color="auto"/>
              <w:left w:val="nil"/>
              <w:bottom w:val="single" w:sz="4" w:space="0" w:color="auto"/>
              <w:right w:val="nil"/>
            </w:tcBorders>
            <w:shd w:val="clear" w:color="auto" w:fill="FFFFFF" w:themeFill="background1"/>
          </w:tcPr>
          <w:p w14:paraId="028A9620" w14:textId="77777777" w:rsidR="009D7AD2" w:rsidRPr="009B4553" w:rsidRDefault="009D7AD2" w:rsidP="009D7AD2">
            <w:pPr>
              <w:pStyle w:val="051Tabletext228pt"/>
              <w:rPr>
                <w:rFonts w:cs="Calibri"/>
              </w:rPr>
            </w:pPr>
            <w:r w:rsidRPr="009B4553">
              <w:rPr>
                <w:rFonts w:cs="Calibri"/>
              </w:rPr>
              <w:t xml:space="preserve">Evoke Lead Adapter Kit  </w:t>
            </w:r>
          </w:p>
        </w:tc>
        <w:tc>
          <w:tcPr>
            <w:tcW w:w="1559" w:type="dxa"/>
            <w:tcBorders>
              <w:top w:val="single" w:sz="4" w:space="0" w:color="auto"/>
              <w:left w:val="nil"/>
              <w:bottom w:val="single" w:sz="4" w:space="0" w:color="auto"/>
              <w:right w:val="nil"/>
            </w:tcBorders>
            <w:shd w:val="clear" w:color="auto" w:fill="FFFFFF" w:themeFill="background1"/>
          </w:tcPr>
          <w:p w14:paraId="19AE0831" w14:textId="77777777" w:rsidR="009D7AD2" w:rsidRPr="009B4553" w:rsidRDefault="009D7AD2" w:rsidP="009D7AD2">
            <w:pPr>
              <w:pStyle w:val="051Tabletext228pt"/>
              <w:rPr>
                <w:rFonts w:cs="Calibri"/>
                <w:color w:val="000000"/>
              </w:rPr>
            </w:pPr>
            <w:r w:rsidRPr="009B4553">
              <w:rPr>
                <w:rFonts w:cs="Calibri"/>
                <w:color w:val="000000"/>
              </w:rPr>
              <w:t>SALUDA MEDICAL PTY LIMITED</w:t>
            </w:r>
          </w:p>
        </w:tc>
        <w:tc>
          <w:tcPr>
            <w:tcW w:w="1100" w:type="dxa"/>
            <w:tcBorders>
              <w:top w:val="single" w:sz="4" w:space="0" w:color="auto"/>
              <w:left w:val="nil"/>
              <w:bottom w:val="single" w:sz="4" w:space="0" w:color="auto"/>
              <w:right w:val="nil"/>
            </w:tcBorders>
            <w:shd w:val="clear" w:color="auto" w:fill="FFFFFF" w:themeFill="background1"/>
          </w:tcPr>
          <w:p w14:paraId="447D0CFB" w14:textId="77777777" w:rsidR="009D7AD2" w:rsidRPr="009B4553" w:rsidRDefault="009D7AD2" w:rsidP="009D7AD2">
            <w:pPr>
              <w:pStyle w:val="051Tabletext228pt"/>
              <w:rPr>
                <w:rFonts w:cs="Calibri"/>
                <w:color w:val="000000"/>
              </w:rPr>
            </w:pPr>
            <w:r w:rsidRPr="009B4553">
              <w:rPr>
                <w:rFonts w:cs="Calibri"/>
                <w:color w:val="000000"/>
              </w:rPr>
              <w:t>UY002</w:t>
            </w:r>
          </w:p>
        </w:tc>
        <w:tc>
          <w:tcPr>
            <w:tcW w:w="743" w:type="dxa"/>
            <w:tcBorders>
              <w:top w:val="single" w:sz="4" w:space="0" w:color="auto"/>
              <w:left w:val="nil"/>
              <w:bottom w:val="single" w:sz="4" w:space="0" w:color="auto"/>
              <w:right w:val="nil"/>
            </w:tcBorders>
            <w:shd w:val="clear" w:color="auto" w:fill="FFFFFF" w:themeFill="background1"/>
          </w:tcPr>
          <w:p w14:paraId="0C67C71D" w14:textId="77777777" w:rsidR="009D7AD2" w:rsidRPr="009B4553" w:rsidRDefault="009D7AD2" w:rsidP="009D7AD2">
            <w:pPr>
              <w:pStyle w:val="051Tabletext228pt"/>
              <w:rPr>
                <w:rFonts w:cs="Calibri"/>
                <w:color w:val="000000"/>
              </w:rPr>
            </w:pPr>
            <w:r w:rsidRPr="009B4553">
              <w:rPr>
                <w:rFonts w:cs="Calibri"/>
                <w:color w:val="000000"/>
              </w:rPr>
              <w:t>$181</w:t>
            </w:r>
          </w:p>
        </w:tc>
        <w:tc>
          <w:tcPr>
            <w:tcW w:w="707" w:type="dxa"/>
            <w:tcBorders>
              <w:top w:val="single" w:sz="4" w:space="0" w:color="auto"/>
              <w:left w:val="nil"/>
              <w:bottom w:val="single" w:sz="4" w:space="0" w:color="auto"/>
            </w:tcBorders>
            <w:shd w:val="clear" w:color="auto" w:fill="FFFFFF" w:themeFill="background1"/>
          </w:tcPr>
          <w:p w14:paraId="044E536B" w14:textId="77777777" w:rsidR="009D7AD2" w:rsidRPr="009B4553" w:rsidRDefault="009D7AD2" w:rsidP="009D7AD2">
            <w:pPr>
              <w:pStyle w:val="051Tabletext228pt"/>
              <w:rPr>
                <w:rFonts w:cs="Calibri"/>
                <w:color w:val="000000"/>
              </w:rPr>
            </w:pPr>
            <w:r w:rsidRPr="009B4553">
              <w:rPr>
                <w:rFonts w:cs="Calibri"/>
                <w:color w:val="000000"/>
              </w:rPr>
              <w:t>323488</w:t>
            </w:r>
          </w:p>
        </w:tc>
      </w:tr>
    </w:tbl>
    <w:p w14:paraId="62DA55EE" w14:textId="643C11DA" w:rsidR="0037146A" w:rsidRDefault="0037146A" w:rsidP="00182437">
      <w:pPr>
        <w:pStyle w:val="111Tablefootnoteslast-nostick8pt"/>
        <w:spacing w:after="0"/>
      </w:pPr>
      <w:r>
        <w:rPr>
          <w:b/>
          <w:bCs/>
        </w:rPr>
        <w:t xml:space="preserve">Notes: </w:t>
      </w:r>
      <w:r w:rsidR="007F26D7">
        <w:rPr>
          <w:b/>
          <w:bCs/>
        </w:rPr>
        <w:t xml:space="preserve">a </w:t>
      </w:r>
      <w:r w:rsidR="007F26D7">
        <w:t xml:space="preserve">Medtronic leads approved for use for both SCS and PNS </w:t>
      </w:r>
      <w:r w:rsidR="00296D26">
        <w:t>placement</w:t>
      </w:r>
      <w:r w:rsidR="007F26D7">
        <w:t>.</w:t>
      </w:r>
      <w:r>
        <w:t xml:space="preserve"> </w:t>
      </w:r>
    </w:p>
    <w:p w14:paraId="4116BD6D" w14:textId="688F930C" w:rsidR="00FA0CD7" w:rsidRDefault="00CE0FE0" w:rsidP="00182437">
      <w:pPr>
        <w:pStyle w:val="111Tablefootnoteslast-nostick8pt"/>
      </w:pPr>
      <w:r w:rsidRPr="00182437">
        <w:rPr>
          <w:rFonts w:cs="Calibri"/>
          <w:b/>
          <w:bCs/>
          <w:color w:val="000000"/>
        </w:rPr>
        <w:t>b</w:t>
      </w:r>
      <w:r w:rsidR="006D3D83">
        <w:rPr>
          <w:rFonts w:cs="Calibri"/>
          <w:color w:val="000000"/>
        </w:rPr>
        <w:t xml:space="preserve"> </w:t>
      </w:r>
      <w:r w:rsidR="005837BE">
        <w:t>PNS devices</w:t>
      </w:r>
      <w:r>
        <w:t>, leads and accessories</w:t>
      </w:r>
    </w:p>
    <w:p w14:paraId="45549F42" w14:textId="41A48756" w:rsidR="00D906A2" w:rsidRDefault="008512C1" w:rsidP="000524CA">
      <w:pPr>
        <w:pStyle w:val="Heading7"/>
      </w:pPr>
      <w:bookmarkStart w:id="158" w:name="_Ref129271542"/>
      <w:bookmarkStart w:id="159" w:name="_Ref129271551"/>
      <w:bookmarkStart w:id="160" w:name="_Ref129271556"/>
      <w:bookmarkStart w:id="161" w:name="_Ref129611479"/>
      <w:bookmarkStart w:id="162" w:name="_Ref134174786"/>
      <w:bookmarkStart w:id="163" w:name="_Toc165634698"/>
      <w:r>
        <w:lastRenderedPageBreak/>
        <w:t>MBS items</w:t>
      </w:r>
      <w:bookmarkEnd w:id="158"/>
      <w:bookmarkEnd w:id="159"/>
      <w:bookmarkEnd w:id="160"/>
      <w:bookmarkEnd w:id="161"/>
      <w:bookmarkEnd w:id="162"/>
      <w:bookmarkEnd w:id="163"/>
    </w:p>
    <w:p w14:paraId="7247E612" w14:textId="6B8CDC01" w:rsidR="00A02F55" w:rsidRPr="00A02F55" w:rsidRDefault="00B13FD9" w:rsidP="00B13FD9">
      <w:pPr>
        <w:pStyle w:val="Caption"/>
      </w:pPr>
      <w:bookmarkStart w:id="164" w:name="_Ref134637420"/>
      <w:r>
        <w:t xml:space="preserve">Table App </w:t>
      </w:r>
      <w:fldSimple w:instr=" SEQ Table_App \* ARABIC ">
        <w:r w:rsidR="00CE6ACA">
          <w:rPr>
            <w:noProof/>
          </w:rPr>
          <w:t>2</w:t>
        </w:r>
      </w:fldSimple>
      <w:bookmarkEnd w:id="164"/>
      <w:r>
        <w:tab/>
        <w:t>MBS items for SCS</w:t>
      </w:r>
      <w:r w:rsidR="00EC0C44">
        <w:t xml:space="preserve"> and PNS</w:t>
      </w:r>
      <w:r w:rsidR="00B539AF">
        <w:t xml:space="preserve"> for the management of pain</w:t>
      </w:r>
    </w:p>
    <w:tbl>
      <w:tblPr>
        <w:tblStyle w:val="TableGrid"/>
        <w:tblW w:w="0" w:type="auto"/>
        <w:tblLook w:val="04A0" w:firstRow="1" w:lastRow="0" w:firstColumn="1" w:lastColumn="0" w:noHBand="0" w:noVBand="1"/>
        <w:tblCaption w:val="MBS items for SCS"/>
        <w:tblDescription w:val="Table showing the relevant MBS item numbers, their descriptions and associated explanatory notes."/>
      </w:tblPr>
      <w:tblGrid>
        <w:gridCol w:w="1701"/>
        <w:gridCol w:w="6237"/>
        <w:gridCol w:w="1700"/>
      </w:tblGrid>
      <w:tr w:rsidR="00E606ED" w:rsidRPr="00D6171F" w14:paraId="6AA98983" w14:textId="0C987CAB" w:rsidTr="00E606ED">
        <w:trPr>
          <w:cnfStyle w:val="100000000000" w:firstRow="1" w:lastRow="0" w:firstColumn="0" w:lastColumn="0" w:oddVBand="0" w:evenVBand="0" w:oddHBand="0" w:evenHBand="0" w:firstRowFirstColumn="0" w:firstRowLastColumn="0" w:lastRowFirstColumn="0" w:lastRowLastColumn="0"/>
        </w:trPr>
        <w:tc>
          <w:tcPr>
            <w:tcW w:w="1701" w:type="dxa"/>
          </w:tcPr>
          <w:p w14:paraId="5C1E3B81" w14:textId="0632A756" w:rsidR="00E606ED" w:rsidRPr="00D6171F" w:rsidRDefault="00E606ED" w:rsidP="00236B49">
            <w:pPr>
              <w:pStyle w:val="011TableHeading8pt"/>
              <w:rPr>
                <w:sz w:val="18"/>
                <w:szCs w:val="24"/>
              </w:rPr>
            </w:pPr>
            <w:r w:rsidRPr="00D6171F">
              <w:rPr>
                <w:sz w:val="18"/>
                <w:szCs w:val="24"/>
              </w:rPr>
              <w:t>MBS item number</w:t>
            </w:r>
          </w:p>
        </w:tc>
        <w:tc>
          <w:tcPr>
            <w:tcW w:w="6237" w:type="dxa"/>
          </w:tcPr>
          <w:p w14:paraId="0EDDB65B" w14:textId="198101E4" w:rsidR="00E606ED" w:rsidRPr="00D6171F" w:rsidRDefault="00E606ED" w:rsidP="00236B49">
            <w:pPr>
              <w:pStyle w:val="011TableHeading8pt"/>
              <w:rPr>
                <w:sz w:val="18"/>
                <w:szCs w:val="24"/>
              </w:rPr>
            </w:pPr>
            <w:r w:rsidRPr="00D6171F">
              <w:rPr>
                <w:sz w:val="18"/>
                <w:szCs w:val="24"/>
              </w:rPr>
              <w:t>MSB item description</w:t>
            </w:r>
          </w:p>
        </w:tc>
        <w:tc>
          <w:tcPr>
            <w:tcW w:w="1700" w:type="dxa"/>
          </w:tcPr>
          <w:p w14:paraId="50F369C9" w14:textId="73C86C33" w:rsidR="00E606ED" w:rsidRPr="00D6171F" w:rsidRDefault="00E606ED" w:rsidP="00236B49">
            <w:pPr>
              <w:pStyle w:val="011TableHeading8pt"/>
              <w:rPr>
                <w:sz w:val="18"/>
                <w:szCs w:val="24"/>
              </w:rPr>
            </w:pPr>
            <w:r>
              <w:rPr>
                <w:sz w:val="18"/>
                <w:szCs w:val="24"/>
              </w:rPr>
              <w:t>Explanatory note</w:t>
            </w:r>
          </w:p>
        </w:tc>
      </w:tr>
      <w:tr w:rsidR="00E606ED" w:rsidRPr="00D6171F" w14:paraId="62EA430C" w14:textId="45433D2A" w:rsidTr="00E606ED">
        <w:tc>
          <w:tcPr>
            <w:tcW w:w="1701" w:type="dxa"/>
          </w:tcPr>
          <w:p w14:paraId="050D593C" w14:textId="7D3ADF77" w:rsidR="00E606ED" w:rsidRPr="00D6171F" w:rsidRDefault="00E606ED" w:rsidP="00236B49">
            <w:pPr>
              <w:pStyle w:val="051Tabletext228pt"/>
              <w:rPr>
                <w:sz w:val="18"/>
                <w:szCs w:val="24"/>
                <w:vertAlign w:val="superscript"/>
              </w:rPr>
            </w:pPr>
            <w:r w:rsidRPr="00D6171F">
              <w:rPr>
                <w:sz w:val="18"/>
                <w:szCs w:val="24"/>
              </w:rPr>
              <w:t>39129</w:t>
            </w:r>
          </w:p>
        </w:tc>
        <w:tc>
          <w:tcPr>
            <w:tcW w:w="6237" w:type="dxa"/>
          </w:tcPr>
          <w:p w14:paraId="718CD5AE" w14:textId="534A465B" w:rsidR="00E606ED" w:rsidRPr="00D6171F" w:rsidRDefault="00E606ED" w:rsidP="00D97726">
            <w:pPr>
              <w:pStyle w:val="051Tabletext228pt"/>
              <w:rPr>
                <w:sz w:val="18"/>
                <w:szCs w:val="24"/>
              </w:rPr>
            </w:pPr>
            <w:r w:rsidRPr="00D6171F">
              <w:rPr>
                <w:sz w:val="18"/>
                <w:szCs w:val="24"/>
              </w:rPr>
              <w:t>Peripheral lead or leads, percutaneous placement of, including intraoperative test stimulation, for the management of chronic neuropathic pain (H)</w:t>
            </w:r>
          </w:p>
          <w:p w14:paraId="60B2C297" w14:textId="5909D625" w:rsidR="00E606ED" w:rsidRPr="00D6171F" w:rsidRDefault="00E606ED" w:rsidP="00D97726">
            <w:pPr>
              <w:pStyle w:val="051Tabletext228pt"/>
              <w:rPr>
                <w:sz w:val="18"/>
                <w:szCs w:val="24"/>
              </w:rPr>
            </w:pPr>
            <w:r w:rsidRPr="00D6171F">
              <w:rPr>
                <w:sz w:val="18"/>
                <w:szCs w:val="24"/>
              </w:rPr>
              <w:t>Multiple Operation Rule</w:t>
            </w:r>
          </w:p>
          <w:p w14:paraId="474CA614" w14:textId="043B9326" w:rsidR="00E606ED" w:rsidRPr="00D6171F" w:rsidRDefault="00E606ED" w:rsidP="00D97726">
            <w:pPr>
              <w:pStyle w:val="051Tabletext228pt"/>
              <w:rPr>
                <w:sz w:val="18"/>
                <w:szCs w:val="24"/>
              </w:rPr>
            </w:pPr>
            <w:r w:rsidRPr="00D6171F">
              <w:rPr>
                <w:sz w:val="18"/>
                <w:szCs w:val="24"/>
              </w:rPr>
              <w:t>(</w:t>
            </w:r>
            <w:proofErr w:type="spellStart"/>
            <w:r w:rsidRPr="00D6171F">
              <w:rPr>
                <w:sz w:val="18"/>
                <w:szCs w:val="24"/>
              </w:rPr>
              <w:t>Anaes</w:t>
            </w:r>
            <w:proofErr w:type="spellEnd"/>
            <w:r w:rsidRPr="00D6171F">
              <w:rPr>
                <w:sz w:val="18"/>
                <w:szCs w:val="24"/>
              </w:rPr>
              <w:t>.) (Assist.)</w:t>
            </w:r>
          </w:p>
          <w:p w14:paraId="6C2502D3" w14:textId="7C88BF9D" w:rsidR="00E606ED" w:rsidRPr="00D6171F" w:rsidRDefault="00E606ED" w:rsidP="00D97726">
            <w:pPr>
              <w:pStyle w:val="051Tabletext228pt"/>
              <w:rPr>
                <w:sz w:val="18"/>
                <w:szCs w:val="24"/>
              </w:rPr>
            </w:pPr>
            <w:r w:rsidRPr="00D6171F">
              <w:rPr>
                <w:sz w:val="18"/>
                <w:szCs w:val="24"/>
              </w:rPr>
              <w:t>Fee: $641.40 Benefit: 75% = $481.05</w:t>
            </w:r>
          </w:p>
        </w:tc>
        <w:tc>
          <w:tcPr>
            <w:tcW w:w="1700" w:type="dxa"/>
          </w:tcPr>
          <w:p w14:paraId="762796F5" w14:textId="2FECE6FC" w:rsidR="00E606ED" w:rsidRPr="009B0686" w:rsidRDefault="00C80062" w:rsidP="00D97726">
            <w:pPr>
              <w:pStyle w:val="051Tabletext228pt"/>
              <w:rPr>
                <w:sz w:val="18"/>
                <w:szCs w:val="18"/>
              </w:rPr>
            </w:pPr>
            <w:r w:rsidRPr="009B0686">
              <w:rPr>
                <w:sz w:val="18"/>
                <w:szCs w:val="18"/>
              </w:rPr>
              <w:t>TN.8.241</w:t>
            </w:r>
          </w:p>
          <w:p w14:paraId="3F8E53CB" w14:textId="613B44B5" w:rsidR="002D2A21" w:rsidRPr="009B0686" w:rsidRDefault="002D2A21" w:rsidP="00D97726">
            <w:pPr>
              <w:pStyle w:val="051Tabletext228pt"/>
              <w:rPr>
                <w:i/>
                <w:iCs/>
                <w:sz w:val="18"/>
                <w:szCs w:val="18"/>
              </w:rPr>
            </w:pPr>
            <w:r w:rsidRPr="009B0686">
              <w:rPr>
                <w:i/>
                <w:iCs/>
                <w:sz w:val="18"/>
                <w:szCs w:val="18"/>
              </w:rPr>
              <w:t>(</w:t>
            </w:r>
            <w:r w:rsidRPr="009B0686">
              <w:rPr>
                <w:i/>
                <w:iCs/>
                <w:sz w:val="18"/>
                <w:szCs w:val="18"/>
              </w:rPr>
              <w:fldChar w:fldCharType="begin"/>
            </w:r>
            <w:r w:rsidRPr="009B0686">
              <w:rPr>
                <w:i/>
                <w:iCs/>
                <w:sz w:val="18"/>
                <w:szCs w:val="18"/>
              </w:rPr>
              <w:instrText xml:space="preserve"> REF _Ref134824509 \h  \* MERGEFORMAT </w:instrText>
            </w:r>
            <w:r w:rsidRPr="009B0686">
              <w:rPr>
                <w:i/>
                <w:iCs/>
                <w:sz w:val="18"/>
                <w:szCs w:val="18"/>
              </w:rPr>
            </w:r>
            <w:r w:rsidRPr="009B0686">
              <w:rPr>
                <w:i/>
                <w:iCs/>
                <w:sz w:val="18"/>
                <w:szCs w:val="18"/>
              </w:rPr>
              <w:fldChar w:fldCharType="separate"/>
            </w:r>
            <w:r w:rsidR="00CE6ACA" w:rsidRPr="00CE6ACA">
              <w:rPr>
                <w:i/>
                <w:iCs/>
                <w:sz w:val="18"/>
                <w:szCs w:val="18"/>
              </w:rPr>
              <w:t xml:space="preserve">Table App </w:t>
            </w:r>
            <w:r w:rsidR="00CE6ACA" w:rsidRPr="00CE6ACA">
              <w:rPr>
                <w:i/>
                <w:iCs/>
                <w:noProof/>
                <w:sz w:val="18"/>
                <w:szCs w:val="18"/>
              </w:rPr>
              <w:t>3</w:t>
            </w:r>
            <w:r w:rsidRPr="009B0686">
              <w:rPr>
                <w:i/>
                <w:iCs/>
                <w:sz w:val="18"/>
                <w:szCs w:val="18"/>
              </w:rPr>
              <w:fldChar w:fldCharType="end"/>
            </w:r>
            <w:r w:rsidRPr="009B0686">
              <w:rPr>
                <w:i/>
                <w:iCs/>
                <w:sz w:val="18"/>
                <w:szCs w:val="18"/>
              </w:rPr>
              <w:t>)</w:t>
            </w:r>
          </w:p>
        </w:tc>
      </w:tr>
      <w:tr w:rsidR="00E606ED" w:rsidRPr="00D6171F" w14:paraId="1AEDE4E0" w14:textId="463B1980" w:rsidTr="00E606ED">
        <w:tc>
          <w:tcPr>
            <w:tcW w:w="1701" w:type="dxa"/>
          </w:tcPr>
          <w:p w14:paraId="501B20DD" w14:textId="6A3FE379" w:rsidR="00E606ED" w:rsidRPr="00D6171F" w:rsidRDefault="00E606ED" w:rsidP="00236B49">
            <w:pPr>
              <w:pStyle w:val="051Tabletext228pt"/>
              <w:rPr>
                <w:sz w:val="18"/>
                <w:szCs w:val="24"/>
                <w:vertAlign w:val="superscript"/>
              </w:rPr>
            </w:pPr>
            <w:r w:rsidRPr="00D6171F">
              <w:rPr>
                <w:sz w:val="18"/>
                <w:szCs w:val="24"/>
              </w:rPr>
              <w:t>39130</w:t>
            </w:r>
          </w:p>
        </w:tc>
        <w:tc>
          <w:tcPr>
            <w:tcW w:w="6237" w:type="dxa"/>
          </w:tcPr>
          <w:p w14:paraId="21408415" w14:textId="2E04FF25" w:rsidR="00E606ED" w:rsidRPr="00D6171F" w:rsidRDefault="00E606ED" w:rsidP="00260555">
            <w:pPr>
              <w:pStyle w:val="051Tabletext228pt"/>
              <w:rPr>
                <w:sz w:val="18"/>
                <w:szCs w:val="24"/>
              </w:rPr>
            </w:pPr>
            <w:r w:rsidRPr="00D6171F">
              <w:rPr>
                <w:sz w:val="18"/>
                <w:szCs w:val="24"/>
              </w:rPr>
              <w:t>Epidural lead or leads, percutaneous placement of, including intraoperative test stimulation, for the management of chronic neuropathic pain or pain from refractory angina pectoris (H)</w:t>
            </w:r>
          </w:p>
          <w:p w14:paraId="4317CD41" w14:textId="77777777" w:rsidR="00E606ED" w:rsidRPr="00D6171F" w:rsidRDefault="00E606ED" w:rsidP="00260555">
            <w:pPr>
              <w:pStyle w:val="051Tabletext228pt"/>
              <w:rPr>
                <w:sz w:val="18"/>
                <w:szCs w:val="24"/>
              </w:rPr>
            </w:pPr>
            <w:r w:rsidRPr="00D6171F">
              <w:rPr>
                <w:sz w:val="18"/>
                <w:szCs w:val="24"/>
              </w:rPr>
              <w:t>Multiple Operation Rule</w:t>
            </w:r>
          </w:p>
          <w:p w14:paraId="0460918F" w14:textId="1592C117" w:rsidR="00E606ED" w:rsidRPr="00D6171F" w:rsidRDefault="00E606ED" w:rsidP="00260555">
            <w:pPr>
              <w:pStyle w:val="051Tabletext228pt"/>
              <w:rPr>
                <w:sz w:val="18"/>
                <w:szCs w:val="24"/>
              </w:rPr>
            </w:pPr>
            <w:r w:rsidRPr="00D6171F">
              <w:rPr>
                <w:sz w:val="18"/>
                <w:szCs w:val="24"/>
              </w:rPr>
              <w:t>(</w:t>
            </w:r>
            <w:proofErr w:type="spellStart"/>
            <w:r w:rsidRPr="00D6171F">
              <w:rPr>
                <w:sz w:val="18"/>
                <w:szCs w:val="24"/>
              </w:rPr>
              <w:t>Anaes</w:t>
            </w:r>
            <w:proofErr w:type="spellEnd"/>
            <w:r w:rsidRPr="00D6171F">
              <w:rPr>
                <w:sz w:val="18"/>
                <w:szCs w:val="24"/>
              </w:rPr>
              <w:t>.) (Assist.)</w:t>
            </w:r>
          </w:p>
          <w:p w14:paraId="3BC8A1A4" w14:textId="07BCDA31" w:rsidR="00E606ED" w:rsidRPr="00D6171F" w:rsidRDefault="00E606ED" w:rsidP="00260555">
            <w:pPr>
              <w:pStyle w:val="051Tabletext228pt"/>
              <w:rPr>
                <w:sz w:val="18"/>
                <w:szCs w:val="24"/>
              </w:rPr>
            </w:pPr>
            <w:r w:rsidRPr="00D6171F">
              <w:rPr>
                <w:sz w:val="18"/>
                <w:szCs w:val="24"/>
              </w:rPr>
              <w:t>Fee: $712.65 Benefit: 75% = $534.50</w:t>
            </w:r>
          </w:p>
        </w:tc>
        <w:tc>
          <w:tcPr>
            <w:tcW w:w="1700" w:type="dxa"/>
          </w:tcPr>
          <w:p w14:paraId="438D355D" w14:textId="77777777" w:rsidR="00E606ED" w:rsidRPr="009B0686" w:rsidRDefault="00C80062" w:rsidP="00260555">
            <w:pPr>
              <w:pStyle w:val="051Tabletext228pt"/>
              <w:rPr>
                <w:sz w:val="18"/>
                <w:szCs w:val="18"/>
              </w:rPr>
            </w:pPr>
            <w:r w:rsidRPr="009B0686">
              <w:rPr>
                <w:sz w:val="18"/>
                <w:szCs w:val="18"/>
              </w:rPr>
              <w:t>TN.8.244</w:t>
            </w:r>
          </w:p>
          <w:p w14:paraId="644E1026" w14:textId="23736FC0" w:rsidR="002D2A21" w:rsidRPr="009B0686" w:rsidRDefault="002D2A21" w:rsidP="00260555">
            <w:pPr>
              <w:pStyle w:val="051Tabletext228pt"/>
              <w:rPr>
                <w:sz w:val="18"/>
                <w:szCs w:val="18"/>
              </w:rPr>
            </w:pPr>
            <w:r w:rsidRPr="009B0686">
              <w:rPr>
                <w:i/>
                <w:iCs/>
                <w:sz w:val="18"/>
                <w:szCs w:val="18"/>
              </w:rPr>
              <w:t>(</w:t>
            </w:r>
            <w:r w:rsidRPr="009B0686">
              <w:rPr>
                <w:i/>
                <w:iCs/>
                <w:sz w:val="18"/>
                <w:szCs w:val="18"/>
              </w:rPr>
              <w:fldChar w:fldCharType="begin"/>
            </w:r>
            <w:r w:rsidRPr="009B0686">
              <w:rPr>
                <w:i/>
                <w:iCs/>
                <w:sz w:val="18"/>
                <w:szCs w:val="18"/>
              </w:rPr>
              <w:instrText xml:space="preserve"> REF _Ref134824509 \h  \* MERGEFORMAT </w:instrText>
            </w:r>
            <w:r w:rsidRPr="009B0686">
              <w:rPr>
                <w:i/>
                <w:iCs/>
                <w:sz w:val="18"/>
                <w:szCs w:val="18"/>
              </w:rPr>
            </w:r>
            <w:r w:rsidRPr="009B0686">
              <w:rPr>
                <w:i/>
                <w:iCs/>
                <w:sz w:val="18"/>
                <w:szCs w:val="18"/>
              </w:rPr>
              <w:fldChar w:fldCharType="separate"/>
            </w:r>
            <w:r w:rsidR="00CE6ACA" w:rsidRPr="00CE6ACA">
              <w:rPr>
                <w:i/>
                <w:iCs/>
                <w:sz w:val="18"/>
                <w:szCs w:val="18"/>
              </w:rPr>
              <w:t xml:space="preserve">Table App </w:t>
            </w:r>
            <w:r w:rsidR="00CE6ACA" w:rsidRPr="00CE6ACA">
              <w:rPr>
                <w:i/>
                <w:iCs/>
                <w:noProof/>
                <w:sz w:val="18"/>
                <w:szCs w:val="18"/>
              </w:rPr>
              <w:t>3</w:t>
            </w:r>
            <w:r w:rsidRPr="009B0686">
              <w:rPr>
                <w:i/>
                <w:iCs/>
                <w:sz w:val="18"/>
                <w:szCs w:val="18"/>
              </w:rPr>
              <w:fldChar w:fldCharType="end"/>
            </w:r>
            <w:r w:rsidRPr="009B0686">
              <w:rPr>
                <w:i/>
                <w:iCs/>
                <w:sz w:val="18"/>
                <w:szCs w:val="18"/>
              </w:rPr>
              <w:t>)</w:t>
            </w:r>
          </w:p>
        </w:tc>
      </w:tr>
      <w:tr w:rsidR="00E606ED" w:rsidRPr="00D6171F" w14:paraId="0460B073" w14:textId="50DDA29D" w:rsidTr="00E606ED">
        <w:tc>
          <w:tcPr>
            <w:tcW w:w="1701" w:type="dxa"/>
          </w:tcPr>
          <w:p w14:paraId="371BD049" w14:textId="30068D19" w:rsidR="00E606ED" w:rsidRPr="00D6171F" w:rsidRDefault="00E606ED" w:rsidP="00236B49">
            <w:pPr>
              <w:pStyle w:val="051Tabletext228pt"/>
              <w:rPr>
                <w:sz w:val="18"/>
                <w:szCs w:val="24"/>
                <w:vertAlign w:val="superscript"/>
              </w:rPr>
            </w:pPr>
            <w:r w:rsidRPr="00D6171F">
              <w:rPr>
                <w:sz w:val="18"/>
                <w:szCs w:val="24"/>
              </w:rPr>
              <w:t>39134</w:t>
            </w:r>
          </w:p>
        </w:tc>
        <w:tc>
          <w:tcPr>
            <w:tcW w:w="6237" w:type="dxa"/>
          </w:tcPr>
          <w:p w14:paraId="750510EA" w14:textId="2F7A7481" w:rsidR="00E606ED" w:rsidRPr="00D6171F" w:rsidRDefault="00E606ED" w:rsidP="00B04698">
            <w:pPr>
              <w:pStyle w:val="051Tabletext228pt"/>
              <w:rPr>
                <w:sz w:val="18"/>
                <w:szCs w:val="24"/>
              </w:rPr>
            </w:pPr>
            <w:r w:rsidRPr="00D6171F">
              <w:rPr>
                <w:sz w:val="18"/>
                <w:szCs w:val="24"/>
              </w:rPr>
              <w:t xml:space="preserve">Neurostimulator or receiver, subcutaneous placement of, including placement and connection of extension wires to epidural or peripheral nerve electrodes, for the management of chronic neuropathic pain or pain from refractory angina pectoris (H) </w:t>
            </w:r>
          </w:p>
          <w:p w14:paraId="5E66D765" w14:textId="77777777" w:rsidR="00E606ED" w:rsidRPr="00D6171F" w:rsidRDefault="00E606ED" w:rsidP="00B04698">
            <w:pPr>
              <w:pStyle w:val="051Tabletext228pt"/>
              <w:rPr>
                <w:sz w:val="18"/>
                <w:szCs w:val="24"/>
              </w:rPr>
            </w:pPr>
            <w:r w:rsidRPr="00D6171F">
              <w:rPr>
                <w:sz w:val="18"/>
                <w:szCs w:val="24"/>
              </w:rPr>
              <w:t>Multiple Operation Rule</w:t>
            </w:r>
          </w:p>
          <w:p w14:paraId="10220E99" w14:textId="6BA02618" w:rsidR="00E606ED" w:rsidRPr="00D6171F" w:rsidRDefault="00E606ED" w:rsidP="00B04698">
            <w:pPr>
              <w:pStyle w:val="051Tabletext228pt"/>
              <w:rPr>
                <w:sz w:val="18"/>
                <w:szCs w:val="24"/>
              </w:rPr>
            </w:pPr>
            <w:r w:rsidRPr="00D6171F">
              <w:rPr>
                <w:sz w:val="18"/>
                <w:szCs w:val="24"/>
              </w:rPr>
              <w:t>(</w:t>
            </w:r>
            <w:proofErr w:type="spellStart"/>
            <w:r w:rsidRPr="00D6171F">
              <w:rPr>
                <w:sz w:val="18"/>
                <w:szCs w:val="24"/>
              </w:rPr>
              <w:t>Anaes</w:t>
            </w:r>
            <w:proofErr w:type="spellEnd"/>
            <w:r w:rsidRPr="00D6171F">
              <w:rPr>
                <w:sz w:val="18"/>
                <w:szCs w:val="24"/>
              </w:rPr>
              <w:t>.) (Assist.)</w:t>
            </w:r>
          </w:p>
          <w:p w14:paraId="0596C719" w14:textId="77777777" w:rsidR="00E606ED" w:rsidRPr="00D6171F" w:rsidRDefault="00E606ED" w:rsidP="00B04698">
            <w:pPr>
              <w:pStyle w:val="051Tabletext228pt"/>
              <w:rPr>
                <w:sz w:val="18"/>
                <w:szCs w:val="24"/>
              </w:rPr>
            </w:pPr>
            <w:r w:rsidRPr="00D6171F">
              <w:rPr>
                <w:sz w:val="18"/>
                <w:szCs w:val="24"/>
              </w:rPr>
              <w:t>Fee: $360.05 Benefit: 75% = $270.05</w:t>
            </w:r>
          </w:p>
        </w:tc>
        <w:tc>
          <w:tcPr>
            <w:tcW w:w="1700" w:type="dxa"/>
          </w:tcPr>
          <w:p w14:paraId="6CA215F3" w14:textId="77777777" w:rsidR="00E606ED" w:rsidRPr="009B0686" w:rsidRDefault="002D2A21" w:rsidP="00B04698">
            <w:pPr>
              <w:pStyle w:val="051Tabletext228pt"/>
              <w:rPr>
                <w:sz w:val="18"/>
                <w:szCs w:val="18"/>
              </w:rPr>
            </w:pPr>
            <w:r w:rsidRPr="009B0686">
              <w:rPr>
                <w:sz w:val="18"/>
                <w:szCs w:val="18"/>
              </w:rPr>
              <w:t>TN.8.244</w:t>
            </w:r>
          </w:p>
          <w:p w14:paraId="61B432C8" w14:textId="6ADB4C0D" w:rsidR="002D2A21" w:rsidRPr="009B0686" w:rsidRDefault="002D2A21" w:rsidP="00B04698">
            <w:pPr>
              <w:pStyle w:val="051Tabletext228pt"/>
              <w:rPr>
                <w:sz w:val="18"/>
                <w:szCs w:val="18"/>
              </w:rPr>
            </w:pPr>
            <w:r w:rsidRPr="009B0686">
              <w:rPr>
                <w:i/>
                <w:iCs/>
                <w:sz w:val="18"/>
                <w:szCs w:val="18"/>
              </w:rPr>
              <w:t>(</w:t>
            </w:r>
            <w:r w:rsidRPr="009B0686">
              <w:rPr>
                <w:i/>
                <w:iCs/>
                <w:sz w:val="18"/>
                <w:szCs w:val="18"/>
              </w:rPr>
              <w:fldChar w:fldCharType="begin"/>
            </w:r>
            <w:r w:rsidRPr="009B0686">
              <w:rPr>
                <w:i/>
                <w:iCs/>
                <w:sz w:val="18"/>
                <w:szCs w:val="18"/>
              </w:rPr>
              <w:instrText xml:space="preserve"> REF _Ref134824509 \h  \* MERGEFORMAT </w:instrText>
            </w:r>
            <w:r w:rsidRPr="009B0686">
              <w:rPr>
                <w:i/>
                <w:iCs/>
                <w:sz w:val="18"/>
                <w:szCs w:val="18"/>
              </w:rPr>
            </w:r>
            <w:r w:rsidRPr="009B0686">
              <w:rPr>
                <w:i/>
                <w:iCs/>
                <w:sz w:val="18"/>
                <w:szCs w:val="18"/>
              </w:rPr>
              <w:fldChar w:fldCharType="separate"/>
            </w:r>
            <w:r w:rsidR="00CE6ACA" w:rsidRPr="00CE6ACA">
              <w:rPr>
                <w:i/>
                <w:iCs/>
                <w:sz w:val="18"/>
                <w:szCs w:val="18"/>
              </w:rPr>
              <w:t xml:space="preserve">Table App </w:t>
            </w:r>
            <w:r w:rsidR="00CE6ACA" w:rsidRPr="00CE6ACA">
              <w:rPr>
                <w:i/>
                <w:iCs/>
                <w:noProof/>
                <w:sz w:val="18"/>
                <w:szCs w:val="18"/>
              </w:rPr>
              <w:t>3</w:t>
            </w:r>
            <w:r w:rsidRPr="009B0686">
              <w:rPr>
                <w:i/>
                <w:iCs/>
                <w:sz w:val="18"/>
                <w:szCs w:val="18"/>
              </w:rPr>
              <w:fldChar w:fldCharType="end"/>
            </w:r>
            <w:r w:rsidRPr="009B0686">
              <w:rPr>
                <w:i/>
                <w:iCs/>
                <w:sz w:val="18"/>
                <w:szCs w:val="18"/>
              </w:rPr>
              <w:t>)</w:t>
            </w:r>
          </w:p>
        </w:tc>
      </w:tr>
      <w:tr w:rsidR="00E606ED" w:rsidRPr="00D6171F" w14:paraId="06586B71" w14:textId="2F1F8C14" w:rsidTr="00E606ED">
        <w:tc>
          <w:tcPr>
            <w:tcW w:w="1701" w:type="dxa"/>
          </w:tcPr>
          <w:p w14:paraId="05125592" w14:textId="065FC064" w:rsidR="00E606ED" w:rsidRPr="00D6171F" w:rsidRDefault="00E606ED" w:rsidP="00236B49">
            <w:pPr>
              <w:pStyle w:val="051Tabletext228pt"/>
              <w:rPr>
                <w:sz w:val="18"/>
                <w:szCs w:val="24"/>
                <w:vertAlign w:val="superscript"/>
              </w:rPr>
            </w:pPr>
            <w:r w:rsidRPr="00D6171F">
              <w:rPr>
                <w:sz w:val="18"/>
                <w:szCs w:val="24"/>
              </w:rPr>
              <w:t>39135</w:t>
            </w:r>
          </w:p>
        </w:tc>
        <w:tc>
          <w:tcPr>
            <w:tcW w:w="6237" w:type="dxa"/>
          </w:tcPr>
          <w:p w14:paraId="69E1BAE0" w14:textId="112424CA" w:rsidR="00E606ED" w:rsidRPr="00D6171F" w:rsidRDefault="00E606ED" w:rsidP="00E3007D">
            <w:pPr>
              <w:pStyle w:val="051Tabletext228pt"/>
              <w:rPr>
                <w:sz w:val="18"/>
                <w:szCs w:val="24"/>
              </w:rPr>
            </w:pPr>
            <w:r w:rsidRPr="00D6171F">
              <w:rPr>
                <w:sz w:val="18"/>
                <w:szCs w:val="24"/>
              </w:rPr>
              <w:t xml:space="preserve">Neurostimulator or receiver that was inserted for the management of chronic neuropathic pain or pain from refractory angina pectoris, open surgical removal of, performed in the operating theatre of a hospital (H) </w:t>
            </w:r>
          </w:p>
          <w:p w14:paraId="55660150" w14:textId="23D0E91D" w:rsidR="00E606ED" w:rsidRPr="00D6171F" w:rsidRDefault="00E606ED" w:rsidP="00E3007D">
            <w:pPr>
              <w:pStyle w:val="051Tabletext228pt"/>
              <w:rPr>
                <w:sz w:val="18"/>
                <w:szCs w:val="24"/>
              </w:rPr>
            </w:pPr>
            <w:r w:rsidRPr="00D6171F">
              <w:rPr>
                <w:sz w:val="18"/>
                <w:szCs w:val="24"/>
              </w:rPr>
              <w:t>Multiple Operation Rule</w:t>
            </w:r>
          </w:p>
          <w:p w14:paraId="454D4FED" w14:textId="77777777" w:rsidR="00E606ED" w:rsidRPr="00D6171F" w:rsidRDefault="00E606ED" w:rsidP="00E3007D">
            <w:pPr>
              <w:pStyle w:val="051Tabletext228pt"/>
              <w:rPr>
                <w:sz w:val="18"/>
                <w:szCs w:val="24"/>
              </w:rPr>
            </w:pPr>
            <w:r w:rsidRPr="00D6171F">
              <w:rPr>
                <w:sz w:val="18"/>
                <w:szCs w:val="24"/>
              </w:rPr>
              <w:t>(</w:t>
            </w:r>
            <w:proofErr w:type="spellStart"/>
            <w:r w:rsidRPr="00D6171F">
              <w:rPr>
                <w:sz w:val="18"/>
                <w:szCs w:val="24"/>
              </w:rPr>
              <w:t>Anaes</w:t>
            </w:r>
            <w:proofErr w:type="spellEnd"/>
            <w:r w:rsidRPr="00D6171F">
              <w:rPr>
                <w:sz w:val="18"/>
                <w:szCs w:val="24"/>
              </w:rPr>
              <w:t>.) (Assist.)</w:t>
            </w:r>
          </w:p>
          <w:p w14:paraId="2B696BC7" w14:textId="42000639" w:rsidR="00E606ED" w:rsidRPr="00D6171F" w:rsidRDefault="00E606ED" w:rsidP="00E3007D">
            <w:pPr>
              <w:pStyle w:val="051Tabletext228pt"/>
              <w:rPr>
                <w:sz w:val="18"/>
                <w:szCs w:val="24"/>
              </w:rPr>
            </w:pPr>
            <w:r w:rsidRPr="00D6171F">
              <w:rPr>
                <w:sz w:val="18"/>
                <w:szCs w:val="24"/>
              </w:rPr>
              <w:t>Fee: $168.55 Benefit: 75% = $126.45</w:t>
            </w:r>
          </w:p>
        </w:tc>
        <w:tc>
          <w:tcPr>
            <w:tcW w:w="1700" w:type="dxa"/>
          </w:tcPr>
          <w:p w14:paraId="12D67989" w14:textId="77777777" w:rsidR="00E606ED" w:rsidRPr="009B0686" w:rsidRDefault="002D2A21" w:rsidP="00E3007D">
            <w:pPr>
              <w:pStyle w:val="051Tabletext228pt"/>
              <w:rPr>
                <w:sz w:val="18"/>
                <w:szCs w:val="18"/>
              </w:rPr>
            </w:pPr>
            <w:r w:rsidRPr="009B0686">
              <w:rPr>
                <w:sz w:val="18"/>
                <w:szCs w:val="18"/>
              </w:rPr>
              <w:t>TN.8.244</w:t>
            </w:r>
          </w:p>
          <w:p w14:paraId="684DA3B8" w14:textId="0B787A75" w:rsidR="002D2A21" w:rsidRPr="009B0686" w:rsidRDefault="002D2A21" w:rsidP="00E3007D">
            <w:pPr>
              <w:pStyle w:val="051Tabletext228pt"/>
              <w:rPr>
                <w:sz w:val="18"/>
                <w:szCs w:val="18"/>
              </w:rPr>
            </w:pPr>
            <w:r w:rsidRPr="009B0686">
              <w:rPr>
                <w:i/>
                <w:iCs/>
                <w:sz w:val="18"/>
                <w:szCs w:val="18"/>
              </w:rPr>
              <w:t>(</w:t>
            </w:r>
            <w:r w:rsidRPr="009B0686">
              <w:rPr>
                <w:i/>
                <w:iCs/>
                <w:sz w:val="18"/>
                <w:szCs w:val="18"/>
              </w:rPr>
              <w:fldChar w:fldCharType="begin"/>
            </w:r>
            <w:r w:rsidRPr="009B0686">
              <w:rPr>
                <w:i/>
                <w:iCs/>
                <w:sz w:val="18"/>
                <w:szCs w:val="18"/>
              </w:rPr>
              <w:instrText xml:space="preserve"> REF _Ref134824509 \h  \* MERGEFORMAT </w:instrText>
            </w:r>
            <w:r w:rsidRPr="009B0686">
              <w:rPr>
                <w:i/>
                <w:iCs/>
                <w:sz w:val="18"/>
                <w:szCs w:val="18"/>
              </w:rPr>
            </w:r>
            <w:r w:rsidRPr="009B0686">
              <w:rPr>
                <w:i/>
                <w:iCs/>
                <w:sz w:val="18"/>
                <w:szCs w:val="18"/>
              </w:rPr>
              <w:fldChar w:fldCharType="separate"/>
            </w:r>
            <w:r w:rsidR="00CE6ACA" w:rsidRPr="00CE6ACA">
              <w:rPr>
                <w:i/>
                <w:iCs/>
                <w:sz w:val="18"/>
                <w:szCs w:val="18"/>
              </w:rPr>
              <w:t xml:space="preserve">Table App </w:t>
            </w:r>
            <w:r w:rsidR="00CE6ACA" w:rsidRPr="00CE6ACA">
              <w:rPr>
                <w:i/>
                <w:iCs/>
                <w:noProof/>
                <w:sz w:val="18"/>
                <w:szCs w:val="18"/>
              </w:rPr>
              <w:t>3</w:t>
            </w:r>
            <w:r w:rsidRPr="009B0686">
              <w:rPr>
                <w:i/>
                <w:iCs/>
                <w:sz w:val="18"/>
                <w:szCs w:val="18"/>
              </w:rPr>
              <w:fldChar w:fldCharType="end"/>
            </w:r>
            <w:r w:rsidRPr="009B0686">
              <w:rPr>
                <w:i/>
                <w:iCs/>
                <w:sz w:val="18"/>
                <w:szCs w:val="18"/>
              </w:rPr>
              <w:t>)</w:t>
            </w:r>
          </w:p>
        </w:tc>
      </w:tr>
      <w:tr w:rsidR="00E606ED" w:rsidRPr="00D6171F" w14:paraId="021838B0" w14:textId="21472E16" w:rsidTr="00E606ED">
        <w:tc>
          <w:tcPr>
            <w:tcW w:w="1701" w:type="dxa"/>
          </w:tcPr>
          <w:p w14:paraId="3372261D" w14:textId="22647AAC" w:rsidR="00E606ED" w:rsidRPr="00D6171F" w:rsidRDefault="00E606ED" w:rsidP="00236B49">
            <w:pPr>
              <w:pStyle w:val="051Tabletext228pt"/>
              <w:rPr>
                <w:sz w:val="18"/>
                <w:szCs w:val="24"/>
                <w:vertAlign w:val="superscript"/>
              </w:rPr>
            </w:pPr>
            <w:r w:rsidRPr="00D6171F">
              <w:rPr>
                <w:sz w:val="18"/>
                <w:szCs w:val="24"/>
              </w:rPr>
              <w:t>39137</w:t>
            </w:r>
          </w:p>
        </w:tc>
        <w:tc>
          <w:tcPr>
            <w:tcW w:w="6237" w:type="dxa"/>
          </w:tcPr>
          <w:p w14:paraId="7F423529" w14:textId="3674FA7C" w:rsidR="00E606ED" w:rsidRPr="00D6171F" w:rsidRDefault="00E606ED" w:rsidP="00D6482F">
            <w:pPr>
              <w:pStyle w:val="051Tabletext228pt"/>
              <w:rPr>
                <w:sz w:val="18"/>
                <w:szCs w:val="24"/>
              </w:rPr>
            </w:pPr>
            <w:r w:rsidRPr="00D6171F">
              <w:rPr>
                <w:sz w:val="18"/>
                <w:szCs w:val="24"/>
              </w:rPr>
              <w:t xml:space="preserve">Epidural or peripheral nerve lead that was implanted for the management of chronic neuropathic pain or pain from refractory angina pectoris, open surgical repositioning of, to correct displacement or unsatisfactory positioning, including intraoperative test stimulation, other than a service to which item 39130, 39138 or 39139 applies (H) </w:t>
            </w:r>
          </w:p>
          <w:p w14:paraId="29FE6E1E" w14:textId="77777777" w:rsidR="00E606ED" w:rsidRPr="00D6171F" w:rsidRDefault="00E606ED" w:rsidP="00D6482F">
            <w:pPr>
              <w:pStyle w:val="051Tabletext228pt"/>
              <w:rPr>
                <w:sz w:val="18"/>
                <w:szCs w:val="24"/>
              </w:rPr>
            </w:pPr>
            <w:r w:rsidRPr="00D6171F">
              <w:rPr>
                <w:sz w:val="18"/>
                <w:szCs w:val="24"/>
              </w:rPr>
              <w:t>Multiple Operation Rule</w:t>
            </w:r>
          </w:p>
          <w:p w14:paraId="7D677B90" w14:textId="2B0AC953" w:rsidR="00E606ED" w:rsidRPr="00D6171F" w:rsidRDefault="00E606ED" w:rsidP="00D6482F">
            <w:pPr>
              <w:pStyle w:val="051Tabletext228pt"/>
              <w:rPr>
                <w:sz w:val="18"/>
                <w:szCs w:val="24"/>
              </w:rPr>
            </w:pPr>
            <w:r w:rsidRPr="00D6171F">
              <w:rPr>
                <w:sz w:val="18"/>
                <w:szCs w:val="24"/>
              </w:rPr>
              <w:t>(</w:t>
            </w:r>
            <w:proofErr w:type="spellStart"/>
            <w:r w:rsidRPr="00D6171F">
              <w:rPr>
                <w:sz w:val="18"/>
                <w:szCs w:val="24"/>
              </w:rPr>
              <w:t>Anaes</w:t>
            </w:r>
            <w:proofErr w:type="spellEnd"/>
            <w:r w:rsidRPr="00D6171F">
              <w:rPr>
                <w:sz w:val="18"/>
                <w:szCs w:val="24"/>
              </w:rPr>
              <w:t>.) (Assist.)</w:t>
            </w:r>
          </w:p>
          <w:p w14:paraId="3D2CFDFA" w14:textId="414E2894" w:rsidR="00E606ED" w:rsidRPr="00D6171F" w:rsidRDefault="00E606ED" w:rsidP="00D6482F">
            <w:pPr>
              <w:pStyle w:val="051Tabletext228pt"/>
              <w:rPr>
                <w:sz w:val="18"/>
                <w:szCs w:val="24"/>
              </w:rPr>
            </w:pPr>
            <w:r w:rsidRPr="00D6171F">
              <w:rPr>
                <w:sz w:val="18"/>
                <w:szCs w:val="24"/>
              </w:rPr>
              <w:t>Fee: $641.40 Benefit: 75% = $481.05</w:t>
            </w:r>
          </w:p>
        </w:tc>
        <w:tc>
          <w:tcPr>
            <w:tcW w:w="1700" w:type="dxa"/>
          </w:tcPr>
          <w:p w14:paraId="677EC768" w14:textId="77777777" w:rsidR="00E606ED" w:rsidRPr="009B0686" w:rsidRDefault="002D2A21" w:rsidP="00D6482F">
            <w:pPr>
              <w:pStyle w:val="051Tabletext228pt"/>
              <w:rPr>
                <w:sz w:val="18"/>
                <w:szCs w:val="18"/>
              </w:rPr>
            </w:pPr>
            <w:r w:rsidRPr="009B0686">
              <w:rPr>
                <w:sz w:val="18"/>
                <w:szCs w:val="18"/>
              </w:rPr>
              <w:t>TN.8.244</w:t>
            </w:r>
          </w:p>
          <w:p w14:paraId="42BFD922" w14:textId="3A88BCAD" w:rsidR="002D2A21" w:rsidRPr="009B0686" w:rsidRDefault="002D2A21" w:rsidP="00D6482F">
            <w:pPr>
              <w:pStyle w:val="051Tabletext228pt"/>
              <w:rPr>
                <w:sz w:val="18"/>
                <w:szCs w:val="18"/>
              </w:rPr>
            </w:pPr>
            <w:r w:rsidRPr="009B0686">
              <w:rPr>
                <w:i/>
                <w:iCs/>
                <w:sz w:val="18"/>
                <w:szCs w:val="18"/>
              </w:rPr>
              <w:t>(</w:t>
            </w:r>
            <w:r w:rsidRPr="009B0686">
              <w:rPr>
                <w:i/>
                <w:iCs/>
                <w:sz w:val="18"/>
                <w:szCs w:val="18"/>
              </w:rPr>
              <w:fldChar w:fldCharType="begin"/>
            </w:r>
            <w:r w:rsidRPr="009B0686">
              <w:rPr>
                <w:i/>
                <w:iCs/>
                <w:sz w:val="18"/>
                <w:szCs w:val="18"/>
              </w:rPr>
              <w:instrText xml:space="preserve"> REF _Ref134824509 \h  \* MERGEFORMAT </w:instrText>
            </w:r>
            <w:r w:rsidRPr="009B0686">
              <w:rPr>
                <w:i/>
                <w:iCs/>
                <w:sz w:val="18"/>
                <w:szCs w:val="18"/>
              </w:rPr>
            </w:r>
            <w:r w:rsidRPr="009B0686">
              <w:rPr>
                <w:i/>
                <w:iCs/>
                <w:sz w:val="18"/>
                <w:szCs w:val="18"/>
              </w:rPr>
              <w:fldChar w:fldCharType="separate"/>
            </w:r>
            <w:r w:rsidR="00CE6ACA" w:rsidRPr="00CE6ACA">
              <w:rPr>
                <w:i/>
                <w:iCs/>
                <w:sz w:val="18"/>
                <w:szCs w:val="18"/>
              </w:rPr>
              <w:t xml:space="preserve">Table App </w:t>
            </w:r>
            <w:r w:rsidR="00CE6ACA" w:rsidRPr="00CE6ACA">
              <w:rPr>
                <w:i/>
                <w:iCs/>
                <w:noProof/>
                <w:sz w:val="18"/>
                <w:szCs w:val="18"/>
              </w:rPr>
              <w:t>3</w:t>
            </w:r>
            <w:r w:rsidRPr="009B0686">
              <w:rPr>
                <w:i/>
                <w:iCs/>
                <w:sz w:val="18"/>
                <w:szCs w:val="18"/>
              </w:rPr>
              <w:fldChar w:fldCharType="end"/>
            </w:r>
            <w:r w:rsidRPr="009B0686">
              <w:rPr>
                <w:i/>
                <w:iCs/>
                <w:sz w:val="18"/>
                <w:szCs w:val="18"/>
              </w:rPr>
              <w:t>)</w:t>
            </w:r>
          </w:p>
        </w:tc>
      </w:tr>
      <w:tr w:rsidR="00F30B7C" w:rsidRPr="00D6171F" w14:paraId="60D719D0" w14:textId="77777777" w:rsidTr="00E606ED">
        <w:tc>
          <w:tcPr>
            <w:tcW w:w="1701" w:type="dxa"/>
          </w:tcPr>
          <w:p w14:paraId="437852E2" w14:textId="6B36028B" w:rsidR="00F30B7C" w:rsidRPr="00D6171F" w:rsidRDefault="00F30B7C" w:rsidP="00236B49">
            <w:pPr>
              <w:pStyle w:val="051Tabletext228pt"/>
              <w:rPr>
                <w:sz w:val="18"/>
                <w:szCs w:val="24"/>
              </w:rPr>
            </w:pPr>
            <w:r>
              <w:rPr>
                <w:sz w:val="18"/>
                <w:szCs w:val="24"/>
              </w:rPr>
              <w:t>39136</w:t>
            </w:r>
          </w:p>
        </w:tc>
        <w:tc>
          <w:tcPr>
            <w:tcW w:w="6237" w:type="dxa"/>
          </w:tcPr>
          <w:p w14:paraId="4224C16C" w14:textId="56CF07CD" w:rsidR="0011791E" w:rsidRPr="0011791E" w:rsidRDefault="0011791E" w:rsidP="0011791E">
            <w:pPr>
              <w:pStyle w:val="051Tabletext228pt"/>
              <w:rPr>
                <w:sz w:val="18"/>
                <w:szCs w:val="24"/>
              </w:rPr>
            </w:pPr>
            <w:r w:rsidRPr="0011791E">
              <w:rPr>
                <w:sz w:val="18"/>
                <w:szCs w:val="24"/>
              </w:rPr>
              <w:t xml:space="preserve">Epidural or peripheral nerve lead that was implanted for the management of chronic neuropathic pain or pain from refractory angina pectoris, open surgical removal of, performed in the operating theatre of a hospital (H) </w:t>
            </w:r>
          </w:p>
          <w:p w14:paraId="08D4CDB8" w14:textId="254A06A9" w:rsidR="0011791E" w:rsidRPr="0011791E" w:rsidRDefault="0011791E" w:rsidP="0011791E">
            <w:pPr>
              <w:pStyle w:val="051Tabletext228pt"/>
              <w:rPr>
                <w:sz w:val="18"/>
                <w:szCs w:val="24"/>
              </w:rPr>
            </w:pPr>
            <w:r w:rsidRPr="0011791E">
              <w:rPr>
                <w:sz w:val="18"/>
                <w:szCs w:val="24"/>
              </w:rPr>
              <w:t>Multiple Operation Rule</w:t>
            </w:r>
          </w:p>
          <w:p w14:paraId="66E4D2CC" w14:textId="77777777" w:rsidR="0011791E" w:rsidRPr="0011791E" w:rsidRDefault="0011791E" w:rsidP="0011791E">
            <w:pPr>
              <w:pStyle w:val="051Tabletext228pt"/>
              <w:rPr>
                <w:sz w:val="18"/>
                <w:szCs w:val="24"/>
              </w:rPr>
            </w:pPr>
            <w:r w:rsidRPr="0011791E">
              <w:rPr>
                <w:sz w:val="18"/>
                <w:szCs w:val="24"/>
              </w:rPr>
              <w:t>(</w:t>
            </w:r>
            <w:proofErr w:type="spellStart"/>
            <w:r w:rsidRPr="0011791E">
              <w:rPr>
                <w:sz w:val="18"/>
                <w:szCs w:val="24"/>
              </w:rPr>
              <w:t>Anaes</w:t>
            </w:r>
            <w:proofErr w:type="spellEnd"/>
            <w:r w:rsidRPr="0011791E">
              <w:rPr>
                <w:sz w:val="18"/>
                <w:szCs w:val="24"/>
              </w:rPr>
              <w:t>.) (Assist.)</w:t>
            </w:r>
          </w:p>
          <w:p w14:paraId="7A108BD4" w14:textId="7377DCD5" w:rsidR="00F30B7C" w:rsidRPr="00D6171F" w:rsidRDefault="0011791E" w:rsidP="0011791E">
            <w:pPr>
              <w:pStyle w:val="051Tabletext228pt"/>
              <w:rPr>
                <w:sz w:val="18"/>
                <w:szCs w:val="24"/>
              </w:rPr>
            </w:pPr>
            <w:r w:rsidRPr="0011791E">
              <w:rPr>
                <w:sz w:val="18"/>
                <w:szCs w:val="24"/>
              </w:rPr>
              <w:t>Fee: $174.60 Benefit: 75% = $130.95</w:t>
            </w:r>
          </w:p>
        </w:tc>
        <w:tc>
          <w:tcPr>
            <w:tcW w:w="1700" w:type="dxa"/>
          </w:tcPr>
          <w:p w14:paraId="1F37B0D0" w14:textId="77777777" w:rsidR="00F30B7C" w:rsidRDefault="005F2AE1" w:rsidP="00D6482F">
            <w:pPr>
              <w:pStyle w:val="051Tabletext228pt"/>
              <w:rPr>
                <w:sz w:val="18"/>
                <w:szCs w:val="18"/>
              </w:rPr>
            </w:pPr>
            <w:r>
              <w:rPr>
                <w:sz w:val="18"/>
                <w:szCs w:val="18"/>
              </w:rPr>
              <w:t>TN.8.244; TN.8.4</w:t>
            </w:r>
          </w:p>
          <w:p w14:paraId="67D13B26" w14:textId="100793DE" w:rsidR="008A523F" w:rsidRPr="009B0686" w:rsidRDefault="008A523F" w:rsidP="00D6482F">
            <w:pPr>
              <w:pStyle w:val="051Tabletext228pt"/>
              <w:rPr>
                <w:sz w:val="18"/>
                <w:szCs w:val="18"/>
              </w:rPr>
            </w:pPr>
            <w:r w:rsidRPr="009B0686">
              <w:rPr>
                <w:i/>
                <w:iCs/>
                <w:sz w:val="18"/>
                <w:szCs w:val="18"/>
              </w:rPr>
              <w:t>(</w:t>
            </w:r>
            <w:r w:rsidRPr="009B0686">
              <w:rPr>
                <w:i/>
                <w:iCs/>
                <w:sz w:val="18"/>
                <w:szCs w:val="18"/>
              </w:rPr>
              <w:fldChar w:fldCharType="begin"/>
            </w:r>
            <w:r w:rsidRPr="009B0686">
              <w:rPr>
                <w:i/>
                <w:iCs/>
                <w:sz w:val="18"/>
                <w:szCs w:val="18"/>
              </w:rPr>
              <w:instrText xml:space="preserve"> REF _Ref134824509 \h  \* MERGEFORMAT </w:instrText>
            </w:r>
            <w:r w:rsidRPr="009B0686">
              <w:rPr>
                <w:i/>
                <w:iCs/>
                <w:sz w:val="18"/>
                <w:szCs w:val="18"/>
              </w:rPr>
            </w:r>
            <w:r w:rsidRPr="009B0686">
              <w:rPr>
                <w:i/>
                <w:iCs/>
                <w:sz w:val="18"/>
                <w:szCs w:val="18"/>
              </w:rPr>
              <w:fldChar w:fldCharType="separate"/>
            </w:r>
            <w:r w:rsidR="00CE6ACA" w:rsidRPr="00CE6ACA">
              <w:rPr>
                <w:i/>
                <w:iCs/>
                <w:sz w:val="18"/>
                <w:szCs w:val="18"/>
              </w:rPr>
              <w:t xml:space="preserve">Table App </w:t>
            </w:r>
            <w:r w:rsidR="00CE6ACA" w:rsidRPr="00CE6ACA">
              <w:rPr>
                <w:i/>
                <w:iCs/>
                <w:noProof/>
                <w:sz w:val="18"/>
                <w:szCs w:val="18"/>
              </w:rPr>
              <w:t>3</w:t>
            </w:r>
            <w:r w:rsidRPr="009B0686">
              <w:rPr>
                <w:i/>
                <w:iCs/>
                <w:sz w:val="18"/>
                <w:szCs w:val="18"/>
              </w:rPr>
              <w:fldChar w:fldCharType="end"/>
            </w:r>
            <w:r w:rsidRPr="009B0686">
              <w:rPr>
                <w:i/>
                <w:iCs/>
                <w:sz w:val="18"/>
                <w:szCs w:val="18"/>
              </w:rPr>
              <w:t>)</w:t>
            </w:r>
          </w:p>
        </w:tc>
      </w:tr>
      <w:tr w:rsidR="00E606ED" w:rsidRPr="00D6171F" w14:paraId="32651D83" w14:textId="3D7EA776" w:rsidTr="00E606ED">
        <w:tc>
          <w:tcPr>
            <w:tcW w:w="1701" w:type="dxa"/>
          </w:tcPr>
          <w:p w14:paraId="1FEAC82F" w14:textId="4F99515C" w:rsidR="00E606ED" w:rsidRPr="00D6171F" w:rsidRDefault="00E606ED" w:rsidP="00236B49">
            <w:pPr>
              <w:pStyle w:val="051Tabletext228pt"/>
              <w:rPr>
                <w:sz w:val="18"/>
                <w:szCs w:val="24"/>
                <w:vertAlign w:val="superscript"/>
              </w:rPr>
            </w:pPr>
            <w:r w:rsidRPr="00D6171F">
              <w:rPr>
                <w:sz w:val="18"/>
                <w:szCs w:val="24"/>
              </w:rPr>
              <w:t>39138</w:t>
            </w:r>
          </w:p>
        </w:tc>
        <w:tc>
          <w:tcPr>
            <w:tcW w:w="6237" w:type="dxa"/>
          </w:tcPr>
          <w:p w14:paraId="009751D3" w14:textId="09797CB2" w:rsidR="00E606ED" w:rsidRPr="00D6171F" w:rsidRDefault="00E606ED" w:rsidP="00B04698">
            <w:pPr>
              <w:pStyle w:val="051Tabletext228pt"/>
              <w:rPr>
                <w:sz w:val="18"/>
                <w:szCs w:val="24"/>
              </w:rPr>
            </w:pPr>
            <w:r w:rsidRPr="00D6171F">
              <w:rPr>
                <w:sz w:val="18"/>
                <w:szCs w:val="24"/>
              </w:rPr>
              <w:t xml:space="preserve">Peripheral nerve lead or leads, surgical placement of, including intraoperative test stimulation, for the management of chronic neuropathic pain where the leads are intended to remain in situ long term (H) </w:t>
            </w:r>
          </w:p>
          <w:p w14:paraId="482ABAC8" w14:textId="77D8D85D" w:rsidR="00E606ED" w:rsidRPr="00D6171F" w:rsidRDefault="00E606ED" w:rsidP="00B04698">
            <w:pPr>
              <w:pStyle w:val="051Tabletext228pt"/>
              <w:rPr>
                <w:sz w:val="18"/>
                <w:szCs w:val="24"/>
              </w:rPr>
            </w:pPr>
            <w:r w:rsidRPr="00D6171F">
              <w:rPr>
                <w:sz w:val="18"/>
                <w:szCs w:val="24"/>
              </w:rPr>
              <w:t>Multiple Operation Rule</w:t>
            </w:r>
          </w:p>
          <w:p w14:paraId="512B0897" w14:textId="4C9C61BE" w:rsidR="00E606ED" w:rsidRPr="00D6171F" w:rsidRDefault="00E606ED" w:rsidP="00B04698">
            <w:pPr>
              <w:pStyle w:val="051Tabletext228pt"/>
              <w:rPr>
                <w:sz w:val="18"/>
                <w:szCs w:val="24"/>
              </w:rPr>
            </w:pPr>
            <w:r w:rsidRPr="00D6171F">
              <w:rPr>
                <w:sz w:val="18"/>
                <w:szCs w:val="24"/>
              </w:rPr>
              <w:t>(</w:t>
            </w:r>
            <w:proofErr w:type="spellStart"/>
            <w:r w:rsidRPr="00D6171F">
              <w:rPr>
                <w:sz w:val="18"/>
                <w:szCs w:val="24"/>
              </w:rPr>
              <w:t>Anaes</w:t>
            </w:r>
            <w:proofErr w:type="spellEnd"/>
            <w:r w:rsidRPr="00D6171F">
              <w:rPr>
                <w:sz w:val="18"/>
                <w:szCs w:val="24"/>
              </w:rPr>
              <w:t>.) (Assist.)</w:t>
            </w:r>
          </w:p>
          <w:p w14:paraId="7AF55FB2" w14:textId="265E933C" w:rsidR="00E606ED" w:rsidRPr="00D6171F" w:rsidRDefault="00E606ED" w:rsidP="00B04698">
            <w:pPr>
              <w:pStyle w:val="051Tabletext228pt"/>
              <w:rPr>
                <w:sz w:val="18"/>
                <w:szCs w:val="24"/>
              </w:rPr>
            </w:pPr>
            <w:r w:rsidRPr="00D6171F">
              <w:rPr>
                <w:sz w:val="18"/>
                <w:szCs w:val="24"/>
              </w:rPr>
              <w:t>Fee: $712.65 Benefit: 75% = $534.50</w:t>
            </w:r>
          </w:p>
        </w:tc>
        <w:tc>
          <w:tcPr>
            <w:tcW w:w="1700" w:type="dxa"/>
          </w:tcPr>
          <w:p w14:paraId="7E38BFFB" w14:textId="1CB36F50" w:rsidR="00E606ED" w:rsidRPr="009B0686" w:rsidRDefault="002D2A21" w:rsidP="00B04698">
            <w:pPr>
              <w:pStyle w:val="051Tabletext228pt"/>
              <w:rPr>
                <w:sz w:val="18"/>
                <w:szCs w:val="18"/>
              </w:rPr>
            </w:pPr>
            <w:r w:rsidRPr="009B0686">
              <w:rPr>
                <w:sz w:val="18"/>
                <w:szCs w:val="18"/>
              </w:rPr>
              <w:t>TN.8.241</w:t>
            </w:r>
          </w:p>
          <w:p w14:paraId="3EEB314F" w14:textId="286F8B54" w:rsidR="002D2A21" w:rsidRPr="009B0686" w:rsidRDefault="002D2A21" w:rsidP="00B04698">
            <w:pPr>
              <w:pStyle w:val="051Tabletext228pt"/>
              <w:rPr>
                <w:sz w:val="18"/>
                <w:szCs w:val="18"/>
              </w:rPr>
            </w:pPr>
            <w:r w:rsidRPr="009B0686">
              <w:rPr>
                <w:i/>
                <w:iCs/>
                <w:sz w:val="18"/>
                <w:szCs w:val="18"/>
              </w:rPr>
              <w:t>(</w:t>
            </w:r>
            <w:r w:rsidRPr="009B0686">
              <w:rPr>
                <w:i/>
                <w:iCs/>
                <w:sz w:val="18"/>
                <w:szCs w:val="18"/>
              </w:rPr>
              <w:fldChar w:fldCharType="begin"/>
            </w:r>
            <w:r w:rsidRPr="009B0686">
              <w:rPr>
                <w:i/>
                <w:iCs/>
                <w:sz w:val="18"/>
                <w:szCs w:val="18"/>
              </w:rPr>
              <w:instrText xml:space="preserve"> REF _Ref134824509 \h  \* MERGEFORMAT </w:instrText>
            </w:r>
            <w:r w:rsidRPr="009B0686">
              <w:rPr>
                <w:i/>
                <w:iCs/>
                <w:sz w:val="18"/>
                <w:szCs w:val="18"/>
              </w:rPr>
            </w:r>
            <w:r w:rsidRPr="009B0686">
              <w:rPr>
                <w:i/>
                <w:iCs/>
                <w:sz w:val="18"/>
                <w:szCs w:val="18"/>
              </w:rPr>
              <w:fldChar w:fldCharType="separate"/>
            </w:r>
            <w:r w:rsidR="00CE6ACA" w:rsidRPr="00CE6ACA">
              <w:rPr>
                <w:i/>
                <w:iCs/>
                <w:sz w:val="18"/>
                <w:szCs w:val="18"/>
              </w:rPr>
              <w:t xml:space="preserve">Table App </w:t>
            </w:r>
            <w:r w:rsidR="00CE6ACA" w:rsidRPr="00CE6ACA">
              <w:rPr>
                <w:i/>
                <w:iCs/>
                <w:noProof/>
                <w:sz w:val="18"/>
                <w:szCs w:val="18"/>
              </w:rPr>
              <w:t>3</w:t>
            </w:r>
            <w:r w:rsidRPr="009B0686">
              <w:rPr>
                <w:i/>
                <w:iCs/>
                <w:sz w:val="18"/>
                <w:szCs w:val="18"/>
              </w:rPr>
              <w:fldChar w:fldCharType="end"/>
            </w:r>
            <w:r w:rsidRPr="009B0686">
              <w:rPr>
                <w:i/>
                <w:iCs/>
                <w:sz w:val="18"/>
                <w:szCs w:val="18"/>
              </w:rPr>
              <w:t>)</w:t>
            </w:r>
          </w:p>
        </w:tc>
      </w:tr>
      <w:tr w:rsidR="00E606ED" w:rsidRPr="00D6171F" w14:paraId="151D6859" w14:textId="01CF9FA7" w:rsidTr="00E606ED">
        <w:tc>
          <w:tcPr>
            <w:tcW w:w="1701" w:type="dxa"/>
          </w:tcPr>
          <w:p w14:paraId="76437BBF" w14:textId="63CF65C3" w:rsidR="00E606ED" w:rsidRPr="00D6171F" w:rsidRDefault="00E606ED" w:rsidP="00236B49">
            <w:pPr>
              <w:pStyle w:val="051Tabletext228pt"/>
              <w:rPr>
                <w:sz w:val="18"/>
                <w:szCs w:val="24"/>
                <w:vertAlign w:val="superscript"/>
              </w:rPr>
            </w:pPr>
            <w:r w:rsidRPr="00D6171F">
              <w:rPr>
                <w:sz w:val="18"/>
                <w:szCs w:val="24"/>
              </w:rPr>
              <w:t>39139</w:t>
            </w:r>
          </w:p>
        </w:tc>
        <w:tc>
          <w:tcPr>
            <w:tcW w:w="6237" w:type="dxa"/>
          </w:tcPr>
          <w:p w14:paraId="0228D771" w14:textId="693623FB" w:rsidR="00E606ED" w:rsidRPr="00D6171F" w:rsidRDefault="00E606ED" w:rsidP="009C10DD">
            <w:pPr>
              <w:pStyle w:val="051Tabletext228pt"/>
              <w:rPr>
                <w:sz w:val="18"/>
                <w:szCs w:val="24"/>
              </w:rPr>
            </w:pPr>
            <w:r w:rsidRPr="00D6171F">
              <w:rPr>
                <w:sz w:val="18"/>
                <w:szCs w:val="24"/>
              </w:rPr>
              <w:t xml:space="preserve">Epidural lead, surgical placement of one or more of by partial or total laminectomy, including intraoperative test stimulation, for the management of chronic neuropathic pain or pain from refractory angina pectoris (H) </w:t>
            </w:r>
          </w:p>
          <w:p w14:paraId="73DDCC6F" w14:textId="77777777" w:rsidR="00E606ED" w:rsidRPr="00D6171F" w:rsidRDefault="00E606ED" w:rsidP="009C10DD">
            <w:pPr>
              <w:pStyle w:val="051Tabletext228pt"/>
              <w:rPr>
                <w:sz w:val="18"/>
                <w:szCs w:val="24"/>
              </w:rPr>
            </w:pPr>
            <w:r w:rsidRPr="00D6171F">
              <w:rPr>
                <w:sz w:val="18"/>
                <w:szCs w:val="24"/>
              </w:rPr>
              <w:t>Multiple Operation Rule</w:t>
            </w:r>
          </w:p>
          <w:p w14:paraId="1AD2CF0A" w14:textId="59015A16" w:rsidR="00E606ED" w:rsidRPr="00D6171F" w:rsidRDefault="00E606ED" w:rsidP="009C10DD">
            <w:pPr>
              <w:pStyle w:val="051Tabletext228pt"/>
              <w:rPr>
                <w:sz w:val="18"/>
                <w:szCs w:val="24"/>
              </w:rPr>
            </w:pPr>
            <w:r w:rsidRPr="00D6171F">
              <w:rPr>
                <w:sz w:val="18"/>
                <w:szCs w:val="24"/>
              </w:rPr>
              <w:t>(</w:t>
            </w:r>
            <w:proofErr w:type="spellStart"/>
            <w:r w:rsidRPr="00D6171F">
              <w:rPr>
                <w:sz w:val="18"/>
                <w:szCs w:val="24"/>
              </w:rPr>
              <w:t>Anaes</w:t>
            </w:r>
            <w:proofErr w:type="spellEnd"/>
            <w:r w:rsidRPr="00D6171F">
              <w:rPr>
                <w:sz w:val="18"/>
                <w:szCs w:val="24"/>
              </w:rPr>
              <w:t>.) (Assist.)</w:t>
            </w:r>
          </w:p>
          <w:p w14:paraId="15EF36FE" w14:textId="2F337E89" w:rsidR="00E606ED" w:rsidRPr="00D6171F" w:rsidRDefault="00E606ED" w:rsidP="009C10DD">
            <w:pPr>
              <w:pStyle w:val="051Tabletext228pt"/>
              <w:rPr>
                <w:sz w:val="18"/>
                <w:szCs w:val="24"/>
              </w:rPr>
            </w:pPr>
            <w:r w:rsidRPr="00D6171F">
              <w:rPr>
                <w:sz w:val="18"/>
                <w:szCs w:val="24"/>
              </w:rPr>
              <w:t>Fee: $956.85 Benefit: 75% = $717.65</w:t>
            </w:r>
          </w:p>
        </w:tc>
        <w:tc>
          <w:tcPr>
            <w:tcW w:w="1700" w:type="dxa"/>
          </w:tcPr>
          <w:p w14:paraId="5E5BF32F" w14:textId="77777777" w:rsidR="00E606ED" w:rsidRPr="009B0686" w:rsidRDefault="002D2A21" w:rsidP="009C10DD">
            <w:pPr>
              <w:pStyle w:val="051Tabletext228pt"/>
              <w:rPr>
                <w:sz w:val="18"/>
                <w:szCs w:val="18"/>
              </w:rPr>
            </w:pPr>
            <w:r w:rsidRPr="009B0686">
              <w:rPr>
                <w:sz w:val="18"/>
                <w:szCs w:val="18"/>
              </w:rPr>
              <w:t>TN.8.244</w:t>
            </w:r>
          </w:p>
          <w:p w14:paraId="152C6CAA" w14:textId="51760F92" w:rsidR="002D2A21" w:rsidRPr="009B0686" w:rsidRDefault="002D2A21" w:rsidP="009C10DD">
            <w:pPr>
              <w:pStyle w:val="051Tabletext228pt"/>
              <w:rPr>
                <w:sz w:val="18"/>
                <w:szCs w:val="18"/>
              </w:rPr>
            </w:pPr>
            <w:r w:rsidRPr="009B0686">
              <w:rPr>
                <w:i/>
                <w:iCs/>
                <w:sz w:val="18"/>
                <w:szCs w:val="18"/>
              </w:rPr>
              <w:t>(</w:t>
            </w:r>
            <w:r w:rsidRPr="009B0686">
              <w:rPr>
                <w:i/>
                <w:iCs/>
                <w:sz w:val="18"/>
                <w:szCs w:val="18"/>
              </w:rPr>
              <w:fldChar w:fldCharType="begin"/>
            </w:r>
            <w:r w:rsidRPr="009B0686">
              <w:rPr>
                <w:i/>
                <w:iCs/>
                <w:sz w:val="18"/>
                <w:szCs w:val="18"/>
              </w:rPr>
              <w:instrText xml:space="preserve"> REF _Ref134824509 \h  \* MERGEFORMAT </w:instrText>
            </w:r>
            <w:r w:rsidRPr="009B0686">
              <w:rPr>
                <w:i/>
                <w:iCs/>
                <w:sz w:val="18"/>
                <w:szCs w:val="18"/>
              </w:rPr>
            </w:r>
            <w:r w:rsidRPr="009B0686">
              <w:rPr>
                <w:i/>
                <w:iCs/>
                <w:sz w:val="18"/>
                <w:szCs w:val="18"/>
              </w:rPr>
              <w:fldChar w:fldCharType="separate"/>
            </w:r>
            <w:r w:rsidR="00CE6ACA" w:rsidRPr="00CE6ACA">
              <w:rPr>
                <w:i/>
                <w:iCs/>
                <w:sz w:val="18"/>
                <w:szCs w:val="18"/>
              </w:rPr>
              <w:t xml:space="preserve">Table App </w:t>
            </w:r>
            <w:r w:rsidR="00CE6ACA" w:rsidRPr="00CE6ACA">
              <w:rPr>
                <w:i/>
                <w:iCs/>
                <w:noProof/>
                <w:sz w:val="18"/>
                <w:szCs w:val="18"/>
              </w:rPr>
              <w:t>3</w:t>
            </w:r>
            <w:r w:rsidRPr="009B0686">
              <w:rPr>
                <w:i/>
                <w:iCs/>
                <w:sz w:val="18"/>
                <w:szCs w:val="18"/>
              </w:rPr>
              <w:fldChar w:fldCharType="end"/>
            </w:r>
            <w:r w:rsidRPr="009B0686">
              <w:rPr>
                <w:i/>
                <w:iCs/>
                <w:sz w:val="18"/>
                <w:szCs w:val="18"/>
              </w:rPr>
              <w:t>)</w:t>
            </w:r>
          </w:p>
        </w:tc>
      </w:tr>
    </w:tbl>
    <w:p w14:paraId="42FC2836" w14:textId="065B5331" w:rsidR="002D2A21" w:rsidRPr="002D2A21" w:rsidRDefault="002D2A21" w:rsidP="002D2A21">
      <w:pPr>
        <w:pStyle w:val="Caption"/>
        <w:rPr>
          <w:lang w:val="en-US"/>
        </w:rPr>
      </w:pPr>
      <w:bookmarkStart w:id="165" w:name="_Ref134824509"/>
      <w:r>
        <w:lastRenderedPageBreak/>
        <w:t xml:space="preserve">Table App </w:t>
      </w:r>
      <w:fldSimple w:instr=" SEQ Table_App \* ARABIC ">
        <w:r w:rsidR="00CE6ACA">
          <w:rPr>
            <w:noProof/>
          </w:rPr>
          <w:t>3</w:t>
        </w:r>
      </w:fldSimple>
      <w:bookmarkEnd w:id="165"/>
      <w:r>
        <w:tab/>
        <w:t xml:space="preserve">Explanatory Notes associated with MBS items in </w:t>
      </w:r>
      <w:r>
        <w:fldChar w:fldCharType="begin"/>
      </w:r>
      <w:r>
        <w:instrText xml:space="preserve"> REF _Ref134637420 \h </w:instrText>
      </w:r>
      <w:r>
        <w:fldChar w:fldCharType="separate"/>
      </w:r>
      <w:r w:rsidR="00CE6ACA">
        <w:t xml:space="preserve">Table App </w:t>
      </w:r>
      <w:r w:rsidR="00CE6ACA">
        <w:rPr>
          <w:noProof/>
        </w:rPr>
        <w:t>2</w:t>
      </w:r>
      <w:r>
        <w:fldChar w:fldCharType="end"/>
      </w:r>
    </w:p>
    <w:tbl>
      <w:tblPr>
        <w:tblStyle w:val="TableGrid"/>
        <w:tblW w:w="0" w:type="auto"/>
        <w:tblLook w:val="04A0" w:firstRow="1" w:lastRow="0" w:firstColumn="1" w:lastColumn="0" w:noHBand="0" w:noVBand="1"/>
        <w:tblCaption w:val="Explanatory Notes associated with MBS items in Table App 4"/>
        <w:tblDescription w:val="Table showing the descriptions for the associated Explanatory Notes in Table App 4."/>
      </w:tblPr>
      <w:tblGrid>
        <w:gridCol w:w="1560"/>
        <w:gridCol w:w="8078"/>
      </w:tblGrid>
      <w:tr w:rsidR="00D6171F" w:rsidRPr="00E606ED" w14:paraId="6ED89D90" w14:textId="77777777" w:rsidTr="00E606ED">
        <w:trPr>
          <w:cnfStyle w:val="100000000000" w:firstRow="1" w:lastRow="0" w:firstColumn="0" w:lastColumn="0" w:oddVBand="0" w:evenVBand="0" w:oddHBand="0" w:evenHBand="0" w:firstRowFirstColumn="0" w:firstRowLastColumn="0" w:lastRowFirstColumn="0" w:lastRowLastColumn="0"/>
        </w:trPr>
        <w:tc>
          <w:tcPr>
            <w:tcW w:w="1560" w:type="dxa"/>
          </w:tcPr>
          <w:p w14:paraId="3BD7A550" w14:textId="684EFB2B" w:rsidR="00D6171F" w:rsidRPr="00E606ED" w:rsidRDefault="00E606ED" w:rsidP="00D6171F">
            <w:pPr>
              <w:pStyle w:val="011TableHeading8pt"/>
              <w:rPr>
                <w:sz w:val="18"/>
                <w:szCs w:val="24"/>
              </w:rPr>
            </w:pPr>
            <w:r w:rsidRPr="00E606ED">
              <w:rPr>
                <w:sz w:val="18"/>
                <w:szCs w:val="24"/>
              </w:rPr>
              <w:t>Explanatory note</w:t>
            </w:r>
          </w:p>
        </w:tc>
        <w:tc>
          <w:tcPr>
            <w:tcW w:w="8078" w:type="dxa"/>
          </w:tcPr>
          <w:p w14:paraId="5AEDC62D" w14:textId="14A96F8D" w:rsidR="00D6171F" w:rsidRPr="00E606ED" w:rsidRDefault="00E606ED" w:rsidP="00D6171F">
            <w:pPr>
              <w:pStyle w:val="011TableHeading8pt"/>
              <w:rPr>
                <w:sz w:val="18"/>
                <w:szCs w:val="24"/>
              </w:rPr>
            </w:pPr>
            <w:r w:rsidRPr="00E606ED">
              <w:rPr>
                <w:sz w:val="18"/>
                <w:szCs w:val="24"/>
              </w:rPr>
              <w:t>Description</w:t>
            </w:r>
          </w:p>
        </w:tc>
      </w:tr>
      <w:tr w:rsidR="00D6171F" w:rsidRPr="00E606ED" w14:paraId="07D4D98C" w14:textId="77777777" w:rsidTr="00E606ED">
        <w:tc>
          <w:tcPr>
            <w:tcW w:w="1560" w:type="dxa"/>
          </w:tcPr>
          <w:p w14:paraId="072188C3" w14:textId="5C20ABBE" w:rsidR="00D6171F" w:rsidRPr="00E606ED" w:rsidRDefault="00E606ED" w:rsidP="00D6171F">
            <w:pPr>
              <w:pStyle w:val="051Tabletext228pt"/>
              <w:rPr>
                <w:sz w:val="18"/>
                <w:szCs w:val="24"/>
              </w:rPr>
            </w:pPr>
            <w:r w:rsidRPr="00E606ED">
              <w:rPr>
                <w:sz w:val="18"/>
                <w:szCs w:val="24"/>
              </w:rPr>
              <w:t>TN</w:t>
            </w:r>
            <w:r w:rsidR="00133F1B">
              <w:rPr>
                <w:sz w:val="18"/>
                <w:szCs w:val="24"/>
              </w:rPr>
              <w:t>.</w:t>
            </w:r>
            <w:r w:rsidRPr="00E606ED">
              <w:rPr>
                <w:sz w:val="18"/>
                <w:szCs w:val="24"/>
              </w:rPr>
              <w:t>8.241</w:t>
            </w:r>
          </w:p>
        </w:tc>
        <w:tc>
          <w:tcPr>
            <w:tcW w:w="8078" w:type="dxa"/>
          </w:tcPr>
          <w:p w14:paraId="2C886699" w14:textId="70AE245F" w:rsidR="00D6171F" w:rsidRPr="00E606ED" w:rsidRDefault="00E65375" w:rsidP="00D6171F">
            <w:pPr>
              <w:pStyle w:val="051Tabletext228pt"/>
              <w:rPr>
                <w:sz w:val="18"/>
                <w:szCs w:val="24"/>
              </w:rPr>
            </w:pPr>
            <w:r w:rsidRPr="00E65375">
              <w:rPr>
                <w:b/>
                <w:bCs/>
                <w:sz w:val="18"/>
                <w:szCs w:val="24"/>
              </w:rPr>
              <w:t>Placement of peripheral nerve leads for the management of chronic intractable neuropathic pain (Items 39129 and 39138)</w:t>
            </w:r>
            <w:r>
              <w:rPr>
                <w:sz w:val="18"/>
                <w:szCs w:val="24"/>
              </w:rPr>
              <w:br/>
            </w:r>
            <w:r w:rsidR="00E606ED" w:rsidRPr="00E606ED">
              <w:rPr>
                <w:sz w:val="18"/>
                <w:szCs w:val="24"/>
              </w:rPr>
              <w:t>Items 39129 and 39138 are for the insertion of leads that are intended to remain in situ long term. Percutaneous Electrical Nerve Stimulation (PENS) is not to be claimed under these items. The use of PENS for the management of chronic pain has not been assessed by the Medical Services Advisory Committee (MSAC) or recommended for public funding. Therefore, PENS procedures for management of chronic pain cannot be billed under the MBS, including items 39129 and 39138. Item 39138 is the appropriate item to claim when surgical lead placement is required for a trial procedure prior to longer term placement. Item 39129 is the appropriate item for the percutaneous placement of leads, including for trial procedures. Items 39129 and 39138 provide for the insertion of one or multiple leads. There is no intention to change current billing practices for these items, e.g. where more than one lead may be billed as part of an episode</w:t>
            </w:r>
          </w:p>
        </w:tc>
      </w:tr>
      <w:tr w:rsidR="00D6171F" w:rsidRPr="00E606ED" w14:paraId="717B01DC" w14:textId="77777777" w:rsidTr="00E606ED">
        <w:tc>
          <w:tcPr>
            <w:tcW w:w="1560" w:type="dxa"/>
          </w:tcPr>
          <w:p w14:paraId="0BAA7ACC" w14:textId="4178AA26" w:rsidR="00D6171F" w:rsidRPr="00E606ED" w:rsidRDefault="00E606ED" w:rsidP="00D6171F">
            <w:pPr>
              <w:pStyle w:val="051Tabletext228pt"/>
              <w:rPr>
                <w:sz w:val="18"/>
                <w:szCs w:val="24"/>
              </w:rPr>
            </w:pPr>
            <w:r w:rsidRPr="00E606ED">
              <w:rPr>
                <w:sz w:val="18"/>
                <w:szCs w:val="24"/>
              </w:rPr>
              <w:t>TN</w:t>
            </w:r>
            <w:r w:rsidR="00133F1B">
              <w:rPr>
                <w:sz w:val="18"/>
                <w:szCs w:val="24"/>
              </w:rPr>
              <w:t>.</w:t>
            </w:r>
            <w:r w:rsidRPr="00E606ED">
              <w:rPr>
                <w:sz w:val="18"/>
                <w:szCs w:val="24"/>
              </w:rPr>
              <w:t>8.244</w:t>
            </w:r>
          </w:p>
        </w:tc>
        <w:tc>
          <w:tcPr>
            <w:tcW w:w="8078" w:type="dxa"/>
          </w:tcPr>
          <w:p w14:paraId="3C184C9D" w14:textId="1EFC8EF2" w:rsidR="00E606ED" w:rsidRPr="00B034FC" w:rsidRDefault="00514142" w:rsidP="00D6171F">
            <w:pPr>
              <w:pStyle w:val="051Tabletext228pt"/>
              <w:rPr>
                <w:sz w:val="18"/>
                <w:szCs w:val="18"/>
              </w:rPr>
            </w:pPr>
            <w:r w:rsidRPr="00514142">
              <w:rPr>
                <w:b/>
                <w:bCs/>
                <w:sz w:val="18"/>
                <w:szCs w:val="18"/>
              </w:rPr>
              <w:t>Implanted device items</w:t>
            </w:r>
            <w:r>
              <w:rPr>
                <w:sz w:val="18"/>
                <w:szCs w:val="18"/>
              </w:rPr>
              <w:br/>
            </w:r>
            <w:r w:rsidR="00E606ED" w:rsidRPr="00B034FC">
              <w:rPr>
                <w:sz w:val="18"/>
                <w:szCs w:val="18"/>
              </w:rPr>
              <w:t>As with all interventions, implant procedures should be performed in the context of clinical best practice. This is of particular importance given the high cost of the devices. Current clinical best practice for use of these item numbers includes:</w:t>
            </w:r>
          </w:p>
          <w:p w14:paraId="2E4D9332" w14:textId="77777777" w:rsidR="00E606ED" w:rsidRPr="00B034FC" w:rsidRDefault="00E606ED" w:rsidP="00E606ED">
            <w:pPr>
              <w:pStyle w:val="071Tablebullet8pt"/>
              <w:rPr>
                <w:sz w:val="18"/>
                <w:szCs w:val="18"/>
              </w:rPr>
            </w:pPr>
            <w:r w:rsidRPr="00B034FC">
              <w:rPr>
                <w:sz w:val="18"/>
                <w:szCs w:val="18"/>
              </w:rPr>
              <w:t>All procedures being performed in the context of a comprehensive pain management approach with a multidisciplinary team</w:t>
            </w:r>
          </w:p>
          <w:p w14:paraId="0F7CA526" w14:textId="77777777" w:rsidR="00E606ED" w:rsidRPr="00B034FC" w:rsidRDefault="00E606ED" w:rsidP="00E606ED">
            <w:pPr>
              <w:pStyle w:val="071Tablebullet8pt"/>
              <w:rPr>
                <w:sz w:val="18"/>
                <w:szCs w:val="18"/>
              </w:rPr>
            </w:pPr>
            <w:r w:rsidRPr="00B034FC">
              <w:rPr>
                <w:sz w:val="18"/>
                <w:szCs w:val="18"/>
              </w:rPr>
              <w:t>Patients should be appropriately selected for the procedure, including, but not limited to assessment of physical and psychological function prior to implantation with findings documented in the medical record.</w:t>
            </w:r>
          </w:p>
          <w:p w14:paraId="4589179E" w14:textId="70BEF67B" w:rsidR="00E606ED" w:rsidRPr="00B034FC" w:rsidRDefault="00E606ED" w:rsidP="00E606ED">
            <w:pPr>
              <w:pStyle w:val="071Tablebullet8pt"/>
              <w:rPr>
                <w:sz w:val="18"/>
                <w:szCs w:val="18"/>
              </w:rPr>
            </w:pPr>
            <w:r w:rsidRPr="00B034FC">
              <w:rPr>
                <w:sz w:val="18"/>
                <w:szCs w:val="18"/>
              </w:rPr>
              <w:t>Outcome evaluation pre and post implantation</w:t>
            </w:r>
            <w:r w:rsidR="00A9072D" w:rsidRPr="00B034FC">
              <w:rPr>
                <w:sz w:val="18"/>
                <w:szCs w:val="18"/>
              </w:rPr>
              <w:t>.</w:t>
            </w:r>
          </w:p>
          <w:p w14:paraId="1E772802" w14:textId="7EA27633" w:rsidR="00B034FC" w:rsidRPr="00B034FC" w:rsidRDefault="00E606ED" w:rsidP="00E606ED">
            <w:pPr>
              <w:pStyle w:val="071Tablebullet8pt"/>
              <w:rPr>
                <w:sz w:val="18"/>
                <w:szCs w:val="18"/>
              </w:rPr>
            </w:pPr>
            <w:r w:rsidRPr="00B034FC">
              <w:rPr>
                <w:sz w:val="18"/>
                <w:szCs w:val="18"/>
              </w:rPr>
              <w:t>Appropriate follow</w:t>
            </w:r>
            <w:r w:rsidR="006541C2">
              <w:rPr>
                <w:sz w:val="18"/>
                <w:szCs w:val="18"/>
              </w:rPr>
              <w:t>-</w:t>
            </w:r>
            <w:r w:rsidRPr="00B034FC">
              <w:rPr>
                <w:sz w:val="18"/>
                <w:szCs w:val="18"/>
              </w:rPr>
              <w:t xml:space="preserve">up and ongoing management of implanted medical devices should be ensured. </w:t>
            </w:r>
          </w:p>
          <w:p w14:paraId="26359AA9" w14:textId="1A6220E1" w:rsidR="00D6171F" w:rsidRPr="00B034FC" w:rsidRDefault="00E606ED" w:rsidP="00B034FC">
            <w:pPr>
              <w:pStyle w:val="051Tabletext2210pt"/>
              <w:rPr>
                <w:sz w:val="18"/>
                <w:szCs w:val="18"/>
              </w:rPr>
            </w:pPr>
            <w:r w:rsidRPr="00B034FC">
              <w:rPr>
                <w:sz w:val="18"/>
                <w:szCs w:val="18"/>
              </w:rPr>
              <w:t>Implantable devices require ongoing monitoring and management. If the person providing the implantation service is not the ongoing physician manager of the device, they are responsible for ensuring that appropriate ongoing management has been arranged. Items 39130 and 39139 provide for the insertion of one or multiple leads. There is no intention to change current billing practices for these items, e.g. where more than one lead may be billed as part of an episode</w:t>
            </w:r>
            <w:r w:rsidR="007A794A">
              <w:rPr>
                <w:sz w:val="18"/>
                <w:szCs w:val="18"/>
              </w:rPr>
              <w:t xml:space="preserve">. </w:t>
            </w:r>
            <w:r w:rsidR="007A794A" w:rsidRPr="007A794A">
              <w:rPr>
                <w:sz w:val="18"/>
                <w:szCs w:val="18"/>
              </w:rPr>
              <w:t>Item 39133 can be billed twice per attendance where services are separate procedures. Accompanying text is required for these claims such as one item is for the removal of an infusion pump and one item is for the removal or repositioning of a spinal catheter.</w:t>
            </w:r>
          </w:p>
        </w:tc>
      </w:tr>
    </w:tbl>
    <w:p w14:paraId="5A90D364" w14:textId="3205F8CC" w:rsidR="00222624" w:rsidRPr="00E27C0F" w:rsidRDefault="00D773AF" w:rsidP="00182437">
      <w:pPr>
        <w:pStyle w:val="111Tablefootnoteslast-nostick8pt"/>
      </w:pPr>
      <w:r w:rsidRPr="00E27C0F">
        <w:t>Note: TN 8.4 relates to aftercare (post-operative treatment) and is not shown</w:t>
      </w:r>
    </w:p>
    <w:p w14:paraId="47F81A3B" w14:textId="43F06B9B" w:rsidR="00831757" w:rsidRDefault="00831757" w:rsidP="00831757">
      <w:pPr>
        <w:pStyle w:val="Heading7"/>
      </w:pPr>
      <w:bookmarkStart w:id="166" w:name="_Ref134350936"/>
      <w:bookmarkStart w:id="167" w:name="_Toc165634699"/>
      <w:r>
        <w:lastRenderedPageBreak/>
        <w:t>Methodolog</w:t>
      </w:r>
      <w:r w:rsidR="001D268A">
        <w:t>y</w:t>
      </w:r>
      <w:bookmarkEnd w:id="166"/>
      <w:bookmarkEnd w:id="167"/>
    </w:p>
    <w:p w14:paraId="521C36C3" w14:textId="3B3A246D" w:rsidR="00831757" w:rsidRDefault="001D268A" w:rsidP="00831757">
      <w:pPr>
        <w:pStyle w:val="Heading8"/>
      </w:pPr>
      <w:bookmarkStart w:id="168" w:name="_Toc165634700"/>
      <w:r>
        <w:t xml:space="preserve">Comparative </w:t>
      </w:r>
      <w:r w:rsidR="00FF5033">
        <w:t>clinical effectiveness</w:t>
      </w:r>
      <w:bookmarkEnd w:id="168"/>
    </w:p>
    <w:p w14:paraId="6CFC4F60" w14:textId="5BC2814E" w:rsidR="000119C6" w:rsidRPr="000119C6" w:rsidRDefault="000119C6" w:rsidP="000119C6">
      <w:pPr>
        <w:pStyle w:val="Heading9"/>
      </w:pPr>
      <w:bookmarkStart w:id="169" w:name="_Ref134615601"/>
      <w:r>
        <w:t>Targeted e</w:t>
      </w:r>
      <w:r w:rsidR="00F10917">
        <w:t>vidence scan</w:t>
      </w:r>
      <w:bookmarkEnd w:id="169"/>
    </w:p>
    <w:p w14:paraId="10622737" w14:textId="42419C5C" w:rsidR="00CF4F89" w:rsidRDefault="001D268A">
      <w:pPr>
        <w:pStyle w:val="BodyText"/>
      </w:pPr>
      <w:r>
        <w:t xml:space="preserve">A rapid search of peer-reviewed scientific literature and grey literature was conducted to supplement documents provided by </w:t>
      </w:r>
      <w:proofErr w:type="spellStart"/>
      <w:r>
        <w:t>DoHA</w:t>
      </w:r>
      <w:r w:rsidR="00776513">
        <w:t>C</w:t>
      </w:r>
      <w:proofErr w:type="spellEnd"/>
      <w:r>
        <w:t>, sponsors</w:t>
      </w:r>
      <w:r w:rsidR="00776513">
        <w:t>,</w:t>
      </w:r>
      <w:r>
        <w:t xml:space="preserve"> and stakeholders. </w:t>
      </w:r>
      <w:r w:rsidR="00266F65">
        <w:t>A pragmatic approach was taken with a focus on</w:t>
      </w:r>
      <w:r w:rsidR="00C01D59">
        <w:t xml:space="preserve"> </w:t>
      </w:r>
      <w:r w:rsidR="00767D30">
        <w:t>identifying the most comprehensive</w:t>
      </w:r>
      <w:r w:rsidR="00627D09">
        <w:t xml:space="preserve">, </w:t>
      </w:r>
      <w:r w:rsidR="00ED3486">
        <w:t>high</w:t>
      </w:r>
      <w:r w:rsidR="00462B0A">
        <w:t xml:space="preserve"> </w:t>
      </w:r>
      <w:r w:rsidR="00ED3486">
        <w:t>quality,</w:t>
      </w:r>
      <w:r w:rsidR="00627D09">
        <w:t xml:space="preserve"> and recent </w:t>
      </w:r>
      <w:r w:rsidR="005C05BD">
        <w:t>SRs</w:t>
      </w:r>
      <w:r w:rsidR="00627D09">
        <w:t xml:space="preserve"> </w:t>
      </w:r>
      <w:r w:rsidR="00751799">
        <w:t>that</w:t>
      </w:r>
      <w:r w:rsidR="00627D09">
        <w:t xml:space="preserve"> addressed the study question</w:t>
      </w:r>
      <w:r w:rsidR="00CF4F89">
        <w:t>, and supplementing this with additional studies</w:t>
      </w:r>
      <w:r w:rsidR="003C41C8">
        <w:t xml:space="preserve"> if</w:t>
      </w:r>
      <w:r w:rsidR="00CF4F89">
        <w:t xml:space="preserve"> necessary. </w:t>
      </w:r>
      <w:r w:rsidR="00A3047E">
        <w:t>Details of the search strategy are provided in</w:t>
      </w:r>
      <w:r w:rsidR="00A2100B">
        <w:t xml:space="preserve"> Section </w:t>
      </w:r>
      <w:r w:rsidR="00400E85">
        <w:fldChar w:fldCharType="begin"/>
      </w:r>
      <w:r w:rsidR="00400E85">
        <w:instrText xml:space="preserve"> REF _Ref134454792 \n \h </w:instrText>
      </w:r>
      <w:r w:rsidR="00400E85">
        <w:fldChar w:fldCharType="separate"/>
      </w:r>
      <w:r w:rsidR="00CE6ACA">
        <w:t>3.1</w:t>
      </w:r>
      <w:r w:rsidR="00400E85">
        <w:fldChar w:fldCharType="end"/>
      </w:r>
      <w:r w:rsidR="00A3047E">
        <w:t>.</w:t>
      </w:r>
    </w:p>
    <w:p w14:paraId="5F44DCCF" w14:textId="19FE8AE6" w:rsidR="0038157B" w:rsidRDefault="00B13FD9" w:rsidP="00B13FD9">
      <w:pPr>
        <w:pStyle w:val="Caption"/>
      </w:pPr>
      <w:r>
        <w:t xml:space="preserve">Table App </w:t>
      </w:r>
      <w:fldSimple w:instr=" SEQ Table_App \* ARABIC ">
        <w:r w:rsidR="00CE6ACA">
          <w:rPr>
            <w:noProof/>
          </w:rPr>
          <w:t>4</w:t>
        </w:r>
      </w:fldSimple>
      <w:r w:rsidR="0038157B">
        <w:tab/>
        <w:t>Search strategy to identify evidence on SCS</w:t>
      </w:r>
    </w:p>
    <w:tbl>
      <w:tblPr>
        <w:tblStyle w:val="TableGrid"/>
        <w:tblW w:w="0" w:type="auto"/>
        <w:tblLook w:val="04A0" w:firstRow="1" w:lastRow="0" w:firstColumn="1" w:lastColumn="0" w:noHBand="0" w:noVBand="1"/>
        <w:tblCaption w:val="Search strategy to identify evidence on SCS"/>
        <w:tblDescription w:val="Table showing the electronic databases, HTA websites and clinical trial registries searched to identify evidence on SCS. The data limits and search terms for the searches have also been included in the table."/>
      </w:tblPr>
      <w:tblGrid>
        <w:gridCol w:w="1701"/>
        <w:gridCol w:w="4962"/>
        <w:gridCol w:w="1134"/>
        <w:gridCol w:w="1841"/>
      </w:tblGrid>
      <w:tr w:rsidR="00BD4031" w14:paraId="0B59AEAB" w14:textId="77777777" w:rsidTr="005F6722">
        <w:trPr>
          <w:cnfStyle w:val="100000000000" w:firstRow="1" w:lastRow="0" w:firstColumn="0" w:lastColumn="0" w:oddVBand="0" w:evenVBand="0" w:oddHBand="0" w:evenHBand="0" w:firstRowFirstColumn="0" w:firstRowLastColumn="0" w:lastRowFirstColumn="0" w:lastRowLastColumn="0"/>
        </w:trPr>
        <w:tc>
          <w:tcPr>
            <w:tcW w:w="1701" w:type="dxa"/>
          </w:tcPr>
          <w:p w14:paraId="42A6B674" w14:textId="40465D02" w:rsidR="00BD4031" w:rsidRDefault="00BD4031" w:rsidP="00BD4031">
            <w:pPr>
              <w:pStyle w:val="011TableHeading8pt"/>
            </w:pPr>
            <w:r>
              <w:t>Source of information</w:t>
            </w:r>
          </w:p>
        </w:tc>
        <w:tc>
          <w:tcPr>
            <w:tcW w:w="4962" w:type="dxa"/>
          </w:tcPr>
          <w:p w14:paraId="10B26931" w14:textId="0094CD27" w:rsidR="00BD4031" w:rsidRDefault="00BD4031" w:rsidP="00BD4031">
            <w:pPr>
              <w:pStyle w:val="011TableHeading8pt"/>
            </w:pPr>
            <w:r>
              <w:t>Database/website</w:t>
            </w:r>
          </w:p>
        </w:tc>
        <w:tc>
          <w:tcPr>
            <w:tcW w:w="1134" w:type="dxa"/>
          </w:tcPr>
          <w:p w14:paraId="277A499B" w14:textId="6E0C942D" w:rsidR="00BD4031" w:rsidRDefault="00BD4031" w:rsidP="00BD4031">
            <w:pPr>
              <w:pStyle w:val="011TableHeading8pt"/>
            </w:pPr>
            <w:r>
              <w:t>Data limit</w:t>
            </w:r>
          </w:p>
        </w:tc>
        <w:tc>
          <w:tcPr>
            <w:tcW w:w="1841" w:type="dxa"/>
          </w:tcPr>
          <w:p w14:paraId="196679C1" w14:textId="51A5C225" w:rsidR="00BD4031" w:rsidRDefault="00BD4031" w:rsidP="00BD4031">
            <w:pPr>
              <w:pStyle w:val="011TableHeading8pt"/>
            </w:pPr>
            <w:r>
              <w:t>Search terms</w:t>
            </w:r>
          </w:p>
        </w:tc>
      </w:tr>
      <w:tr w:rsidR="00BD4031" w14:paraId="690E5C3D" w14:textId="77777777" w:rsidTr="006E3B86">
        <w:tc>
          <w:tcPr>
            <w:tcW w:w="1701" w:type="dxa"/>
            <w:tcBorders>
              <w:bottom w:val="nil"/>
            </w:tcBorders>
          </w:tcPr>
          <w:p w14:paraId="0A8E8987" w14:textId="686B6A52" w:rsidR="00BD4031" w:rsidRDefault="00BD4031" w:rsidP="00BD4031">
            <w:pPr>
              <w:pStyle w:val="051Tabletext228pt"/>
            </w:pPr>
            <w:r>
              <w:t>Electronic databases</w:t>
            </w:r>
          </w:p>
        </w:tc>
        <w:tc>
          <w:tcPr>
            <w:tcW w:w="4962" w:type="dxa"/>
            <w:tcBorders>
              <w:bottom w:val="dotted" w:sz="4" w:space="0" w:color="auto"/>
            </w:tcBorders>
          </w:tcPr>
          <w:p w14:paraId="193EA463" w14:textId="5DBC3160" w:rsidR="00BD4031" w:rsidRDefault="00BD4031" w:rsidP="00BD4031">
            <w:pPr>
              <w:pStyle w:val="051Tabletext228pt"/>
            </w:pPr>
            <w:proofErr w:type="spellStart"/>
            <w:r w:rsidRPr="00BD4031">
              <w:t>Epistemonikos</w:t>
            </w:r>
            <w:proofErr w:type="spellEnd"/>
            <w:r w:rsidRPr="00BD4031">
              <w:t xml:space="preserve"> </w:t>
            </w:r>
            <w:r w:rsidR="00970F4A">
              <w:t>(</w:t>
            </w:r>
            <w:r w:rsidRPr="00BD4031">
              <w:t>https://www.epistemonikos.org</w:t>
            </w:r>
            <w:r w:rsidR="00970F4A">
              <w:t>)</w:t>
            </w:r>
          </w:p>
        </w:tc>
        <w:tc>
          <w:tcPr>
            <w:tcW w:w="1134" w:type="dxa"/>
            <w:tcBorders>
              <w:bottom w:val="nil"/>
            </w:tcBorders>
          </w:tcPr>
          <w:p w14:paraId="1335211D" w14:textId="02B4F012" w:rsidR="00BD4031" w:rsidRDefault="006E3B86" w:rsidP="00BD4031">
            <w:pPr>
              <w:pStyle w:val="051Tabletext228pt"/>
            </w:pPr>
            <w:r>
              <w:t>2018-present</w:t>
            </w:r>
          </w:p>
        </w:tc>
        <w:tc>
          <w:tcPr>
            <w:tcW w:w="1841" w:type="dxa"/>
            <w:tcBorders>
              <w:bottom w:val="nil"/>
            </w:tcBorders>
          </w:tcPr>
          <w:p w14:paraId="78442362" w14:textId="4861AF64" w:rsidR="00BD4031" w:rsidRDefault="004B5101" w:rsidP="00BD4031">
            <w:pPr>
              <w:pStyle w:val="051Tabletext228pt"/>
            </w:pPr>
            <w:r>
              <w:t>Spinal cord stimulation</w:t>
            </w:r>
          </w:p>
        </w:tc>
      </w:tr>
      <w:tr w:rsidR="00BD4031" w14:paraId="0E261E85" w14:textId="77777777" w:rsidTr="006E3B86">
        <w:tc>
          <w:tcPr>
            <w:tcW w:w="1701" w:type="dxa"/>
            <w:tcBorders>
              <w:top w:val="nil"/>
            </w:tcBorders>
          </w:tcPr>
          <w:p w14:paraId="66F570E4" w14:textId="77777777" w:rsidR="00BD4031" w:rsidRDefault="00BD4031" w:rsidP="00BD4031">
            <w:pPr>
              <w:pStyle w:val="051Tabletext228pt"/>
            </w:pPr>
          </w:p>
        </w:tc>
        <w:tc>
          <w:tcPr>
            <w:tcW w:w="4962" w:type="dxa"/>
            <w:tcBorders>
              <w:top w:val="dotted" w:sz="4" w:space="0" w:color="auto"/>
              <w:bottom w:val="single" w:sz="4" w:space="0" w:color="auto"/>
            </w:tcBorders>
          </w:tcPr>
          <w:p w14:paraId="70F8C7C5" w14:textId="3EFA8352" w:rsidR="00BD4031" w:rsidRDefault="00970F4A" w:rsidP="00BD4031">
            <w:pPr>
              <w:pStyle w:val="051Tabletext228pt"/>
            </w:pPr>
            <w:r w:rsidRPr="00970F4A">
              <w:t>Cochrane library (Cochrane Database of Systematic Reviews; Cochrane Central Register of Controlled Trials)</w:t>
            </w:r>
          </w:p>
        </w:tc>
        <w:tc>
          <w:tcPr>
            <w:tcW w:w="1134" w:type="dxa"/>
            <w:tcBorders>
              <w:top w:val="nil"/>
              <w:bottom w:val="single" w:sz="4" w:space="0" w:color="auto"/>
            </w:tcBorders>
          </w:tcPr>
          <w:p w14:paraId="1314D4D1" w14:textId="4FF8467C" w:rsidR="00BD4031" w:rsidRDefault="00BD4031" w:rsidP="00BD4031">
            <w:pPr>
              <w:pStyle w:val="051Tabletext228pt"/>
            </w:pPr>
          </w:p>
        </w:tc>
        <w:tc>
          <w:tcPr>
            <w:tcW w:w="1841" w:type="dxa"/>
            <w:tcBorders>
              <w:top w:val="nil"/>
              <w:bottom w:val="single" w:sz="4" w:space="0" w:color="auto"/>
            </w:tcBorders>
          </w:tcPr>
          <w:p w14:paraId="21352055" w14:textId="1E65316F" w:rsidR="00BD4031" w:rsidRDefault="004B5101" w:rsidP="00BD4031">
            <w:pPr>
              <w:pStyle w:val="051Tabletext228pt"/>
            </w:pPr>
            <w:r>
              <w:t>Spinal cord stimulator</w:t>
            </w:r>
          </w:p>
        </w:tc>
      </w:tr>
      <w:tr w:rsidR="005F6722" w14:paraId="16F83271" w14:textId="77777777" w:rsidTr="00DE774B">
        <w:tc>
          <w:tcPr>
            <w:tcW w:w="1701" w:type="dxa"/>
            <w:tcBorders>
              <w:bottom w:val="dotted" w:sz="4" w:space="0" w:color="auto"/>
            </w:tcBorders>
          </w:tcPr>
          <w:p w14:paraId="676D8C49" w14:textId="3EC902B9" w:rsidR="005F6722" w:rsidRDefault="005F6722" w:rsidP="005F6722">
            <w:pPr>
              <w:pStyle w:val="051Tabletext228pt"/>
            </w:pPr>
            <w:r>
              <w:t>HTA websites</w:t>
            </w:r>
          </w:p>
        </w:tc>
        <w:tc>
          <w:tcPr>
            <w:tcW w:w="4962" w:type="dxa"/>
            <w:tcBorders>
              <w:bottom w:val="dotted" w:sz="4" w:space="0" w:color="auto"/>
            </w:tcBorders>
          </w:tcPr>
          <w:p w14:paraId="70ABC0A8" w14:textId="18625B56" w:rsidR="005F6722" w:rsidRDefault="005F6722" w:rsidP="005F6722">
            <w:pPr>
              <w:pStyle w:val="051Tabletext228pt"/>
            </w:pPr>
            <w:r w:rsidRPr="008D4200">
              <w:t>International Network of Agencies for Health Technology Assessment </w:t>
            </w:r>
          </w:p>
        </w:tc>
        <w:tc>
          <w:tcPr>
            <w:tcW w:w="1134" w:type="dxa"/>
            <w:tcBorders>
              <w:top w:val="single" w:sz="4" w:space="0" w:color="auto"/>
              <w:bottom w:val="nil"/>
            </w:tcBorders>
          </w:tcPr>
          <w:p w14:paraId="080ADBB4" w14:textId="7A84BA81" w:rsidR="005F6722" w:rsidRDefault="005F6722" w:rsidP="005F6722">
            <w:pPr>
              <w:pStyle w:val="051Tabletext228pt"/>
            </w:pPr>
            <w:r>
              <w:t>No limit</w:t>
            </w:r>
          </w:p>
        </w:tc>
        <w:tc>
          <w:tcPr>
            <w:tcW w:w="1841" w:type="dxa"/>
            <w:tcBorders>
              <w:top w:val="single" w:sz="4" w:space="0" w:color="auto"/>
              <w:bottom w:val="nil"/>
            </w:tcBorders>
          </w:tcPr>
          <w:p w14:paraId="239B46CF" w14:textId="5E864C32" w:rsidR="005F6722" w:rsidRDefault="005F6722" w:rsidP="005F6722">
            <w:pPr>
              <w:pStyle w:val="051Tabletext228pt"/>
            </w:pPr>
            <w:r w:rsidRPr="00EF72E6">
              <w:t xml:space="preserve">Spinal </w:t>
            </w:r>
            <w:r w:rsidR="00773FE5" w:rsidRPr="00EF72E6">
              <w:t>cord stimulation</w:t>
            </w:r>
          </w:p>
        </w:tc>
      </w:tr>
      <w:tr w:rsidR="005F6722" w14:paraId="7ACEB758" w14:textId="77777777" w:rsidTr="00DE774B">
        <w:tc>
          <w:tcPr>
            <w:tcW w:w="1701" w:type="dxa"/>
            <w:tcBorders>
              <w:top w:val="dotted" w:sz="4" w:space="0" w:color="auto"/>
              <w:bottom w:val="nil"/>
            </w:tcBorders>
          </w:tcPr>
          <w:p w14:paraId="4AB3D837" w14:textId="07B3FB0E" w:rsidR="005F6722" w:rsidRPr="00913646" w:rsidRDefault="00913646" w:rsidP="00913646">
            <w:pPr>
              <w:pStyle w:val="051Tabletext228pt"/>
              <w:jc w:val="right"/>
              <w:rPr>
                <w:i/>
                <w:iCs/>
              </w:rPr>
            </w:pPr>
            <w:r>
              <w:rPr>
                <w:i/>
                <w:iCs/>
              </w:rPr>
              <w:t>Australia</w:t>
            </w:r>
          </w:p>
        </w:tc>
        <w:tc>
          <w:tcPr>
            <w:tcW w:w="4962" w:type="dxa"/>
            <w:tcBorders>
              <w:top w:val="dotted" w:sz="4" w:space="0" w:color="auto"/>
              <w:bottom w:val="dotted" w:sz="4" w:space="0" w:color="auto"/>
            </w:tcBorders>
          </w:tcPr>
          <w:p w14:paraId="707A948A" w14:textId="1056AB6A" w:rsidR="005F6722" w:rsidRDefault="005F6722" w:rsidP="005F6722">
            <w:pPr>
              <w:pStyle w:val="051Tabletext228pt"/>
            </w:pPr>
            <w:r w:rsidRPr="008D4200">
              <w:t>Centre for Clinical Effectiveness, Monash University  </w:t>
            </w:r>
          </w:p>
        </w:tc>
        <w:tc>
          <w:tcPr>
            <w:tcW w:w="1134" w:type="dxa"/>
            <w:tcBorders>
              <w:top w:val="nil"/>
              <w:bottom w:val="nil"/>
            </w:tcBorders>
          </w:tcPr>
          <w:p w14:paraId="29A154D1" w14:textId="77777777" w:rsidR="005F6722" w:rsidRDefault="005F6722" w:rsidP="005F6722">
            <w:pPr>
              <w:pStyle w:val="051Tabletext228pt"/>
            </w:pPr>
          </w:p>
        </w:tc>
        <w:tc>
          <w:tcPr>
            <w:tcW w:w="1841" w:type="dxa"/>
            <w:tcBorders>
              <w:top w:val="nil"/>
              <w:bottom w:val="nil"/>
            </w:tcBorders>
          </w:tcPr>
          <w:p w14:paraId="2D3F91F2" w14:textId="7898D667" w:rsidR="005F6722" w:rsidRDefault="005F6722" w:rsidP="005F6722">
            <w:pPr>
              <w:pStyle w:val="051Tabletext228pt"/>
            </w:pPr>
            <w:r w:rsidRPr="00EF72E6">
              <w:t xml:space="preserve">Spinal </w:t>
            </w:r>
            <w:r w:rsidR="00773FE5" w:rsidRPr="00EF72E6">
              <w:t>cord stimulator</w:t>
            </w:r>
          </w:p>
        </w:tc>
      </w:tr>
      <w:tr w:rsidR="005F6722" w14:paraId="7FB8051D" w14:textId="77777777" w:rsidTr="00E4194F">
        <w:tc>
          <w:tcPr>
            <w:tcW w:w="1701" w:type="dxa"/>
            <w:tcBorders>
              <w:top w:val="nil"/>
              <w:bottom w:val="dotted" w:sz="4" w:space="0" w:color="auto"/>
            </w:tcBorders>
          </w:tcPr>
          <w:p w14:paraId="675CA147" w14:textId="77777777" w:rsidR="005F6722" w:rsidRDefault="005F6722" w:rsidP="005F6722">
            <w:pPr>
              <w:pStyle w:val="051Tabletext228pt"/>
            </w:pPr>
          </w:p>
        </w:tc>
        <w:tc>
          <w:tcPr>
            <w:tcW w:w="4962" w:type="dxa"/>
            <w:tcBorders>
              <w:top w:val="dotted" w:sz="4" w:space="0" w:color="auto"/>
              <w:bottom w:val="dotted" w:sz="4" w:space="0" w:color="auto"/>
            </w:tcBorders>
          </w:tcPr>
          <w:p w14:paraId="67A419CD" w14:textId="67FACBAF" w:rsidR="005F6722" w:rsidRDefault="005F6722" w:rsidP="005F6722">
            <w:pPr>
              <w:pStyle w:val="051Tabletext228pt"/>
            </w:pPr>
            <w:r w:rsidRPr="008D4200">
              <w:t>Centre for Health Economics, Monash University  </w:t>
            </w:r>
          </w:p>
        </w:tc>
        <w:tc>
          <w:tcPr>
            <w:tcW w:w="1134" w:type="dxa"/>
            <w:tcBorders>
              <w:top w:val="nil"/>
              <w:bottom w:val="nil"/>
            </w:tcBorders>
          </w:tcPr>
          <w:p w14:paraId="1D7EB4BA" w14:textId="77777777" w:rsidR="005F6722" w:rsidRDefault="005F6722" w:rsidP="005F6722">
            <w:pPr>
              <w:pStyle w:val="051Tabletext228pt"/>
            </w:pPr>
          </w:p>
        </w:tc>
        <w:tc>
          <w:tcPr>
            <w:tcW w:w="1841" w:type="dxa"/>
            <w:tcBorders>
              <w:top w:val="nil"/>
              <w:bottom w:val="nil"/>
            </w:tcBorders>
          </w:tcPr>
          <w:p w14:paraId="20E80296" w14:textId="50C2F52C" w:rsidR="005F6722" w:rsidRDefault="005F6722" w:rsidP="005F6722">
            <w:pPr>
              <w:pStyle w:val="051Tabletext228pt"/>
            </w:pPr>
            <w:r w:rsidRPr="00EF72E6">
              <w:t>SCS</w:t>
            </w:r>
          </w:p>
        </w:tc>
      </w:tr>
      <w:tr w:rsidR="005F6722" w14:paraId="5237D068" w14:textId="77777777" w:rsidTr="00E4194F">
        <w:tc>
          <w:tcPr>
            <w:tcW w:w="1701" w:type="dxa"/>
            <w:tcBorders>
              <w:top w:val="dotted" w:sz="4" w:space="0" w:color="auto"/>
              <w:bottom w:val="nil"/>
            </w:tcBorders>
          </w:tcPr>
          <w:p w14:paraId="51A91475" w14:textId="667BB2D0" w:rsidR="005F6722" w:rsidRPr="00D94478" w:rsidRDefault="00D94478" w:rsidP="00D94478">
            <w:pPr>
              <w:pStyle w:val="051Tabletext228pt"/>
              <w:jc w:val="right"/>
              <w:rPr>
                <w:i/>
                <w:iCs/>
              </w:rPr>
            </w:pPr>
            <w:r>
              <w:rPr>
                <w:i/>
                <w:iCs/>
              </w:rPr>
              <w:t>Canada</w:t>
            </w:r>
          </w:p>
        </w:tc>
        <w:tc>
          <w:tcPr>
            <w:tcW w:w="4962" w:type="dxa"/>
            <w:tcBorders>
              <w:top w:val="dotted" w:sz="4" w:space="0" w:color="auto"/>
              <w:bottom w:val="dotted" w:sz="4" w:space="0" w:color="auto"/>
            </w:tcBorders>
          </w:tcPr>
          <w:p w14:paraId="5E82AE22" w14:textId="1B64F209" w:rsidR="005F6722" w:rsidRDefault="005F6722" w:rsidP="005F6722">
            <w:pPr>
              <w:pStyle w:val="051Tabletext228pt"/>
            </w:pPr>
            <w:r w:rsidRPr="008D4200">
              <w:t>Alberta Heritage Foundation for Medical Research (AHFMR)  </w:t>
            </w:r>
          </w:p>
        </w:tc>
        <w:tc>
          <w:tcPr>
            <w:tcW w:w="1134" w:type="dxa"/>
            <w:tcBorders>
              <w:top w:val="nil"/>
              <w:bottom w:val="nil"/>
            </w:tcBorders>
          </w:tcPr>
          <w:p w14:paraId="565F4231" w14:textId="77777777" w:rsidR="005F6722" w:rsidRDefault="005F6722" w:rsidP="005F6722">
            <w:pPr>
              <w:pStyle w:val="051Tabletext228pt"/>
            </w:pPr>
          </w:p>
        </w:tc>
        <w:tc>
          <w:tcPr>
            <w:tcW w:w="1841" w:type="dxa"/>
            <w:tcBorders>
              <w:top w:val="nil"/>
              <w:bottom w:val="nil"/>
            </w:tcBorders>
          </w:tcPr>
          <w:p w14:paraId="1F7B2499" w14:textId="6244773E" w:rsidR="005F6722" w:rsidRDefault="005F6722" w:rsidP="005F6722">
            <w:pPr>
              <w:pStyle w:val="051Tabletext228pt"/>
            </w:pPr>
            <w:r w:rsidRPr="00EF72E6">
              <w:t>Neurostimulator</w:t>
            </w:r>
          </w:p>
        </w:tc>
      </w:tr>
      <w:tr w:rsidR="005F6722" w14:paraId="7CE4FCBD" w14:textId="77777777" w:rsidTr="00AB236F">
        <w:tc>
          <w:tcPr>
            <w:tcW w:w="1701" w:type="dxa"/>
            <w:tcBorders>
              <w:top w:val="nil"/>
              <w:bottom w:val="nil"/>
            </w:tcBorders>
          </w:tcPr>
          <w:p w14:paraId="424302EB" w14:textId="77777777" w:rsidR="005F6722" w:rsidRDefault="005F6722" w:rsidP="005F6722">
            <w:pPr>
              <w:pStyle w:val="051Tabletext228pt"/>
            </w:pPr>
          </w:p>
        </w:tc>
        <w:tc>
          <w:tcPr>
            <w:tcW w:w="4962" w:type="dxa"/>
            <w:tcBorders>
              <w:top w:val="dotted" w:sz="4" w:space="0" w:color="auto"/>
              <w:bottom w:val="dotted" w:sz="4" w:space="0" w:color="auto"/>
            </w:tcBorders>
          </w:tcPr>
          <w:p w14:paraId="1FD3C2BF" w14:textId="0AA6079C" w:rsidR="005F6722" w:rsidRDefault="005F6722" w:rsidP="005F6722">
            <w:pPr>
              <w:pStyle w:val="051Tabletext228pt"/>
            </w:pPr>
            <w:r w:rsidRPr="008D4200">
              <w:t>Alberta Institute of Health Economics </w:t>
            </w:r>
          </w:p>
        </w:tc>
        <w:tc>
          <w:tcPr>
            <w:tcW w:w="1134" w:type="dxa"/>
            <w:tcBorders>
              <w:top w:val="nil"/>
              <w:bottom w:val="nil"/>
            </w:tcBorders>
          </w:tcPr>
          <w:p w14:paraId="19E2D6E8" w14:textId="77777777" w:rsidR="005F6722" w:rsidRDefault="005F6722" w:rsidP="005F6722">
            <w:pPr>
              <w:pStyle w:val="051Tabletext228pt"/>
            </w:pPr>
          </w:p>
        </w:tc>
        <w:tc>
          <w:tcPr>
            <w:tcW w:w="1841" w:type="dxa"/>
            <w:tcBorders>
              <w:top w:val="nil"/>
              <w:bottom w:val="nil"/>
            </w:tcBorders>
          </w:tcPr>
          <w:p w14:paraId="2E5B3AA1" w14:textId="779F72B1" w:rsidR="005F6722" w:rsidRDefault="005F6722" w:rsidP="005F6722">
            <w:pPr>
              <w:pStyle w:val="051Tabletext228pt"/>
            </w:pPr>
            <w:r w:rsidRPr="00EF72E6">
              <w:t>Neurostimulation</w:t>
            </w:r>
          </w:p>
        </w:tc>
      </w:tr>
      <w:tr w:rsidR="005F6722" w14:paraId="7E6EE7F3" w14:textId="77777777" w:rsidTr="00AB236F">
        <w:tc>
          <w:tcPr>
            <w:tcW w:w="1701" w:type="dxa"/>
            <w:tcBorders>
              <w:top w:val="nil"/>
              <w:bottom w:val="nil"/>
            </w:tcBorders>
          </w:tcPr>
          <w:p w14:paraId="0CBB2B86" w14:textId="77777777" w:rsidR="005F6722" w:rsidRDefault="005F6722" w:rsidP="005F6722">
            <w:pPr>
              <w:pStyle w:val="051Tabletext228pt"/>
            </w:pPr>
          </w:p>
        </w:tc>
        <w:tc>
          <w:tcPr>
            <w:tcW w:w="4962" w:type="dxa"/>
            <w:tcBorders>
              <w:top w:val="dotted" w:sz="4" w:space="0" w:color="auto"/>
              <w:bottom w:val="dotted" w:sz="4" w:space="0" w:color="auto"/>
            </w:tcBorders>
          </w:tcPr>
          <w:p w14:paraId="03817C10" w14:textId="1E7E91F6" w:rsidR="005F6722" w:rsidRDefault="005F6722" w:rsidP="005F6722">
            <w:pPr>
              <w:pStyle w:val="051Tabletext228pt"/>
            </w:pPr>
            <w:r w:rsidRPr="008D4200">
              <w:t>The Canadian Association for Health Services and Policy Research (CAHSPR) </w:t>
            </w:r>
          </w:p>
        </w:tc>
        <w:tc>
          <w:tcPr>
            <w:tcW w:w="1134" w:type="dxa"/>
            <w:tcBorders>
              <w:top w:val="nil"/>
              <w:bottom w:val="nil"/>
            </w:tcBorders>
          </w:tcPr>
          <w:p w14:paraId="19813720" w14:textId="77777777" w:rsidR="005F6722" w:rsidRDefault="005F6722" w:rsidP="005F6722">
            <w:pPr>
              <w:pStyle w:val="051Tabletext228pt"/>
            </w:pPr>
          </w:p>
        </w:tc>
        <w:tc>
          <w:tcPr>
            <w:tcW w:w="1841" w:type="dxa"/>
            <w:tcBorders>
              <w:top w:val="nil"/>
              <w:bottom w:val="nil"/>
            </w:tcBorders>
          </w:tcPr>
          <w:p w14:paraId="0D2C7AC7" w14:textId="3AFFE317" w:rsidR="005F6722" w:rsidRDefault="005F6722" w:rsidP="005F6722">
            <w:pPr>
              <w:pStyle w:val="051Tabletext228pt"/>
            </w:pPr>
            <w:r w:rsidRPr="00EF72E6">
              <w:t>Neuromodulation</w:t>
            </w:r>
          </w:p>
        </w:tc>
      </w:tr>
      <w:tr w:rsidR="00BC72EA" w14:paraId="52086D1B" w14:textId="77777777" w:rsidTr="00AB236F">
        <w:tc>
          <w:tcPr>
            <w:tcW w:w="1701" w:type="dxa"/>
            <w:tcBorders>
              <w:top w:val="nil"/>
              <w:bottom w:val="nil"/>
            </w:tcBorders>
          </w:tcPr>
          <w:p w14:paraId="49C4F023" w14:textId="77777777" w:rsidR="00BC72EA" w:rsidRDefault="00BC72EA" w:rsidP="00BC72EA">
            <w:pPr>
              <w:pStyle w:val="051Tabletext228pt"/>
            </w:pPr>
          </w:p>
        </w:tc>
        <w:tc>
          <w:tcPr>
            <w:tcW w:w="4962" w:type="dxa"/>
            <w:tcBorders>
              <w:top w:val="dotted" w:sz="4" w:space="0" w:color="auto"/>
              <w:bottom w:val="dotted" w:sz="4" w:space="0" w:color="auto"/>
            </w:tcBorders>
          </w:tcPr>
          <w:p w14:paraId="233D56DE" w14:textId="78B25D3C" w:rsidR="00BC72EA" w:rsidRDefault="00BC72EA" w:rsidP="00BC72EA">
            <w:pPr>
              <w:pStyle w:val="051Tabletext228pt"/>
            </w:pPr>
            <w:r w:rsidRPr="008D4200">
              <w:t>Centre for Health Economics and Policy Analysis (CHEPA), McMaster University  </w:t>
            </w:r>
          </w:p>
        </w:tc>
        <w:tc>
          <w:tcPr>
            <w:tcW w:w="1134" w:type="dxa"/>
            <w:tcBorders>
              <w:top w:val="nil"/>
              <w:bottom w:val="nil"/>
            </w:tcBorders>
          </w:tcPr>
          <w:p w14:paraId="033A4890" w14:textId="77777777" w:rsidR="00BC72EA" w:rsidRDefault="00BC72EA" w:rsidP="00BC72EA">
            <w:pPr>
              <w:pStyle w:val="051Tabletext228pt"/>
            </w:pPr>
          </w:p>
        </w:tc>
        <w:tc>
          <w:tcPr>
            <w:tcW w:w="1841" w:type="dxa"/>
            <w:tcBorders>
              <w:top w:val="nil"/>
              <w:bottom w:val="nil"/>
            </w:tcBorders>
          </w:tcPr>
          <w:p w14:paraId="6DFE5B7B" w14:textId="77777777" w:rsidR="00BC72EA" w:rsidRDefault="00BC72EA" w:rsidP="00BC72EA">
            <w:pPr>
              <w:pStyle w:val="051Tabletext228pt"/>
            </w:pPr>
          </w:p>
        </w:tc>
      </w:tr>
      <w:tr w:rsidR="00BC72EA" w14:paraId="7C184C57" w14:textId="77777777" w:rsidTr="00AB236F">
        <w:tc>
          <w:tcPr>
            <w:tcW w:w="1701" w:type="dxa"/>
            <w:tcBorders>
              <w:top w:val="nil"/>
              <w:bottom w:val="nil"/>
            </w:tcBorders>
          </w:tcPr>
          <w:p w14:paraId="585CEF65" w14:textId="77777777" w:rsidR="00BC72EA" w:rsidRDefault="00BC72EA" w:rsidP="00BC72EA">
            <w:pPr>
              <w:pStyle w:val="051Tabletext228pt"/>
            </w:pPr>
          </w:p>
        </w:tc>
        <w:tc>
          <w:tcPr>
            <w:tcW w:w="4962" w:type="dxa"/>
            <w:tcBorders>
              <w:top w:val="dotted" w:sz="4" w:space="0" w:color="auto"/>
              <w:bottom w:val="dotted" w:sz="4" w:space="0" w:color="auto"/>
            </w:tcBorders>
          </w:tcPr>
          <w:p w14:paraId="0058DD19" w14:textId="6DAFC2F3" w:rsidR="00BC72EA" w:rsidRDefault="00BC72EA" w:rsidP="00BC72EA">
            <w:pPr>
              <w:pStyle w:val="051Tabletext228pt"/>
            </w:pPr>
            <w:r w:rsidRPr="008D4200">
              <w:t>Centre for Health Services and Policy Research (CHSPR), University of British Columbia  </w:t>
            </w:r>
          </w:p>
        </w:tc>
        <w:tc>
          <w:tcPr>
            <w:tcW w:w="1134" w:type="dxa"/>
            <w:tcBorders>
              <w:top w:val="nil"/>
              <w:bottom w:val="nil"/>
            </w:tcBorders>
          </w:tcPr>
          <w:p w14:paraId="6C26AEAB" w14:textId="77777777" w:rsidR="00BC72EA" w:rsidRDefault="00BC72EA" w:rsidP="00BC72EA">
            <w:pPr>
              <w:pStyle w:val="051Tabletext228pt"/>
            </w:pPr>
          </w:p>
        </w:tc>
        <w:tc>
          <w:tcPr>
            <w:tcW w:w="1841" w:type="dxa"/>
            <w:tcBorders>
              <w:top w:val="nil"/>
              <w:bottom w:val="nil"/>
            </w:tcBorders>
          </w:tcPr>
          <w:p w14:paraId="2307C4DE" w14:textId="77777777" w:rsidR="00BC72EA" w:rsidRDefault="00BC72EA" w:rsidP="00BC72EA">
            <w:pPr>
              <w:pStyle w:val="051Tabletext228pt"/>
            </w:pPr>
          </w:p>
        </w:tc>
      </w:tr>
      <w:tr w:rsidR="00BC72EA" w14:paraId="513E8AC6" w14:textId="77777777" w:rsidTr="00AB236F">
        <w:tc>
          <w:tcPr>
            <w:tcW w:w="1701" w:type="dxa"/>
            <w:tcBorders>
              <w:top w:val="nil"/>
              <w:bottom w:val="nil"/>
            </w:tcBorders>
          </w:tcPr>
          <w:p w14:paraId="01A3819F" w14:textId="77777777" w:rsidR="00BC72EA" w:rsidRDefault="00BC72EA" w:rsidP="00BC72EA">
            <w:pPr>
              <w:pStyle w:val="051Tabletext228pt"/>
            </w:pPr>
          </w:p>
        </w:tc>
        <w:tc>
          <w:tcPr>
            <w:tcW w:w="4962" w:type="dxa"/>
            <w:tcBorders>
              <w:top w:val="dotted" w:sz="4" w:space="0" w:color="auto"/>
              <w:bottom w:val="dotted" w:sz="4" w:space="0" w:color="auto"/>
            </w:tcBorders>
          </w:tcPr>
          <w:p w14:paraId="78B054B9" w14:textId="0AD6E3BC" w:rsidR="00BC72EA" w:rsidRDefault="00BC72EA" w:rsidP="00BC72EA">
            <w:pPr>
              <w:pStyle w:val="051Tabletext228pt"/>
            </w:pPr>
            <w:r w:rsidRPr="008D4200">
              <w:t>Institute for Clinical and Evaluative Studies (ICES)  </w:t>
            </w:r>
          </w:p>
        </w:tc>
        <w:tc>
          <w:tcPr>
            <w:tcW w:w="1134" w:type="dxa"/>
            <w:tcBorders>
              <w:top w:val="nil"/>
              <w:bottom w:val="nil"/>
            </w:tcBorders>
          </w:tcPr>
          <w:p w14:paraId="1FAF449B" w14:textId="77777777" w:rsidR="00BC72EA" w:rsidRDefault="00BC72EA" w:rsidP="00BC72EA">
            <w:pPr>
              <w:pStyle w:val="051Tabletext228pt"/>
            </w:pPr>
          </w:p>
        </w:tc>
        <w:tc>
          <w:tcPr>
            <w:tcW w:w="1841" w:type="dxa"/>
            <w:tcBorders>
              <w:top w:val="nil"/>
              <w:bottom w:val="nil"/>
            </w:tcBorders>
          </w:tcPr>
          <w:p w14:paraId="21E7B604" w14:textId="77777777" w:rsidR="00BC72EA" w:rsidRDefault="00BC72EA" w:rsidP="00BC72EA">
            <w:pPr>
              <w:pStyle w:val="051Tabletext228pt"/>
            </w:pPr>
          </w:p>
        </w:tc>
      </w:tr>
      <w:tr w:rsidR="00BC72EA" w14:paraId="39B650F0" w14:textId="77777777" w:rsidTr="00E4194F">
        <w:tc>
          <w:tcPr>
            <w:tcW w:w="1701" w:type="dxa"/>
            <w:tcBorders>
              <w:top w:val="nil"/>
              <w:bottom w:val="dotted" w:sz="4" w:space="0" w:color="auto"/>
            </w:tcBorders>
          </w:tcPr>
          <w:p w14:paraId="3834CE94" w14:textId="77777777" w:rsidR="00BC72EA" w:rsidRDefault="00BC72EA" w:rsidP="00BC72EA">
            <w:pPr>
              <w:pStyle w:val="051Tabletext228pt"/>
            </w:pPr>
          </w:p>
        </w:tc>
        <w:tc>
          <w:tcPr>
            <w:tcW w:w="4962" w:type="dxa"/>
            <w:tcBorders>
              <w:top w:val="dotted" w:sz="4" w:space="0" w:color="auto"/>
              <w:bottom w:val="dotted" w:sz="4" w:space="0" w:color="auto"/>
            </w:tcBorders>
          </w:tcPr>
          <w:p w14:paraId="5CE5DB21" w14:textId="70EB55B9" w:rsidR="00BC72EA" w:rsidRDefault="00BC72EA" w:rsidP="00BC72EA">
            <w:pPr>
              <w:pStyle w:val="051Tabletext228pt"/>
            </w:pPr>
            <w:r w:rsidRPr="008D4200">
              <w:t>Saskatchewan Health Quality Council (Canada) </w:t>
            </w:r>
          </w:p>
        </w:tc>
        <w:tc>
          <w:tcPr>
            <w:tcW w:w="1134" w:type="dxa"/>
            <w:tcBorders>
              <w:top w:val="nil"/>
              <w:bottom w:val="nil"/>
            </w:tcBorders>
          </w:tcPr>
          <w:p w14:paraId="7914793F" w14:textId="77777777" w:rsidR="00BC72EA" w:rsidRDefault="00BC72EA" w:rsidP="00BC72EA">
            <w:pPr>
              <w:pStyle w:val="051Tabletext228pt"/>
            </w:pPr>
          </w:p>
        </w:tc>
        <w:tc>
          <w:tcPr>
            <w:tcW w:w="1841" w:type="dxa"/>
            <w:tcBorders>
              <w:top w:val="nil"/>
              <w:bottom w:val="nil"/>
            </w:tcBorders>
          </w:tcPr>
          <w:p w14:paraId="217C542F" w14:textId="77777777" w:rsidR="00BC72EA" w:rsidRDefault="00BC72EA" w:rsidP="00BC72EA">
            <w:pPr>
              <w:pStyle w:val="051Tabletext228pt"/>
            </w:pPr>
          </w:p>
        </w:tc>
      </w:tr>
      <w:tr w:rsidR="00BC72EA" w14:paraId="118F50B2" w14:textId="77777777" w:rsidTr="00E4194F">
        <w:tc>
          <w:tcPr>
            <w:tcW w:w="1701" w:type="dxa"/>
            <w:tcBorders>
              <w:top w:val="dotted" w:sz="4" w:space="0" w:color="auto"/>
              <w:bottom w:val="dotted" w:sz="4" w:space="0" w:color="auto"/>
            </w:tcBorders>
          </w:tcPr>
          <w:p w14:paraId="797F4B93" w14:textId="3DEF3D6D" w:rsidR="00BC72EA" w:rsidRPr="00D94478" w:rsidRDefault="00D94478" w:rsidP="00D94478">
            <w:pPr>
              <w:pStyle w:val="051Tabletext228pt"/>
              <w:jc w:val="right"/>
              <w:rPr>
                <w:i/>
                <w:iCs/>
              </w:rPr>
            </w:pPr>
            <w:r>
              <w:rPr>
                <w:i/>
                <w:iCs/>
              </w:rPr>
              <w:t>Denmark</w:t>
            </w:r>
          </w:p>
        </w:tc>
        <w:tc>
          <w:tcPr>
            <w:tcW w:w="4962" w:type="dxa"/>
            <w:tcBorders>
              <w:top w:val="dotted" w:sz="4" w:space="0" w:color="auto"/>
              <w:bottom w:val="dotted" w:sz="4" w:space="0" w:color="auto"/>
            </w:tcBorders>
          </w:tcPr>
          <w:p w14:paraId="238335AC" w14:textId="0F447D6A" w:rsidR="00BC72EA" w:rsidRDefault="00BC72EA" w:rsidP="00BC72EA">
            <w:pPr>
              <w:pStyle w:val="051Tabletext228pt"/>
            </w:pPr>
            <w:r w:rsidRPr="008D4200">
              <w:t>Danish National Institute Of Public Health </w:t>
            </w:r>
          </w:p>
        </w:tc>
        <w:tc>
          <w:tcPr>
            <w:tcW w:w="1134" w:type="dxa"/>
            <w:tcBorders>
              <w:top w:val="nil"/>
              <w:bottom w:val="nil"/>
            </w:tcBorders>
          </w:tcPr>
          <w:p w14:paraId="7BAED748" w14:textId="77777777" w:rsidR="00BC72EA" w:rsidRDefault="00BC72EA" w:rsidP="00BC72EA">
            <w:pPr>
              <w:pStyle w:val="051Tabletext228pt"/>
            </w:pPr>
          </w:p>
        </w:tc>
        <w:tc>
          <w:tcPr>
            <w:tcW w:w="1841" w:type="dxa"/>
            <w:tcBorders>
              <w:top w:val="nil"/>
              <w:bottom w:val="nil"/>
            </w:tcBorders>
          </w:tcPr>
          <w:p w14:paraId="7D85D027" w14:textId="77777777" w:rsidR="00BC72EA" w:rsidRDefault="00BC72EA" w:rsidP="00BC72EA">
            <w:pPr>
              <w:pStyle w:val="051Tabletext228pt"/>
            </w:pPr>
          </w:p>
        </w:tc>
      </w:tr>
      <w:tr w:rsidR="00BC72EA" w14:paraId="267E32A2" w14:textId="77777777" w:rsidTr="00E4194F">
        <w:tc>
          <w:tcPr>
            <w:tcW w:w="1701" w:type="dxa"/>
            <w:tcBorders>
              <w:top w:val="dotted" w:sz="4" w:space="0" w:color="auto"/>
              <w:bottom w:val="dotted" w:sz="4" w:space="0" w:color="auto"/>
            </w:tcBorders>
          </w:tcPr>
          <w:p w14:paraId="27BD99E4" w14:textId="7F466E70" w:rsidR="00BC72EA" w:rsidRPr="006D3A4F" w:rsidRDefault="006D3A4F" w:rsidP="006D3A4F">
            <w:pPr>
              <w:pStyle w:val="051Tabletext228pt"/>
              <w:jc w:val="right"/>
              <w:rPr>
                <w:i/>
                <w:iCs/>
              </w:rPr>
            </w:pPr>
            <w:r>
              <w:rPr>
                <w:i/>
                <w:iCs/>
              </w:rPr>
              <w:t>Finland</w:t>
            </w:r>
          </w:p>
        </w:tc>
        <w:tc>
          <w:tcPr>
            <w:tcW w:w="4962" w:type="dxa"/>
            <w:tcBorders>
              <w:top w:val="dotted" w:sz="4" w:space="0" w:color="auto"/>
              <w:bottom w:val="dotted" w:sz="4" w:space="0" w:color="auto"/>
            </w:tcBorders>
          </w:tcPr>
          <w:p w14:paraId="2FC57B9F" w14:textId="518C11DD" w:rsidR="00BC72EA" w:rsidRDefault="00BC72EA" w:rsidP="00BC72EA">
            <w:pPr>
              <w:pStyle w:val="051Tabletext228pt"/>
            </w:pPr>
            <w:r w:rsidRPr="008D4200">
              <w:t>Finnish National Institute for Health and Welfare </w:t>
            </w:r>
          </w:p>
        </w:tc>
        <w:tc>
          <w:tcPr>
            <w:tcW w:w="1134" w:type="dxa"/>
            <w:tcBorders>
              <w:top w:val="nil"/>
              <w:bottom w:val="nil"/>
            </w:tcBorders>
          </w:tcPr>
          <w:p w14:paraId="46245AA7" w14:textId="77777777" w:rsidR="00BC72EA" w:rsidRDefault="00BC72EA" w:rsidP="00BC72EA">
            <w:pPr>
              <w:pStyle w:val="051Tabletext228pt"/>
            </w:pPr>
          </w:p>
        </w:tc>
        <w:tc>
          <w:tcPr>
            <w:tcW w:w="1841" w:type="dxa"/>
            <w:tcBorders>
              <w:top w:val="nil"/>
              <w:bottom w:val="nil"/>
            </w:tcBorders>
          </w:tcPr>
          <w:p w14:paraId="7BB694FA" w14:textId="77777777" w:rsidR="00BC72EA" w:rsidRDefault="00BC72EA" w:rsidP="00BC72EA">
            <w:pPr>
              <w:pStyle w:val="051Tabletext228pt"/>
            </w:pPr>
          </w:p>
        </w:tc>
      </w:tr>
      <w:tr w:rsidR="00BC72EA" w14:paraId="78C22727" w14:textId="77777777" w:rsidTr="00E4194F">
        <w:tc>
          <w:tcPr>
            <w:tcW w:w="1701" w:type="dxa"/>
            <w:tcBorders>
              <w:top w:val="dotted" w:sz="4" w:space="0" w:color="auto"/>
              <w:bottom w:val="nil"/>
            </w:tcBorders>
          </w:tcPr>
          <w:p w14:paraId="31889368" w14:textId="12927DB7" w:rsidR="00BC72EA" w:rsidRPr="006D3A4F" w:rsidRDefault="006D3A4F" w:rsidP="006D3A4F">
            <w:pPr>
              <w:pStyle w:val="051Tabletext228pt"/>
              <w:jc w:val="right"/>
              <w:rPr>
                <w:i/>
                <w:iCs/>
              </w:rPr>
            </w:pPr>
            <w:r>
              <w:rPr>
                <w:i/>
                <w:iCs/>
              </w:rPr>
              <w:t>Germany</w:t>
            </w:r>
          </w:p>
        </w:tc>
        <w:tc>
          <w:tcPr>
            <w:tcW w:w="4962" w:type="dxa"/>
            <w:tcBorders>
              <w:top w:val="dotted" w:sz="4" w:space="0" w:color="auto"/>
              <w:bottom w:val="dotted" w:sz="4" w:space="0" w:color="auto"/>
            </w:tcBorders>
          </w:tcPr>
          <w:p w14:paraId="5F8BDD70" w14:textId="05963AA2" w:rsidR="00BC72EA" w:rsidRDefault="00BC72EA" w:rsidP="00BC72EA">
            <w:pPr>
              <w:pStyle w:val="051Tabletext228pt"/>
            </w:pPr>
            <w:r w:rsidRPr="008D4200">
              <w:t>German Institute for Medical Documentation and Information (DIMDI) / HTA  </w:t>
            </w:r>
          </w:p>
        </w:tc>
        <w:tc>
          <w:tcPr>
            <w:tcW w:w="1134" w:type="dxa"/>
            <w:tcBorders>
              <w:top w:val="nil"/>
              <w:bottom w:val="nil"/>
            </w:tcBorders>
          </w:tcPr>
          <w:p w14:paraId="13BAF7AB" w14:textId="77777777" w:rsidR="00BC72EA" w:rsidRDefault="00BC72EA" w:rsidP="00BC72EA">
            <w:pPr>
              <w:pStyle w:val="051Tabletext228pt"/>
            </w:pPr>
          </w:p>
        </w:tc>
        <w:tc>
          <w:tcPr>
            <w:tcW w:w="1841" w:type="dxa"/>
            <w:tcBorders>
              <w:top w:val="nil"/>
              <w:bottom w:val="nil"/>
            </w:tcBorders>
          </w:tcPr>
          <w:p w14:paraId="06BC16C5" w14:textId="77777777" w:rsidR="00BC72EA" w:rsidRDefault="00BC72EA" w:rsidP="00BC72EA">
            <w:pPr>
              <w:pStyle w:val="051Tabletext228pt"/>
            </w:pPr>
          </w:p>
        </w:tc>
      </w:tr>
      <w:tr w:rsidR="00BC72EA" w14:paraId="034147EC" w14:textId="77777777" w:rsidTr="009D17AB">
        <w:tc>
          <w:tcPr>
            <w:tcW w:w="1701" w:type="dxa"/>
            <w:tcBorders>
              <w:top w:val="nil"/>
              <w:bottom w:val="dotted" w:sz="4" w:space="0" w:color="auto"/>
            </w:tcBorders>
          </w:tcPr>
          <w:p w14:paraId="0FFDF62C" w14:textId="77777777" w:rsidR="00BC72EA" w:rsidRDefault="00BC72EA" w:rsidP="00BC72EA">
            <w:pPr>
              <w:pStyle w:val="051Tabletext228pt"/>
            </w:pPr>
          </w:p>
        </w:tc>
        <w:tc>
          <w:tcPr>
            <w:tcW w:w="4962" w:type="dxa"/>
            <w:tcBorders>
              <w:top w:val="dotted" w:sz="4" w:space="0" w:color="auto"/>
              <w:bottom w:val="dotted" w:sz="4" w:space="0" w:color="auto"/>
            </w:tcBorders>
          </w:tcPr>
          <w:p w14:paraId="1CD9BA19" w14:textId="6F54092E" w:rsidR="00BC72EA" w:rsidRDefault="00BC72EA" w:rsidP="00BC72EA">
            <w:pPr>
              <w:pStyle w:val="051Tabletext228pt"/>
            </w:pPr>
            <w:r w:rsidRPr="008D4200">
              <w:t>Institute for Quality and Efficiency in Health Care (</w:t>
            </w:r>
            <w:proofErr w:type="spellStart"/>
            <w:r w:rsidRPr="008D4200">
              <w:t>IQWiG</w:t>
            </w:r>
            <w:proofErr w:type="spellEnd"/>
            <w:r w:rsidRPr="008D4200">
              <w:t>) </w:t>
            </w:r>
          </w:p>
        </w:tc>
        <w:tc>
          <w:tcPr>
            <w:tcW w:w="1134" w:type="dxa"/>
            <w:tcBorders>
              <w:top w:val="nil"/>
              <w:bottom w:val="nil"/>
            </w:tcBorders>
          </w:tcPr>
          <w:p w14:paraId="67C508D4" w14:textId="77777777" w:rsidR="00BC72EA" w:rsidRDefault="00BC72EA" w:rsidP="00BC72EA">
            <w:pPr>
              <w:pStyle w:val="051Tabletext228pt"/>
            </w:pPr>
          </w:p>
        </w:tc>
        <w:tc>
          <w:tcPr>
            <w:tcW w:w="1841" w:type="dxa"/>
            <w:tcBorders>
              <w:top w:val="nil"/>
              <w:bottom w:val="nil"/>
            </w:tcBorders>
          </w:tcPr>
          <w:p w14:paraId="0CF08C41" w14:textId="77777777" w:rsidR="00BC72EA" w:rsidRDefault="00BC72EA" w:rsidP="00BC72EA">
            <w:pPr>
              <w:pStyle w:val="051Tabletext228pt"/>
            </w:pPr>
          </w:p>
        </w:tc>
      </w:tr>
      <w:tr w:rsidR="00BC72EA" w14:paraId="35BCB3AD" w14:textId="77777777" w:rsidTr="009D17AB">
        <w:tc>
          <w:tcPr>
            <w:tcW w:w="1701" w:type="dxa"/>
            <w:tcBorders>
              <w:top w:val="dotted" w:sz="4" w:space="0" w:color="auto"/>
              <w:bottom w:val="dotted" w:sz="4" w:space="0" w:color="auto"/>
            </w:tcBorders>
          </w:tcPr>
          <w:p w14:paraId="3B369514" w14:textId="4BF8FA96" w:rsidR="00BC72EA" w:rsidRPr="006D3A4F" w:rsidRDefault="006D3A4F" w:rsidP="006D3A4F">
            <w:pPr>
              <w:pStyle w:val="051Tabletext228pt"/>
              <w:jc w:val="right"/>
              <w:rPr>
                <w:i/>
                <w:iCs/>
              </w:rPr>
            </w:pPr>
            <w:r>
              <w:rPr>
                <w:i/>
                <w:iCs/>
              </w:rPr>
              <w:t>The Netherlands</w:t>
            </w:r>
          </w:p>
        </w:tc>
        <w:tc>
          <w:tcPr>
            <w:tcW w:w="4962" w:type="dxa"/>
            <w:tcBorders>
              <w:top w:val="dotted" w:sz="4" w:space="0" w:color="auto"/>
              <w:bottom w:val="dotted" w:sz="4" w:space="0" w:color="auto"/>
            </w:tcBorders>
          </w:tcPr>
          <w:p w14:paraId="3801F349" w14:textId="05F1099F" w:rsidR="00BC72EA" w:rsidRDefault="00BC72EA" w:rsidP="00BC72EA">
            <w:pPr>
              <w:pStyle w:val="051Tabletext228pt"/>
            </w:pPr>
            <w:r w:rsidRPr="008D4200">
              <w:t>Health Council of the Netherlands (</w:t>
            </w:r>
            <w:proofErr w:type="spellStart"/>
            <w:r w:rsidRPr="008D4200">
              <w:t>Gezondheidsraad</w:t>
            </w:r>
            <w:proofErr w:type="spellEnd"/>
            <w:r w:rsidRPr="008D4200">
              <w:t>)  </w:t>
            </w:r>
          </w:p>
        </w:tc>
        <w:tc>
          <w:tcPr>
            <w:tcW w:w="1134" w:type="dxa"/>
            <w:tcBorders>
              <w:top w:val="nil"/>
              <w:bottom w:val="nil"/>
            </w:tcBorders>
          </w:tcPr>
          <w:p w14:paraId="3DDF1B40" w14:textId="77777777" w:rsidR="00BC72EA" w:rsidRDefault="00BC72EA" w:rsidP="00BC72EA">
            <w:pPr>
              <w:pStyle w:val="051Tabletext228pt"/>
            </w:pPr>
          </w:p>
        </w:tc>
        <w:tc>
          <w:tcPr>
            <w:tcW w:w="1841" w:type="dxa"/>
            <w:tcBorders>
              <w:top w:val="nil"/>
              <w:bottom w:val="nil"/>
            </w:tcBorders>
          </w:tcPr>
          <w:p w14:paraId="33253706" w14:textId="77777777" w:rsidR="00BC72EA" w:rsidRDefault="00BC72EA" w:rsidP="00BC72EA">
            <w:pPr>
              <w:pStyle w:val="051Tabletext228pt"/>
            </w:pPr>
          </w:p>
        </w:tc>
      </w:tr>
      <w:tr w:rsidR="00BC72EA" w14:paraId="30C42EE6" w14:textId="77777777" w:rsidTr="009D17AB">
        <w:tc>
          <w:tcPr>
            <w:tcW w:w="1701" w:type="dxa"/>
            <w:tcBorders>
              <w:top w:val="dotted" w:sz="4" w:space="0" w:color="auto"/>
              <w:bottom w:val="dotted" w:sz="4" w:space="0" w:color="auto"/>
            </w:tcBorders>
          </w:tcPr>
          <w:p w14:paraId="61AD27E0" w14:textId="0AD42C27" w:rsidR="00BC72EA" w:rsidRPr="00776B63" w:rsidRDefault="00776B63" w:rsidP="00776B63">
            <w:pPr>
              <w:pStyle w:val="051Tabletext228pt"/>
              <w:jc w:val="right"/>
              <w:rPr>
                <w:i/>
                <w:iCs/>
              </w:rPr>
            </w:pPr>
            <w:r>
              <w:rPr>
                <w:i/>
                <w:iCs/>
              </w:rPr>
              <w:t>New Zealand</w:t>
            </w:r>
          </w:p>
        </w:tc>
        <w:tc>
          <w:tcPr>
            <w:tcW w:w="4962" w:type="dxa"/>
            <w:tcBorders>
              <w:top w:val="dotted" w:sz="4" w:space="0" w:color="auto"/>
              <w:bottom w:val="dotted" w:sz="4" w:space="0" w:color="auto"/>
            </w:tcBorders>
          </w:tcPr>
          <w:p w14:paraId="4ADFAC78" w14:textId="0B0ADF6C" w:rsidR="00BC72EA" w:rsidRDefault="00BC72EA" w:rsidP="00BC72EA">
            <w:pPr>
              <w:pStyle w:val="051Tabletext228pt"/>
            </w:pPr>
            <w:r w:rsidRPr="008D4200">
              <w:t>New Zealand Health Technology Assessment (NZHTA)  </w:t>
            </w:r>
          </w:p>
        </w:tc>
        <w:tc>
          <w:tcPr>
            <w:tcW w:w="1134" w:type="dxa"/>
            <w:tcBorders>
              <w:top w:val="nil"/>
              <w:bottom w:val="nil"/>
            </w:tcBorders>
          </w:tcPr>
          <w:p w14:paraId="01E8473F" w14:textId="77777777" w:rsidR="00BC72EA" w:rsidRDefault="00BC72EA" w:rsidP="00BC72EA">
            <w:pPr>
              <w:pStyle w:val="051Tabletext228pt"/>
            </w:pPr>
          </w:p>
        </w:tc>
        <w:tc>
          <w:tcPr>
            <w:tcW w:w="1841" w:type="dxa"/>
            <w:tcBorders>
              <w:top w:val="nil"/>
              <w:bottom w:val="nil"/>
            </w:tcBorders>
          </w:tcPr>
          <w:p w14:paraId="4701F296" w14:textId="77777777" w:rsidR="00BC72EA" w:rsidRDefault="00BC72EA" w:rsidP="00BC72EA">
            <w:pPr>
              <w:pStyle w:val="051Tabletext228pt"/>
            </w:pPr>
          </w:p>
        </w:tc>
      </w:tr>
      <w:tr w:rsidR="00BC72EA" w14:paraId="7F0BA9DF" w14:textId="77777777" w:rsidTr="009D17AB">
        <w:tc>
          <w:tcPr>
            <w:tcW w:w="1701" w:type="dxa"/>
            <w:tcBorders>
              <w:top w:val="dotted" w:sz="4" w:space="0" w:color="auto"/>
              <w:bottom w:val="dotted" w:sz="4" w:space="0" w:color="auto"/>
            </w:tcBorders>
          </w:tcPr>
          <w:p w14:paraId="20BE38E8" w14:textId="2EAF3BB5" w:rsidR="00BC72EA" w:rsidRPr="00776B63" w:rsidRDefault="00776B63" w:rsidP="00776B63">
            <w:pPr>
              <w:pStyle w:val="051Tabletext228pt"/>
              <w:jc w:val="right"/>
              <w:rPr>
                <w:i/>
                <w:iCs/>
              </w:rPr>
            </w:pPr>
            <w:r>
              <w:rPr>
                <w:i/>
                <w:iCs/>
              </w:rPr>
              <w:t>Norway</w:t>
            </w:r>
          </w:p>
        </w:tc>
        <w:tc>
          <w:tcPr>
            <w:tcW w:w="4962" w:type="dxa"/>
            <w:tcBorders>
              <w:top w:val="dotted" w:sz="4" w:space="0" w:color="auto"/>
              <w:bottom w:val="dotted" w:sz="4" w:space="0" w:color="auto"/>
            </w:tcBorders>
          </w:tcPr>
          <w:p w14:paraId="3C99D574" w14:textId="08D4EE22" w:rsidR="00BC72EA" w:rsidRDefault="00BC72EA" w:rsidP="00BC72EA">
            <w:pPr>
              <w:pStyle w:val="051Tabletext228pt"/>
            </w:pPr>
            <w:r w:rsidRPr="008D4200">
              <w:t xml:space="preserve">Norwegian Institute of Public Health, </w:t>
            </w:r>
            <w:r w:rsidR="002D4A01" w:rsidRPr="008D4200">
              <w:t>Norwegian Knowledge</w:t>
            </w:r>
            <w:r w:rsidRPr="008D4200">
              <w:t xml:space="preserve"> Centre for the Health Services </w:t>
            </w:r>
          </w:p>
        </w:tc>
        <w:tc>
          <w:tcPr>
            <w:tcW w:w="1134" w:type="dxa"/>
            <w:tcBorders>
              <w:top w:val="nil"/>
              <w:bottom w:val="nil"/>
            </w:tcBorders>
          </w:tcPr>
          <w:p w14:paraId="749E8D51" w14:textId="77777777" w:rsidR="00BC72EA" w:rsidRDefault="00BC72EA" w:rsidP="00BC72EA">
            <w:pPr>
              <w:pStyle w:val="051Tabletext228pt"/>
            </w:pPr>
          </w:p>
        </w:tc>
        <w:tc>
          <w:tcPr>
            <w:tcW w:w="1841" w:type="dxa"/>
            <w:tcBorders>
              <w:top w:val="nil"/>
              <w:bottom w:val="nil"/>
            </w:tcBorders>
          </w:tcPr>
          <w:p w14:paraId="01A055E4" w14:textId="77777777" w:rsidR="00BC72EA" w:rsidRDefault="00BC72EA" w:rsidP="00BC72EA">
            <w:pPr>
              <w:pStyle w:val="051Tabletext228pt"/>
            </w:pPr>
          </w:p>
        </w:tc>
      </w:tr>
      <w:tr w:rsidR="00BC72EA" w14:paraId="30CC37E4" w14:textId="77777777" w:rsidTr="009D17AB">
        <w:tc>
          <w:tcPr>
            <w:tcW w:w="1701" w:type="dxa"/>
            <w:tcBorders>
              <w:top w:val="dotted" w:sz="4" w:space="0" w:color="auto"/>
              <w:bottom w:val="nil"/>
            </w:tcBorders>
          </w:tcPr>
          <w:p w14:paraId="78AD4216" w14:textId="7DF270AF" w:rsidR="00BC72EA" w:rsidRPr="00C63AEA" w:rsidRDefault="00C63AEA" w:rsidP="00C63AEA">
            <w:pPr>
              <w:pStyle w:val="051Tabletext228pt"/>
              <w:jc w:val="right"/>
              <w:rPr>
                <w:i/>
                <w:iCs/>
              </w:rPr>
            </w:pPr>
            <w:r>
              <w:rPr>
                <w:i/>
                <w:iCs/>
              </w:rPr>
              <w:t>Spain</w:t>
            </w:r>
          </w:p>
        </w:tc>
        <w:tc>
          <w:tcPr>
            <w:tcW w:w="4962" w:type="dxa"/>
            <w:tcBorders>
              <w:top w:val="dotted" w:sz="4" w:space="0" w:color="auto"/>
              <w:bottom w:val="dotted" w:sz="4" w:space="0" w:color="auto"/>
            </w:tcBorders>
          </w:tcPr>
          <w:p w14:paraId="29CD49B8" w14:textId="5304D5C7" w:rsidR="00BC72EA" w:rsidRDefault="00BC72EA" w:rsidP="00BC72EA">
            <w:pPr>
              <w:pStyle w:val="051Tabletext228pt"/>
            </w:pPr>
            <w:r w:rsidRPr="008D4200">
              <w:t>Andalusian Agency for Health Technology Assessment (Spain) </w:t>
            </w:r>
          </w:p>
        </w:tc>
        <w:tc>
          <w:tcPr>
            <w:tcW w:w="1134" w:type="dxa"/>
            <w:tcBorders>
              <w:top w:val="nil"/>
              <w:bottom w:val="nil"/>
            </w:tcBorders>
          </w:tcPr>
          <w:p w14:paraId="4391D7E8" w14:textId="77777777" w:rsidR="00BC72EA" w:rsidRDefault="00BC72EA" w:rsidP="00BC72EA">
            <w:pPr>
              <w:pStyle w:val="051Tabletext228pt"/>
            </w:pPr>
          </w:p>
        </w:tc>
        <w:tc>
          <w:tcPr>
            <w:tcW w:w="1841" w:type="dxa"/>
            <w:tcBorders>
              <w:top w:val="nil"/>
              <w:bottom w:val="nil"/>
            </w:tcBorders>
          </w:tcPr>
          <w:p w14:paraId="4D14C4BC" w14:textId="77777777" w:rsidR="00BC72EA" w:rsidRDefault="00BC72EA" w:rsidP="00BC72EA">
            <w:pPr>
              <w:pStyle w:val="051Tabletext228pt"/>
            </w:pPr>
          </w:p>
        </w:tc>
      </w:tr>
      <w:tr w:rsidR="00BC72EA" w14:paraId="30A63E36" w14:textId="77777777" w:rsidTr="002D4A01">
        <w:tc>
          <w:tcPr>
            <w:tcW w:w="1701" w:type="dxa"/>
            <w:tcBorders>
              <w:top w:val="nil"/>
              <w:bottom w:val="dotted" w:sz="4" w:space="0" w:color="auto"/>
            </w:tcBorders>
          </w:tcPr>
          <w:p w14:paraId="0AC1A109" w14:textId="77777777" w:rsidR="00BC72EA" w:rsidRDefault="00BC72EA" w:rsidP="00BC72EA">
            <w:pPr>
              <w:pStyle w:val="051Tabletext228pt"/>
            </w:pPr>
          </w:p>
        </w:tc>
        <w:tc>
          <w:tcPr>
            <w:tcW w:w="4962" w:type="dxa"/>
            <w:tcBorders>
              <w:top w:val="dotted" w:sz="4" w:space="0" w:color="auto"/>
              <w:bottom w:val="dotted" w:sz="4" w:space="0" w:color="auto"/>
            </w:tcBorders>
          </w:tcPr>
          <w:p w14:paraId="414B7BA9" w14:textId="7B8A14B2" w:rsidR="00BC72EA" w:rsidRDefault="00BC72EA" w:rsidP="00BC72EA">
            <w:pPr>
              <w:pStyle w:val="051Tabletext228pt"/>
            </w:pPr>
            <w:r w:rsidRPr="008D4200">
              <w:t>Catalan Agency for Health Technology Assessment (CAHTA)  </w:t>
            </w:r>
          </w:p>
        </w:tc>
        <w:tc>
          <w:tcPr>
            <w:tcW w:w="1134" w:type="dxa"/>
            <w:tcBorders>
              <w:top w:val="nil"/>
              <w:bottom w:val="nil"/>
            </w:tcBorders>
          </w:tcPr>
          <w:p w14:paraId="07D3CE60" w14:textId="77777777" w:rsidR="00BC72EA" w:rsidRDefault="00BC72EA" w:rsidP="00BC72EA">
            <w:pPr>
              <w:pStyle w:val="051Tabletext228pt"/>
            </w:pPr>
          </w:p>
        </w:tc>
        <w:tc>
          <w:tcPr>
            <w:tcW w:w="1841" w:type="dxa"/>
            <w:tcBorders>
              <w:top w:val="nil"/>
              <w:bottom w:val="nil"/>
            </w:tcBorders>
          </w:tcPr>
          <w:p w14:paraId="63A0F364" w14:textId="77777777" w:rsidR="00BC72EA" w:rsidRDefault="00BC72EA" w:rsidP="00BC72EA">
            <w:pPr>
              <w:pStyle w:val="051Tabletext228pt"/>
            </w:pPr>
          </w:p>
        </w:tc>
      </w:tr>
      <w:tr w:rsidR="00BC72EA" w14:paraId="2A967FC5" w14:textId="77777777" w:rsidTr="002D4A01">
        <w:tc>
          <w:tcPr>
            <w:tcW w:w="1701" w:type="dxa"/>
            <w:tcBorders>
              <w:top w:val="dotted" w:sz="4" w:space="0" w:color="auto"/>
              <w:bottom w:val="nil"/>
            </w:tcBorders>
          </w:tcPr>
          <w:p w14:paraId="5C6D75F7" w14:textId="170841D6" w:rsidR="00BC72EA" w:rsidRPr="00C63AEA" w:rsidRDefault="00C63AEA" w:rsidP="00C63AEA">
            <w:pPr>
              <w:pStyle w:val="051Tabletext228pt"/>
              <w:jc w:val="right"/>
              <w:rPr>
                <w:i/>
                <w:iCs/>
              </w:rPr>
            </w:pPr>
            <w:r>
              <w:rPr>
                <w:i/>
                <w:iCs/>
              </w:rPr>
              <w:t>Sweden</w:t>
            </w:r>
          </w:p>
        </w:tc>
        <w:tc>
          <w:tcPr>
            <w:tcW w:w="4962" w:type="dxa"/>
            <w:tcBorders>
              <w:top w:val="dotted" w:sz="4" w:space="0" w:color="auto"/>
              <w:bottom w:val="dotted" w:sz="4" w:space="0" w:color="auto"/>
            </w:tcBorders>
          </w:tcPr>
          <w:p w14:paraId="6E5368C2" w14:textId="7B48F5F5" w:rsidR="00BC72EA" w:rsidRDefault="00BC72EA" w:rsidP="00BC72EA">
            <w:pPr>
              <w:pStyle w:val="051Tabletext228pt"/>
            </w:pPr>
            <w:proofErr w:type="spellStart"/>
            <w:r w:rsidRPr="008D4200">
              <w:t>Center</w:t>
            </w:r>
            <w:proofErr w:type="spellEnd"/>
            <w:r w:rsidRPr="008D4200">
              <w:t xml:space="preserve"> for Medical Health Technology Assessment  </w:t>
            </w:r>
          </w:p>
        </w:tc>
        <w:tc>
          <w:tcPr>
            <w:tcW w:w="1134" w:type="dxa"/>
            <w:tcBorders>
              <w:top w:val="nil"/>
              <w:bottom w:val="nil"/>
            </w:tcBorders>
          </w:tcPr>
          <w:p w14:paraId="10E6C720" w14:textId="77777777" w:rsidR="00BC72EA" w:rsidRDefault="00BC72EA" w:rsidP="00BC72EA">
            <w:pPr>
              <w:pStyle w:val="051Tabletext228pt"/>
            </w:pPr>
          </w:p>
        </w:tc>
        <w:tc>
          <w:tcPr>
            <w:tcW w:w="1841" w:type="dxa"/>
            <w:tcBorders>
              <w:top w:val="nil"/>
              <w:bottom w:val="nil"/>
            </w:tcBorders>
          </w:tcPr>
          <w:p w14:paraId="0071D8CA" w14:textId="77777777" w:rsidR="00BC72EA" w:rsidRDefault="00BC72EA" w:rsidP="00BC72EA">
            <w:pPr>
              <w:pStyle w:val="051Tabletext228pt"/>
            </w:pPr>
          </w:p>
        </w:tc>
      </w:tr>
      <w:tr w:rsidR="00BC72EA" w14:paraId="72C38FCC" w14:textId="77777777" w:rsidTr="002D4A01">
        <w:tc>
          <w:tcPr>
            <w:tcW w:w="1701" w:type="dxa"/>
            <w:tcBorders>
              <w:top w:val="nil"/>
              <w:bottom w:val="dotted" w:sz="4" w:space="0" w:color="auto"/>
            </w:tcBorders>
          </w:tcPr>
          <w:p w14:paraId="1F5216CF" w14:textId="77777777" w:rsidR="00BC72EA" w:rsidRDefault="00BC72EA" w:rsidP="00BC72EA">
            <w:pPr>
              <w:pStyle w:val="051Tabletext228pt"/>
            </w:pPr>
          </w:p>
        </w:tc>
        <w:tc>
          <w:tcPr>
            <w:tcW w:w="4962" w:type="dxa"/>
            <w:tcBorders>
              <w:top w:val="dotted" w:sz="4" w:space="0" w:color="auto"/>
              <w:bottom w:val="dotted" w:sz="4" w:space="0" w:color="auto"/>
            </w:tcBorders>
          </w:tcPr>
          <w:p w14:paraId="2B41D253" w14:textId="3910BD9A" w:rsidR="00BC72EA" w:rsidRDefault="00BC72EA" w:rsidP="00BC72EA">
            <w:pPr>
              <w:pStyle w:val="051Tabletext228pt"/>
            </w:pPr>
            <w:r w:rsidRPr="008D4200">
              <w:t>Swedish Council on Technology Assessment in Health Care (SBU)  </w:t>
            </w:r>
          </w:p>
        </w:tc>
        <w:tc>
          <w:tcPr>
            <w:tcW w:w="1134" w:type="dxa"/>
            <w:tcBorders>
              <w:top w:val="nil"/>
              <w:bottom w:val="nil"/>
            </w:tcBorders>
          </w:tcPr>
          <w:p w14:paraId="172E8CCD" w14:textId="77777777" w:rsidR="00BC72EA" w:rsidRDefault="00BC72EA" w:rsidP="00BC72EA">
            <w:pPr>
              <w:pStyle w:val="051Tabletext228pt"/>
            </w:pPr>
          </w:p>
        </w:tc>
        <w:tc>
          <w:tcPr>
            <w:tcW w:w="1841" w:type="dxa"/>
            <w:tcBorders>
              <w:top w:val="nil"/>
              <w:bottom w:val="nil"/>
            </w:tcBorders>
          </w:tcPr>
          <w:p w14:paraId="6FDC555C" w14:textId="77777777" w:rsidR="00BC72EA" w:rsidRDefault="00BC72EA" w:rsidP="00BC72EA">
            <w:pPr>
              <w:pStyle w:val="051Tabletext228pt"/>
            </w:pPr>
          </w:p>
        </w:tc>
      </w:tr>
      <w:tr w:rsidR="00BC72EA" w14:paraId="0FE44554" w14:textId="77777777" w:rsidTr="002D4A01">
        <w:tc>
          <w:tcPr>
            <w:tcW w:w="1701" w:type="dxa"/>
            <w:tcBorders>
              <w:top w:val="dotted" w:sz="4" w:space="0" w:color="auto"/>
              <w:bottom w:val="nil"/>
            </w:tcBorders>
          </w:tcPr>
          <w:p w14:paraId="317A0232" w14:textId="53857D09" w:rsidR="00BC72EA" w:rsidRPr="00C63AEA" w:rsidRDefault="00C63AEA" w:rsidP="00C63AEA">
            <w:pPr>
              <w:pStyle w:val="051Tabletext228pt"/>
              <w:jc w:val="right"/>
              <w:rPr>
                <w:i/>
                <w:iCs/>
              </w:rPr>
            </w:pPr>
            <w:r>
              <w:rPr>
                <w:i/>
                <w:iCs/>
              </w:rPr>
              <w:t>UK</w:t>
            </w:r>
          </w:p>
        </w:tc>
        <w:tc>
          <w:tcPr>
            <w:tcW w:w="4962" w:type="dxa"/>
            <w:tcBorders>
              <w:top w:val="dotted" w:sz="4" w:space="0" w:color="auto"/>
              <w:bottom w:val="dotted" w:sz="4" w:space="0" w:color="auto"/>
            </w:tcBorders>
          </w:tcPr>
          <w:p w14:paraId="30B314DA" w14:textId="524691B0" w:rsidR="00BC72EA" w:rsidRDefault="00BC72EA" w:rsidP="00BC72EA">
            <w:pPr>
              <w:pStyle w:val="051Tabletext228pt"/>
            </w:pPr>
            <w:r w:rsidRPr="008D4200">
              <w:t>National Health Service Health Technology Assessment (UK) / National Coordinating Centre for Health Technology Assessment (NCCHTA)  </w:t>
            </w:r>
          </w:p>
        </w:tc>
        <w:tc>
          <w:tcPr>
            <w:tcW w:w="1134" w:type="dxa"/>
            <w:tcBorders>
              <w:top w:val="nil"/>
              <w:bottom w:val="nil"/>
            </w:tcBorders>
          </w:tcPr>
          <w:p w14:paraId="6133BD1E" w14:textId="77777777" w:rsidR="00BC72EA" w:rsidRDefault="00BC72EA" w:rsidP="00BC72EA">
            <w:pPr>
              <w:pStyle w:val="051Tabletext228pt"/>
            </w:pPr>
          </w:p>
        </w:tc>
        <w:tc>
          <w:tcPr>
            <w:tcW w:w="1841" w:type="dxa"/>
            <w:tcBorders>
              <w:top w:val="nil"/>
              <w:bottom w:val="nil"/>
            </w:tcBorders>
          </w:tcPr>
          <w:p w14:paraId="18EB2482" w14:textId="77777777" w:rsidR="00BC72EA" w:rsidRDefault="00BC72EA" w:rsidP="00BC72EA">
            <w:pPr>
              <w:pStyle w:val="051Tabletext228pt"/>
            </w:pPr>
          </w:p>
        </w:tc>
      </w:tr>
      <w:tr w:rsidR="00BC72EA" w14:paraId="57F6BB34" w14:textId="77777777" w:rsidTr="00AB236F">
        <w:tc>
          <w:tcPr>
            <w:tcW w:w="1701" w:type="dxa"/>
            <w:tcBorders>
              <w:top w:val="nil"/>
              <w:bottom w:val="nil"/>
            </w:tcBorders>
          </w:tcPr>
          <w:p w14:paraId="24FD0B5F" w14:textId="77777777" w:rsidR="00BC72EA" w:rsidRDefault="00BC72EA" w:rsidP="00BC72EA">
            <w:pPr>
              <w:pStyle w:val="051Tabletext228pt"/>
            </w:pPr>
          </w:p>
        </w:tc>
        <w:tc>
          <w:tcPr>
            <w:tcW w:w="4962" w:type="dxa"/>
            <w:tcBorders>
              <w:top w:val="dotted" w:sz="4" w:space="0" w:color="auto"/>
              <w:bottom w:val="dotted" w:sz="4" w:space="0" w:color="auto"/>
            </w:tcBorders>
          </w:tcPr>
          <w:p w14:paraId="1AAA113B" w14:textId="784FF77B" w:rsidR="00BC72EA" w:rsidRDefault="00BC72EA" w:rsidP="00BC72EA">
            <w:pPr>
              <w:pStyle w:val="051Tabletext228pt"/>
            </w:pPr>
            <w:r w:rsidRPr="008D4200">
              <w:t>NHS Quality Improvement Scotland  </w:t>
            </w:r>
          </w:p>
        </w:tc>
        <w:tc>
          <w:tcPr>
            <w:tcW w:w="1134" w:type="dxa"/>
            <w:tcBorders>
              <w:top w:val="nil"/>
              <w:bottom w:val="nil"/>
            </w:tcBorders>
          </w:tcPr>
          <w:p w14:paraId="0963D67C" w14:textId="77777777" w:rsidR="00BC72EA" w:rsidRDefault="00BC72EA" w:rsidP="00BC72EA">
            <w:pPr>
              <w:pStyle w:val="051Tabletext228pt"/>
            </w:pPr>
          </w:p>
        </w:tc>
        <w:tc>
          <w:tcPr>
            <w:tcW w:w="1841" w:type="dxa"/>
            <w:tcBorders>
              <w:top w:val="nil"/>
              <w:bottom w:val="nil"/>
            </w:tcBorders>
          </w:tcPr>
          <w:p w14:paraId="5628028D" w14:textId="77777777" w:rsidR="00BC72EA" w:rsidRDefault="00BC72EA" w:rsidP="00BC72EA">
            <w:pPr>
              <w:pStyle w:val="051Tabletext228pt"/>
            </w:pPr>
          </w:p>
        </w:tc>
      </w:tr>
      <w:tr w:rsidR="00BC72EA" w14:paraId="3D337C37" w14:textId="77777777" w:rsidTr="00AB236F">
        <w:tc>
          <w:tcPr>
            <w:tcW w:w="1701" w:type="dxa"/>
            <w:tcBorders>
              <w:top w:val="nil"/>
              <w:bottom w:val="nil"/>
            </w:tcBorders>
          </w:tcPr>
          <w:p w14:paraId="4B5AC325" w14:textId="77777777" w:rsidR="00BC72EA" w:rsidRDefault="00BC72EA" w:rsidP="00BC72EA">
            <w:pPr>
              <w:pStyle w:val="051Tabletext228pt"/>
            </w:pPr>
          </w:p>
        </w:tc>
        <w:tc>
          <w:tcPr>
            <w:tcW w:w="4962" w:type="dxa"/>
            <w:tcBorders>
              <w:top w:val="dotted" w:sz="4" w:space="0" w:color="auto"/>
              <w:bottom w:val="dotted" w:sz="4" w:space="0" w:color="auto"/>
            </w:tcBorders>
          </w:tcPr>
          <w:p w14:paraId="73FD4378" w14:textId="2ED63520" w:rsidR="00BC72EA" w:rsidRDefault="00BC72EA" w:rsidP="00BC72EA">
            <w:pPr>
              <w:pStyle w:val="051Tabletext228pt"/>
            </w:pPr>
            <w:r w:rsidRPr="008D4200">
              <w:t>The European Information Network on New and Changing Health Technologies </w:t>
            </w:r>
          </w:p>
        </w:tc>
        <w:tc>
          <w:tcPr>
            <w:tcW w:w="1134" w:type="dxa"/>
            <w:tcBorders>
              <w:top w:val="nil"/>
              <w:bottom w:val="nil"/>
            </w:tcBorders>
          </w:tcPr>
          <w:p w14:paraId="56125B69" w14:textId="77777777" w:rsidR="00BC72EA" w:rsidRDefault="00BC72EA" w:rsidP="00BC72EA">
            <w:pPr>
              <w:pStyle w:val="051Tabletext228pt"/>
            </w:pPr>
          </w:p>
        </w:tc>
        <w:tc>
          <w:tcPr>
            <w:tcW w:w="1841" w:type="dxa"/>
            <w:tcBorders>
              <w:top w:val="nil"/>
              <w:bottom w:val="nil"/>
            </w:tcBorders>
          </w:tcPr>
          <w:p w14:paraId="1949BF10" w14:textId="77777777" w:rsidR="00BC72EA" w:rsidRDefault="00BC72EA" w:rsidP="00BC72EA">
            <w:pPr>
              <w:pStyle w:val="051Tabletext228pt"/>
            </w:pPr>
          </w:p>
        </w:tc>
      </w:tr>
      <w:tr w:rsidR="00BC72EA" w14:paraId="06E0287D" w14:textId="77777777" w:rsidTr="002D4A01">
        <w:tc>
          <w:tcPr>
            <w:tcW w:w="1701" w:type="dxa"/>
            <w:tcBorders>
              <w:top w:val="nil"/>
              <w:bottom w:val="dotted" w:sz="4" w:space="0" w:color="auto"/>
            </w:tcBorders>
          </w:tcPr>
          <w:p w14:paraId="51321A9B" w14:textId="77777777" w:rsidR="00BC72EA" w:rsidRDefault="00BC72EA" w:rsidP="00BC72EA">
            <w:pPr>
              <w:pStyle w:val="051Tabletext228pt"/>
            </w:pPr>
          </w:p>
        </w:tc>
        <w:tc>
          <w:tcPr>
            <w:tcW w:w="4962" w:type="dxa"/>
            <w:tcBorders>
              <w:top w:val="dotted" w:sz="4" w:space="0" w:color="auto"/>
              <w:bottom w:val="dotted" w:sz="4" w:space="0" w:color="auto"/>
            </w:tcBorders>
          </w:tcPr>
          <w:p w14:paraId="0A338B52" w14:textId="6AC0E7CF" w:rsidR="00BC72EA" w:rsidRDefault="00BC72EA" w:rsidP="00BC72EA">
            <w:pPr>
              <w:pStyle w:val="051Tabletext228pt"/>
            </w:pPr>
            <w:r w:rsidRPr="008D4200">
              <w:t>University of York NHS Centre for Reviews and Dissemination (NHS CRD)  </w:t>
            </w:r>
          </w:p>
        </w:tc>
        <w:tc>
          <w:tcPr>
            <w:tcW w:w="1134" w:type="dxa"/>
            <w:tcBorders>
              <w:top w:val="nil"/>
              <w:bottom w:val="nil"/>
            </w:tcBorders>
          </w:tcPr>
          <w:p w14:paraId="7674888D" w14:textId="77777777" w:rsidR="00BC72EA" w:rsidRDefault="00BC72EA" w:rsidP="00BC72EA">
            <w:pPr>
              <w:pStyle w:val="051Tabletext228pt"/>
            </w:pPr>
          </w:p>
        </w:tc>
        <w:tc>
          <w:tcPr>
            <w:tcW w:w="1841" w:type="dxa"/>
            <w:tcBorders>
              <w:top w:val="nil"/>
              <w:bottom w:val="nil"/>
            </w:tcBorders>
          </w:tcPr>
          <w:p w14:paraId="6FA7792A" w14:textId="77777777" w:rsidR="00BC72EA" w:rsidRDefault="00BC72EA" w:rsidP="00BC72EA">
            <w:pPr>
              <w:pStyle w:val="051Tabletext228pt"/>
            </w:pPr>
          </w:p>
        </w:tc>
      </w:tr>
      <w:tr w:rsidR="00BC72EA" w14:paraId="59160BD4" w14:textId="77777777" w:rsidTr="002D4A01">
        <w:tc>
          <w:tcPr>
            <w:tcW w:w="1701" w:type="dxa"/>
            <w:tcBorders>
              <w:top w:val="dotted" w:sz="4" w:space="0" w:color="auto"/>
              <w:bottom w:val="nil"/>
            </w:tcBorders>
          </w:tcPr>
          <w:p w14:paraId="374F7F8E" w14:textId="64B63B54" w:rsidR="00BC72EA" w:rsidRPr="00DE774B" w:rsidRDefault="00DE774B" w:rsidP="00DE774B">
            <w:pPr>
              <w:pStyle w:val="051Tabletext228pt"/>
              <w:jc w:val="right"/>
              <w:rPr>
                <w:i/>
                <w:iCs/>
              </w:rPr>
            </w:pPr>
            <w:r>
              <w:rPr>
                <w:i/>
                <w:iCs/>
              </w:rPr>
              <w:t>USA</w:t>
            </w:r>
          </w:p>
        </w:tc>
        <w:tc>
          <w:tcPr>
            <w:tcW w:w="4962" w:type="dxa"/>
            <w:tcBorders>
              <w:top w:val="dotted" w:sz="4" w:space="0" w:color="auto"/>
              <w:bottom w:val="dotted" w:sz="4" w:space="0" w:color="auto"/>
            </w:tcBorders>
          </w:tcPr>
          <w:p w14:paraId="7FDD453F" w14:textId="0589F294" w:rsidR="00BC72EA" w:rsidRDefault="00BC72EA" w:rsidP="00BC72EA">
            <w:pPr>
              <w:pStyle w:val="051Tabletext228pt"/>
            </w:pPr>
            <w:r w:rsidRPr="008D4200">
              <w:t>Agency for Healthcare Research and Quality (AHRQ)  </w:t>
            </w:r>
          </w:p>
        </w:tc>
        <w:tc>
          <w:tcPr>
            <w:tcW w:w="1134" w:type="dxa"/>
            <w:tcBorders>
              <w:top w:val="nil"/>
              <w:bottom w:val="nil"/>
            </w:tcBorders>
          </w:tcPr>
          <w:p w14:paraId="66B679D8" w14:textId="77777777" w:rsidR="00BC72EA" w:rsidRDefault="00BC72EA" w:rsidP="00BC72EA">
            <w:pPr>
              <w:pStyle w:val="051Tabletext228pt"/>
            </w:pPr>
          </w:p>
        </w:tc>
        <w:tc>
          <w:tcPr>
            <w:tcW w:w="1841" w:type="dxa"/>
            <w:tcBorders>
              <w:top w:val="nil"/>
              <w:bottom w:val="nil"/>
            </w:tcBorders>
          </w:tcPr>
          <w:p w14:paraId="016D4C55" w14:textId="77777777" w:rsidR="00BC72EA" w:rsidRDefault="00BC72EA" w:rsidP="00BC72EA">
            <w:pPr>
              <w:pStyle w:val="051Tabletext228pt"/>
            </w:pPr>
          </w:p>
        </w:tc>
      </w:tr>
      <w:tr w:rsidR="00BC72EA" w14:paraId="35BD2718" w14:textId="77777777" w:rsidTr="00AB236F">
        <w:tc>
          <w:tcPr>
            <w:tcW w:w="1701" w:type="dxa"/>
            <w:tcBorders>
              <w:top w:val="nil"/>
              <w:bottom w:val="nil"/>
            </w:tcBorders>
          </w:tcPr>
          <w:p w14:paraId="068253EF" w14:textId="77777777" w:rsidR="00BC72EA" w:rsidRDefault="00BC72EA" w:rsidP="00BC72EA">
            <w:pPr>
              <w:pStyle w:val="051Tabletext228pt"/>
            </w:pPr>
          </w:p>
        </w:tc>
        <w:tc>
          <w:tcPr>
            <w:tcW w:w="4962" w:type="dxa"/>
            <w:tcBorders>
              <w:top w:val="dotted" w:sz="4" w:space="0" w:color="auto"/>
              <w:bottom w:val="dotted" w:sz="4" w:space="0" w:color="auto"/>
            </w:tcBorders>
          </w:tcPr>
          <w:p w14:paraId="50DAA382" w14:textId="182BCD58" w:rsidR="00BC72EA" w:rsidRDefault="00BC72EA" w:rsidP="00BC72EA">
            <w:pPr>
              <w:pStyle w:val="051Tabletext228pt"/>
            </w:pPr>
            <w:r w:rsidRPr="008D4200">
              <w:t>Harvard School of Public Health </w:t>
            </w:r>
          </w:p>
        </w:tc>
        <w:tc>
          <w:tcPr>
            <w:tcW w:w="1134" w:type="dxa"/>
            <w:tcBorders>
              <w:top w:val="nil"/>
              <w:bottom w:val="nil"/>
            </w:tcBorders>
          </w:tcPr>
          <w:p w14:paraId="6EBF8818" w14:textId="77777777" w:rsidR="00BC72EA" w:rsidRDefault="00BC72EA" w:rsidP="00BC72EA">
            <w:pPr>
              <w:pStyle w:val="051Tabletext228pt"/>
            </w:pPr>
          </w:p>
        </w:tc>
        <w:tc>
          <w:tcPr>
            <w:tcW w:w="1841" w:type="dxa"/>
            <w:tcBorders>
              <w:top w:val="nil"/>
              <w:bottom w:val="nil"/>
            </w:tcBorders>
          </w:tcPr>
          <w:p w14:paraId="44D4E0B4" w14:textId="77777777" w:rsidR="00BC72EA" w:rsidRDefault="00BC72EA" w:rsidP="00BC72EA">
            <w:pPr>
              <w:pStyle w:val="051Tabletext228pt"/>
            </w:pPr>
          </w:p>
        </w:tc>
      </w:tr>
      <w:tr w:rsidR="00BC72EA" w14:paraId="539CFB78" w14:textId="77777777" w:rsidTr="00AB236F">
        <w:tc>
          <w:tcPr>
            <w:tcW w:w="1701" w:type="dxa"/>
            <w:tcBorders>
              <w:top w:val="nil"/>
              <w:bottom w:val="nil"/>
            </w:tcBorders>
          </w:tcPr>
          <w:p w14:paraId="0B875FC9" w14:textId="77777777" w:rsidR="00BC72EA" w:rsidRDefault="00BC72EA" w:rsidP="00BC72EA">
            <w:pPr>
              <w:pStyle w:val="051Tabletext228pt"/>
            </w:pPr>
          </w:p>
        </w:tc>
        <w:tc>
          <w:tcPr>
            <w:tcW w:w="4962" w:type="dxa"/>
            <w:tcBorders>
              <w:top w:val="dotted" w:sz="4" w:space="0" w:color="auto"/>
              <w:bottom w:val="dotted" w:sz="4" w:space="0" w:color="auto"/>
            </w:tcBorders>
          </w:tcPr>
          <w:p w14:paraId="63725FFC" w14:textId="460819BC" w:rsidR="00BC72EA" w:rsidRDefault="00BC72EA" w:rsidP="00BC72EA">
            <w:pPr>
              <w:pStyle w:val="051Tabletext228pt"/>
            </w:pPr>
            <w:r w:rsidRPr="008D4200">
              <w:t>Institute for Clinical and Economic Review </w:t>
            </w:r>
          </w:p>
        </w:tc>
        <w:tc>
          <w:tcPr>
            <w:tcW w:w="1134" w:type="dxa"/>
            <w:tcBorders>
              <w:top w:val="nil"/>
              <w:bottom w:val="nil"/>
            </w:tcBorders>
          </w:tcPr>
          <w:p w14:paraId="35D928B4" w14:textId="77777777" w:rsidR="00BC72EA" w:rsidRDefault="00BC72EA" w:rsidP="00BC72EA">
            <w:pPr>
              <w:pStyle w:val="051Tabletext228pt"/>
            </w:pPr>
          </w:p>
        </w:tc>
        <w:tc>
          <w:tcPr>
            <w:tcW w:w="1841" w:type="dxa"/>
            <w:tcBorders>
              <w:top w:val="nil"/>
              <w:bottom w:val="nil"/>
            </w:tcBorders>
          </w:tcPr>
          <w:p w14:paraId="66FB5948" w14:textId="77777777" w:rsidR="00BC72EA" w:rsidRDefault="00BC72EA" w:rsidP="00BC72EA">
            <w:pPr>
              <w:pStyle w:val="051Tabletext228pt"/>
            </w:pPr>
          </w:p>
        </w:tc>
      </w:tr>
      <w:tr w:rsidR="00BC72EA" w14:paraId="1171FD15" w14:textId="77777777" w:rsidTr="00AB236F">
        <w:tc>
          <w:tcPr>
            <w:tcW w:w="1701" w:type="dxa"/>
            <w:tcBorders>
              <w:top w:val="nil"/>
              <w:bottom w:val="nil"/>
            </w:tcBorders>
          </w:tcPr>
          <w:p w14:paraId="5E0A5CFD" w14:textId="77777777" w:rsidR="00BC72EA" w:rsidRDefault="00BC72EA" w:rsidP="00BC72EA">
            <w:pPr>
              <w:pStyle w:val="051Tabletext228pt"/>
            </w:pPr>
          </w:p>
        </w:tc>
        <w:tc>
          <w:tcPr>
            <w:tcW w:w="4962" w:type="dxa"/>
            <w:tcBorders>
              <w:top w:val="dotted" w:sz="4" w:space="0" w:color="auto"/>
              <w:bottom w:val="dotted" w:sz="4" w:space="0" w:color="auto"/>
            </w:tcBorders>
          </w:tcPr>
          <w:p w14:paraId="4E9E4E52" w14:textId="0E397B7F" w:rsidR="00BC72EA" w:rsidRDefault="00BC72EA" w:rsidP="00BC72EA">
            <w:pPr>
              <w:pStyle w:val="051Tabletext228pt"/>
            </w:pPr>
            <w:r w:rsidRPr="008D4200">
              <w:t>Minnesota Department of Health (US) </w:t>
            </w:r>
          </w:p>
        </w:tc>
        <w:tc>
          <w:tcPr>
            <w:tcW w:w="1134" w:type="dxa"/>
            <w:tcBorders>
              <w:top w:val="nil"/>
              <w:bottom w:val="nil"/>
            </w:tcBorders>
          </w:tcPr>
          <w:p w14:paraId="2A2F75A9" w14:textId="77777777" w:rsidR="00BC72EA" w:rsidRDefault="00BC72EA" w:rsidP="00BC72EA">
            <w:pPr>
              <w:pStyle w:val="051Tabletext228pt"/>
            </w:pPr>
          </w:p>
        </w:tc>
        <w:tc>
          <w:tcPr>
            <w:tcW w:w="1841" w:type="dxa"/>
            <w:tcBorders>
              <w:top w:val="nil"/>
              <w:bottom w:val="nil"/>
            </w:tcBorders>
          </w:tcPr>
          <w:p w14:paraId="79C18E03" w14:textId="77777777" w:rsidR="00BC72EA" w:rsidRDefault="00BC72EA" w:rsidP="00BC72EA">
            <w:pPr>
              <w:pStyle w:val="051Tabletext228pt"/>
            </w:pPr>
          </w:p>
        </w:tc>
      </w:tr>
      <w:tr w:rsidR="00BC72EA" w14:paraId="24D734CF" w14:textId="77777777" w:rsidTr="00AB236F">
        <w:tc>
          <w:tcPr>
            <w:tcW w:w="1701" w:type="dxa"/>
            <w:tcBorders>
              <w:top w:val="nil"/>
              <w:bottom w:val="nil"/>
            </w:tcBorders>
          </w:tcPr>
          <w:p w14:paraId="059F09B1" w14:textId="77777777" w:rsidR="00BC72EA" w:rsidRDefault="00BC72EA" w:rsidP="00BC72EA">
            <w:pPr>
              <w:pStyle w:val="051Tabletext228pt"/>
            </w:pPr>
          </w:p>
        </w:tc>
        <w:tc>
          <w:tcPr>
            <w:tcW w:w="4962" w:type="dxa"/>
            <w:tcBorders>
              <w:top w:val="dotted" w:sz="4" w:space="0" w:color="auto"/>
              <w:bottom w:val="dotted" w:sz="4" w:space="0" w:color="auto"/>
            </w:tcBorders>
          </w:tcPr>
          <w:p w14:paraId="41438765" w14:textId="4E43697D" w:rsidR="00BC72EA" w:rsidRDefault="00BC72EA" w:rsidP="00BC72EA">
            <w:pPr>
              <w:pStyle w:val="051Tabletext228pt"/>
            </w:pPr>
            <w:r w:rsidRPr="008D4200">
              <w:t>National Information Centre of Health Services Research and Health Care Technology (US) </w:t>
            </w:r>
          </w:p>
        </w:tc>
        <w:tc>
          <w:tcPr>
            <w:tcW w:w="1134" w:type="dxa"/>
            <w:tcBorders>
              <w:top w:val="nil"/>
              <w:bottom w:val="nil"/>
            </w:tcBorders>
          </w:tcPr>
          <w:p w14:paraId="56ADFB17" w14:textId="77777777" w:rsidR="00BC72EA" w:rsidRDefault="00BC72EA" w:rsidP="00BC72EA">
            <w:pPr>
              <w:pStyle w:val="051Tabletext228pt"/>
            </w:pPr>
          </w:p>
        </w:tc>
        <w:tc>
          <w:tcPr>
            <w:tcW w:w="1841" w:type="dxa"/>
            <w:tcBorders>
              <w:top w:val="nil"/>
              <w:bottom w:val="nil"/>
            </w:tcBorders>
          </w:tcPr>
          <w:p w14:paraId="6B86938B" w14:textId="77777777" w:rsidR="00BC72EA" w:rsidRDefault="00BC72EA" w:rsidP="00BC72EA">
            <w:pPr>
              <w:pStyle w:val="051Tabletext228pt"/>
            </w:pPr>
          </w:p>
        </w:tc>
      </w:tr>
      <w:tr w:rsidR="00BC72EA" w14:paraId="5422AD72" w14:textId="77777777" w:rsidTr="00AB236F">
        <w:tc>
          <w:tcPr>
            <w:tcW w:w="1701" w:type="dxa"/>
            <w:tcBorders>
              <w:top w:val="nil"/>
              <w:bottom w:val="nil"/>
            </w:tcBorders>
          </w:tcPr>
          <w:p w14:paraId="6D8D4D7A" w14:textId="77777777" w:rsidR="00BC72EA" w:rsidRDefault="00BC72EA" w:rsidP="00BC72EA">
            <w:pPr>
              <w:pStyle w:val="051Tabletext228pt"/>
            </w:pPr>
          </w:p>
        </w:tc>
        <w:tc>
          <w:tcPr>
            <w:tcW w:w="4962" w:type="dxa"/>
            <w:tcBorders>
              <w:top w:val="dotted" w:sz="4" w:space="0" w:color="auto"/>
              <w:bottom w:val="dotted" w:sz="4" w:space="0" w:color="auto"/>
            </w:tcBorders>
          </w:tcPr>
          <w:p w14:paraId="60E221D4" w14:textId="0B32BCA7" w:rsidR="00BC72EA" w:rsidRDefault="00BC72EA" w:rsidP="00BC72EA">
            <w:pPr>
              <w:pStyle w:val="051Tabletext228pt"/>
            </w:pPr>
            <w:r w:rsidRPr="008D4200">
              <w:t xml:space="preserve">U.S. Blue Cross / Blue Shield Association Technology Evaluation </w:t>
            </w:r>
            <w:proofErr w:type="spellStart"/>
            <w:r w:rsidRPr="008D4200">
              <w:t>Center</w:t>
            </w:r>
            <w:proofErr w:type="spellEnd"/>
            <w:r w:rsidRPr="008D4200">
              <w:t xml:space="preserve"> (Tec) </w:t>
            </w:r>
          </w:p>
        </w:tc>
        <w:tc>
          <w:tcPr>
            <w:tcW w:w="1134" w:type="dxa"/>
            <w:tcBorders>
              <w:top w:val="nil"/>
              <w:bottom w:val="nil"/>
            </w:tcBorders>
          </w:tcPr>
          <w:p w14:paraId="5E389A0E" w14:textId="77777777" w:rsidR="00BC72EA" w:rsidRDefault="00BC72EA" w:rsidP="00BC72EA">
            <w:pPr>
              <w:pStyle w:val="051Tabletext228pt"/>
            </w:pPr>
          </w:p>
        </w:tc>
        <w:tc>
          <w:tcPr>
            <w:tcW w:w="1841" w:type="dxa"/>
            <w:tcBorders>
              <w:top w:val="nil"/>
              <w:bottom w:val="nil"/>
            </w:tcBorders>
          </w:tcPr>
          <w:p w14:paraId="3C7AF556" w14:textId="77777777" w:rsidR="00BC72EA" w:rsidRDefault="00BC72EA" w:rsidP="00BC72EA">
            <w:pPr>
              <w:pStyle w:val="051Tabletext228pt"/>
            </w:pPr>
          </w:p>
        </w:tc>
      </w:tr>
      <w:tr w:rsidR="00BC72EA" w14:paraId="32FD4B64" w14:textId="77777777" w:rsidTr="009E2CBA">
        <w:tc>
          <w:tcPr>
            <w:tcW w:w="1701" w:type="dxa"/>
            <w:tcBorders>
              <w:top w:val="nil"/>
              <w:bottom w:val="single" w:sz="4" w:space="0" w:color="auto"/>
            </w:tcBorders>
          </w:tcPr>
          <w:p w14:paraId="03B55538" w14:textId="77777777" w:rsidR="00BC72EA" w:rsidRDefault="00BC72EA" w:rsidP="00BC72EA">
            <w:pPr>
              <w:pStyle w:val="051Tabletext228pt"/>
            </w:pPr>
          </w:p>
        </w:tc>
        <w:tc>
          <w:tcPr>
            <w:tcW w:w="4962" w:type="dxa"/>
            <w:tcBorders>
              <w:top w:val="dotted" w:sz="4" w:space="0" w:color="auto"/>
              <w:bottom w:val="single" w:sz="4" w:space="0" w:color="auto"/>
            </w:tcBorders>
          </w:tcPr>
          <w:p w14:paraId="5E930601" w14:textId="347BF6C9" w:rsidR="00BC72EA" w:rsidRDefault="00BC72EA" w:rsidP="00BC72EA">
            <w:pPr>
              <w:pStyle w:val="051Tabletext228pt"/>
            </w:pPr>
            <w:r w:rsidRPr="008D4200">
              <w:t>Veteran’s Affairs Research and Development Technology Assessment Program (US) </w:t>
            </w:r>
          </w:p>
        </w:tc>
        <w:tc>
          <w:tcPr>
            <w:tcW w:w="1134" w:type="dxa"/>
            <w:tcBorders>
              <w:top w:val="nil"/>
              <w:bottom w:val="single" w:sz="4" w:space="0" w:color="auto"/>
            </w:tcBorders>
          </w:tcPr>
          <w:p w14:paraId="495A4B33" w14:textId="77777777" w:rsidR="00BC72EA" w:rsidRDefault="00BC72EA" w:rsidP="00BC72EA">
            <w:pPr>
              <w:pStyle w:val="051Tabletext228pt"/>
            </w:pPr>
          </w:p>
        </w:tc>
        <w:tc>
          <w:tcPr>
            <w:tcW w:w="1841" w:type="dxa"/>
            <w:tcBorders>
              <w:top w:val="nil"/>
              <w:bottom w:val="single" w:sz="4" w:space="0" w:color="auto"/>
            </w:tcBorders>
          </w:tcPr>
          <w:p w14:paraId="2803C084" w14:textId="77777777" w:rsidR="00BC72EA" w:rsidRDefault="00BC72EA" w:rsidP="00BC72EA">
            <w:pPr>
              <w:pStyle w:val="051Tabletext228pt"/>
            </w:pPr>
          </w:p>
        </w:tc>
      </w:tr>
      <w:tr w:rsidR="00431DD6" w14:paraId="12ADF663" w14:textId="77777777" w:rsidTr="009111E8">
        <w:tc>
          <w:tcPr>
            <w:tcW w:w="0" w:type="dxa"/>
            <w:tcBorders>
              <w:top w:val="single" w:sz="4" w:space="0" w:color="auto"/>
              <w:bottom w:val="nil"/>
            </w:tcBorders>
          </w:tcPr>
          <w:p w14:paraId="088E0D0F" w14:textId="6A16027A" w:rsidR="00431DD6" w:rsidRDefault="00431DD6" w:rsidP="00BC72EA">
            <w:pPr>
              <w:pStyle w:val="051Tabletext228pt"/>
            </w:pPr>
            <w:r>
              <w:t>Clinical trials registries</w:t>
            </w:r>
          </w:p>
        </w:tc>
        <w:tc>
          <w:tcPr>
            <w:tcW w:w="0" w:type="dxa"/>
            <w:tcBorders>
              <w:top w:val="single" w:sz="4" w:space="0" w:color="auto"/>
              <w:bottom w:val="dotted" w:sz="4" w:space="0" w:color="auto"/>
            </w:tcBorders>
          </w:tcPr>
          <w:p w14:paraId="4C97A8A1" w14:textId="0EC971A1" w:rsidR="00431DD6" w:rsidRPr="008D4200" w:rsidRDefault="009E2CBA" w:rsidP="00BC72EA">
            <w:pPr>
              <w:pStyle w:val="051Tabletext228pt"/>
            </w:pPr>
            <w:r>
              <w:t>ClinicalTrials.gov</w:t>
            </w:r>
          </w:p>
        </w:tc>
        <w:tc>
          <w:tcPr>
            <w:tcW w:w="0" w:type="dxa"/>
            <w:tcBorders>
              <w:top w:val="single" w:sz="4" w:space="0" w:color="auto"/>
              <w:bottom w:val="nil"/>
            </w:tcBorders>
          </w:tcPr>
          <w:p w14:paraId="712CFA75" w14:textId="2919CAC2" w:rsidR="00431DD6" w:rsidRDefault="00773FE5" w:rsidP="00BC72EA">
            <w:pPr>
              <w:pStyle w:val="051Tabletext228pt"/>
            </w:pPr>
            <w:r>
              <w:t>No limit</w:t>
            </w:r>
          </w:p>
        </w:tc>
        <w:tc>
          <w:tcPr>
            <w:tcW w:w="0" w:type="dxa"/>
            <w:tcBorders>
              <w:top w:val="single" w:sz="4" w:space="0" w:color="auto"/>
              <w:bottom w:val="nil"/>
            </w:tcBorders>
          </w:tcPr>
          <w:p w14:paraId="65914FC4" w14:textId="0DC08821" w:rsidR="00431DD6" w:rsidRDefault="00773FE5" w:rsidP="00BC72EA">
            <w:pPr>
              <w:pStyle w:val="051Tabletext228pt"/>
            </w:pPr>
            <w:r>
              <w:t>Spinal cord stimulation</w:t>
            </w:r>
          </w:p>
        </w:tc>
      </w:tr>
      <w:tr w:rsidR="009E2CBA" w14:paraId="1EF40145" w14:textId="77777777" w:rsidTr="009111E8">
        <w:tc>
          <w:tcPr>
            <w:tcW w:w="0" w:type="dxa"/>
            <w:tcBorders>
              <w:top w:val="nil"/>
            </w:tcBorders>
          </w:tcPr>
          <w:p w14:paraId="4D2CA67C" w14:textId="77777777" w:rsidR="009E2CBA" w:rsidRDefault="009E2CBA" w:rsidP="00BC72EA">
            <w:pPr>
              <w:pStyle w:val="051Tabletext228pt"/>
            </w:pPr>
          </w:p>
        </w:tc>
        <w:tc>
          <w:tcPr>
            <w:tcW w:w="0" w:type="dxa"/>
            <w:tcBorders>
              <w:top w:val="dotted" w:sz="4" w:space="0" w:color="auto"/>
            </w:tcBorders>
          </w:tcPr>
          <w:p w14:paraId="44FBB695" w14:textId="0D6100F2" w:rsidR="009E2CBA" w:rsidRDefault="009E2CBA" w:rsidP="00BC72EA">
            <w:pPr>
              <w:pStyle w:val="051Tabletext228pt"/>
            </w:pPr>
            <w:r w:rsidRPr="009E2CBA">
              <w:t>Australian New Zealand Clinical Trials Registry</w:t>
            </w:r>
          </w:p>
        </w:tc>
        <w:tc>
          <w:tcPr>
            <w:tcW w:w="0" w:type="dxa"/>
            <w:tcBorders>
              <w:top w:val="nil"/>
            </w:tcBorders>
          </w:tcPr>
          <w:p w14:paraId="079850FE" w14:textId="77777777" w:rsidR="009E2CBA" w:rsidRDefault="009E2CBA" w:rsidP="00BC72EA">
            <w:pPr>
              <w:pStyle w:val="051Tabletext228pt"/>
            </w:pPr>
          </w:p>
        </w:tc>
        <w:tc>
          <w:tcPr>
            <w:tcW w:w="0" w:type="dxa"/>
            <w:tcBorders>
              <w:top w:val="nil"/>
            </w:tcBorders>
          </w:tcPr>
          <w:p w14:paraId="7967D219" w14:textId="457BB1FE" w:rsidR="009E2CBA" w:rsidRDefault="00773FE5" w:rsidP="00BC72EA">
            <w:pPr>
              <w:pStyle w:val="051Tabletext228pt"/>
            </w:pPr>
            <w:r>
              <w:t>Spinal cord stimulator</w:t>
            </w:r>
          </w:p>
        </w:tc>
      </w:tr>
    </w:tbl>
    <w:p w14:paraId="6EDEF9CF" w14:textId="57EAEEFB" w:rsidR="0038157B" w:rsidRDefault="00323C6B" w:rsidP="001A0A96">
      <w:pPr>
        <w:pStyle w:val="111Tablefootnoteslast-nostick8pt"/>
      </w:pPr>
      <w:r>
        <w:t>Abbreviations: HTA, health technology assessment</w:t>
      </w:r>
      <w:r w:rsidR="007915F8">
        <w:t>; SCS, spinal cord stimulation</w:t>
      </w:r>
    </w:p>
    <w:p w14:paraId="1E2FA964" w14:textId="2F509216" w:rsidR="00B34232" w:rsidRDefault="00F737B2" w:rsidP="001D268A">
      <w:pPr>
        <w:pStyle w:val="BodyText"/>
      </w:pPr>
      <w:r>
        <w:t xml:space="preserve">The search of the </w:t>
      </w:r>
      <w:proofErr w:type="spellStart"/>
      <w:r>
        <w:t>Epistemonikos</w:t>
      </w:r>
      <w:proofErr w:type="spellEnd"/>
      <w:r>
        <w:t xml:space="preserve"> database identified </w:t>
      </w:r>
      <w:r w:rsidR="005467AD">
        <w:t>224 potentially relevant systematic reviews</w:t>
      </w:r>
      <w:r w:rsidR="00D40610">
        <w:t>;</w:t>
      </w:r>
      <w:r w:rsidR="005467AD">
        <w:t xml:space="preserve"> </w:t>
      </w:r>
      <w:r w:rsidR="006616D4">
        <w:t xml:space="preserve">after screening the titles and abstracts, </w:t>
      </w:r>
      <w:r w:rsidR="00B807E9">
        <w:t xml:space="preserve">27 </w:t>
      </w:r>
      <w:r w:rsidR="006616D4">
        <w:t>potentially relevant studies</w:t>
      </w:r>
      <w:r w:rsidR="00B807E9">
        <w:t xml:space="preserve"> were identified. A further</w:t>
      </w:r>
      <w:r w:rsidR="003E07A3">
        <w:t xml:space="preserve"> four</w:t>
      </w:r>
      <w:r w:rsidR="00B807E9">
        <w:t xml:space="preserve"> HTAs were identified</w:t>
      </w:r>
      <w:r w:rsidR="005F79E4">
        <w:t xml:space="preserve"> in the sear</w:t>
      </w:r>
      <w:r w:rsidR="006A29BA">
        <w:t>ch</w:t>
      </w:r>
      <w:r w:rsidR="00B807E9">
        <w:t xml:space="preserve">. </w:t>
      </w:r>
      <w:r w:rsidR="00F60489">
        <w:t xml:space="preserve">No additional relevant studies were identified from documents supplied by </w:t>
      </w:r>
      <w:proofErr w:type="spellStart"/>
      <w:r w:rsidR="00F60489">
        <w:t>DoHA</w:t>
      </w:r>
      <w:r w:rsidR="00BC3156">
        <w:t>C</w:t>
      </w:r>
      <w:proofErr w:type="spellEnd"/>
      <w:r w:rsidR="003230BC">
        <w:t>,</w:t>
      </w:r>
      <w:r w:rsidR="00F60489">
        <w:t xml:space="preserve"> including a review of the TGA literature search.</w:t>
      </w:r>
      <w:r w:rsidR="006616D4">
        <w:t xml:space="preserve"> </w:t>
      </w:r>
      <w:r w:rsidR="00F60489">
        <w:t xml:space="preserve">The potentially relevant studies </w:t>
      </w:r>
      <w:r w:rsidR="003E07A3">
        <w:t>were screened</w:t>
      </w:r>
      <w:r w:rsidR="006616D4">
        <w:t xml:space="preserve"> in </w:t>
      </w:r>
      <w:r w:rsidR="003E07A3">
        <w:t>full text</w:t>
      </w:r>
      <w:r w:rsidR="00CA2295">
        <w:t>.</w:t>
      </w:r>
    </w:p>
    <w:p w14:paraId="4C700A6C" w14:textId="2C5AAEA6" w:rsidR="00082F4B" w:rsidRDefault="00B34232" w:rsidP="001D268A">
      <w:pPr>
        <w:pStyle w:val="BodyText"/>
      </w:pPr>
      <w:r>
        <w:t xml:space="preserve">O’Connell (2021) published by the Cochrane </w:t>
      </w:r>
      <w:r w:rsidR="0000753E">
        <w:t>C</w:t>
      </w:r>
      <w:r>
        <w:t>ollaboration was identified as the most recent, applicable, and comprehensive evidence source</w:t>
      </w:r>
      <w:r w:rsidR="00595EFD">
        <w:t>. During preparation of th</w:t>
      </w:r>
      <w:r w:rsidR="00FC172D">
        <w:t xml:space="preserve">is review, a second study published by the Cochrane </w:t>
      </w:r>
      <w:r w:rsidR="0000753E">
        <w:t>C</w:t>
      </w:r>
      <w:r w:rsidR="00FC172D">
        <w:t>ollaboration (Traeg</w:t>
      </w:r>
      <w:r w:rsidR="007A794A">
        <w:t>e</w:t>
      </w:r>
      <w:r w:rsidR="00FC172D">
        <w:t xml:space="preserve">r 2023) was published. </w:t>
      </w:r>
      <w:r w:rsidR="00114017">
        <w:t>T</w:t>
      </w:r>
      <w:r w:rsidR="00FC172D">
        <w:t xml:space="preserve">hese two </w:t>
      </w:r>
      <w:r w:rsidR="00FA4A26">
        <w:t>SRs</w:t>
      </w:r>
      <w:r w:rsidR="00FC172D">
        <w:t xml:space="preserve"> were selected as </w:t>
      </w:r>
      <w:r w:rsidR="002F2E32">
        <w:t>key studies</w:t>
      </w:r>
      <w:r w:rsidR="006255B2">
        <w:t xml:space="preserve"> for this review</w:t>
      </w:r>
      <w:r w:rsidR="00114017">
        <w:t>.</w:t>
      </w:r>
    </w:p>
    <w:p w14:paraId="16C695FE" w14:textId="561847B5" w:rsidR="003D08E9" w:rsidRDefault="00414747" w:rsidP="00B047C4">
      <w:pPr>
        <w:pStyle w:val="BodyText"/>
        <w:sectPr w:rsidR="003D08E9" w:rsidSect="000E0564">
          <w:type w:val="continuous"/>
          <w:pgSz w:w="11906" w:h="16838"/>
          <w:pgMar w:top="1134" w:right="1134" w:bottom="1134" w:left="1134" w:header="850" w:footer="709" w:gutter="0"/>
          <w:cols w:space="708"/>
          <w:docGrid w:linePitch="360"/>
        </w:sectPr>
      </w:pPr>
      <w:r>
        <w:t>The search of clinical trials registries</w:t>
      </w:r>
      <w:r w:rsidR="002550F5">
        <w:t xml:space="preserve"> identified </w:t>
      </w:r>
      <w:r w:rsidR="00671797">
        <w:t>nine</w:t>
      </w:r>
      <w:r w:rsidR="002550F5">
        <w:t xml:space="preserve"> ongoing RCTs that</w:t>
      </w:r>
      <w:r w:rsidR="00827F57">
        <w:t xml:space="preserve"> are relevant to this review (</w:t>
      </w:r>
      <w:r w:rsidR="0087063E">
        <w:rPr>
          <w:highlight w:val="yellow"/>
        </w:rPr>
        <w:fldChar w:fldCharType="begin"/>
      </w:r>
      <w:r w:rsidR="0087063E">
        <w:instrText xml:space="preserve"> REF _Ref135048213 \h </w:instrText>
      </w:r>
      <w:r w:rsidR="00B047C4">
        <w:rPr>
          <w:highlight w:val="yellow"/>
        </w:rPr>
        <w:instrText xml:space="preserve"> \* MERGEFORMAT </w:instrText>
      </w:r>
      <w:r w:rsidR="0087063E">
        <w:rPr>
          <w:highlight w:val="yellow"/>
        </w:rPr>
      </w:r>
      <w:r w:rsidR="0087063E">
        <w:rPr>
          <w:highlight w:val="yellow"/>
        </w:rPr>
        <w:fldChar w:fldCharType="separate"/>
      </w:r>
      <w:r w:rsidR="00CE6ACA">
        <w:t xml:space="preserve">Table App </w:t>
      </w:r>
      <w:r w:rsidR="00CE6ACA">
        <w:rPr>
          <w:noProof/>
        </w:rPr>
        <w:t>5</w:t>
      </w:r>
      <w:r w:rsidR="0087063E">
        <w:rPr>
          <w:highlight w:val="yellow"/>
        </w:rPr>
        <w:fldChar w:fldCharType="end"/>
      </w:r>
      <w:r w:rsidR="00827F57">
        <w:t>). An additional</w:t>
      </w:r>
      <w:r w:rsidR="00EE7167">
        <w:t xml:space="preserve"> 18 ongoing RCTs were identified in the O’Connell (2021) and Traeger (2023) </w:t>
      </w:r>
      <w:r w:rsidR="00FB2DA0">
        <w:t xml:space="preserve">Cochrane reviews </w:t>
      </w:r>
      <w:r w:rsidR="00EE7167">
        <w:t>(</w:t>
      </w:r>
      <w:r w:rsidR="00B047C4">
        <w:fldChar w:fldCharType="begin"/>
      </w:r>
      <w:r w:rsidR="00B047C4">
        <w:instrText xml:space="preserve"> REF _Ref165465451 \h </w:instrText>
      </w:r>
      <w:r w:rsidR="00B047C4">
        <w:fldChar w:fldCharType="separate"/>
      </w:r>
      <w:r w:rsidR="00CE6ACA">
        <w:t xml:space="preserve">Table App </w:t>
      </w:r>
      <w:r w:rsidR="00CE6ACA">
        <w:rPr>
          <w:noProof/>
        </w:rPr>
        <w:t>6</w:t>
      </w:r>
      <w:r w:rsidR="00B047C4">
        <w:fldChar w:fldCharType="end"/>
      </w:r>
      <w:r w:rsidR="00EE7167">
        <w:t>)</w:t>
      </w:r>
      <w:r w:rsidR="0087063E">
        <w:t>.</w:t>
      </w:r>
    </w:p>
    <w:p w14:paraId="5AAF38CF" w14:textId="00BE5B44" w:rsidR="003D08E9" w:rsidRDefault="0056089B" w:rsidP="000E3E72">
      <w:pPr>
        <w:pStyle w:val="Caption"/>
        <w:ind w:left="0" w:firstLine="0"/>
      </w:pPr>
      <w:bookmarkStart w:id="170" w:name="_Ref135048213"/>
      <w:r>
        <w:lastRenderedPageBreak/>
        <w:t xml:space="preserve">Table App </w:t>
      </w:r>
      <w:fldSimple w:instr=" SEQ Table_App \* ARABIC ">
        <w:r w:rsidR="00CE6ACA">
          <w:rPr>
            <w:noProof/>
          </w:rPr>
          <w:t>5</w:t>
        </w:r>
      </w:fldSimple>
      <w:bookmarkEnd w:id="170"/>
      <w:r w:rsidR="003D08E9">
        <w:tab/>
        <w:t xml:space="preserve">Ongoing </w:t>
      </w:r>
      <w:r w:rsidR="004E65F3">
        <w:t>RCTs</w:t>
      </w:r>
      <w:r w:rsidR="003D08E9">
        <w:t xml:space="preserve"> </w:t>
      </w:r>
      <w:r w:rsidR="00E92257">
        <w:t>iden</w:t>
      </w:r>
      <w:r w:rsidR="00487ADE">
        <w:t>t</w:t>
      </w:r>
      <w:r w:rsidR="00E92257">
        <w:t>i</w:t>
      </w:r>
      <w:r w:rsidR="00487ADE">
        <w:t>f</w:t>
      </w:r>
      <w:r w:rsidR="00E92257">
        <w:t>ied in independent search of clinical trials registries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Ongoing RCTs identified in independent search of clinical trials registries"/>
        <w:tblDescription w:val="Table showing the ongoing RCTs identified in an independent searhch of clinical trials registries."/>
      </w:tblPr>
      <w:tblGrid>
        <w:gridCol w:w="2324"/>
        <w:gridCol w:w="4196"/>
        <w:gridCol w:w="1571"/>
        <w:gridCol w:w="2760"/>
        <w:gridCol w:w="1676"/>
        <w:gridCol w:w="976"/>
        <w:gridCol w:w="1067"/>
      </w:tblGrid>
      <w:tr w:rsidR="003D08E9" w14:paraId="6EC5C9B1" w14:textId="77777777">
        <w:trPr>
          <w:cantSplit/>
          <w:tblHeader/>
        </w:trPr>
        <w:tc>
          <w:tcPr>
            <w:tcW w:w="798" w:type="pct"/>
            <w:shd w:val="clear" w:color="auto" w:fill="BFBFBF"/>
          </w:tcPr>
          <w:p w14:paraId="0F234820" w14:textId="77777777" w:rsidR="003D08E9" w:rsidRDefault="003D08E9">
            <w:pPr>
              <w:pStyle w:val="011TableHeading8pt"/>
            </w:pPr>
            <w:r>
              <w:t>Registry ID</w:t>
            </w:r>
            <w:r>
              <w:br/>
              <w:t>Study title</w:t>
            </w:r>
          </w:p>
        </w:tc>
        <w:tc>
          <w:tcPr>
            <w:tcW w:w="1440" w:type="pct"/>
            <w:shd w:val="clear" w:color="auto" w:fill="BFBFBF"/>
          </w:tcPr>
          <w:p w14:paraId="5792AED1" w14:textId="77777777" w:rsidR="003D08E9" w:rsidRDefault="003D08E9">
            <w:pPr>
              <w:pStyle w:val="011TableHeading8pt"/>
            </w:pPr>
            <w:r>
              <w:t>Population</w:t>
            </w:r>
          </w:p>
        </w:tc>
        <w:tc>
          <w:tcPr>
            <w:tcW w:w="539" w:type="pct"/>
            <w:shd w:val="clear" w:color="auto" w:fill="BFBFBF"/>
          </w:tcPr>
          <w:p w14:paraId="314974CC" w14:textId="77777777" w:rsidR="003D08E9" w:rsidRDefault="003D08E9">
            <w:pPr>
              <w:pStyle w:val="011TableHeading8pt"/>
            </w:pPr>
            <w:r>
              <w:t>Interventions</w:t>
            </w:r>
          </w:p>
        </w:tc>
        <w:tc>
          <w:tcPr>
            <w:tcW w:w="947" w:type="pct"/>
            <w:shd w:val="clear" w:color="auto" w:fill="BFBFBF"/>
          </w:tcPr>
          <w:p w14:paraId="6A128D06" w14:textId="77777777" w:rsidR="003D08E9" w:rsidRDefault="003D08E9">
            <w:pPr>
              <w:pStyle w:val="011TableHeading8pt"/>
            </w:pPr>
            <w:r>
              <w:t>Key outcomes</w:t>
            </w:r>
          </w:p>
        </w:tc>
        <w:tc>
          <w:tcPr>
            <w:tcW w:w="575" w:type="pct"/>
            <w:shd w:val="clear" w:color="auto" w:fill="BFBFBF"/>
          </w:tcPr>
          <w:p w14:paraId="64B913FE" w14:textId="77777777" w:rsidR="003D08E9" w:rsidRDefault="003D08E9">
            <w:pPr>
              <w:pStyle w:val="011TableHeading8pt"/>
            </w:pPr>
            <w:r>
              <w:t>Study start date &amp; expected completion</w:t>
            </w:r>
          </w:p>
        </w:tc>
        <w:tc>
          <w:tcPr>
            <w:tcW w:w="335" w:type="pct"/>
            <w:shd w:val="clear" w:color="auto" w:fill="BFBFBF"/>
          </w:tcPr>
          <w:p w14:paraId="2B40D7EF" w14:textId="12F7DD56" w:rsidR="003D08E9" w:rsidRPr="00642B42" w:rsidRDefault="003D08E9">
            <w:pPr>
              <w:pStyle w:val="011TableHeading8pt"/>
            </w:pPr>
            <w:r w:rsidRPr="00642B42">
              <w:t>Included in O’Connell</w:t>
            </w:r>
          </w:p>
        </w:tc>
        <w:tc>
          <w:tcPr>
            <w:tcW w:w="366" w:type="pct"/>
            <w:shd w:val="clear" w:color="auto" w:fill="BFBFBF"/>
          </w:tcPr>
          <w:p w14:paraId="71A8AB70" w14:textId="51EFAEDF" w:rsidR="003D08E9" w:rsidRPr="00642B42" w:rsidRDefault="003D08E9">
            <w:pPr>
              <w:pStyle w:val="011TableHeading8pt"/>
            </w:pPr>
            <w:r w:rsidRPr="00642B42">
              <w:t xml:space="preserve">Included in </w:t>
            </w:r>
            <w:proofErr w:type="spellStart"/>
            <w:r w:rsidRPr="00642B42">
              <w:t>Traegar</w:t>
            </w:r>
            <w:proofErr w:type="spellEnd"/>
          </w:p>
        </w:tc>
      </w:tr>
      <w:tr w:rsidR="003D08E9" w14:paraId="70126549" w14:textId="77777777">
        <w:trPr>
          <w:cantSplit/>
        </w:trPr>
        <w:tc>
          <w:tcPr>
            <w:tcW w:w="798" w:type="pct"/>
            <w:shd w:val="clear" w:color="auto" w:fill="auto"/>
          </w:tcPr>
          <w:p w14:paraId="34D77B9F" w14:textId="77777777" w:rsidR="003D08E9" w:rsidRDefault="003D08E9">
            <w:pPr>
              <w:pStyle w:val="051Tabletext228pt"/>
            </w:pPr>
            <w:r w:rsidRPr="00F11119">
              <w:t>NCT03740763</w:t>
            </w:r>
            <w:r>
              <w:br/>
            </w:r>
            <w:r w:rsidRPr="00F11119">
              <w:t>Spinal Cord Stimulation and Physiotherapy for Treatment of Neuropathic Pain (SCS-PHYSIO)</w:t>
            </w:r>
          </w:p>
        </w:tc>
        <w:tc>
          <w:tcPr>
            <w:tcW w:w="1440" w:type="pct"/>
            <w:shd w:val="clear" w:color="auto" w:fill="auto"/>
          </w:tcPr>
          <w:p w14:paraId="49AE4107" w14:textId="77777777" w:rsidR="003D08E9" w:rsidRDefault="003D08E9">
            <w:pPr>
              <w:pStyle w:val="051Tabletext228pt"/>
            </w:pPr>
            <w:r>
              <w:rPr>
                <w:u w:val="single"/>
              </w:rPr>
              <w:t>Estimated enrolment:</w:t>
            </w:r>
            <w:r>
              <w:t xml:space="preserve"> N=160 participants</w:t>
            </w:r>
          </w:p>
          <w:p w14:paraId="3D018136" w14:textId="77777777" w:rsidR="003D08E9" w:rsidRPr="004C7EF2" w:rsidRDefault="003D08E9">
            <w:pPr>
              <w:pStyle w:val="051Tabletext228pt"/>
            </w:pPr>
            <w:r>
              <w:rPr>
                <w:u w:val="single"/>
              </w:rPr>
              <w:t>Location:</w:t>
            </w:r>
            <w:r>
              <w:t xml:space="preserve"> Sweden</w:t>
            </w:r>
          </w:p>
          <w:p w14:paraId="7DC6BC05" w14:textId="77777777" w:rsidR="003D08E9" w:rsidRDefault="003D08E9">
            <w:pPr>
              <w:pStyle w:val="051Tabletext228pt"/>
            </w:pPr>
            <w:r>
              <w:rPr>
                <w:u w:val="single"/>
              </w:rPr>
              <w:t>Inclusion:</w:t>
            </w:r>
            <w:r>
              <w:t xml:space="preserve"> 18-99 </w:t>
            </w:r>
            <w:proofErr w:type="spellStart"/>
            <w:r>
              <w:t>yrs</w:t>
            </w:r>
            <w:proofErr w:type="spellEnd"/>
            <w:r>
              <w:t xml:space="preserve"> old; neuropathic pain &gt;6 </w:t>
            </w:r>
            <w:proofErr w:type="spellStart"/>
            <w:r>
              <w:t>mo</w:t>
            </w:r>
            <w:proofErr w:type="spellEnd"/>
            <w:r>
              <w:t xml:space="preserve">; pain intensity </w:t>
            </w:r>
            <w:r>
              <w:rPr>
                <w:rFonts w:cs="Calibri"/>
              </w:rPr>
              <w:t>≥</w:t>
            </w:r>
            <w:r>
              <w:t xml:space="preserve">6 according to NRS; known cause of the pian; neuroanatomical correlation to the pain; </w:t>
            </w:r>
            <w:r>
              <w:rPr>
                <w:rFonts w:cs="Calibri"/>
              </w:rPr>
              <w:t>≥</w:t>
            </w:r>
            <w:r>
              <w:t>50% of the painful area is to be treated with SCS; patient has a physical and psychological health status that allows the patient to participate in physiotherapy and undergo SCS implantation</w:t>
            </w:r>
          </w:p>
        </w:tc>
        <w:tc>
          <w:tcPr>
            <w:tcW w:w="539" w:type="pct"/>
            <w:shd w:val="clear" w:color="auto" w:fill="auto"/>
          </w:tcPr>
          <w:p w14:paraId="4C280FFD" w14:textId="77777777" w:rsidR="003D08E9" w:rsidRDefault="003D08E9">
            <w:pPr>
              <w:pStyle w:val="051Tabletext228pt"/>
            </w:pPr>
            <w:r>
              <w:rPr>
                <w:u w:val="single"/>
              </w:rPr>
              <w:t>Device 1:</w:t>
            </w:r>
            <w:r>
              <w:t xml:space="preserve"> SCS</w:t>
            </w:r>
          </w:p>
          <w:p w14:paraId="37FA46A3" w14:textId="77777777" w:rsidR="003D08E9" w:rsidRPr="0011251F" w:rsidRDefault="003D08E9">
            <w:pPr>
              <w:pStyle w:val="051Tabletext228pt"/>
            </w:pPr>
            <w:r>
              <w:rPr>
                <w:u w:val="single"/>
              </w:rPr>
              <w:t>Device 2:</w:t>
            </w:r>
            <w:r>
              <w:t xml:space="preserve"> physiotherapy</w:t>
            </w:r>
          </w:p>
        </w:tc>
        <w:tc>
          <w:tcPr>
            <w:tcW w:w="947" w:type="pct"/>
            <w:shd w:val="clear" w:color="auto" w:fill="auto"/>
          </w:tcPr>
          <w:p w14:paraId="17749A02" w14:textId="77777777" w:rsidR="003D08E9" w:rsidRDefault="003D08E9">
            <w:pPr>
              <w:pStyle w:val="051Tabletext228pt"/>
            </w:pPr>
            <w:r>
              <w:rPr>
                <w:u w:val="single"/>
              </w:rPr>
              <w:t>Primary:</w:t>
            </w:r>
            <w:r>
              <w:t xml:space="preserve"> pain intensity according to NRS</w:t>
            </w:r>
          </w:p>
          <w:p w14:paraId="6F44FA71" w14:textId="77777777" w:rsidR="003D08E9" w:rsidRPr="00E326A7" w:rsidRDefault="003D08E9">
            <w:pPr>
              <w:pStyle w:val="051Tabletext228pt"/>
            </w:pPr>
            <w:r>
              <w:rPr>
                <w:u w:val="single"/>
              </w:rPr>
              <w:t>Secondary:</w:t>
            </w:r>
            <w:r>
              <w:t xml:space="preserve"> pain intensity according to NRS; </w:t>
            </w:r>
            <w:proofErr w:type="spellStart"/>
            <w:r>
              <w:t>HRQoL</w:t>
            </w:r>
            <w:proofErr w:type="spellEnd"/>
            <w:r>
              <w:t xml:space="preserve"> according to SF36, EQ-5D; physical activity; return to work; days of sick-leave; medical consumption; patient treatment satisfaction according to NRS</w:t>
            </w:r>
          </w:p>
        </w:tc>
        <w:tc>
          <w:tcPr>
            <w:tcW w:w="575" w:type="pct"/>
            <w:shd w:val="clear" w:color="auto" w:fill="auto"/>
          </w:tcPr>
          <w:p w14:paraId="4448B856" w14:textId="77777777" w:rsidR="003D08E9" w:rsidRDefault="003D08E9">
            <w:pPr>
              <w:pStyle w:val="051Tabletext228pt"/>
            </w:pPr>
            <w:r>
              <w:rPr>
                <w:u w:val="single"/>
              </w:rPr>
              <w:t>Study start date:</w:t>
            </w:r>
            <w:r>
              <w:t xml:space="preserve"> 09 May 2018</w:t>
            </w:r>
          </w:p>
          <w:p w14:paraId="34D49BAD" w14:textId="77777777" w:rsidR="003D08E9" w:rsidRDefault="003D08E9">
            <w:pPr>
              <w:pStyle w:val="051Tabletext228pt"/>
            </w:pPr>
            <w:r>
              <w:rPr>
                <w:u w:val="single"/>
              </w:rPr>
              <w:t>Primary completion date:</w:t>
            </w:r>
            <w:r>
              <w:t xml:space="preserve"> May 2023</w:t>
            </w:r>
          </w:p>
          <w:p w14:paraId="5B650CEB" w14:textId="77777777" w:rsidR="003D08E9" w:rsidRPr="000708C9" w:rsidRDefault="003D08E9">
            <w:pPr>
              <w:pStyle w:val="051Tabletext228pt"/>
            </w:pPr>
            <w:r>
              <w:rPr>
                <w:u w:val="single"/>
              </w:rPr>
              <w:t>Study completion date:</w:t>
            </w:r>
            <w:r>
              <w:t xml:space="preserve"> May 2025</w:t>
            </w:r>
          </w:p>
          <w:p w14:paraId="4EAD81BD" w14:textId="77777777" w:rsidR="003D08E9" w:rsidRPr="001747B4" w:rsidRDefault="003D08E9">
            <w:pPr>
              <w:pStyle w:val="051Tabletext228pt"/>
            </w:pPr>
          </w:p>
        </w:tc>
        <w:tc>
          <w:tcPr>
            <w:tcW w:w="335" w:type="pct"/>
          </w:tcPr>
          <w:p w14:paraId="71571EDA" w14:textId="77777777" w:rsidR="003D08E9" w:rsidRPr="00642B42" w:rsidRDefault="003D08E9">
            <w:pPr>
              <w:pStyle w:val="051Tabletext228pt"/>
              <w:jc w:val="center"/>
            </w:pPr>
            <w:r w:rsidRPr="00295554">
              <w:rPr>
                <w:rFonts w:ascii="Wingdings" w:eastAsia="Wingdings" w:hAnsi="Wingdings" w:cs="Wingdings"/>
                <w:lang w:val="en-US"/>
              </w:rPr>
              <w:t>ü</w:t>
            </w:r>
          </w:p>
        </w:tc>
        <w:tc>
          <w:tcPr>
            <w:tcW w:w="366" w:type="pct"/>
          </w:tcPr>
          <w:p w14:paraId="36478051" w14:textId="77777777" w:rsidR="003D08E9" w:rsidRPr="00642B42" w:rsidRDefault="003D08E9">
            <w:pPr>
              <w:pStyle w:val="051Tabletext228pt"/>
              <w:jc w:val="center"/>
            </w:pPr>
          </w:p>
        </w:tc>
      </w:tr>
      <w:tr w:rsidR="003D08E9" w14:paraId="2B7C92A8" w14:textId="77777777">
        <w:trPr>
          <w:cantSplit/>
        </w:trPr>
        <w:tc>
          <w:tcPr>
            <w:tcW w:w="798" w:type="pct"/>
            <w:shd w:val="clear" w:color="auto" w:fill="auto"/>
          </w:tcPr>
          <w:p w14:paraId="0CC494C3" w14:textId="77777777" w:rsidR="003D08E9" w:rsidRDefault="003D08E9">
            <w:pPr>
              <w:pStyle w:val="051Tabletext228pt"/>
            </w:pPr>
            <w:r w:rsidRPr="00F11119">
              <w:t>NCT04676022</w:t>
            </w:r>
            <w:r>
              <w:br/>
            </w:r>
            <w:r w:rsidRPr="00F11119">
              <w:t>SCS as an Option for Chronic Low Back and/or Leg Pain Instead of Surgery (SOLIS)</w:t>
            </w:r>
          </w:p>
        </w:tc>
        <w:tc>
          <w:tcPr>
            <w:tcW w:w="1440" w:type="pct"/>
            <w:shd w:val="clear" w:color="auto" w:fill="auto"/>
          </w:tcPr>
          <w:p w14:paraId="6C8BBE66" w14:textId="77777777" w:rsidR="003D08E9" w:rsidRDefault="003D08E9">
            <w:pPr>
              <w:pStyle w:val="051Tabletext228pt"/>
            </w:pPr>
            <w:r>
              <w:rPr>
                <w:u w:val="single"/>
              </w:rPr>
              <w:t>Estimated enrolment:</w:t>
            </w:r>
            <w:r>
              <w:t xml:space="preserve"> N=241 participants</w:t>
            </w:r>
          </w:p>
          <w:p w14:paraId="48144CC9" w14:textId="77777777" w:rsidR="003D08E9" w:rsidRDefault="003D08E9">
            <w:pPr>
              <w:pStyle w:val="051Tabletext228pt"/>
            </w:pPr>
            <w:r>
              <w:rPr>
                <w:u w:val="single"/>
              </w:rPr>
              <w:t>Location:</w:t>
            </w:r>
            <w:r>
              <w:t xml:space="preserve"> USA</w:t>
            </w:r>
          </w:p>
          <w:p w14:paraId="4DD28D11" w14:textId="77777777" w:rsidR="003D08E9" w:rsidRPr="001F59F1" w:rsidRDefault="003D08E9">
            <w:pPr>
              <w:pStyle w:val="051Tabletext228pt"/>
            </w:pPr>
            <w:r>
              <w:rPr>
                <w:u w:val="single"/>
              </w:rPr>
              <w:t>Inclusion:</w:t>
            </w:r>
            <w:r>
              <w:t xml:space="preserve"> </w:t>
            </w:r>
            <w:r>
              <w:rPr>
                <w:rFonts w:cs="Calibri"/>
              </w:rPr>
              <w:t>≥</w:t>
            </w:r>
            <w:r>
              <w:t xml:space="preserve">22 </w:t>
            </w:r>
            <w:proofErr w:type="spellStart"/>
            <w:r>
              <w:t>yrs</w:t>
            </w:r>
            <w:proofErr w:type="spellEnd"/>
            <w:r>
              <w:t xml:space="preserve"> old; </w:t>
            </w:r>
            <w:r>
              <w:rPr>
                <w:rFonts w:cs="Calibri"/>
              </w:rPr>
              <w:t>≥</w:t>
            </w:r>
            <w:r>
              <w:t xml:space="preserve">6 </w:t>
            </w:r>
            <w:proofErr w:type="spellStart"/>
            <w:r>
              <w:t>mo</w:t>
            </w:r>
            <w:proofErr w:type="spellEnd"/>
            <w:r>
              <w:t xml:space="preserve"> CLBP with/without leg pain; r</w:t>
            </w:r>
            <w:r w:rsidRPr="000841EE">
              <w:t xml:space="preserve">eceived </w:t>
            </w:r>
            <w:r>
              <w:rPr>
                <w:rFonts w:cs="Calibri"/>
              </w:rPr>
              <w:t>≥</w:t>
            </w:r>
            <w:r w:rsidRPr="000841EE">
              <w:t>90 days of documented pain management care</w:t>
            </w:r>
            <w:r>
              <w:t xml:space="preserve"> prior to screening</w:t>
            </w:r>
            <w:r w:rsidRPr="000841EE">
              <w:t xml:space="preserve"> to address the primary pain complaint</w:t>
            </w:r>
            <w:r>
              <w:t>; not pregnant</w:t>
            </w:r>
          </w:p>
        </w:tc>
        <w:tc>
          <w:tcPr>
            <w:tcW w:w="539" w:type="pct"/>
            <w:shd w:val="clear" w:color="auto" w:fill="auto"/>
          </w:tcPr>
          <w:p w14:paraId="217A9B0C" w14:textId="77777777" w:rsidR="003D08E9" w:rsidRDefault="003D08E9">
            <w:pPr>
              <w:pStyle w:val="051Tabletext228pt"/>
            </w:pPr>
            <w:r>
              <w:rPr>
                <w:u w:val="single"/>
              </w:rPr>
              <w:t>Intervention:</w:t>
            </w:r>
            <w:r>
              <w:t xml:space="preserve"> </w:t>
            </w:r>
            <w:proofErr w:type="spellStart"/>
            <w:r>
              <w:t>WaveWriter</w:t>
            </w:r>
            <w:proofErr w:type="spellEnd"/>
          </w:p>
          <w:p w14:paraId="779AD4FA" w14:textId="77777777" w:rsidR="003D08E9" w:rsidRPr="0075593A" w:rsidRDefault="003D08E9">
            <w:pPr>
              <w:pStyle w:val="051Tabletext228pt"/>
            </w:pPr>
            <w:r>
              <w:rPr>
                <w:u w:val="single"/>
              </w:rPr>
              <w:t>Comparator:</w:t>
            </w:r>
            <w:r>
              <w:t xml:space="preserve"> conventional medical management</w:t>
            </w:r>
          </w:p>
        </w:tc>
        <w:tc>
          <w:tcPr>
            <w:tcW w:w="947" w:type="pct"/>
            <w:shd w:val="clear" w:color="auto" w:fill="auto"/>
          </w:tcPr>
          <w:p w14:paraId="09E96ED0" w14:textId="77777777" w:rsidR="003D08E9" w:rsidRPr="00894E3E" w:rsidRDefault="003D08E9">
            <w:pPr>
              <w:pStyle w:val="051Tabletext228pt"/>
              <w:rPr>
                <w:vertAlign w:val="superscript"/>
              </w:rPr>
            </w:pPr>
            <w:r>
              <w:rPr>
                <w:u w:val="single"/>
              </w:rPr>
              <w:t>Primary:</w:t>
            </w:r>
            <w:r>
              <w:t xml:space="preserve"> responder </w:t>
            </w:r>
            <w:proofErr w:type="spellStart"/>
            <w:r>
              <w:t>rate</w:t>
            </w:r>
            <w:r>
              <w:rPr>
                <w:vertAlign w:val="superscript"/>
              </w:rPr>
              <w:t>a</w:t>
            </w:r>
            <w:proofErr w:type="spellEnd"/>
          </w:p>
        </w:tc>
        <w:tc>
          <w:tcPr>
            <w:tcW w:w="575" w:type="pct"/>
            <w:shd w:val="clear" w:color="auto" w:fill="auto"/>
          </w:tcPr>
          <w:p w14:paraId="5B4CDBEE" w14:textId="77777777" w:rsidR="003D08E9" w:rsidRDefault="003D08E9">
            <w:pPr>
              <w:pStyle w:val="051Tabletext228pt"/>
            </w:pPr>
            <w:r>
              <w:rPr>
                <w:u w:val="single"/>
              </w:rPr>
              <w:t>Study start date:</w:t>
            </w:r>
            <w:r>
              <w:t xml:space="preserve"> 26 March 2021</w:t>
            </w:r>
          </w:p>
          <w:p w14:paraId="2E9E2668" w14:textId="77777777" w:rsidR="003D08E9" w:rsidRDefault="003D08E9">
            <w:pPr>
              <w:pStyle w:val="051Tabletext228pt"/>
            </w:pPr>
            <w:r>
              <w:rPr>
                <w:u w:val="single"/>
              </w:rPr>
              <w:t>Primary completion date:</w:t>
            </w:r>
            <w:r>
              <w:t xml:space="preserve"> 25 August 2022</w:t>
            </w:r>
          </w:p>
          <w:p w14:paraId="043441AC" w14:textId="77777777" w:rsidR="003D08E9" w:rsidRPr="00651AC5" w:rsidRDefault="003D08E9">
            <w:pPr>
              <w:pStyle w:val="051Tabletext228pt"/>
            </w:pPr>
            <w:r>
              <w:rPr>
                <w:u w:val="single"/>
              </w:rPr>
              <w:t>Study completion date:</w:t>
            </w:r>
            <w:r>
              <w:t xml:space="preserve"> December 2025</w:t>
            </w:r>
          </w:p>
        </w:tc>
        <w:tc>
          <w:tcPr>
            <w:tcW w:w="335" w:type="pct"/>
          </w:tcPr>
          <w:p w14:paraId="63C80773" w14:textId="77777777" w:rsidR="003D08E9" w:rsidRPr="00642B42" w:rsidRDefault="003D08E9">
            <w:pPr>
              <w:pStyle w:val="051Tabletext228pt"/>
              <w:jc w:val="center"/>
            </w:pPr>
            <w:r>
              <w:rPr>
                <w:rFonts w:ascii="Wingdings" w:eastAsia="Wingdings" w:hAnsi="Wingdings" w:cs="Wingdings"/>
              </w:rPr>
              <w:t>ü</w:t>
            </w:r>
          </w:p>
        </w:tc>
        <w:tc>
          <w:tcPr>
            <w:tcW w:w="366" w:type="pct"/>
          </w:tcPr>
          <w:p w14:paraId="0BD2A7D0" w14:textId="77777777" w:rsidR="003D08E9" w:rsidRPr="00642B42" w:rsidRDefault="003D08E9">
            <w:pPr>
              <w:pStyle w:val="051Tabletext228pt"/>
              <w:jc w:val="center"/>
            </w:pPr>
            <w:r w:rsidRPr="00762392">
              <w:rPr>
                <w:rFonts w:ascii="Wingdings" w:eastAsia="Wingdings" w:hAnsi="Wingdings" w:cs="Wingdings"/>
                <w:lang w:val="en-US"/>
              </w:rPr>
              <w:t>ü</w:t>
            </w:r>
          </w:p>
        </w:tc>
      </w:tr>
      <w:tr w:rsidR="003D08E9" w14:paraId="75EA9E5F" w14:textId="77777777">
        <w:trPr>
          <w:cantSplit/>
        </w:trPr>
        <w:tc>
          <w:tcPr>
            <w:tcW w:w="798" w:type="pct"/>
            <w:shd w:val="clear" w:color="auto" w:fill="auto"/>
          </w:tcPr>
          <w:p w14:paraId="6513046E" w14:textId="77777777" w:rsidR="003D08E9" w:rsidRDefault="003D08E9">
            <w:pPr>
              <w:pStyle w:val="051Tabletext228pt"/>
            </w:pPr>
            <w:r w:rsidRPr="00F11119">
              <w:t>NCT03876054</w:t>
            </w:r>
            <w:r>
              <w:br/>
            </w:r>
            <w:r w:rsidRPr="00F11119">
              <w:t>Long-Term Real-World Outcomes Study on Patients Implanted With a Neurostimulator (REALITY)</w:t>
            </w:r>
          </w:p>
        </w:tc>
        <w:tc>
          <w:tcPr>
            <w:tcW w:w="1440" w:type="pct"/>
            <w:shd w:val="clear" w:color="auto" w:fill="auto"/>
          </w:tcPr>
          <w:p w14:paraId="259DE227" w14:textId="77777777" w:rsidR="003D08E9" w:rsidRDefault="003D08E9">
            <w:pPr>
              <w:pStyle w:val="051Tabletext228pt"/>
            </w:pPr>
            <w:r>
              <w:rPr>
                <w:u w:val="single"/>
              </w:rPr>
              <w:t>Estimated enrolment:</w:t>
            </w:r>
            <w:r>
              <w:t xml:space="preserve"> 2000 participants</w:t>
            </w:r>
          </w:p>
          <w:p w14:paraId="34F9C51D" w14:textId="77777777" w:rsidR="003D08E9" w:rsidRDefault="003D08E9">
            <w:pPr>
              <w:pStyle w:val="051Tabletext228pt"/>
            </w:pPr>
            <w:r>
              <w:rPr>
                <w:u w:val="single"/>
              </w:rPr>
              <w:t>Location:</w:t>
            </w:r>
            <w:r>
              <w:t xml:space="preserve"> USA, UK, Australia, Belgium, Germany, Italy, Netherlands, Spain, Switzerland</w:t>
            </w:r>
          </w:p>
          <w:p w14:paraId="6D0BC64B" w14:textId="77777777" w:rsidR="003D08E9" w:rsidRPr="00B76D2B" w:rsidRDefault="003D08E9">
            <w:pPr>
              <w:pStyle w:val="051Tabletext228pt"/>
            </w:pPr>
            <w:r>
              <w:rPr>
                <w:u w:val="single"/>
              </w:rPr>
              <w:t>Inclusion:</w:t>
            </w:r>
            <w:r>
              <w:t xml:space="preserve"> </w:t>
            </w:r>
            <w:r>
              <w:rPr>
                <w:rFonts w:cs="Calibri"/>
              </w:rPr>
              <w:t>≥</w:t>
            </w:r>
            <w:r>
              <w:t xml:space="preserve">18 </w:t>
            </w:r>
            <w:proofErr w:type="spellStart"/>
            <w:r>
              <w:t>yrs</w:t>
            </w:r>
            <w:proofErr w:type="spellEnd"/>
            <w:r>
              <w:t xml:space="preserve"> old; written informed consent prior to any clinical investigation related procedure; scheduled to have an Abbott neurostimulation system implanted within 60 days of baseline; baseline pain NRS </w:t>
            </w:r>
            <w:r>
              <w:rPr>
                <w:rFonts w:cs="Calibri"/>
              </w:rPr>
              <w:t>≥</w:t>
            </w:r>
            <w:r>
              <w:t>6</w:t>
            </w:r>
          </w:p>
        </w:tc>
        <w:tc>
          <w:tcPr>
            <w:tcW w:w="539" w:type="pct"/>
            <w:shd w:val="clear" w:color="auto" w:fill="auto"/>
          </w:tcPr>
          <w:p w14:paraId="77C32680" w14:textId="77777777" w:rsidR="003D08E9" w:rsidRDefault="003D08E9">
            <w:pPr>
              <w:pStyle w:val="051Tabletext228pt"/>
            </w:pPr>
            <w:r>
              <w:rPr>
                <w:u w:val="single"/>
              </w:rPr>
              <w:t>Device 1:</w:t>
            </w:r>
            <w:r>
              <w:t xml:space="preserve"> SCS</w:t>
            </w:r>
          </w:p>
          <w:p w14:paraId="14A8F510" w14:textId="77777777" w:rsidR="003D08E9" w:rsidRPr="00EE73C2" w:rsidRDefault="003D08E9">
            <w:pPr>
              <w:pStyle w:val="051Tabletext228pt"/>
            </w:pPr>
            <w:r>
              <w:rPr>
                <w:u w:val="single"/>
              </w:rPr>
              <w:t>Device 2:</w:t>
            </w:r>
            <w:r>
              <w:t xml:space="preserve"> DRGS</w:t>
            </w:r>
          </w:p>
        </w:tc>
        <w:tc>
          <w:tcPr>
            <w:tcW w:w="947" w:type="pct"/>
            <w:shd w:val="clear" w:color="auto" w:fill="auto"/>
          </w:tcPr>
          <w:p w14:paraId="30CE2454" w14:textId="2DEAE342" w:rsidR="003D08E9" w:rsidRPr="00894E3E" w:rsidRDefault="003D08E9">
            <w:pPr>
              <w:pStyle w:val="051Tabletext228pt"/>
              <w:rPr>
                <w:vertAlign w:val="superscript"/>
              </w:rPr>
            </w:pPr>
            <w:r>
              <w:rPr>
                <w:u w:val="single"/>
              </w:rPr>
              <w:t>Primary</w:t>
            </w:r>
            <w:r>
              <w:t>: rate of device and procedure</w:t>
            </w:r>
            <w:r w:rsidR="00E36102">
              <w:t>-</w:t>
            </w:r>
            <w:r>
              <w:t xml:space="preserve">related AEs, deaths and device </w:t>
            </w:r>
            <w:proofErr w:type="spellStart"/>
            <w:r>
              <w:t>deficiencies</w:t>
            </w:r>
            <w:r>
              <w:rPr>
                <w:vertAlign w:val="superscript"/>
              </w:rPr>
              <w:t>a</w:t>
            </w:r>
            <w:proofErr w:type="spellEnd"/>
          </w:p>
        </w:tc>
        <w:tc>
          <w:tcPr>
            <w:tcW w:w="575" w:type="pct"/>
            <w:shd w:val="clear" w:color="auto" w:fill="auto"/>
          </w:tcPr>
          <w:p w14:paraId="6F548939" w14:textId="77777777" w:rsidR="003D08E9" w:rsidRDefault="003D08E9">
            <w:pPr>
              <w:pStyle w:val="051Tabletext228pt"/>
            </w:pPr>
            <w:r>
              <w:rPr>
                <w:u w:val="single"/>
              </w:rPr>
              <w:t>Study start date:</w:t>
            </w:r>
            <w:r>
              <w:t xml:space="preserve"> 13 March 2019</w:t>
            </w:r>
          </w:p>
          <w:p w14:paraId="19214054" w14:textId="77777777" w:rsidR="003D08E9" w:rsidRDefault="003D08E9">
            <w:pPr>
              <w:pStyle w:val="051Tabletext228pt"/>
            </w:pPr>
            <w:r>
              <w:rPr>
                <w:u w:val="single"/>
              </w:rPr>
              <w:t>Primary completion date:</w:t>
            </w:r>
            <w:r>
              <w:t xml:space="preserve"> June 2029</w:t>
            </w:r>
          </w:p>
          <w:p w14:paraId="2BAD8A4B" w14:textId="77777777" w:rsidR="003D08E9" w:rsidRDefault="003D08E9">
            <w:pPr>
              <w:pStyle w:val="051Tabletext228pt"/>
            </w:pPr>
            <w:r>
              <w:rPr>
                <w:u w:val="single"/>
              </w:rPr>
              <w:t>Study completion date:</w:t>
            </w:r>
            <w:r>
              <w:t xml:space="preserve"> December 2029</w:t>
            </w:r>
          </w:p>
        </w:tc>
        <w:tc>
          <w:tcPr>
            <w:tcW w:w="335" w:type="pct"/>
          </w:tcPr>
          <w:p w14:paraId="3B9F266E" w14:textId="77777777" w:rsidR="003D08E9" w:rsidRPr="00642B42" w:rsidRDefault="003D08E9">
            <w:pPr>
              <w:pStyle w:val="051Tabletext228pt"/>
              <w:jc w:val="center"/>
            </w:pPr>
          </w:p>
        </w:tc>
        <w:tc>
          <w:tcPr>
            <w:tcW w:w="366" w:type="pct"/>
          </w:tcPr>
          <w:p w14:paraId="639212DD" w14:textId="77777777" w:rsidR="003D08E9" w:rsidRPr="00642B42" w:rsidRDefault="003D08E9">
            <w:pPr>
              <w:pStyle w:val="051Tabletext228pt"/>
              <w:jc w:val="center"/>
            </w:pPr>
          </w:p>
        </w:tc>
      </w:tr>
      <w:tr w:rsidR="003D08E9" w14:paraId="2ED6CEC2" w14:textId="77777777">
        <w:trPr>
          <w:cantSplit/>
        </w:trPr>
        <w:tc>
          <w:tcPr>
            <w:tcW w:w="798" w:type="pct"/>
            <w:shd w:val="clear" w:color="auto" w:fill="auto"/>
          </w:tcPr>
          <w:p w14:paraId="44CA868B" w14:textId="77777777" w:rsidR="003D08E9" w:rsidRDefault="003D08E9">
            <w:pPr>
              <w:pStyle w:val="051Tabletext228pt"/>
            </w:pPr>
            <w:r w:rsidRPr="00F11119">
              <w:t>NCT05466110</w:t>
            </w:r>
            <w:r>
              <w:br/>
            </w:r>
            <w:r w:rsidRPr="00F11119">
              <w:t>Spinal Cord Stimulation Versus Instrumentation for FBSS (PROMISE)</w:t>
            </w:r>
          </w:p>
        </w:tc>
        <w:tc>
          <w:tcPr>
            <w:tcW w:w="1440" w:type="pct"/>
            <w:shd w:val="clear" w:color="auto" w:fill="auto"/>
          </w:tcPr>
          <w:p w14:paraId="289848DB" w14:textId="77777777" w:rsidR="003D08E9" w:rsidRDefault="003D08E9">
            <w:pPr>
              <w:pStyle w:val="051Tabletext228pt"/>
            </w:pPr>
            <w:r>
              <w:rPr>
                <w:u w:val="single"/>
              </w:rPr>
              <w:t>Estimated enrolment:</w:t>
            </w:r>
            <w:r>
              <w:t xml:space="preserve"> 84 participants</w:t>
            </w:r>
          </w:p>
          <w:p w14:paraId="752FC289" w14:textId="77777777" w:rsidR="003D08E9" w:rsidRDefault="003D08E9">
            <w:pPr>
              <w:pStyle w:val="051Tabletext228pt"/>
            </w:pPr>
            <w:r>
              <w:rPr>
                <w:u w:val="single"/>
              </w:rPr>
              <w:t>Location:</w:t>
            </w:r>
            <w:r>
              <w:t xml:space="preserve"> Germany</w:t>
            </w:r>
          </w:p>
          <w:p w14:paraId="4446FED3" w14:textId="77777777" w:rsidR="003D08E9" w:rsidRPr="00BB486F" w:rsidRDefault="003D08E9">
            <w:pPr>
              <w:pStyle w:val="051Tabletext228pt"/>
            </w:pPr>
            <w:r>
              <w:rPr>
                <w:u w:val="single"/>
              </w:rPr>
              <w:t>Inclusion:</w:t>
            </w:r>
            <w:r>
              <w:t xml:space="preserve"> </w:t>
            </w:r>
            <w:r>
              <w:rPr>
                <w:rFonts w:cs="Calibri"/>
              </w:rPr>
              <w:t>≥</w:t>
            </w:r>
            <w:r>
              <w:t xml:space="preserve">18 </w:t>
            </w:r>
            <w:proofErr w:type="spellStart"/>
            <w:r>
              <w:t>yrs</w:t>
            </w:r>
            <w:proofErr w:type="spellEnd"/>
            <w:r>
              <w:t xml:space="preserve"> old; s</w:t>
            </w:r>
            <w:r w:rsidRPr="007F24D5">
              <w:t xml:space="preserve">ymptomatic degenerative disc disease with LBP as a predominant symptom for at least 6 </w:t>
            </w:r>
            <w:proofErr w:type="spellStart"/>
            <w:r w:rsidRPr="007F24D5">
              <w:t>mo</w:t>
            </w:r>
            <w:proofErr w:type="spellEnd"/>
            <w:r w:rsidRPr="007F24D5">
              <w:t xml:space="preserve"> following pervious surgery for disc herniation</w:t>
            </w:r>
            <w:r>
              <w:t xml:space="preserve">; </w:t>
            </w:r>
            <w:r>
              <w:rPr>
                <w:rFonts w:cs="Calibri"/>
              </w:rPr>
              <w:t>≥</w:t>
            </w:r>
            <w:r>
              <w:t>21 ODI score</w:t>
            </w:r>
          </w:p>
        </w:tc>
        <w:tc>
          <w:tcPr>
            <w:tcW w:w="539" w:type="pct"/>
            <w:shd w:val="clear" w:color="auto" w:fill="auto"/>
          </w:tcPr>
          <w:p w14:paraId="72AAC4A2" w14:textId="77777777" w:rsidR="003D08E9" w:rsidRDefault="003D08E9">
            <w:pPr>
              <w:pStyle w:val="051Tabletext228pt"/>
            </w:pPr>
            <w:r>
              <w:rPr>
                <w:u w:val="single"/>
              </w:rPr>
              <w:t>Intervention:</w:t>
            </w:r>
            <w:r>
              <w:t xml:space="preserve"> SCS (</w:t>
            </w:r>
            <w:proofErr w:type="spellStart"/>
            <w:r>
              <w:t>WaveWriter</w:t>
            </w:r>
            <w:proofErr w:type="spellEnd"/>
            <w:r>
              <w:t xml:space="preserve"> Alpha)</w:t>
            </w:r>
          </w:p>
          <w:p w14:paraId="1C466ED8" w14:textId="77777777" w:rsidR="003D08E9" w:rsidRPr="00856D6D" w:rsidRDefault="003D08E9">
            <w:pPr>
              <w:pStyle w:val="051Tabletext228pt"/>
            </w:pPr>
            <w:r>
              <w:rPr>
                <w:u w:val="single"/>
              </w:rPr>
              <w:t>Comparator:</w:t>
            </w:r>
            <w:r>
              <w:t xml:space="preserve"> spinal fusion surgery</w:t>
            </w:r>
          </w:p>
        </w:tc>
        <w:tc>
          <w:tcPr>
            <w:tcW w:w="947" w:type="pct"/>
            <w:shd w:val="clear" w:color="auto" w:fill="auto"/>
          </w:tcPr>
          <w:p w14:paraId="55170ED6" w14:textId="77777777" w:rsidR="003D08E9" w:rsidRDefault="003D08E9">
            <w:pPr>
              <w:pStyle w:val="051Tabletext228pt"/>
            </w:pPr>
            <w:r>
              <w:rPr>
                <w:u w:val="single"/>
              </w:rPr>
              <w:t>Primary outcomes:</w:t>
            </w:r>
            <w:r>
              <w:t xml:space="preserve"> ODI</w:t>
            </w:r>
          </w:p>
          <w:p w14:paraId="70A114AF" w14:textId="271D235C" w:rsidR="003D08E9" w:rsidRPr="009B5E4B" w:rsidRDefault="003D08E9">
            <w:pPr>
              <w:pStyle w:val="051Tabletext228pt"/>
            </w:pPr>
            <w:r>
              <w:rPr>
                <w:u w:val="single"/>
              </w:rPr>
              <w:t>Secondary outcomes:</w:t>
            </w:r>
            <w:r>
              <w:t xml:space="preserve"> AEs; SF36; EQ 5D; hospital LOS; cross</w:t>
            </w:r>
            <w:r w:rsidR="00BE35BF">
              <w:t>-over</w:t>
            </w:r>
            <w:r>
              <w:t xml:space="preserve"> rates; pain medication</w:t>
            </w:r>
          </w:p>
        </w:tc>
        <w:tc>
          <w:tcPr>
            <w:tcW w:w="575" w:type="pct"/>
            <w:shd w:val="clear" w:color="auto" w:fill="auto"/>
          </w:tcPr>
          <w:p w14:paraId="6EA381D2" w14:textId="77777777" w:rsidR="003D08E9" w:rsidRDefault="003D08E9">
            <w:pPr>
              <w:pStyle w:val="051Tabletext228pt"/>
            </w:pPr>
            <w:r>
              <w:rPr>
                <w:u w:val="single"/>
              </w:rPr>
              <w:t>Study start date:</w:t>
            </w:r>
            <w:r>
              <w:t xml:space="preserve"> November 2022</w:t>
            </w:r>
          </w:p>
          <w:p w14:paraId="11B8460F" w14:textId="77777777" w:rsidR="003D08E9" w:rsidRDefault="003D08E9">
            <w:pPr>
              <w:pStyle w:val="051Tabletext228pt"/>
            </w:pPr>
            <w:r>
              <w:rPr>
                <w:u w:val="single"/>
              </w:rPr>
              <w:t>Primary completion date:</w:t>
            </w:r>
            <w:r>
              <w:t xml:space="preserve"> November 2024</w:t>
            </w:r>
          </w:p>
          <w:p w14:paraId="65646F29" w14:textId="77777777" w:rsidR="003D08E9" w:rsidRDefault="003D08E9">
            <w:pPr>
              <w:pStyle w:val="051Tabletext228pt"/>
            </w:pPr>
            <w:r>
              <w:rPr>
                <w:u w:val="single"/>
              </w:rPr>
              <w:t>Study completion date:</w:t>
            </w:r>
            <w:r>
              <w:t xml:space="preserve"> May 2025</w:t>
            </w:r>
          </w:p>
        </w:tc>
        <w:tc>
          <w:tcPr>
            <w:tcW w:w="335" w:type="pct"/>
          </w:tcPr>
          <w:p w14:paraId="59095D32" w14:textId="77777777" w:rsidR="003D08E9" w:rsidRPr="00642B42" w:rsidRDefault="003D08E9">
            <w:pPr>
              <w:pStyle w:val="051Tabletext228pt"/>
              <w:jc w:val="center"/>
            </w:pPr>
          </w:p>
        </w:tc>
        <w:tc>
          <w:tcPr>
            <w:tcW w:w="366" w:type="pct"/>
          </w:tcPr>
          <w:p w14:paraId="5749372E" w14:textId="77777777" w:rsidR="003D08E9" w:rsidRPr="00642B42" w:rsidRDefault="003D08E9">
            <w:pPr>
              <w:pStyle w:val="051Tabletext228pt"/>
              <w:jc w:val="center"/>
            </w:pPr>
          </w:p>
        </w:tc>
      </w:tr>
      <w:tr w:rsidR="003D08E9" w14:paraId="1E038490" w14:textId="77777777">
        <w:trPr>
          <w:cantSplit/>
        </w:trPr>
        <w:tc>
          <w:tcPr>
            <w:tcW w:w="798" w:type="pct"/>
            <w:shd w:val="clear" w:color="auto" w:fill="auto"/>
          </w:tcPr>
          <w:p w14:paraId="01C6A34D" w14:textId="77777777" w:rsidR="003D08E9" w:rsidRDefault="003D08E9">
            <w:pPr>
              <w:pStyle w:val="051Tabletext228pt"/>
            </w:pPr>
            <w:r w:rsidRPr="00A8067B">
              <w:t>NCT04479787</w:t>
            </w:r>
            <w:r>
              <w:br/>
            </w:r>
            <w:r w:rsidRPr="00CF048A">
              <w:t>Spinal Cord Stimulation vs. Medical Management for Low Back Pain (DISTINCT)</w:t>
            </w:r>
          </w:p>
          <w:p w14:paraId="3C7364A4" w14:textId="77777777" w:rsidR="003D08E9" w:rsidRPr="00653665" w:rsidRDefault="003D08E9">
            <w:pPr>
              <w:pStyle w:val="051Tabletext228pt"/>
              <w:rPr>
                <w:i/>
                <w:iCs/>
              </w:rPr>
            </w:pPr>
            <w:proofErr w:type="spellStart"/>
            <w:r>
              <w:rPr>
                <w:i/>
                <w:iCs/>
              </w:rPr>
              <w:t>Moeschler</w:t>
            </w:r>
            <w:proofErr w:type="spellEnd"/>
            <w:r>
              <w:rPr>
                <w:i/>
                <w:iCs/>
              </w:rPr>
              <w:t xml:space="preserve"> 2021</w:t>
            </w:r>
          </w:p>
        </w:tc>
        <w:tc>
          <w:tcPr>
            <w:tcW w:w="1440" w:type="pct"/>
            <w:shd w:val="clear" w:color="auto" w:fill="auto"/>
          </w:tcPr>
          <w:p w14:paraId="31E8ACBE" w14:textId="77777777" w:rsidR="003D08E9" w:rsidRDefault="003D08E9">
            <w:pPr>
              <w:pStyle w:val="051Tabletext228pt"/>
            </w:pPr>
            <w:r>
              <w:rPr>
                <w:u w:val="single"/>
              </w:rPr>
              <w:t>Actual enrolment:</w:t>
            </w:r>
            <w:r>
              <w:t xml:space="preserve"> 270 participants</w:t>
            </w:r>
          </w:p>
          <w:p w14:paraId="4637B23D" w14:textId="77777777" w:rsidR="003D08E9" w:rsidRDefault="003D08E9">
            <w:pPr>
              <w:pStyle w:val="051Tabletext228pt"/>
            </w:pPr>
            <w:r>
              <w:rPr>
                <w:u w:val="single"/>
              </w:rPr>
              <w:t>Location:</w:t>
            </w:r>
            <w:r>
              <w:t xml:space="preserve"> USA</w:t>
            </w:r>
          </w:p>
          <w:p w14:paraId="61BDB75C" w14:textId="77777777" w:rsidR="003D08E9" w:rsidRPr="003F04DD" w:rsidRDefault="003D08E9">
            <w:pPr>
              <w:pStyle w:val="051Tabletext228pt"/>
            </w:pPr>
            <w:r>
              <w:rPr>
                <w:u w:val="single"/>
              </w:rPr>
              <w:t>Inclusion:</w:t>
            </w:r>
            <w:r>
              <w:t xml:space="preserve"> </w:t>
            </w:r>
            <w:r>
              <w:rPr>
                <w:rFonts w:cs="Calibri"/>
              </w:rPr>
              <w:t>≥</w:t>
            </w:r>
            <w:r>
              <w:t xml:space="preserve">18 </w:t>
            </w:r>
            <w:proofErr w:type="spellStart"/>
            <w:r>
              <w:t>yrs</w:t>
            </w:r>
            <w:proofErr w:type="spellEnd"/>
            <w:r>
              <w:t xml:space="preserve"> old; c</w:t>
            </w:r>
            <w:r w:rsidRPr="00E43DDA">
              <w:t xml:space="preserve">hronic (at least 6 </w:t>
            </w:r>
            <w:proofErr w:type="spellStart"/>
            <w:r w:rsidRPr="00E43DDA">
              <w:t>mo</w:t>
            </w:r>
            <w:proofErr w:type="spellEnd"/>
            <w:r w:rsidRPr="00E43DDA">
              <w:t>), refractory axial low back pain with a neuropathic component and is not a candidate for spine surgery</w:t>
            </w:r>
            <w:r>
              <w:t xml:space="preserve">; </w:t>
            </w:r>
            <w:r w:rsidRPr="00A173CD">
              <w:t>back pain for ≥ 6 months inadequately responsive to supervised conservative care</w:t>
            </w:r>
            <w:r>
              <w:t xml:space="preserve">; </w:t>
            </w:r>
            <w:r w:rsidRPr="002D3896">
              <w:t>not had spine surgery for back or leg pain</w:t>
            </w:r>
            <w:r>
              <w:t>; l</w:t>
            </w:r>
            <w:r w:rsidRPr="00F545D1">
              <w:t xml:space="preserve">ow back pain ≥ 6 on </w:t>
            </w:r>
            <w:r>
              <w:t>NRS; ODI</w:t>
            </w:r>
            <w:r w:rsidRPr="0020166C">
              <w:t xml:space="preserve"> score of ≥ 30%</w:t>
            </w:r>
          </w:p>
        </w:tc>
        <w:tc>
          <w:tcPr>
            <w:tcW w:w="539" w:type="pct"/>
            <w:shd w:val="clear" w:color="auto" w:fill="auto"/>
          </w:tcPr>
          <w:p w14:paraId="46301F29" w14:textId="77777777" w:rsidR="003D08E9" w:rsidRDefault="003D08E9">
            <w:pPr>
              <w:pStyle w:val="051Tabletext228pt"/>
            </w:pPr>
            <w:r>
              <w:rPr>
                <w:u w:val="single"/>
              </w:rPr>
              <w:t>Intervention:</w:t>
            </w:r>
            <w:r>
              <w:t xml:space="preserve"> SCS (Proclaim XR IPG)</w:t>
            </w:r>
          </w:p>
          <w:p w14:paraId="3F284076" w14:textId="77777777" w:rsidR="003D08E9" w:rsidRPr="00745EE6" w:rsidRDefault="003D08E9">
            <w:pPr>
              <w:pStyle w:val="051Tabletext228pt"/>
            </w:pPr>
            <w:r>
              <w:rPr>
                <w:u w:val="single"/>
              </w:rPr>
              <w:t>Comparator:</w:t>
            </w:r>
            <w:r>
              <w:t xml:space="preserve"> CMM</w:t>
            </w:r>
          </w:p>
        </w:tc>
        <w:tc>
          <w:tcPr>
            <w:tcW w:w="947" w:type="pct"/>
            <w:shd w:val="clear" w:color="auto" w:fill="auto"/>
          </w:tcPr>
          <w:p w14:paraId="063DBD2C" w14:textId="77777777" w:rsidR="003D08E9" w:rsidRDefault="003D08E9">
            <w:pPr>
              <w:pStyle w:val="051Tabletext228pt"/>
            </w:pPr>
            <w:r>
              <w:rPr>
                <w:u w:val="single"/>
              </w:rPr>
              <w:t>Primary outcomes:</w:t>
            </w:r>
            <w:r>
              <w:t xml:space="preserve"> </w:t>
            </w:r>
            <w:r w:rsidRPr="00EE559B">
              <w:t>Improvement in pain, defined as a ≥ 50% decrease on NRS</w:t>
            </w:r>
            <w:r>
              <w:t xml:space="preserve"> at 6 </w:t>
            </w:r>
            <w:proofErr w:type="spellStart"/>
            <w:r>
              <w:t>mo</w:t>
            </w:r>
            <w:proofErr w:type="spellEnd"/>
          </w:p>
          <w:p w14:paraId="098EED58" w14:textId="77777777" w:rsidR="003D08E9" w:rsidRPr="00CC7AAF" w:rsidRDefault="003D08E9">
            <w:pPr>
              <w:pStyle w:val="051Tabletext228pt"/>
            </w:pPr>
            <w:r>
              <w:rPr>
                <w:u w:val="single"/>
              </w:rPr>
              <w:t>Secondary outcomes:</w:t>
            </w:r>
            <w:r>
              <w:t xml:space="preserve"> </w:t>
            </w:r>
            <w:r w:rsidRPr="008B0197">
              <w:t>Change in ODI from baseline, and the percentage of change in NRS from baseline</w:t>
            </w:r>
            <w:r>
              <w:t xml:space="preserve"> at 6 </w:t>
            </w:r>
            <w:proofErr w:type="spellStart"/>
            <w:r>
              <w:t>mo</w:t>
            </w:r>
            <w:proofErr w:type="spellEnd"/>
          </w:p>
        </w:tc>
        <w:tc>
          <w:tcPr>
            <w:tcW w:w="575" w:type="pct"/>
            <w:shd w:val="clear" w:color="auto" w:fill="auto"/>
          </w:tcPr>
          <w:p w14:paraId="4B3410D3" w14:textId="77777777" w:rsidR="003D08E9" w:rsidRDefault="003D08E9">
            <w:pPr>
              <w:pStyle w:val="051Tabletext228pt"/>
            </w:pPr>
            <w:r>
              <w:rPr>
                <w:u w:val="single"/>
              </w:rPr>
              <w:t>Study start date:</w:t>
            </w:r>
            <w:r>
              <w:t xml:space="preserve"> July 2020</w:t>
            </w:r>
          </w:p>
          <w:p w14:paraId="27764FE9" w14:textId="77777777" w:rsidR="003D08E9" w:rsidRDefault="003D08E9">
            <w:pPr>
              <w:pStyle w:val="051Tabletext228pt"/>
            </w:pPr>
            <w:r>
              <w:rPr>
                <w:u w:val="single"/>
              </w:rPr>
              <w:t>Primary completion date:</w:t>
            </w:r>
            <w:r>
              <w:t xml:space="preserve"> August 2022</w:t>
            </w:r>
          </w:p>
          <w:p w14:paraId="00E46EA5" w14:textId="77777777" w:rsidR="003D08E9" w:rsidRPr="008B0197" w:rsidRDefault="003D08E9">
            <w:pPr>
              <w:pStyle w:val="051Tabletext228pt"/>
            </w:pPr>
            <w:r>
              <w:rPr>
                <w:u w:val="single"/>
              </w:rPr>
              <w:t>Study completion date:</w:t>
            </w:r>
            <w:r>
              <w:t xml:space="preserve"> January 2024</w:t>
            </w:r>
          </w:p>
        </w:tc>
        <w:tc>
          <w:tcPr>
            <w:tcW w:w="335" w:type="pct"/>
          </w:tcPr>
          <w:p w14:paraId="567570FA" w14:textId="77777777" w:rsidR="003D08E9" w:rsidRPr="00642B42" w:rsidRDefault="003D08E9">
            <w:pPr>
              <w:pStyle w:val="051Tabletext228pt"/>
              <w:jc w:val="center"/>
            </w:pPr>
            <w:r>
              <w:rPr>
                <w:rFonts w:ascii="Wingdings" w:eastAsia="Wingdings" w:hAnsi="Wingdings" w:cs="Wingdings"/>
                <w:lang w:val="en-US"/>
              </w:rPr>
              <w:t>ü</w:t>
            </w:r>
          </w:p>
        </w:tc>
        <w:tc>
          <w:tcPr>
            <w:tcW w:w="366" w:type="pct"/>
          </w:tcPr>
          <w:p w14:paraId="727C1A22" w14:textId="77777777" w:rsidR="003D08E9" w:rsidRPr="00642B42" w:rsidRDefault="003D08E9">
            <w:pPr>
              <w:pStyle w:val="051Tabletext228pt"/>
              <w:jc w:val="center"/>
            </w:pPr>
            <w:r w:rsidRPr="00762392">
              <w:rPr>
                <w:rFonts w:ascii="Wingdings" w:eastAsia="Wingdings" w:hAnsi="Wingdings" w:cs="Wingdings"/>
                <w:lang w:val="en-US"/>
              </w:rPr>
              <w:t>ü</w:t>
            </w:r>
          </w:p>
        </w:tc>
      </w:tr>
      <w:tr w:rsidR="003D08E9" w14:paraId="4C731D1D" w14:textId="77777777">
        <w:trPr>
          <w:cantSplit/>
        </w:trPr>
        <w:tc>
          <w:tcPr>
            <w:tcW w:w="798" w:type="pct"/>
            <w:shd w:val="clear" w:color="auto" w:fill="auto"/>
          </w:tcPr>
          <w:p w14:paraId="080145AF" w14:textId="77777777" w:rsidR="003D08E9" w:rsidRPr="00A8067B" w:rsidRDefault="003D08E9">
            <w:pPr>
              <w:pStyle w:val="051Tabletext228pt"/>
            </w:pPr>
            <w:r w:rsidRPr="00857FEE">
              <w:lastRenderedPageBreak/>
              <w:t>ACTRN12620000720910</w:t>
            </w:r>
            <w:r>
              <w:br/>
            </w:r>
            <w:r w:rsidRPr="00380A6C">
              <w:t>An evaluation of spinal cord stimulation for the treatment of chronic pain, also its effect on mood , sleep, physical activity and analgesic medicine requirements.</w:t>
            </w:r>
          </w:p>
        </w:tc>
        <w:tc>
          <w:tcPr>
            <w:tcW w:w="1440" w:type="pct"/>
            <w:shd w:val="clear" w:color="auto" w:fill="auto"/>
          </w:tcPr>
          <w:p w14:paraId="33DAF4FC" w14:textId="77777777" w:rsidR="003D08E9" w:rsidRDefault="003D08E9">
            <w:pPr>
              <w:pStyle w:val="051Tabletext228pt"/>
            </w:pPr>
            <w:r>
              <w:rPr>
                <w:u w:val="single"/>
              </w:rPr>
              <w:t>Target sample size:</w:t>
            </w:r>
            <w:r>
              <w:t xml:space="preserve"> 10</w:t>
            </w:r>
          </w:p>
          <w:p w14:paraId="71F53A0A" w14:textId="77777777" w:rsidR="003D08E9" w:rsidRDefault="003D08E9">
            <w:pPr>
              <w:pStyle w:val="051Tabletext228pt"/>
            </w:pPr>
            <w:r>
              <w:rPr>
                <w:u w:val="single"/>
              </w:rPr>
              <w:t>Location:</w:t>
            </w:r>
            <w:r>
              <w:t xml:space="preserve"> Australia</w:t>
            </w:r>
          </w:p>
          <w:p w14:paraId="67C0914F" w14:textId="77777777" w:rsidR="003D08E9" w:rsidRPr="00021D28" w:rsidRDefault="003D08E9">
            <w:pPr>
              <w:pStyle w:val="051Tabletext228pt"/>
            </w:pPr>
            <w:r>
              <w:rPr>
                <w:u w:val="single"/>
              </w:rPr>
              <w:t>Inclusion:</w:t>
            </w:r>
            <w:r>
              <w:t xml:space="preserve"> 18-80 </w:t>
            </w:r>
            <w:proofErr w:type="spellStart"/>
            <w:r>
              <w:t>yrs</w:t>
            </w:r>
            <w:proofErr w:type="spellEnd"/>
            <w:r>
              <w:t xml:space="preserve">; implants with </w:t>
            </w:r>
            <w:proofErr w:type="spellStart"/>
            <w:r>
              <w:t>BurstDR</w:t>
            </w:r>
            <w:proofErr w:type="spellEnd"/>
            <w:r>
              <w:t xml:space="preserve"> electrical stimulation; report </w:t>
            </w:r>
            <w:r w:rsidRPr="005151C6">
              <w:t>significant pain relief (defined as average pain less than 3/10 from their stimulator</w:t>
            </w:r>
            <w:r>
              <w:t xml:space="preserve">); </w:t>
            </w:r>
            <w:r w:rsidRPr="0015235A">
              <w:t>minimal requirements for analgesic medication (defined as less than 20 Morphine Equivalent Dose (</w:t>
            </w:r>
            <w:proofErr w:type="spellStart"/>
            <w:r w:rsidRPr="0015235A">
              <w:t>MEq</w:t>
            </w:r>
            <w:proofErr w:type="spellEnd"/>
            <w:r w:rsidRPr="0015235A">
              <w:t>))</w:t>
            </w:r>
            <w:r>
              <w:t xml:space="preserve">; </w:t>
            </w:r>
            <w:r w:rsidRPr="00726A2D">
              <w:t>without any accompanying sensation from electrical stimulation</w:t>
            </w:r>
          </w:p>
        </w:tc>
        <w:tc>
          <w:tcPr>
            <w:tcW w:w="539" w:type="pct"/>
            <w:shd w:val="clear" w:color="auto" w:fill="auto"/>
          </w:tcPr>
          <w:p w14:paraId="61937151" w14:textId="77777777" w:rsidR="003D08E9" w:rsidRDefault="003D08E9">
            <w:pPr>
              <w:pStyle w:val="051Tabletext228pt"/>
            </w:pPr>
            <w:r>
              <w:rPr>
                <w:u w:val="single"/>
              </w:rPr>
              <w:t>Intervention:</w:t>
            </w:r>
            <w:r>
              <w:t xml:space="preserve"> stimulation on</w:t>
            </w:r>
          </w:p>
          <w:p w14:paraId="706F26A9" w14:textId="77777777" w:rsidR="003D08E9" w:rsidRPr="004143C4" w:rsidRDefault="003D08E9">
            <w:pPr>
              <w:pStyle w:val="051Tabletext228pt"/>
            </w:pPr>
            <w:r>
              <w:rPr>
                <w:u w:val="single"/>
              </w:rPr>
              <w:t>Comparator:</w:t>
            </w:r>
            <w:r>
              <w:t xml:space="preserve"> stimulation off</w:t>
            </w:r>
          </w:p>
        </w:tc>
        <w:tc>
          <w:tcPr>
            <w:tcW w:w="947" w:type="pct"/>
            <w:shd w:val="clear" w:color="auto" w:fill="auto"/>
          </w:tcPr>
          <w:p w14:paraId="732B135C" w14:textId="77777777" w:rsidR="003D08E9" w:rsidRDefault="003D08E9">
            <w:pPr>
              <w:pStyle w:val="051Tabletext228pt"/>
            </w:pPr>
            <w:r>
              <w:rPr>
                <w:u w:val="single"/>
              </w:rPr>
              <w:t>Primary outcomes:</w:t>
            </w:r>
            <w:r>
              <w:t xml:space="preserve"> assessment of pain using BPI; assessment of sleep quality using Sleep Diary; c</w:t>
            </w:r>
            <w:r w:rsidRPr="00B80456">
              <w:t>onsumption of analgesic medication using daily medication diary</w:t>
            </w:r>
          </w:p>
          <w:p w14:paraId="569294E6" w14:textId="77777777" w:rsidR="003D08E9" w:rsidRPr="00B80456" w:rsidRDefault="003D08E9">
            <w:pPr>
              <w:pStyle w:val="051Tabletext228pt"/>
            </w:pPr>
            <w:r>
              <w:rPr>
                <w:u w:val="single"/>
              </w:rPr>
              <w:t>Secondary outcomes:</w:t>
            </w:r>
            <w:r>
              <w:t xml:space="preserve"> p</w:t>
            </w:r>
            <w:r w:rsidRPr="00E500E9">
              <w:t>atient activity using a pedometer</w:t>
            </w:r>
            <w:r>
              <w:t>; a</w:t>
            </w:r>
            <w:r w:rsidRPr="00896C5B">
              <w:t>ssessment of behavioural signs of pain using Pain Behavioural Score</w:t>
            </w:r>
            <w:r>
              <w:t>; a</w:t>
            </w:r>
            <w:r w:rsidRPr="00726420">
              <w:t>ssessment of pressure-pain using a pressure sensor applied at 100g/sec to the patients forehead until patient reports pain. Patients will also rate sharpness evoked by the 1 sec application of a spring-loaded metal pin at a force of 40</w:t>
            </w:r>
            <w:r>
              <w:t>g</w:t>
            </w:r>
            <w:r w:rsidRPr="00726420">
              <w:t xml:space="preserve"> followed by 5 further applications of the pin with rests of 1 sec</w:t>
            </w:r>
            <w:r>
              <w:t xml:space="preserve"> </w:t>
            </w:r>
            <w:r w:rsidRPr="00726420">
              <w:t>between each application</w:t>
            </w:r>
            <w:r>
              <w:t>; p</w:t>
            </w:r>
            <w:r w:rsidRPr="001130BF">
              <w:t xml:space="preserve">atient </w:t>
            </w:r>
            <w:r>
              <w:t xml:space="preserve">stress and </w:t>
            </w:r>
            <w:r w:rsidRPr="001130BF">
              <w:t>anxiety levels using DASS-21 and Pain Catastrophizing Scale</w:t>
            </w:r>
          </w:p>
        </w:tc>
        <w:tc>
          <w:tcPr>
            <w:tcW w:w="575" w:type="pct"/>
            <w:shd w:val="clear" w:color="auto" w:fill="auto"/>
          </w:tcPr>
          <w:p w14:paraId="50672BB9" w14:textId="77777777" w:rsidR="003D08E9" w:rsidRDefault="003D08E9">
            <w:pPr>
              <w:pStyle w:val="051Tabletext228pt"/>
            </w:pPr>
            <w:r>
              <w:rPr>
                <w:u w:val="single"/>
              </w:rPr>
              <w:t>Study start date:</w:t>
            </w:r>
            <w:r>
              <w:t xml:space="preserve"> September 2020</w:t>
            </w:r>
          </w:p>
          <w:p w14:paraId="21052ED4" w14:textId="77777777" w:rsidR="003D08E9" w:rsidRPr="00DE28B2" w:rsidRDefault="003D08E9">
            <w:pPr>
              <w:pStyle w:val="051Tabletext228pt"/>
            </w:pPr>
            <w:r>
              <w:rPr>
                <w:u w:val="single"/>
              </w:rPr>
              <w:t>Study completion date:</w:t>
            </w:r>
            <w:r>
              <w:t xml:space="preserve"> October 2023</w:t>
            </w:r>
          </w:p>
        </w:tc>
        <w:tc>
          <w:tcPr>
            <w:tcW w:w="335" w:type="pct"/>
          </w:tcPr>
          <w:p w14:paraId="5EE22D97" w14:textId="77777777" w:rsidR="003D08E9" w:rsidRPr="00642B42" w:rsidRDefault="003D08E9">
            <w:pPr>
              <w:pStyle w:val="051Tabletext228pt"/>
              <w:jc w:val="center"/>
            </w:pPr>
            <w:r w:rsidRPr="00642B42">
              <w:rPr>
                <w:rFonts w:ascii="Wingdings" w:eastAsia="Wingdings" w:hAnsi="Wingdings" w:cs="Wingdings"/>
              </w:rPr>
              <w:t>ü</w:t>
            </w:r>
          </w:p>
        </w:tc>
        <w:tc>
          <w:tcPr>
            <w:tcW w:w="366" w:type="pct"/>
          </w:tcPr>
          <w:p w14:paraId="25FBEB00" w14:textId="77777777" w:rsidR="003D08E9" w:rsidRPr="00642B42" w:rsidRDefault="003D08E9">
            <w:pPr>
              <w:pStyle w:val="051Tabletext228pt"/>
              <w:jc w:val="center"/>
            </w:pPr>
            <w:r w:rsidRPr="00295554">
              <w:rPr>
                <w:rFonts w:ascii="Wingdings" w:eastAsia="Wingdings" w:hAnsi="Wingdings" w:cs="Wingdings"/>
                <w:lang w:val="en-US"/>
              </w:rPr>
              <w:t>ü</w:t>
            </w:r>
          </w:p>
        </w:tc>
      </w:tr>
      <w:tr w:rsidR="003D08E9" w14:paraId="57B866EC" w14:textId="77777777">
        <w:trPr>
          <w:cantSplit/>
        </w:trPr>
        <w:tc>
          <w:tcPr>
            <w:tcW w:w="798" w:type="pct"/>
            <w:shd w:val="clear" w:color="auto" w:fill="auto"/>
          </w:tcPr>
          <w:p w14:paraId="7730D1A0" w14:textId="16FED026" w:rsidR="003D08E9" w:rsidRPr="00857FEE" w:rsidRDefault="003D08E9">
            <w:pPr>
              <w:pStyle w:val="051Tabletext228pt"/>
            </w:pPr>
            <w:r>
              <w:t>Ahmadi 2021</w:t>
            </w:r>
            <w:r>
              <w:br/>
              <w:t>Efficacy of different spinal cord stimulation paradigms for the treatment of chronic neuropathic pain (PARS-trial)</w:t>
            </w:r>
          </w:p>
        </w:tc>
        <w:tc>
          <w:tcPr>
            <w:tcW w:w="1440" w:type="pct"/>
            <w:shd w:val="clear" w:color="auto" w:fill="auto"/>
          </w:tcPr>
          <w:p w14:paraId="26E6DD24" w14:textId="23E245BC" w:rsidR="003D08E9" w:rsidRDefault="003D08E9">
            <w:pPr>
              <w:pStyle w:val="051Tabletext228pt"/>
            </w:pPr>
            <w:r>
              <w:rPr>
                <w:u w:val="single"/>
              </w:rPr>
              <w:t>Estimated enrolment:</w:t>
            </w:r>
            <w:r w:rsidRPr="00BA66D4">
              <w:t xml:space="preserve"> 2-3</w:t>
            </w:r>
            <w:r>
              <w:t xml:space="preserve"> patients/year at 10 cent</w:t>
            </w:r>
            <w:r w:rsidR="00293348">
              <w:t>re</w:t>
            </w:r>
            <w:r>
              <w:t>s</w:t>
            </w:r>
          </w:p>
          <w:p w14:paraId="01BE64DB" w14:textId="77777777" w:rsidR="003D08E9" w:rsidRDefault="003D08E9">
            <w:pPr>
              <w:pStyle w:val="051Tabletext228pt"/>
            </w:pPr>
            <w:r>
              <w:rPr>
                <w:u w:val="single"/>
              </w:rPr>
              <w:t>Location:</w:t>
            </w:r>
            <w:r>
              <w:t xml:space="preserve"> Germany</w:t>
            </w:r>
          </w:p>
          <w:p w14:paraId="002FD092" w14:textId="77777777" w:rsidR="003D08E9" w:rsidRPr="000B5F74" w:rsidRDefault="003D08E9">
            <w:pPr>
              <w:pStyle w:val="051Tabletext228pt"/>
            </w:pPr>
            <w:r>
              <w:rPr>
                <w:u w:val="single"/>
              </w:rPr>
              <w:t>Inclusion:</w:t>
            </w:r>
            <w:r>
              <w:t xml:space="preserve"> </w:t>
            </w:r>
            <w:r>
              <w:rPr>
                <w:rFonts w:cs="Calibri"/>
              </w:rPr>
              <w:t>≥</w:t>
            </w:r>
            <w:r>
              <w:t xml:space="preserve">18 </w:t>
            </w:r>
            <w:proofErr w:type="spellStart"/>
            <w:r>
              <w:t>yrs</w:t>
            </w:r>
            <w:proofErr w:type="spellEnd"/>
            <w:r>
              <w:t xml:space="preserve"> old; patients suffering from intractable neuropathic pain; already implanted with a wireless SCS device; found eligible for SCS therapy according to the German guidelines; pain symptoms persisting for at least 6 </w:t>
            </w:r>
            <w:proofErr w:type="spellStart"/>
            <w:r>
              <w:t>mo</w:t>
            </w:r>
            <w:proofErr w:type="spellEnd"/>
          </w:p>
        </w:tc>
        <w:tc>
          <w:tcPr>
            <w:tcW w:w="539" w:type="pct"/>
            <w:shd w:val="clear" w:color="auto" w:fill="auto"/>
          </w:tcPr>
          <w:p w14:paraId="45612E8F" w14:textId="77777777" w:rsidR="003D08E9" w:rsidRDefault="003D08E9">
            <w:pPr>
              <w:pStyle w:val="051Tabletext228pt"/>
            </w:pPr>
            <w:r>
              <w:rPr>
                <w:u w:val="single"/>
              </w:rPr>
              <w:t>Intervention:</w:t>
            </w:r>
            <w:r>
              <w:t xml:space="preserve"> SCS (burst, 1 kHz, 1.499 kHz, placebo)</w:t>
            </w:r>
          </w:p>
          <w:p w14:paraId="3C43F34B" w14:textId="77777777" w:rsidR="003D08E9" w:rsidRPr="007A5CB1" w:rsidRDefault="003D08E9">
            <w:pPr>
              <w:pStyle w:val="051Tabletext228pt"/>
            </w:pPr>
            <w:r>
              <w:rPr>
                <w:u w:val="single"/>
              </w:rPr>
              <w:t>Comparator:</w:t>
            </w:r>
            <w:r>
              <w:t xml:space="preserve"> SCS (burst, 1 kHz, 1.499 kHz, placebo)</w:t>
            </w:r>
          </w:p>
        </w:tc>
        <w:tc>
          <w:tcPr>
            <w:tcW w:w="947" w:type="pct"/>
            <w:shd w:val="clear" w:color="auto" w:fill="auto"/>
          </w:tcPr>
          <w:p w14:paraId="15D95B8A" w14:textId="77777777" w:rsidR="003D08E9" w:rsidRDefault="003D08E9">
            <w:pPr>
              <w:pStyle w:val="051Tabletext228pt"/>
            </w:pPr>
            <w:r>
              <w:rPr>
                <w:u w:val="single"/>
              </w:rPr>
              <w:t>Primary outcomes:</w:t>
            </w:r>
            <w:r>
              <w:t xml:space="preserve"> level of pain measured on the VAS after 120 hrs of SCS</w:t>
            </w:r>
          </w:p>
          <w:p w14:paraId="4E99880F" w14:textId="77777777" w:rsidR="003D08E9" w:rsidRPr="00A84C44" w:rsidRDefault="003D08E9">
            <w:pPr>
              <w:pStyle w:val="051Tabletext228pt"/>
            </w:pPr>
            <w:r>
              <w:rPr>
                <w:u w:val="single"/>
              </w:rPr>
              <w:t>Secondary outcomes:</w:t>
            </w:r>
            <w:r>
              <w:t xml:space="preserve"> pain quality questionnaire (</w:t>
            </w:r>
            <w:proofErr w:type="spellStart"/>
            <w:r>
              <w:t>painDETECT</w:t>
            </w:r>
            <w:proofErr w:type="spellEnd"/>
            <w:r>
              <w:t>); anxiety perception (HADS-D); physical restriction (ODI)</w:t>
            </w:r>
          </w:p>
        </w:tc>
        <w:tc>
          <w:tcPr>
            <w:tcW w:w="575" w:type="pct"/>
            <w:shd w:val="clear" w:color="auto" w:fill="auto"/>
          </w:tcPr>
          <w:p w14:paraId="730599DD" w14:textId="77777777" w:rsidR="003D08E9" w:rsidRDefault="003D08E9">
            <w:pPr>
              <w:pStyle w:val="051Tabletext228pt"/>
            </w:pPr>
            <w:r>
              <w:rPr>
                <w:u w:val="single"/>
              </w:rPr>
              <w:t>Study start date:</w:t>
            </w:r>
            <w:r>
              <w:t xml:space="preserve"> NR</w:t>
            </w:r>
          </w:p>
          <w:p w14:paraId="38EC9B23" w14:textId="77777777" w:rsidR="003D08E9" w:rsidRDefault="003D08E9">
            <w:pPr>
              <w:pStyle w:val="051Tabletext228pt"/>
              <w:rPr>
                <w:u w:val="single"/>
              </w:rPr>
            </w:pPr>
            <w:r>
              <w:rPr>
                <w:u w:val="single"/>
              </w:rPr>
              <w:t>Study completion date:</w:t>
            </w:r>
            <w:r>
              <w:t xml:space="preserve"> 2 years</w:t>
            </w:r>
          </w:p>
        </w:tc>
        <w:tc>
          <w:tcPr>
            <w:tcW w:w="335" w:type="pct"/>
          </w:tcPr>
          <w:p w14:paraId="68085E43" w14:textId="77777777" w:rsidR="003D08E9" w:rsidRPr="00642B42" w:rsidRDefault="003D08E9">
            <w:pPr>
              <w:pStyle w:val="051Tabletext228pt"/>
              <w:jc w:val="center"/>
            </w:pPr>
            <w:r>
              <w:rPr>
                <w:rFonts w:ascii="Wingdings" w:eastAsia="Wingdings" w:hAnsi="Wingdings" w:cs="Wingdings"/>
                <w:lang w:val="en-US"/>
              </w:rPr>
              <w:t>ü</w:t>
            </w:r>
          </w:p>
        </w:tc>
        <w:tc>
          <w:tcPr>
            <w:tcW w:w="366" w:type="pct"/>
          </w:tcPr>
          <w:p w14:paraId="2415144C" w14:textId="77777777" w:rsidR="003D08E9" w:rsidRPr="00642B42" w:rsidRDefault="003D08E9">
            <w:pPr>
              <w:pStyle w:val="051Tabletext228pt"/>
              <w:jc w:val="center"/>
            </w:pPr>
            <w:r w:rsidRPr="00295554">
              <w:rPr>
                <w:rFonts w:ascii="Wingdings" w:eastAsia="Wingdings" w:hAnsi="Wingdings" w:cs="Wingdings"/>
                <w:lang w:val="en-US"/>
              </w:rPr>
              <w:t>ü</w:t>
            </w:r>
          </w:p>
        </w:tc>
      </w:tr>
      <w:tr w:rsidR="003D08E9" w14:paraId="5DE1A701" w14:textId="77777777">
        <w:trPr>
          <w:cantSplit/>
        </w:trPr>
        <w:tc>
          <w:tcPr>
            <w:tcW w:w="798" w:type="pct"/>
            <w:shd w:val="clear" w:color="auto" w:fill="auto"/>
          </w:tcPr>
          <w:p w14:paraId="5851583B" w14:textId="77777777" w:rsidR="003D08E9" w:rsidRDefault="003D08E9">
            <w:pPr>
              <w:pStyle w:val="051Tabletext228pt"/>
            </w:pPr>
            <w:r w:rsidRPr="00C86E78">
              <w:t>ISRCTN10663814</w:t>
            </w:r>
            <w:r>
              <w:br/>
            </w:r>
            <w:r w:rsidRPr="007D0CCC">
              <w:t>Comparison of spinal cord stimulation in combination with standard pain treatment versus standard pain treatment only in patients with intractable chronic back pain without previous history of spine surgery</w:t>
            </w:r>
          </w:p>
        </w:tc>
        <w:tc>
          <w:tcPr>
            <w:tcW w:w="1440" w:type="pct"/>
            <w:shd w:val="clear" w:color="auto" w:fill="auto"/>
          </w:tcPr>
          <w:p w14:paraId="43B2A9DF" w14:textId="77777777" w:rsidR="003D08E9" w:rsidRDefault="003D08E9">
            <w:pPr>
              <w:pStyle w:val="051Tabletext228pt"/>
            </w:pPr>
            <w:r>
              <w:rPr>
                <w:u w:val="single"/>
              </w:rPr>
              <w:t>Final enrolment:</w:t>
            </w:r>
            <w:r>
              <w:t xml:space="preserve"> 115 participants</w:t>
            </w:r>
          </w:p>
          <w:p w14:paraId="382BB311" w14:textId="77777777" w:rsidR="003D08E9" w:rsidRDefault="003D08E9">
            <w:pPr>
              <w:pStyle w:val="051Tabletext228pt"/>
            </w:pPr>
            <w:r>
              <w:rPr>
                <w:u w:val="single"/>
              </w:rPr>
              <w:t>Location:</w:t>
            </w:r>
            <w:r>
              <w:t xml:space="preserve"> Belgium, Germany, Netherlands, Spain</w:t>
            </w:r>
          </w:p>
          <w:p w14:paraId="7F8171F5" w14:textId="77777777" w:rsidR="003D08E9" w:rsidRPr="00D56522" w:rsidRDefault="003D08E9">
            <w:pPr>
              <w:pStyle w:val="051Tabletext228pt"/>
            </w:pPr>
            <w:r>
              <w:rPr>
                <w:u w:val="single"/>
              </w:rPr>
              <w:t>Inclusion:</w:t>
            </w:r>
            <w:r>
              <w:rPr>
                <w:rFonts w:cs="Calibri"/>
              </w:rPr>
              <w:t xml:space="preserve"> ≥</w:t>
            </w:r>
            <w:r>
              <w:t xml:space="preserve">18 </w:t>
            </w:r>
            <w:proofErr w:type="spellStart"/>
            <w:r>
              <w:t>yrs</w:t>
            </w:r>
            <w:proofErr w:type="spellEnd"/>
            <w:r>
              <w:t xml:space="preserve"> old; </w:t>
            </w:r>
            <w:r w:rsidRPr="00A65763">
              <w:t>chronic, refractory axial low back pain with or without lower limb pain with a neuropathic component</w:t>
            </w:r>
            <w:r>
              <w:t xml:space="preserve">; </w:t>
            </w:r>
            <w:r w:rsidRPr="00861E8F">
              <w:t>not eligible for spine surgery</w:t>
            </w:r>
            <w:r>
              <w:t>; a</w:t>
            </w:r>
            <w:r w:rsidRPr="00EE0401">
              <w:t xml:space="preserve">verage back pain intensity ≥ 6.0 cm on the 10.0 cm </w:t>
            </w:r>
            <w:r>
              <w:t xml:space="preserve">VAS; </w:t>
            </w:r>
            <w:r w:rsidRPr="000C7081">
              <w:t>stable pain medication regime</w:t>
            </w:r>
            <w:r>
              <w:t xml:space="preserve"> </w:t>
            </w:r>
            <w:r w:rsidRPr="007B4CFC">
              <w:t>for at least 30 days prior</w:t>
            </w:r>
          </w:p>
        </w:tc>
        <w:tc>
          <w:tcPr>
            <w:tcW w:w="539" w:type="pct"/>
            <w:shd w:val="clear" w:color="auto" w:fill="auto"/>
          </w:tcPr>
          <w:p w14:paraId="23FDBB97" w14:textId="77777777" w:rsidR="003D08E9" w:rsidRDefault="003D08E9">
            <w:pPr>
              <w:pStyle w:val="051Tabletext228pt"/>
            </w:pPr>
            <w:r>
              <w:rPr>
                <w:u w:val="single"/>
              </w:rPr>
              <w:t>Intervention:</w:t>
            </w:r>
            <w:r>
              <w:t xml:space="preserve"> DTM SCS + CMM</w:t>
            </w:r>
          </w:p>
          <w:p w14:paraId="581265CC" w14:textId="77777777" w:rsidR="003D08E9" w:rsidRPr="0061610E" w:rsidRDefault="003D08E9">
            <w:pPr>
              <w:pStyle w:val="051Tabletext228pt"/>
            </w:pPr>
            <w:r>
              <w:rPr>
                <w:u w:val="single"/>
              </w:rPr>
              <w:t>Comparator:</w:t>
            </w:r>
            <w:r>
              <w:t xml:space="preserve"> CMM</w:t>
            </w:r>
          </w:p>
        </w:tc>
        <w:tc>
          <w:tcPr>
            <w:tcW w:w="947" w:type="pct"/>
            <w:shd w:val="clear" w:color="auto" w:fill="auto"/>
          </w:tcPr>
          <w:p w14:paraId="54D82A0F" w14:textId="77777777" w:rsidR="003D08E9" w:rsidRDefault="003D08E9">
            <w:pPr>
              <w:pStyle w:val="051Tabletext228pt"/>
            </w:pPr>
            <w:r>
              <w:rPr>
                <w:u w:val="single"/>
              </w:rPr>
              <w:t>Primary outcomes:</w:t>
            </w:r>
            <w:r>
              <w:t xml:space="preserve"> </w:t>
            </w:r>
            <w:r w:rsidRPr="00FC024A">
              <w:t xml:space="preserve">Individual responder rate measured </w:t>
            </w:r>
            <w:r>
              <w:t>using VAS</w:t>
            </w:r>
            <w:r w:rsidRPr="00FC024A">
              <w:t xml:space="preserve"> (as defined by at least a 50% reduction in pain) at 6 </w:t>
            </w:r>
            <w:proofErr w:type="spellStart"/>
            <w:r w:rsidRPr="00FC024A">
              <w:t>mo</w:t>
            </w:r>
            <w:proofErr w:type="spellEnd"/>
          </w:p>
          <w:p w14:paraId="03D27152" w14:textId="77777777" w:rsidR="003D08E9" w:rsidRPr="0097751B" w:rsidRDefault="003D08E9">
            <w:pPr>
              <w:pStyle w:val="051Tabletext228pt"/>
            </w:pPr>
            <w:r>
              <w:rPr>
                <w:u w:val="single"/>
              </w:rPr>
              <w:t>Secondary outcomes:</w:t>
            </w:r>
            <w:r>
              <w:t xml:space="preserve"> s</w:t>
            </w:r>
            <w:r w:rsidRPr="00B95046">
              <w:t xml:space="preserve">uccessful back pain relief measured using </w:t>
            </w:r>
            <w:r>
              <w:t>VAS</w:t>
            </w:r>
            <w:r w:rsidRPr="00B95046">
              <w:t xml:space="preserve"> at 1, 3, 6, 9, 12, 18 and 24 </w:t>
            </w:r>
            <w:proofErr w:type="spellStart"/>
            <w:r w:rsidRPr="00B95046">
              <w:t>mo</w:t>
            </w:r>
            <w:proofErr w:type="spellEnd"/>
            <w:r>
              <w:t>; p</w:t>
            </w:r>
            <w:r w:rsidRPr="008D31CB">
              <w:t xml:space="preserve">ercentage of patients who experience at least 50% reduction in pain intensity measured using the VAS at 1, 3, 6, 9, 12, 18 and 24 </w:t>
            </w:r>
            <w:proofErr w:type="spellStart"/>
            <w:r w:rsidRPr="008D31CB">
              <w:t>mo</w:t>
            </w:r>
            <w:proofErr w:type="spellEnd"/>
            <w:r>
              <w:t>; b</w:t>
            </w:r>
            <w:r w:rsidRPr="008D31CB">
              <w:t xml:space="preserve">ack pain intensity measured using VAS at baseline, 1, 3, 6, 9, 12, 18 and 24 </w:t>
            </w:r>
            <w:proofErr w:type="spellStart"/>
            <w:r w:rsidRPr="008D31CB">
              <w:t>mo</w:t>
            </w:r>
            <w:proofErr w:type="spellEnd"/>
          </w:p>
        </w:tc>
        <w:tc>
          <w:tcPr>
            <w:tcW w:w="575" w:type="pct"/>
            <w:shd w:val="clear" w:color="auto" w:fill="auto"/>
          </w:tcPr>
          <w:p w14:paraId="3B521189" w14:textId="77777777" w:rsidR="003D08E9" w:rsidRDefault="003D08E9">
            <w:pPr>
              <w:pStyle w:val="051Tabletext228pt"/>
            </w:pPr>
            <w:r>
              <w:rPr>
                <w:u w:val="single"/>
              </w:rPr>
              <w:t>Study start date:</w:t>
            </w:r>
            <w:r>
              <w:t xml:space="preserve"> January 2020</w:t>
            </w:r>
          </w:p>
          <w:p w14:paraId="567777D4" w14:textId="77777777" w:rsidR="003D08E9" w:rsidRPr="00B61C51" w:rsidRDefault="003D08E9">
            <w:pPr>
              <w:pStyle w:val="051Tabletext228pt"/>
            </w:pPr>
            <w:r>
              <w:rPr>
                <w:u w:val="single"/>
              </w:rPr>
              <w:t>Study completion date:</w:t>
            </w:r>
            <w:r>
              <w:t xml:space="preserve"> March 2024</w:t>
            </w:r>
          </w:p>
        </w:tc>
        <w:tc>
          <w:tcPr>
            <w:tcW w:w="335" w:type="pct"/>
          </w:tcPr>
          <w:p w14:paraId="403CEFA9" w14:textId="77777777" w:rsidR="003D08E9" w:rsidRPr="00642B42" w:rsidRDefault="003D08E9">
            <w:pPr>
              <w:pStyle w:val="051Tabletext228pt"/>
              <w:jc w:val="center"/>
            </w:pPr>
            <w:r>
              <w:rPr>
                <w:rFonts w:ascii="Wingdings" w:eastAsia="Wingdings" w:hAnsi="Wingdings" w:cs="Wingdings"/>
                <w:lang w:val="en-US"/>
              </w:rPr>
              <w:t>ü</w:t>
            </w:r>
          </w:p>
        </w:tc>
        <w:tc>
          <w:tcPr>
            <w:tcW w:w="366" w:type="pct"/>
          </w:tcPr>
          <w:p w14:paraId="7CC2F298" w14:textId="77777777" w:rsidR="003D08E9" w:rsidRPr="00642B42" w:rsidRDefault="003D08E9">
            <w:pPr>
              <w:pStyle w:val="051Tabletext228pt"/>
              <w:jc w:val="center"/>
            </w:pPr>
            <w:r w:rsidRPr="00295554">
              <w:rPr>
                <w:rFonts w:ascii="Wingdings" w:eastAsia="Wingdings" w:hAnsi="Wingdings" w:cs="Wingdings"/>
                <w:lang w:val="en-US"/>
              </w:rPr>
              <w:t>ü</w:t>
            </w:r>
          </w:p>
        </w:tc>
      </w:tr>
      <w:tr w:rsidR="003D08E9" w14:paraId="10DCC767" w14:textId="77777777" w:rsidTr="00182437">
        <w:trPr>
          <w:cantSplit/>
        </w:trPr>
        <w:tc>
          <w:tcPr>
            <w:tcW w:w="798" w:type="pct"/>
            <w:tcBorders>
              <w:bottom w:val="single" w:sz="4" w:space="0" w:color="auto"/>
            </w:tcBorders>
            <w:shd w:val="clear" w:color="auto" w:fill="auto"/>
          </w:tcPr>
          <w:p w14:paraId="34D0BFE2" w14:textId="77777777" w:rsidR="003D08E9" w:rsidRPr="00C86E78" w:rsidRDefault="003D08E9">
            <w:pPr>
              <w:pStyle w:val="051Tabletext228pt"/>
            </w:pPr>
            <w:r w:rsidRPr="00CE0F51">
              <w:lastRenderedPageBreak/>
              <w:t>NCT03718325</w:t>
            </w:r>
            <w:r>
              <w:br/>
            </w:r>
            <w:r w:rsidRPr="00CE0F51">
              <w:t>Burst Spinal Cord Stimulation (Burst-SCS) Study</w:t>
            </w:r>
          </w:p>
        </w:tc>
        <w:tc>
          <w:tcPr>
            <w:tcW w:w="1440" w:type="pct"/>
            <w:tcBorders>
              <w:bottom w:val="single" w:sz="4" w:space="0" w:color="auto"/>
            </w:tcBorders>
            <w:shd w:val="clear" w:color="auto" w:fill="auto"/>
          </w:tcPr>
          <w:p w14:paraId="475E17DE" w14:textId="77777777" w:rsidR="003D08E9" w:rsidRDefault="003D08E9">
            <w:pPr>
              <w:pStyle w:val="051Tabletext228pt"/>
            </w:pPr>
            <w:r>
              <w:rPr>
                <w:u w:val="single"/>
              </w:rPr>
              <w:t>Estimated enrolment:</w:t>
            </w:r>
            <w:r>
              <w:t xml:space="preserve"> 20 participants</w:t>
            </w:r>
          </w:p>
          <w:p w14:paraId="7FC68685" w14:textId="77777777" w:rsidR="003D08E9" w:rsidRDefault="003D08E9">
            <w:pPr>
              <w:pStyle w:val="051Tabletext228pt"/>
            </w:pPr>
            <w:r>
              <w:rPr>
                <w:u w:val="single"/>
              </w:rPr>
              <w:t>Location:</w:t>
            </w:r>
            <w:r>
              <w:t xml:space="preserve"> USA</w:t>
            </w:r>
          </w:p>
          <w:p w14:paraId="7E23AB93" w14:textId="77777777" w:rsidR="003D08E9" w:rsidRPr="00CE0F51" w:rsidRDefault="003D08E9">
            <w:pPr>
              <w:pStyle w:val="051Tabletext228pt"/>
            </w:pPr>
            <w:r>
              <w:rPr>
                <w:u w:val="single"/>
              </w:rPr>
              <w:t>Inclusion:</w:t>
            </w:r>
            <w:r>
              <w:t xml:space="preserve"> </w:t>
            </w:r>
            <w:r w:rsidRPr="00F25CFB">
              <w:t>chronic, intractable pain of the trunk and/or limbs, including unilateral or bilateral pain associated with any of the following: failed back surgery syndrome and intractable low back and leg pain, and for whom Burst-SCS has been recommended as a treatment option</w:t>
            </w:r>
          </w:p>
        </w:tc>
        <w:tc>
          <w:tcPr>
            <w:tcW w:w="539" w:type="pct"/>
            <w:tcBorders>
              <w:bottom w:val="single" w:sz="4" w:space="0" w:color="auto"/>
            </w:tcBorders>
            <w:shd w:val="clear" w:color="auto" w:fill="auto"/>
          </w:tcPr>
          <w:p w14:paraId="397A31FF" w14:textId="77777777" w:rsidR="003D08E9" w:rsidRDefault="003D08E9">
            <w:pPr>
              <w:pStyle w:val="051Tabletext228pt"/>
            </w:pPr>
            <w:r>
              <w:rPr>
                <w:u w:val="single"/>
              </w:rPr>
              <w:t>Intervention:</w:t>
            </w:r>
            <w:r>
              <w:t xml:space="preserve"> Burst SCS</w:t>
            </w:r>
          </w:p>
          <w:p w14:paraId="1FDCC666" w14:textId="77777777" w:rsidR="003D08E9" w:rsidRPr="00F25CFB" w:rsidRDefault="003D08E9">
            <w:pPr>
              <w:pStyle w:val="051Tabletext228pt"/>
            </w:pPr>
            <w:r>
              <w:rPr>
                <w:u w:val="single"/>
              </w:rPr>
              <w:t>Comparator:</w:t>
            </w:r>
            <w:r>
              <w:t xml:space="preserve"> Sham</w:t>
            </w:r>
          </w:p>
        </w:tc>
        <w:tc>
          <w:tcPr>
            <w:tcW w:w="947" w:type="pct"/>
            <w:tcBorders>
              <w:bottom w:val="single" w:sz="4" w:space="0" w:color="auto"/>
            </w:tcBorders>
            <w:shd w:val="clear" w:color="auto" w:fill="auto"/>
          </w:tcPr>
          <w:p w14:paraId="73B40AD2" w14:textId="77777777" w:rsidR="003D08E9" w:rsidRDefault="003D08E9">
            <w:pPr>
              <w:pStyle w:val="051Tabletext228pt"/>
            </w:pPr>
            <w:r>
              <w:rPr>
                <w:u w:val="single"/>
              </w:rPr>
              <w:t>Primary outcomes:</w:t>
            </w:r>
            <w:r>
              <w:t xml:space="preserve"> c</w:t>
            </w:r>
            <w:r w:rsidRPr="00373E81">
              <w:t xml:space="preserve">hange in </w:t>
            </w:r>
            <w:r>
              <w:t>VAS</w:t>
            </w:r>
            <w:r w:rsidRPr="00373E81">
              <w:t xml:space="preserve"> score</w:t>
            </w:r>
            <w:r>
              <w:t xml:space="preserve"> at 2 </w:t>
            </w:r>
            <w:proofErr w:type="spellStart"/>
            <w:r>
              <w:t>wks</w:t>
            </w:r>
            <w:proofErr w:type="spellEnd"/>
          </w:p>
          <w:p w14:paraId="5D101D56" w14:textId="77777777" w:rsidR="003D08E9" w:rsidRPr="00F25CFB" w:rsidRDefault="003D08E9">
            <w:pPr>
              <w:pStyle w:val="051Tabletext228pt"/>
            </w:pPr>
            <w:r>
              <w:rPr>
                <w:u w:val="single"/>
              </w:rPr>
              <w:t>Secondary outcomes:</w:t>
            </w:r>
            <w:r>
              <w:t xml:space="preserve"> change in SFMPQ score at 2 </w:t>
            </w:r>
            <w:proofErr w:type="spellStart"/>
            <w:r>
              <w:t>wks</w:t>
            </w:r>
            <w:proofErr w:type="spellEnd"/>
            <w:r>
              <w:t xml:space="preserve">; change in general PDI score at 2 </w:t>
            </w:r>
            <w:proofErr w:type="spellStart"/>
            <w:r>
              <w:t>wks</w:t>
            </w:r>
            <w:proofErr w:type="spellEnd"/>
            <w:r>
              <w:t xml:space="preserve">; change in BPI-SF at 2 </w:t>
            </w:r>
            <w:proofErr w:type="spellStart"/>
            <w:r>
              <w:t>wks</w:t>
            </w:r>
            <w:proofErr w:type="spellEnd"/>
            <w:r>
              <w:t xml:space="preserve">; MBM at 2 </w:t>
            </w:r>
            <w:proofErr w:type="spellStart"/>
            <w:r>
              <w:t>wks</w:t>
            </w:r>
            <w:proofErr w:type="spellEnd"/>
            <w:r>
              <w:t xml:space="preserve">; FSQ at 2 </w:t>
            </w:r>
            <w:proofErr w:type="spellStart"/>
            <w:r>
              <w:t>wks</w:t>
            </w:r>
            <w:proofErr w:type="spellEnd"/>
          </w:p>
        </w:tc>
        <w:tc>
          <w:tcPr>
            <w:tcW w:w="575" w:type="pct"/>
            <w:tcBorders>
              <w:bottom w:val="single" w:sz="4" w:space="0" w:color="auto"/>
            </w:tcBorders>
            <w:shd w:val="clear" w:color="auto" w:fill="auto"/>
          </w:tcPr>
          <w:p w14:paraId="4E42609B" w14:textId="77777777" w:rsidR="003D08E9" w:rsidRDefault="003D08E9">
            <w:pPr>
              <w:pStyle w:val="051Tabletext228pt"/>
            </w:pPr>
            <w:r>
              <w:rPr>
                <w:u w:val="single"/>
              </w:rPr>
              <w:t>Study start date:</w:t>
            </w:r>
            <w:r>
              <w:t xml:space="preserve"> March 2019</w:t>
            </w:r>
          </w:p>
          <w:p w14:paraId="6380F784" w14:textId="77777777" w:rsidR="003D08E9" w:rsidRDefault="003D08E9">
            <w:pPr>
              <w:pStyle w:val="051Tabletext228pt"/>
            </w:pPr>
            <w:r>
              <w:rPr>
                <w:u w:val="single"/>
              </w:rPr>
              <w:t>Primary completion date:</w:t>
            </w:r>
            <w:r>
              <w:t xml:space="preserve"> June 2023</w:t>
            </w:r>
          </w:p>
          <w:p w14:paraId="65A481A8" w14:textId="77777777" w:rsidR="003D08E9" w:rsidRPr="00B4794A" w:rsidRDefault="003D08E9">
            <w:pPr>
              <w:pStyle w:val="051Tabletext228pt"/>
            </w:pPr>
            <w:r>
              <w:rPr>
                <w:u w:val="single"/>
              </w:rPr>
              <w:t>Study completion date:</w:t>
            </w:r>
            <w:r>
              <w:t xml:space="preserve"> June 2023</w:t>
            </w:r>
          </w:p>
        </w:tc>
        <w:tc>
          <w:tcPr>
            <w:tcW w:w="335" w:type="pct"/>
            <w:tcBorders>
              <w:bottom w:val="single" w:sz="4" w:space="0" w:color="auto"/>
            </w:tcBorders>
          </w:tcPr>
          <w:p w14:paraId="730EE9C9" w14:textId="77777777" w:rsidR="003D08E9" w:rsidRPr="00642B42" w:rsidRDefault="003D08E9">
            <w:pPr>
              <w:pStyle w:val="051Tabletext228pt"/>
              <w:jc w:val="center"/>
            </w:pPr>
            <w:r>
              <w:rPr>
                <w:rFonts w:ascii="Wingdings" w:eastAsia="Wingdings" w:hAnsi="Wingdings" w:cs="Wingdings"/>
              </w:rPr>
              <w:t>ü</w:t>
            </w:r>
          </w:p>
        </w:tc>
        <w:tc>
          <w:tcPr>
            <w:tcW w:w="366" w:type="pct"/>
            <w:tcBorders>
              <w:bottom w:val="single" w:sz="4" w:space="0" w:color="auto"/>
            </w:tcBorders>
          </w:tcPr>
          <w:p w14:paraId="1E2BC978" w14:textId="77777777" w:rsidR="003D08E9" w:rsidRPr="00642B42" w:rsidRDefault="003D08E9">
            <w:pPr>
              <w:pStyle w:val="051Tabletext228pt"/>
              <w:jc w:val="center"/>
            </w:pPr>
            <w:r>
              <w:rPr>
                <w:rFonts w:ascii="Wingdings" w:eastAsia="Wingdings" w:hAnsi="Wingdings" w:cs="Wingdings"/>
              </w:rPr>
              <w:t>ü</w:t>
            </w:r>
          </w:p>
        </w:tc>
      </w:tr>
      <w:tr w:rsidR="00181D75" w14:paraId="02A3F4D0" w14:textId="77777777">
        <w:trPr>
          <w:cantSplit/>
        </w:trPr>
        <w:tc>
          <w:tcPr>
            <w:tcW w:w="798" w:type="pct"/>
            <w:shd w:val="clear" w:color="auto" w:fill="auto"/>
          </w:tcPr>
          <w:p w14:paraId="67A54BB0" w14:textId="1054B88D" w:rsidR="00181D75" w:rsidRPr="00CE0F51" w:rsidRDefault="004D6895">
            <w:pPr>
              <w:pStyle w:val="051Tabletext228pt"/>
            </w:pPr>
            <w:r w:rsidRPr="004D6895">
              <w:t>NCT04915157</w:t>
            </w:r>
            <w:r>
              <w:br/>
            </w:r>
            <w:r w:rsidR="00E77680" w:rsidRPr="00E77680">
              <w:t>Efficacy of Spinal Cord Stimulation in Patients With Refractory Angina Pectoris (SCRAP)</w:t>
            </w:r>
          </w:p>
        </w:tc>
        <w:tc>
          <w:tcPr>
            <w:tcW w:w="1440" w:type="pct"/>
            <w:shd w:val="clear" w:color="auto" w:fill="auto"/>
          </w:tcPr>
          <w:p w14:paraId="3D962920" w14:textId="77777777" w:rsidR="00181D75" w:rsidRDefault="00E77680">
            <w:pPr>
              <w:pStyle w:val="051Tabletext228pt"/>
            </w:pPr>
            <w:r>
              <w:rPr>
                <w:u w:val="single"/>
              </w:rPr>
              <w:t>Estimated enrolment:</w:t>
            </w:r>
            <w:r>
              <w:t xml:space="preserve"> 72</w:t>
            </w:r>
          </w:p>
          <w:p w14:paraId="20A30B24" w14:textId="77777777" w:rsidR="00E77680" w:rsidRDefault="00E77680">
            <w:pPr>
              <w:pStyle w:val="051Tabletext228pt"/>
            </w:pPr>
            <w:r>
              <w:rPr>
                <w:u w:val="single"/>
              </w:rPr>
              <w:t>Location:</w:t>
            </w:r>
            <w:r w:rsidR="00A51251">
              <w:t xml:space="preserve"> The Netherlands</w:t>
            </w:r>
          </w:p>
          <w:p w14:paraId="4B558703" w14:textId="1241041E" w:rsidR="00181D75" w:rsidRPr="00182437" w:rsidRDefault="00A51251">
            <w:pPr>
              <w:pStyle w:val="051Tabletext228pt"/>
            </w:pPr>
            <w:r>
              <w:rPr>
                <w:u w:val="single"/>
              </w:rPr>
              <w:t>Inclusion:</w:t>
            </w:r>
            <w:r>
              <w:t xml:space="preserve"> </w:t>
            </w:r>
            <w:proofErr w:type="spellStart"/>
            <w:r w:rsidR="001C18EF">
              <w:t>RAP</w:t>
            </w:r>
            <w:r w:rsidR="00B3762F">
              <w:rPr>
                <w:vertAlign w:val="superscript"/>
              </w:rPr>
              <w:t>b</w:t>
            </w:r>
            <w:proofErr w:type="spellEnd"/>
            <w:r w:rsidR="001C18EF">
              <w:t xml:space="preserve">; </w:t>
            </w:r>
            <w:r w:rsidR="00B3762F">
              <w:t xml:space="preserve">proven </w:t>
            </w:r>
            <w:proofErr w:type="spellStart"/>
            <w:r w:rsidR="00B3762F">
              <w:t>ischaemia</w:t>
            </w:r>
            <w:r w:rsidR="00B3762F">
              <w:rPr>
                <w:vertAlign w:val="superscript"/>
              </w:rPr>
              <w:t>c</w:t>
            </w:r>
            <w:proofErr w:type="spellEnd"/>
            <w:r w:rsidR="00B3762F">
              <w:t xml:space="preserve">; </w:t>
            </w:r>
            <w:r w:rsidR="00F62CF6">
              <w:t xml:space="preserve">no revascularisation (PCI </w:t>
            </w:r>
            <w:r w:rsidR="00387300">
              <w:t xml:space="preserve">and/or CABG) </w:t>
            </w:r>
            <w:r w:rsidR="00861790">
              <w:t xml:space="preserve">performed between </w:t>
            </w:r>
            <w:proofErr w:type="spellStart"/>
            <w:r w:rsidR="00861790">
              <w:t>ischaemia</w:t>
            </w:r>
            <w:proofErr w:type="spellEnd"/>
            <w:r w:rsidR="00861790">
              <w:t xml:space="preserve"> testing and study inclusion; age &gt;18 yrs</w:t>
            </w:r>
            <w:r w:rsidR="003744D8">
              <w:t>.</w:t>
            </w:r>
          </w:p>
        </w:tc>
        <w:tc>
          <w:tcPr>
            <w:tcW w:w="539" w:type="pct"/>
            <w:shd w:val="clear" w:color="auto" w:fill="auto"/>
          </w:tcPr>
          <w:p w14:paraId="0FFAF8C3" w14:textId="77777777" w:rsidR="00181D75" w:rsidRDefault="00F5687B">
            <w:pPr>
              <w:pStyle w:val="051Tabletext228pt"/>
              <w:rPr>
                <w:u w:val="single"/>
              </w:rPr>
            </w:pPr>
            <w:r w:rsidRPr="00182437">
              <w:rPr>
                <w:u w:val="single"/>
              </w:rPr>
              <w:t>Intervention:</w:t>
            </w:r>
            <w:r w:rsidRPr="00182437">
              <w:t xml:space="preserve"> </w:t>
            </w:r>
            <w:r w:rsidR="00515A43" w:rsidRPr="00182437">
              <w:t>high density stimulation</w:t>
            </w:r>
          </w:p>
          <w:p w14:paraId="2B296365" w14:textId="7B114C9A" w:rsidR="00181D75" w:rsidRPr="00182437" w:rsidRDefault="00515A43">
            <w:pPr>
              <w:pStyle w:val="051Tabletext228pt"/>
            </w:pPr>
            <w:r w:rsidRPr="00182437">
              <w:rPr>
                <w:u w:val="single"/>
              </w:rPr>
              <w:t>Comparator:</w:t>
            </w:r>
            <w:r w:rsidRPr="00182437">
              <w:t xml:space="preserve"> </w:t>
            </w:r>
            <w:r w:rsidR="009F4F9C" w:rsidRPr="00182437">
              <w:t>no stimulation</w:t>
            </w:r>
          </w:p>
        </w:tc>
        <w:tc>
          <w:tcPr>
            <w:tcW w:w="947" w:type="pct"/>
            <w:shd w:val="clear" w:color="auto" w:fill="auto"/>
          </w:tcPr>
          <w:p w14:paraId="615DA4A5" w14:textId="77777777" w:rsidR="00181D75" w:rsidRDefault="009F4F9C">
            <w:pPr>
              <w:pStyle w:val="051Tabletext228pt"/>
            </w:pPr>
            <w:r>
              <w:rPr>
                <w:u w:val="single"/>
              </w:rPr>
              <w:t>Primary outcomes:</w:t>
            </w:r>
            <w:r>
              <w:t xml:space="preserve"> </w:t>
            </w:r>
            <w:r w:rsidR="005B5299">
              <w:t xml:space="preserve">myocardial </w:t>
            </w:r>
            <w:proofErr w:type="spellStart"/>
            <w:r w:rsidR="005B5299">
              <w:t>ischaemia</w:t>
            </w:r>
            <w:proofErr w:type="spellEnd"/>
          </w:p>
          <w:p w14:paraId="6DD6E358" w14:textId="07A4D66F" w:rsidR="00181D75" w:rsidRPr="00182437" w:rsidRDefault="005B5299">
            <w:pPr>
              <w:pStyle w:val="051Tabletext228pt"/>
              <w:rPr>
                <w:vertAlign w:val="superscript"/>
              </w:rPr>
            </w:pPr>
            <w:r>
              <w:rPr>
                <w:u w:val="single"/>
              </w:rPr>
              <w:t>Secondary outcomes:</w:t>
            </w:r>
            <w:r>
              <w:t xml:space="preserve"> patient conditions; frequency of angina pectoris attacks; severity of angina pectoris attacks; </w:t>
            </w:r>
            <w:r w:rsidR="006A5762">
              <w:t>grading of angin</w:t>
            </w:r>
            <w:r w:rsidR="00BB2ABB">
              <w:t>a pector</w:t>
            </w:r>
            <w:r w:rsidR="00186F54">
              <w:t>is</w:t>
            </w:r>
            <w:r w:rsidR="002F300D">
              <w:t>; frequen</w:t>
            </w:r>
            <w:r w:rsidR="00EA0316">
              <w:t xml:space="preserve">cy of short-acting </w:t>
            </w:r>
            <w:proofErr w:type="spellStart"/>
            <w:r w:rsidR="00EA0316">
              <w:t>nitroglycerin</w:t>
            </w:r>
            <w:proofErr w:type="spellEnd"/>
            <w:r w:rsidR="00EA0316">
              <w:t xml:space="preserve"> </w:t>
            </w:r>
            <w:r w:rsidR="007317DF">
              <w:t xml:space="preserve">use; QoL outcome; </w:t>
            </w:r>
            <w:r w:rsidR="005A2FF1">
              <w:t xml:space="preserve">hospital admissions due to acute coronary syndrome; revascularisation; emergency room visits due to angina pectoris; </w:t>
            </w:r>
            <w:r w:rsidR="00105880">
              <w:t>card</w:t>
            </w:r>
            <w:r w:rsidR="0078365F">
              <w:t xml:space="preserve">iovascular mortality; </w:t>
            </w:r>
            <w:r w:rsidR="001C23CD">
              <w:t xml:space="preserve">changes in regional and global </w:t>
            </w:r>
            <w:r w:rsidR="00193781">
              <w:t xml:space="preserve">myocardial blood flow </w:t>
            </w:r>
            <w:r w:rsidR="00001383">
              <w:t xml:space="preserve">and myocardial flow </w:t>
            </w:r>
            <w:proofErr w:type="spellStart"/>
            <w:r w:rsidR="00001383">
              <w:t>reserve</w:t>
            </w:r>
            <w:r w:rsidR="00376954">
              <w:rPr>
                <w:vertAlign w:val="superscript"/>
              </w:rPr>
              <w:t>a</w:t>
            </w:r>
            <w:proofErr w:type="spellEnd"/>
          </w:p>
        </w:tc>
        <w:tc>
          <w:tcPr>
            <w:tcW w:w="575" w:type="pct"/>
            <w:shd w:val="clear" w:color="auto" w:fill="auto"/>
          </w:tcPr>
          <w:p w14:paraId="6AB896B8" w14:textId="77777777" w:rsidR="00181D75" w:rsidRDefault="00646F78">
            <w:pPr>
              <w:pStyle w:val="051Tabletext228pt"/>
            </w:pPr>
            <w:r>
              <w:rPr>
                <w:u w:val="single"/>
              </w:rPr>
              <w:t>Study start date:</w:t>
            </w:r>
            <w:r>
              <w:t xml:space="preserve"> </w:t>
            </w:r>
            <w:r w:rsidR="00B41E2E">
              <w:t>21</w:t>
            </w:r>
            <w:r w:rsidR="006A0AFE">
              <w:t xml:space="preserve"> December 2021</w:t>
            </w:r>
          </w:p>
          <w:p w14:paraId="3D66A6AE" w14:textId="77777777" w:rsidR="006A0AFE" w:rsidRDefault="00B1283A">
            <w:pPr>
              <w:pStyle w:val="051Tabletext228pt"/>
            </w:pPr>
            <w:r>
              <w:rPr>
                <w:u w:val="single"/>
              </w:rPr>
              <w:t>Primary completion date:</w:t>
            </w:r>
            <w:r>
              <w:t xml:space="preserve"> </w:t>
            </w:r>
            <w:r w:rsidR="00E564F2">
              <w:t>June 2024</w:t>
            </w:r>
          </w:p>
          <w:p w14:paraId="67DC9603" w14:textId="10A8575A" w:rsidR="00181D75" w:rsidRPr="00182437" w:rsidRDefault="00E564F2">
            <w:pPr>
              <w:pStyle w:val="051Tabletext228pt"/>
            </w:pPr>
            <w:r>
              <w:rPr>
                <w:u w:val="single"/>
              </w:rPr>
              <w:t>Study completion date:</w:t>
            </w:r>
            <w:r>
              <w:t xml:space="preserve"> </w:t>
            </w:r>
            <w:r w:rsidR="00071E20">
              <w:t>June 2025</w:t>
            </w:r>
          </w:p>
        </w:tc>
        <w:tc>
          <w:tcPr>
            <w:tcW w:w="335" w:type="pct"/>
          </w:tcPr>
          <w:p w14:paraId="1473D26D" w14:textId="77777777" w:rsidR="00181D75" w:rsidRDefault="00181D75">
            <w:pPr>
              <w:pStyle w:val="051Tabletext228pt"/>
              <w:jc w:val="center"/>
              <w:rPr>
                <w:rFonts w:ascii="Wingdings" w:eastAsia="Wingdings" w:hAnsi="Wingdings" w:cs="Wingdings"/>
              </w:rPr>
            </w:pPr>
          </w:p>
        </w:tc>
        <w:tc>
          <w:tcPr>
            <w:tcW w:w="366" w:type="pct"/>
          </w:tcPr>
          <w:p w14:paraId="3A5C5133" w14:textId="77777777" w:rsidR="00181D75" w:rsidRDefault="00181D75">
            <w:pPr>
              <w:pStyle w:val="051Tabletext228pt"/>
              <w:jc w:val="center"/>
              <w:rPr>
                <w:rFonts w:ascii="Wingdings" w:eastAsia="Wingdings" w:hAnsi="Wingdings" w:cs="Wingdings"/>
              </w:rPr>
            </w:pPr>
          </w:p>
        </w:tc>
      </w:tr>
    </w:tbl>
    <w:p w14:paraId="00DA86D9" w14:textId="3F76B20E" w:rsidR="003D08E9" w:rsidRPr="00203FC9" w:rsidRDefault="003D08E9" w:rsidP="003D08E9">
      <w:pPr>
        <w:pStyle w:val="111Tablefootnoteslast-nostick8pt"/>
        <w:rPr>
          <w:rFonts w:eastAsia="Calibri"/>
        </w:rPr>
      </w:pPr>
      <w:r>
        <w:t xml:space="preserve">Abbreviations: AEs, adverse events; BPI-SF, Brief Pain Inventory; </w:t>
      </w:r>
      <w:r w:rsidR="001E4F92">
        <w:t xml:space="preserve">CABG, </w:t>
      </w:r>
      <w:r w:rsidR="00F5687B">
        <w:t>coronary artery bypass grafting;</w:t>
      </w:r>
      <w:r>
        <w:t xml:space="preserve"> </w:t>
      </w:r>
      <w:r w:rsidR="001A705A">
        <w:t xml:space="preserve">CCS, Canadian </w:t>
      </w:r>
      <w:r w:rsidR="00523197">
        <w:t>Cardiovascular Society;</w:t>
      </w:r>
      <w:r>
        <w:t xml:space="preserve"> CLBP, chronic low back pain; CMM, conventional medical management; cm, </w:t>
      </w:r>
      <w:proofErr w:type="spellStart"/>
      <w:r>
        <w:t>centimetres</w:t>
      </w:r>
      <w:proofErr w:type="spellEnd"/>
      <w:r>
        <w:t xml:space="preserve">; DASS, Depression, Anxiety and Stress Scale; DRGS, dorsal root ganglion stimulation; EQ, </w:t>
      </w:r>
      <w:proofErr w:type="spellStart"/>
      <w:r>
        <w:t>EuroQol</w:t>
      </w:r>
      <w:proofErr w:type="spellEnd"/>
      <w:r>
        <w:t xml:space="preserve">; FBSS, failed back surgery syndrome; </w:t>
      </w:r>
      <w:r w:rsidR="00595000">
        <w:t xml:space="preserve">FFR, fractional flow reserve; </w:t>
      </w:r>
      <w:r>
        <w:t xml:space="preserve">FSQ, Fibromyalgia Survey Questionnaire; HADS-D, Hospital And Anxiety Depression Scale; </w:t>
      </w:r>
      <w:proofErr w:type="spellStart"/>
      <w:r>
        <w:t>hrs</w:t>
      </w:r>
      <w:proofErr w:type="spellEnd"/>
      <w:r>
        <w:t xml:space="preserve">, hours; </w:t>
      </w:r>
      <w:proofErr w:type="spellStart"/>
      <w:r>
        <w:t>HRQoL</w:t>
      </w:r>
      <w:proofErr w:type="spellEnd"/>
      <w:r>
        <w:t>, health</w:t>
      </w:r>
      <w:r w:rsidR="00340CE3">
        <w:t>-</w:t>
      </w:r>
      <w:r>
        <w:t xml:space="preserve">related quality of life; kHz, kilohertz; LBP, low back pain; LOS, length of stay; MBM, Michigan Body Map; </w:t>
      </w:r>
      <w:proofErr w:type="spellStart"/>
      <w:r>
        <w:t>mo</w:t>
      </w:r>
      <w:proofErr w:type="spellEnd"/>
      <w:r>
        <w:t xml:space="preserve">, months; </w:t>
      </w:r>
      <w:r w:rsidR="00EF7F2B">
        <w:t xml:space="preserve">MRI, magnetic resonance imaging; </w:t>
      </w:r>
      <w:r>
        <w:t xml:space="preserve">N, population; NR, not reported; NRS, numeric rating scale; ODI, </w:t>
      </w:r>
      <w:r w:rsidRPr="008A0B04">
        <w:t xml:space="preserve">Oswestry </w:t>
      </w:r>
      <w:r>
        <w:t>D</w:t>
      </w:r>
      <w:r w:rsidRPr="008A0B04">
        <w:t xml:space="preserve">isability </w:t>
      </w:r>
      <w:r>
        <w:t>I</w:t>
      </w:r>
      <w:r w:rsidRPr="008A0B04">
        <w:t>ndex</w:t>
      </w:r>
      <w:r>
        <w:t xml:space="preserve">; </w:t>
      </w:r>
      <w:r w:rsidR="00F4435C">
        <w:t xml:space="preserve">PCI, percutaneous coronary intervention; </w:t>
      </w:r>
      <w:r>
        <w:t xml:space="preserve">PDI, General Pain Disability Index; </w:t>
      </w:r>
      <w:r w:rsidR="00F837FD">
        <w:t xml:space="preserve">PET, positron </w:t>
      </w:r>
      <w:r w:rsidR="00792B7C">
        <w:t xml:space="preserve">emission tomography; </w:t>
      </w:r>
      <w:r w:rsidR="00E6716E">
        <w:t xml:space="preserve">RAP, refractory angina pectoris; </w:t>
      </w:r>
      <w:r>
        <w:t>SCS, spinal cord stimulation; SFMPQ, Short</w:t>
      </w:r>
      <w:r w:rsidR="00EF10B9">
        <w:t xml:space="preserve"> </w:t>
      </w:r>
      <w:r>
        <w:t>Form McGill Pain Questionnaire; SF36, Short</w:t>
      </w:r>
      <w:r w:rsidR="00EF10B9">
        <w:t xml:space="preserve"> </w:t>
      </w:r>
      <w:r>
        <w:t xml:space="preserve">Form 36; VAS, visual analogue scale; vs, versus; </w:t>
      </w:r>
      <w:proofErr w:type="spellStart"/>
      <w:r>
        <w:t>yrs</w:t>
      </w:r>
      <w:proofErr w:type="spellEnd"/>
      <w:r>
        <w:t>, years</w:t>
      </w:r>
      <w:r>
        <w:br/>
      </w:r>
      <w:r>
        <w:rPr>
          <w:b/>
          <w:bCs/>
        </w:rPr>
        <w:t xml:space="preserve">a </w:t>
      </w:r>
      <w:r w:rsidR="008F6F1D">
        <w:t>T</w:t>
      </w:r>
      <w:r>
        <w:t>rial also includes a number of “other outcomes”</w:t>
      </w:r>
      <w:r>
        <w:br/>
      </w:r>
      <w:r w:rsidR="003744D8">
        <w:rPr>
          <w:b/>
          <w:bCs/>
        </w:rPr>
        <w:t>b</w:t>
      </w:r>
      <w:r w:rsidR="003744D8">
        <w:t xml:space="preserve"> </w:t>
      </w:r>
      <w:r w:rsidR="00E26E4E" w:rsidRPr="00E26E4E">
        <w:t>Stable angina pectoris CCS class III or IV, with a minimum of 5 episodes of angina pectoris over the course of one week, during a minimum period of three months prior to screening</w:t>
      </w:r>
      <w:r w:rsidR="008F6F1D">
        <w:t xml:space="preserve">; </w:t>
      </w:r>
      <w:r w:rsidR="009F3E43" w:rsidRPr="009F3E43">
        <w:t xml:space="preserve">Coronary angiogram (CAG) performed within the last 12 months showing significant coronary artery disease defined as at least one coronary artery stenosis of &gt;75% or 50 - 75% with proven </w:t>
      </w:r>
      <w:proofErr w:type="spellStart"/>
      <w:r w:rsidR="009F3E43" w:rsidRPr="009F3E43">
        <w:t>ischaemia</w:t>
      </w:r>
      <w:proofErr w:type="spellEnd"/>
      <w:r w:rsidR="009F3E43" w:rsidRPr="009F3E43">
        <w:t xml:space="preserve"> (see below), not suitable for </w:t>
      </w:r>
      <w:proofErr w:type="spellStart"/>
      <w:r w:rsidR="009F3E43" w:rsidRPr="009F3E43">
        <w:t>revascularisation</w:t>
      </w:r>
      <w:proofErr w:type="spellEnd"/>
      <w:r w:rsidR="009F3E43" w:rsidRPr="009F3E43">
        <w:t>. Confirmed by one (or two in case of doubt) interventional cardiologist based on CAG images</w:t>
      </w:r>
      <w:r w:rsidR="009F3E43">
        <w:t xml:space="preserve">; </w:t>
      </w:r>
      <w:r w:rsidR="004C1558" w:rsidRPr="004C1558">
        <w:t>Optimal anti-anginal medication. Patients should at least use the maximal tolerable dose of a b-blocker, calcium channel blocker and short- and/or long-acting nitrate. If the patient doesn</w:t>
      </w:r>
      <w:r w:rsidR="004C1558">
        <w:t>’</w:t>
      </w:r>
      <w:r w:rsidR="004C1558" w:rsidRPr="004C1558">
        <w:t>t use one of these groups of medication the reason (side-effects) should be clear.</w:t>
      </w:r>
      <w:r w:rsidR="004C1558">
        <w:br/>
      </w:r>
      <w:r w:rsidR="004C1558">
        <w:rPr>
          <w:b/>
          <w:bCs/>
        </w:rPr>
        <w:t>c</w:t>
      </w:r>
      <w:r w:rsidR="004C1558">
        <w:t xml:space="preserve"> </w:t>
      </w:r>
      <w:r w:rsidR="00F0680F" w:rsidRPr="00F0680F">
        <w:t xml:space="preserve">MIBI-SPECT: summed stress score (SSS) of at least 1, in combination with summed difference score (SDS) of at least 1 (1-4 mild </w:t>
      </w:r>
      <w:proofErr w:type="spellStart"/>
      <w:r w:rsidR="00F0680F" w:rsidRPr="00F0680F">
        <w:t>ischaemia</w:t>
      </w:r>
      <w:proofErr w:type="spellEnd"/>
      <w:r w:rsidR="00F0680F" w:rsidRPr="00F0680F">
        <w:t xml:space="preserve">, &gt; 4 moderate to severe </w:t>
      </w:r>
      <w:proofErr w:type="spellStart"/>
      <w:r w:rsidR="00F0680F" w:rsidRPr="00F0680F">
        <w:t>ischaemia</w:t>
      </w:r>
      <w:proofErr w:type="spellEnd"/>
      <w:r w:rsidR="00F0680F" w:rsidRPr="00F0680F">
        <w:t>)</w:t>
      </w:r>
      <w:r w:rsidR="00F0680F">
        <w:t xml:space="preserve">; </w:t>
      </w:r>
      <w:r w:rsidR="00F47DFE" w:rsidRPr="00F47DFE">
        <w:t>FFR: &lt; 0.80, with no intervention options (determined by interventional cardiologist)</w:t>
      </w:r>
      <w:r w:rsidR="00F47DFE">
        <w:t xml:space="preserve">; </w:t>
      </w:r>
      <w:r w:rsidR="0076050B" w:rsidRPr="0076050B">
        <w:t>MRI perfusion: ≥ 1 segment of subendocardial hypoperfusion during stress perfusion, not present at rest and no matching fibrosis (using 16 segment AHA heart model)</w:t>
      </w:r>
      <w:r w:rsidR="0076050B">
        <w:t xml:space="preserve">; </w:t>
      </w:r>
      <w:r w:rsidR="0013509D" w:rsidRPr="0013509D">
        <w:t xml:space="preserve">PET: Semi-quantitative measurement: SSS score of at least 1, in combination with SDS score of at least 1 (1-4 mild </w:t>
      </w:r>
      <w:proofErr w:type="spellStart"/>
      <w:r w:rsidR="0013509D" w:rsidRPr="0013509D">
        <w:t>ischaemia</w:t>
      </w:r>
      <w:proofErr w:type="spellEnd"/>
      <w:r w:rsidR="0013509D" w:rsidRPr="0013509D">
        <w:t xml:space="preserve">, &gt; 4 moderate to severe </w:t>
      </w:r>
      <w:proofErr w:type="spellStart"/>
      <w:r w:rsidR="0013509D" w:rsidRPr="0013509D">
        <w:t>ischaemia</w:t>
      </w:r>
      <w:proofErr w:type="spellEnd"/>
      <w:r w:rsidR="0013509D" w:rsidRPr="0013509D">
        <w:t>). Quantitative measurement: reduced myocardial perfusion reserve</w:t>
      </w:r>
      <w:r>
        <w:br/>
        <w:t xml:space="preserve">Note: Trials with a past estimated completion date have not been included </w:t>
      </w:r>
    </w:p>
    <w:p w14:paraId="1C35035F" w14:textId="77777777" w:rsidR="00DF301A" w:rsidRDefault="00DF301A" w:rsidP="00E21858">
      <w:pPr>
        <w:pStyle w:val="Caption"/>
        <w:sectPr w:rsidR="00DF301A" w:rsidSect="000E0564">
          <w:pgSz w:w="16838" w:h="11906" w:orient="landscape"/>
          <w:pgMar w:top="1134" w:right="1134" w:bottom="1134" w:left="1134" w:header="850" w:footer="709" w:gutter="0"/>
          <w:cols w:space="708"/>
          <w:docGrid w:linePitch="360"/>
        </w:sectPr>
      </w:pPr>
      <w:bookmarkStart w:id="171" w:name="_Ref134813104"/>
    </w:p>
    <w:p w14:paraId="41E35307" w14:textId="040991E8" w:rsidR="00352328" w:rsidRPr="00302D21" w:rsidRDefault="00352328" w:rsidP="00302D21">
      <w:pPr>
        <w:pStyle w:val="Caption"/>
        <w:rPr>
          <w:lang w:val="en-US"/>
        </w:rPr>
      </w:pPr>
      <w:bookmarkStart w:id="172" w:name="_Ref165465451"/>
      <w:bookmarkEnd w:id="171"/>
      <w:r>
        <w:lastRenderedPageBreak/>
        <w:t xml:space="preserve">Table App </w:t>
      </w:r>
      <w:fldSimple w:instr=" SEQ Table_App \* ARABIC ">
        <w:r w:rsidR="00CE6ACA">
          <w:rPr>
            <w:noProof/>
          </w:rPr>
          <w:t>6</w:t>
        </w:r>
      </w:fldSimple>
      <w:bookmarkEnd w:id="172"/>
      <w:r>
        <w:tab/>
        <w:t>Additional ongoing RCTs identified in the Cochrane reviews (O’Connell 2021 and Traeger 2023)</w:t>
      </w:r>
    </w:p>
    <w:tbl>
      <w:tblPr>
        <w:tblStyle w:val="TableGrid"/>
        <w:tblW w:w="0" w:type="auto"/>
        <w:tblLook w:val="04A0" w:firstRow="1" w:lastRow="0" w:firstColumn="1" w:lastColumn="0" w:noHBand="0" w:noVBand="1"/>
        <w:tblCaption w:val="Additional ongoing RCTs identified in the Cochrane review (O’Connell 2021 and Traeger 2023)"/>
        <w:tblDescription w:val="Table showing the additional ongoing RCTs identified in the Cochrane reviews (O'Connell and Traeger 2023)."/>
      </w:tblPr>
      <w:tblGrid>
        <w:gridCol w:w="1418"/>
        <w:gridCol w:w="1701"/>
        <w:gridCol w:w="9497"/>
        <w:gridCol w:w="992"/>
        <w:gridCol w:w="962"/>
      </w:tblGrid>
      <w:tr w:rsidR="00E21858" w14:paraId="17B5007A" w14:textId="77777777">
        <w:trPr>
          <w:cnfStyle w:val="100000000000" w:firstRow="1" w:lastRow="0" w:firstColumn="0" w:lastColumn="0" w:oddVBand="0" w:evenVBand="0" w:oddHBand="0" w:evenHBand="0" w:firstRowFirstColumn="0" w:firstRowLastColumn="0" w:lastRowFirstColumn="0" w:lastRowLastColumn="0"/>
        </w:trPr>
        <w:tc>
          <w:tcPr>
            <w:tcW w:w="1418" w:type="dxa"/>
          </w:tcPr>
          <w:p w14:paraId="142527AD" w14:textId="77777777" w:rsidR="00E21858" w:rsidRPr="00CC2337" w:rsidRDefault="00E21858">
            <w:pPr>
              <w:pStyle w:val="011TableHeading8pt"/>
              <w:rPr>
                <w:rFonts w:eastAsia="Calibri"/>
                <w:lang w:val="en-US"/>
              </w:rPr>
            </w:pPr>
            <w:r>
              <w:rPr>
                <w:rFonts w:eastAsia="Calibri"/>
                <w:lang w:val="en-US"/>
              </w:rPr>
              <w:t>RCT identifier</w:t>
            </w:r>
          </w:p>
        </w:tc>
        <w:tc>
          <w:tcPr>
            <w:tcW w:w="1701" w:type="dxa"/>
          </w:tcPr>
          <w:p w14:paraId="706FDAC2" w14:textId="77777777" w:rsidR="00E21858" w:rsidRDefault="00E21858">
            <w:pPr>
              <w:pStyle w:val="011TableHeading8pt"/>
              <w:rPr>
                <w:rFonts w:eastAsia="Calibri"/>
                <w:lang w:val="en-US"/>
              </w:rPr>
            </w:pPr>
            <w:r>
              <w:rPr>
                <w:rFonts w:eastAsia="Calibri"/>
                <w:lang w:val="en-US"/>
              </w:rPr>
              <w:t>Study ID/ Registry ID</w:t>
            </w:r>
          </w:p>
        </w:tc>
        <w:tc>
          <w:tcPr>
            <w:tcW w:w="9497" w:type="dxa"/>
          </w:tcPr>
          <w:p w14:paraId="0E282630" w14:textId="77777777" w:rsidR="00E21858" w:rsidRDefault="00E21858">
            <w:pPr>
              <w:pStyle w:val="011TableHeading8pt"/>
              <w:rPr>
                <w:rFonts w:eastAsia="Calibri"/>
                <w:lang w:val="en-US"/>
              </w:rPr>
            </w:pPr>
            <w:r>
              <w:rPr>
                <w:rFonts w:eastAsia="Calibri"/>
                <w:lang w:val="en-US"/>
              </w:rPr>
              <w:t>Title</w:t>
            </w:r>
          </w:p>
        </w:tc>
        <w:tc>
          <w:tcPr>
            <w:tcW w:w="992" w:type="dxa"/>
          </w:tcPr>
          <w:p w14:paraId="354DAD85" w14:textId="77777777" w:rsidR="00E21858" w:rsidRDefault="00E21858">
            <w:pPr>
              <w:pStyle w:val="011TableHeading8pt"/>
              <w:rPr>
                <w:rFonts w:eastAsia="Calibri"/>
                <w:lang w:val="en-US"/>
              </w:rPr>
            </w:pPr>
            <w:r>
              <w:rPr>
                <w:rFonts w:eastAsia="Calibri"/>
                <w:lang w:val="en-US"/>
              </w:rPr>
              <w:t>Included in O’Connell</w:t>
            </w:r>
          </w:p>
        </w:tc>
        <w:tc>
          <w:tcPr>
            <w:tcW w:w="962" w:type="dxa"/>
          </w:tcPr>
          <w:p w14:paraId="000695FF" w14:textId="77777777" w:rsidR="00E21858" w:rsidRDefault="00E21858">
            <w:pPr>
              <w:pStyle w:val="011TableHeading8pt"/>
              <w:rPr>
                <w:rFonts w:eastAsia="Calibri"/>
                <w:lang w:val="en-US"/>
              </w:rPr>
            </w:pPr>
            <w:r>
              <w:rPr>
                <w:rFonts w:eastAsia="Calibri"/>
                <w:lang w:val="en-US"/>
              </w:rPr>
              <w:t xml:space="preserve">Included in </w:t>
            </w:r>
            <w:proofErr w:type="spellStart"/>
            <w:r>
              <w:rPr>
                <w:rFonts w:eastAsia="Calibri"/>
                <w:lang w:val="en-US"/>
              </w:rPr>
              <w:t>Traegar</w:t>
            </w:r>
            <w:proofErr w:type="spellEnd"/>
          </w:p>
        </w:tc>
      </w:tr>
      <w:tr w:rsidR="00E21858" w14:paraId="0E89B08C" w14:textId="77777777">
        <w:tc>
          <w:tcPr>
            <w:tcW w:w="1418" w:type="dxa"/>
          </w:tcPr>
          <w:p w14:paraId="15DFFB93" w14:textId="77777777" w:rsidR="00E21858" w:rsidRDefault="00E21858">
            <w:pPr>
              <w:pStyle w:val="051Tabletext228pt"/>
              <w:rPr>
                <w:rFonts w:eastAsia="Calibri"/>
                <w:lang w:val="en-US"/>
              </w:rPr>
            </w:pPr>
          </w:p>
        </w:tc>
        <w:tc>
          <w:tcPr>
            <w:tcW w:w="1701" w:type="dxa"/>
          </w:tcPr>
          <w:p w14:paraId="4CC300D3" w14:textId="77777777" w:rsidR="00E21858" w:rsidRDefault="00E21858">
            <w:pPr>
              <w:pStyle w:val="051Tabletext228pt"/>
              <w:rPr>
                <w:rFonts w:eastAsia="Calibri"/>
                <w:lang w:val="en-US"/>
              </w:rPr>
            </w:pPr>
            <w:r w:rsidRPr="00B51342">
              <w:rPr>
                <w:rFonts w:eastAsia="Calibri"/>
                <w:lang w:val="en-US"/>
              </w:rPr>
              <w:t>ChiCTR-IOR-17012289</w:t>
            </w:r>
          </w:p>
        </w:tc>
        <w:tc>
          <w:tcPr>
            <w:tcW w:w="9497" w:type="dxa"/>
          </w:tcPr>
          <w:p w14:paraId="70037ECD" w14:textId="77777777" w:rsidR="00E21858" w:rsidRDefault="00E21858">
            <w:pPr>
              <w:pStyle w:val="051Tabletext228pt"/>
              <w:rPr>
                <w:rFonts w:eastAsia="Calibri"/>
                <w:lang w:val="en-US"/>
              </w:rPr>
            </w:pPr>
            <w:r w:rsidRPr="00561172">
              <w:rPr>
                <w:rFonts w:eastAsia="Calibri"/>
                <w:lang w:val="en-US"/>
              </w:rPr>
              <w:t>A randomized controlled study of spinal cord electrical</w:t>
            </w:r>
            <w:r>
              <w:rPr>
                <w:rFonts w:eastAsia="Calibri"/>
                <w:lang w:val="en-US"/>
              </w:rPr>
              <w:t xml:space="preserve"> </w:t>
            </w:r>
            <w:r w:rsidRPr="00561172">
              <w:rPr>
                <w:rFonts w:eastAsia="Calibri"/>
                <w:lang w:val="en-US"/>
              </w:rPr>
              <w:t>stimulation in the treatment of pain in patients with diabetic</w:t>
            </w:r>
            <w:r>
              <w:rPr>
                <w:rFonts w:eastAsia="Calibri"/>
                <w:lang w:val="en-US"/>
              </w:rPr>
              <w:t xml:space="preserve"> </w:t>
            </w:r>
            <w:r w:rsidRPr="00561172">
              <w:rPr>
                <w:rFonts w:eastAsia="Calibri"/>
                <w:lang w:val="en-US"/>
              </w:rPr>
              <w:t>foot.</w:t>
            </w:r>
          </w:p>
        </w:tc>
        <w:tc>
          <w:tcPr>
            <w:tcW w:w="992" w:type="dxa"/>
          </w:tcPr>
          <w:p w14:paraId="51247888" w14:textId="77777777" w:rsidR="00E21858" w:rsidRDefault="00E21858">
            <w:pPr>
              <w:pStyle w:val="051Tabletext228pt"/>
              <w:jc w:val="center"/>
              <w:rPr>
                <w:rFonts w:eastAsia="Calibri"/>
                <w:lang w:val="en-US"/>
              </w:rPr>
            </w:pPr>
            <w:r>
              <w:rPr>
                <w:rFonts w:ascii="Wingdings" w:eastAsia="Wingdings" w:hAnsi="Wingdings" w:cs="Wingdings"/>
                <w:lang w:val="en-US"/>
              </w:rPr>
              <w:t>ü</w:t>
            </w:r>
          </w:p>
        </w:tc>
        <w:tc>
          <w:tcPr>
            <w:tcW w:w="962" w:type="dxa"/>
          </w:tcPr>
          <w:p w14:paraId="7F30CF32" w14:textId="77777777" w:rsidR="00E21858" w:rsidRDefault="00E21858">
            <w:pPr>
              <w:pStyle w:val="051Tabletext228pt"/>
              <w:jc w:val="center"/>
              <w:rPr>
                <w:rFonts w:eastAsia="Calibri"/>
                <w:lang w:val="en-US"/>
              </w:rPr>
            </w:pPr>
          </w:p>
        </w:tc>
      </w:tr>
      <w:tr w:rsidR="00E21858" w14:paraId="3B5378BA" w14:textId="77777777">
        <w:tc>
          <w:tcPr>
            <w:tcW w:w="1418" w:type="dxa"/>
          </w:tcPr>
          <w:p w14:paraId="5346963E" w14:textId="77777777" w:rsidR="00E21858" w:rsidRDefault="00E21858">
            <w:pPr>
              <w:pStyle w:val="051Tabletext228pt"/>
              <w:rPr>
                <w:rFonts w:eastAsia="Calibri"/>
                <w:lang w:val="en-US"/>
              </w:rPr>
            </w:pPr>
            <w:r w:rsidRPr="0063790B">
              <w:rPr>
                <w:rFonts w:eastAsia="Calibri"/>
                <w:lang w:val="en-US"/>
              </w:rPr>
              <w:t>CITRIP</w:t>
            </w:r>
          </w:p>
        </w:tc>
        <w:tc>
          <w:tcPr>
            <w:tcW w:w="1701" w:type="dxa"/>
          </w:tcPr>
          <w:p w14:paraId="55FEA8E1" w14:textId="77777777" w:rsidR="00E21858" w:rsidRDefault="00E21858">
            <w:pPr>
              <w:pStyle w:val="051Tabletext228pt"/>
              <w:rPr>
                <w:rFonts w:eastAsia="Calibri"/>
                <w:lang w:val="en-US"/>
              </w:rPr>
            </w:pPr>
            <w:r>
              <w:rPr>
                <w:rFonts w:eastAsia="Calibri"/>
                <w:lang w:val="en-US"/>
              </w:rPr>
              <w:t>Lu 2020</w:t>
            </w:r>
          </w:p>
        </w:tc>
        <w:tc>
          <w:tcPr>
            <w:tcW w:w="9497" w:type="dxa"/>
          </w:tcPr>
          <w:p w14:paraId="25A1B035" w14:textId="4149D928" w:rsidR="00E21858" w:rsidRDefault="00E21858">
            <w:pPr>
              <w:pStyle w:val="051Tabletext228pt"/>
              <w:rPr>
                <w:rFonts w:eastAsia="Calibri"/>
                <w:lang w:val="en-US"/>
              </w:rPr>
            </w:pPr>
            <w:r w:rsidRPr="00645E3D">
              <w:rPr>
                <w:rFonts w:eastAsia="Calibri"/>
                <w:lang w:val="en-US"/>
              </w:rPr>
              <w:t>Spinal cord</w:t>
            </w:r>
            <w:r>
              <w:rPr>
                <w:rFonts w:eastAsia="Calibri"/>
                <w:lang w:val="en-US"/>
              </w:rPr>
              <w:t xml:space="preserve"> </w:t>
            </w:r>
            <w:r w:rsidRPr="00645E3D">
              <w:rPr>
                <w:rFonts w:eastAsia="Calibri"/>
                <w:lang w:val="en-US"/>
              </w:rPr>
              <w:t>stimulation for chronic intractable trunk or limb pain: study</w:t>
            </w:r>
            <w:r w:rsidR="00955509">
              <w:rPr>
                <w:rFonts w:eastAsia="Calibri"/>
                <w:lang w:val="en-US"/>
              </w:rPr>
              <w:t xml:space="preserve"> </w:t>
            </w:r>
            <w:r w:rsidRPr="00645E3D">
              <w:rPr>
                <w:rFonts w:eastAsia="Calibri"/>
                <w:lang w:val="en-US"/>
              </w:rPr>
              <w:t>protocol for a Chinese multicenter randomized withdrawal trial</w:t>
            </w:r>
          </w:p>
        </w:tc>
        <w:tc>
          <w:tcPr>
            <w:tcW w:w="992" w:type="dxa"/>
          </w:tcPr>
          <w:p w14:paraId="46F1AD62" w14:textId="77777777" w:rsidR="00E21858" w:rsidRDefault="00E21858">
            <w:pPr>
              <w:pStyle w:val="051Tabletext228pt"/>
              <w:jc w:val="center"/>
              <w:rPr>
                <w:rFonts w:eastAsia="Calibri"/>
                <w:lang w:val="en-US"/>
              </w:rPr>
            </w:pPr>
            <w:r>
              <w:rPr>
                <w:rFonts w:ascii="Wingdings" w:eastAsia="Wingdings" w:hAnsi="Wingdings" w:cs="Wingdings"/>
                <w:lang w:val="en-US"/>
              </w:rPr>
              <w:t>ü</w:t>
            </w:r>
          </w:p>
        </w:tc>
        <w:tc>
          <w:tcPr>
            <w:tcW w:w="962" w:type="dxa"/>
          </w:tcPr>
          <w:p w14:paraId="4095510F" w14:textId="77777777" w:rsidR="00E21858" w:rsidRDefault="00E21858">
            <w:pPr>
              <w:pStyle w:val="051Tabletext228pt"/>
              <w:jc w:val="center"/>
              <w:rPr>
                <w:rFonts w:eastAsia="Calibri"/>
                <w:lang w:val="en-US"/>
              </w:rPr>
            </w:pPr>
          </w:p>
        </w:tc>
      </w:tr>
      <w:tr w:rsidR="00E21858" w14:paraId="0ADD6985" w14:textId="77777777">
        <w:tc>
          <w:tcPr>
            <w:tcW w:w="1418" w:type="dxa"/>
          </w:tcPr>
          <w:p w14:paraId="0C4B4DF7" w14:textId="77777777" w:rsidR="00E21858" w:rsidRDefault="00E21858">
            <w:pPr>
              <w:pStyle w:val="051Tabletext228pt"/>
              <w:rPr>
                <w:rFonts w:eastAsia="Calibri"/>
                <w:lang w:val="en-US"/>
              </w:rPr>
            </w:pPr>
          </w:p>
        </w:tc>
        <w:tc>
          <w:tcPr>
            <w:tcW w:w="1701" w:type="dxa"/>
          </w:tcPr>
          <w:p w14:paraId="3FFAC0C4" w14:textId="77777777" w:rsidR="00E21858" w:rsidRDefault="00E21858">
            <w:pPr>
              <w:pStyle w:val="051Tabletext228pt"/>
              <w:rPr>
                <w:rFonts w:eastAsia="Calibri"/>
                <w:lang w:val="en-US"/>
              </w:rPr>
            </w:pPr>
            <w:r w:rsidRPr="007A1B05">
              <w:rPr>
                <w:rFonts w:eastAsia="Calibri"/>
                <w:lang w:val="en-US"/>
              </w:rPr>
              <w:t>DRKS00022557</w:t>
            </w:r>
          </w:p>
        </w:tc>
        <w:tc>
          <w:tcPr>
            <w:tcW w:w="9497" w:type="dxa"/>
          </w:tcPr>
          <w:p w14:paraId="11C1F659" w14:textId="77777777" w:rsidR="00E21858" w:rsidRDefault="00E21858">
            <w:pPr>
              <w:pStyle w:val="051Tabletext228pt"/>
              <w:rPr>
                <w:rFonts w:eastAsia="Calibri"/>
                <w:lang w:val="en-US"/>
              </w:rPr>
            </w:pPr>
            <w:r w:rsidRPr="007A1B05">
              <w:rPr>
                <w:rFonts w:eastAsia="Calibri"/>
                <w:lang w:val="en-US"/>
              </w:rPr>
              <w:t>E</w:t>
            </w:r>
            <w:r>
              <w:rPr>
                <w:rFonts w:eastAsia="Calibri"/>
                <w:lang w:val="en-US"/>
              </w:rPr>
              <w:t>ff</w:t>
            </w:r>
            <w:r w:rsidRPr="007A1B05">
              <w:rPr>
                <w:rFonts w:eastAsia="Calibri"/>
                <w:lang w:val="en-US"/>
              </w:rPr>
              <w:t>ect of stimulation frequency in dorsal root ganglion</w:t>
            </w:r>
            <w:r>
              <w:rPr>
                <w:rFonts w:eastAsia="Calibri"/>
                <w:lang w:val="en-US"/>
              </w:rPr>
              <w:t xml:space="preserve"> </w:t>
            </w:r>
            <w:r w:rsidRPr="007A1B05">
              <w:rPr>
                <w:rFonts w:eastAsia="Calibri"/>
                <w:lang w:val="en-US"/>
              </w:rPr>
              <w:t>stimulation (DRG Stimulation)</w:t>
            </w:r>
          </w:p>
        </w:tc>
        <w:tc>
          <w:tcPr>
            <w:tcW w:w="992" w:type="dxa"/>
          </w:tcPr>
          <w:p w14:paraId="59147153" w14:textId="77777777" w:rsidR="00E21858" w:rsidRDefault="00E21858">
            <w:pPr>
              <w:pStyle w:val="051Tabletext228pt"/>
              <w:jc w:val="center"/>
              <w:rPr>
                <w:rFonts w:eastAsia="Calibri"/>
                <w:lang w:val="en-US"/>
              </w:rPr>
            </w:pPr>
            <w:r>
              <w:rPr>
                <w:rFonts w:ascii="Wingdings" w:eastAsia="Wingdings" w:hAnsi="Wingdings" w:cs="Wingdings"/>
                <w:lang w:val="en-US"/>
              </w:rPr>
              <w:t>ü</w:t>
            </w:r>
          </w:p>
        </w:tc>
        <w:tc>
          <w:tcPr>
            <w:tcW w:w="962" w:type="dxa"/>
          </w:tcPr>
          <w:p w14:paraId="004C5173" w14:textId="77777777" w:rsidR="00E21858" w:rsidRDefault="00E21858">
            <w:pPr>
              <w:pStyle w:val="051Tabletext228pt"/>
              <w:jc w:val="center"/>
              <w:rPr>
                <w:rFonts w:eastAsia="Calibri"/>
                <w:lang w:val="en-US"/>
              </w:rPr>
            </w:pPr>
          </w:p>
        </w:tc>
      </w:tr>
      <w:tr w:rsidR="00E21858" w14:paraId="16AD2431" w14:textId="77777777">
        <w:tc>
          <w:tcPr>
            <w:tcW w:w="1418" w:type="dxa"/>
          </w:tcPr>
          <w:p w14:paraId="6B25C465" w14:textId="77777777" w:rsidR="00E21858" w:rsidRDefault="00E21858">
            <w:pPr>
              <w:pStyle w:val="051Tabletext228pt"/>
              <w:rPr>
                <w:rFonts w:eastAsia="Calibri"/>
                <w:lang w:val="en-US"/>
              </w:rPr>
            </w:pPr>
            <w:r w:rsidRPr="00337931">
              <w:rPr>
                <w:rFonts w:eastAsia="Calibri"/>
                <w:lang w:val="en-US"/>
              </w:rPr>
              <w:t>MODULATE- LBP</w:t>
            </w:r>
          </w:p>
        </w:tc>
        <w:tc>
          <w:tcPr>
            <w:tcW w:w="1701" w:type="dxa"/>
          </w:tcPr>
          <w:p w14:paraId="22EC3DEF" w14:textId="77777777" w:rsidR="00E21858" w:rsidRDefault="00E21858">
            <w:pPr>
              <w:pStyle w:val="051Tabletext228pt"/>
              <w:rPr>
                <w:rFonts w:eastAsia="Calibri"/>
                <w:lang w:val="en-US"/>
              </w:rPr>
            </w:pPr>
            <w:r>
              <w:rPr>
                <w:rFonts w:eastAsia="Calibri"/>
                <w:lang w:val="en-US"/>
              </w:rPr>
              <w:t>Al-</w:t>
            </w:r>
            <w:proofErr w:type="spellStart"/>
            <w:r>
              <w:rPr>
                <w:rFonts w:eastAsia="Calibri"/>
                <w:lang w:val="en-US"/>
              </w:rPr>
              <w:t>Kaisy</w:t>
            </w:r>
            <w:proofErr w:type="spellEnd"/>
            <w:r>
              <w:rPr>
                <w:rFonts w:eastAsia="Calibri"/>
                <w:lang w:val="en-US"/>
              </w:rPr>
              <w:t xml:space="preserve"> 2020</w:t>
            </w:r>
          </w:p>
        </w:tc>
        <w:tc>
          <w:tcPr>
            <w:tcW w:w="9497" w:type="dxa"/>
          </w:tcPr>
          <w:p w14:paraId="5C10D011" w14:textId="77777777" w:rsidR="00E21858" w:rsidRDefault="00E21858">
            <w:pPr>
              <w:pStyle w:val="051Tabletext228pt"/>
              <w:rPr>
                <w:rFonts w:eastAsia="Calibri"/>
                <w:lang w:val="en-US"/>
              </w:rPr>
            </w:pPr>
            <w:proofErr w:type="spellStart"/>
            <w:r w:rsidRPr="00103947">
              <w:rPr>
                <w:rFonts w:eastAsia="Calibri"/>
                <w:lang w:val="en-US"/>
              </w:rPr>
              <w:t>Multicentre</w:t>
            </w:r>
            <w:proofErr w:type="spellEnd"/>
            <w:r w:rsidRPr="00103947">
              <w:rPr>
                <w:rFonts w:eastAsia="Calibri"/>
                <w:lang w:val="en-US"/>
              </w:rPr>
              <w:t>, double-blind, randomised, sham-controlled trial</w:t>
            </w:r>
            <w:r>
              <w:rPr>
                <w:rFonts w:eastAsia="Calibri"/>
                <w:lang w:val="en-US"/>
              </w:rPr>
              <w:t xml:space="preserve"> </w:t>
            </w:r>
            <w:r w:rsidRPr="00103947">
              <w:rPr>
                <w:rFonts w:eastAsia="Calibri"/>
                <w:lang w:val="en-US"/>
              </w:rPr>
              <w:t xml:space="preserve">of 10 </w:t>
            </w:r>
            <w:proofErr w:type="spellStart"/>
            <w:r w:rsidRPr="00103947">
              <w:rPr>
                <w:rFonts w:eastAsia="Calibri"/>
                <w:lang w:val="en-US"/>
              </w:rPr>
              <w:t>khz</w:t>
            </w:r>
            <w:proofErr w:type="spellEnd"/>
            <w:r w:rsidRPr="00103947">
              <w:rPr>
                <w:rFonts w:eastAsia="Calibri"/>
                <w:lang w:val="en-US"/>
              </w:rPr>
              <w:t xml:space="preserve"> high-frequency spinal cord stimulation for chronic</w:t>
            </w:r>
            <w:r>
              <w:rPr>
                <w:rFonts w:eastAsia="Calibri"/>
                <w:lang w:val="en-US"/>
              </w:rPr>
              <w:t xml:space="preserve"> </w:t>
            </w:r>
            <w:r w:rsidRPr="00103947">
              <w:rPr>
                <w:rFonts w:eastAsia="Calibri"/>
                <w:lang w:val="en-US"/>
              </w:rPr>
              <w:t>neuropathic low back pain</w:t>
            </w:r>
          </w:p>
        </w:tc>
        <w:tc>
          <w:tcPr>
            <w:tcW w:w="992" w:type="dxa"/>
          </w:tcPr>
          <w:p w14:paraId="0C0AF8A4" w14:textId="77777777" w:rsidR="00E21858" w:rsidRDefault="00E21858">
            <w:pPr>
              <w:pStyle w:val="051Tabletext228pt"/>
              <w:jc w:val="center"/>
              <w:rPr>
                <w:rFonts w:eastAsia="Calibri"/>
                <w:lang w:val="en-US"/>
              </w:rPr>
            </w:pPr>
            <w:r>
              <w:rPr>
                <w:rFonts w:ascii="Wingdings" w:eastAsia="Wingdings" w:hAnsi="Wingdings" w:cs="Wingdings"/>
                <w:lang w:val="en-US"/>
              </w:rPr>
              <w:t>ü</w:t>
            </w:r>
          </w:p>
        </w:tc>
        <w:tc>
          <w:tcPr>
            <w:tcW w:w="962" w:type="dxa"/>
          </w:tcPr>
          <w:p w14:paraId="1BF1649A" w14:textId="77777777" w:rsidR="00E21858" w:rsidRDefault="00E21858">
            <w:pPr>
              <w:pStyle w:val="051Tabletext228pt"/>
              <w:jc w:val="center"/>
              <w:rPr>
                <w:rFonts w:eastAsia="Calibri"/>
                <w:lang w:val="en-US"/>
              </w:rPr>
            </w:pPr>
            <w:r w:rsidRPr="00295554">
              <w:rPr>
                <w:rFonts w:ascii="Wingdings" w:eastAsia="Wingdings" w:hAnsi="Wingdings" w:cs="Wingdings"/>
                <w:lang w:val="en-US"/>
              </w:rPr>
              <w:t>ü</w:t>
            </w:r>
          </w:p>
        </w:tc>
      </w:tr>
      <w:tr w:rsidR="00E21858" w14:paraId="189A47DE" w14:textId="77777777">
        <w:tc>
          <w:tcPr>
            <w:tcW w:w="1418" w:type="dxa"/>
          </w:tcPr>
          <w:p w14:paraId="0B5220C7" w14:textId="77777777" w:rsidR="00E21858" w:rsidRDefault="00E21858">
            <w:pPr>
              <w:pStyle w:val="051Tabletext228pt"/>
              <w:rPr>
                <w:rFonts w:eastAsia="Calibri"/>
                <w:lang w:val="en-US"/>
              </w:rPr>
            </w:pPr>
          </w:p>
        </w:tc>
        <w:tc>
          <w:tcPr>
            <w:tcW w:w="1701" w:type="dxa"/>
          </w:tcPr>
          <w:p w14:paraId="68C035E0" w14:textId="77777777" w:rsidR="00E21858" w:rsidRDefault="00E21858">
            <w:pPr>
              <w:pStyle w:val="051Tabletext228pt"/>
              <w:rPr>
                <w:rFonts w:eastAsia="Calibri"/>
                <w:lang w:val="en-US"/>
              </w:rPr>
            </w:pPr>
            <w:r w:rsidRPr="00342F61">
              <w:rPr>
                <w:rFonts w:eastAsia="Calibri"/>
                <w:lang w:val="en-US"/>
              </w:rPr>
              <w:t>NCT03546738</w:t>
            </w:r>
          </w:p>
        </w:tc>
        <w:tc>
          <w:tcPr>
            <w:tcW w:w="9497" w:type="dxa"/>
          </w:tcPr>
          <w:p w14:paraId="30DFCC6F" w14:textId="77777777" w:rsidR="00E21858" w:rsidRDefault="00E21858">
            <w:pPr>
              <w:pStyle w:val="051Tabletext228pt"/>
              <w:rPr>
                <w:rFonts w:eastAsia="Calibri"/>
                <w:lang w:val="en-US"/>
              </w:rPr>
            </w:pPr>
            <w:r w:rsidRPr="00342F61">
              <w:rPr>
                <w:rFonts w:eastAsia="Calibri"/>
                <w:lang w:val="en-US"/>
              </w:rPr>
              <w:t>Spinal cord Burst stimulation for chronic radicular pain</w:t>
            </w:r>
            <w:r>
              <w:rPr>
                <w:rFonts w:eastAsia="Calibri"/>
                <w:lang w:val="en-US"/>
              </w:rPr>
              <w:t xml:space="preserve"> </w:t>
            </w:r>
            <w:r w:rsidRPr="00342F61">
              <w:rPr>
                <w:rFonts w:eastAsia="Calibri"/>
                <w:lang w:val="en-US"/>
              </w:rPr>
              <w:t>following lumbar spine surgery: a randomized double-blind</w:t>
            </w:r>
            <w:r>
              <w:rPr>
                <w:rFonts w:eastAsia="Calibri"/>
                <w:lang w:val="en-US"/>
              </w:rPr>
              <w:t xml:space="preserve"> </w:t>
            </w:r>
            <w:r w:rsidRPr="00342F61">
              <w:rPr>
                <w:rFonts w:eastAsia="Calibri"/>
                <w:lang w:val="en-US"/>
              </w:rPr>
              <w:t>sham-controlled crossover trial</w:t>
            </w:r>
          </w:p>
        </w:tc>
        <w:tc>
          <w:tcPr>
            <w:tcW w:w="992" w:type="dxa"/>
          </w:tcPr>
          <w:p w14:paraId="14B2940C" w14:textId="77777777" w:rsidR="00E21858" w:rsidRDefault="00E21858">
            <w:pPr>
              <w:pStyle w:val="051Tabletext228pt"/>
              <w:jc w:val="center"/>
              <w:rPr>
                <w:rFonts w:eastAsia="Calibri"/>
                <w:lang w:val="en-US"/>
              </w:rPr>
            </w:pPr>
            <w:r>
              <w:rPr>
                <w:rFonts w:ascii="Wingdings" w:eastAsia="Wingdings" w:hAnsi="Wingdings" w:cs="Wingdings"/>
                <w:lang w:val="en-US"/>
              </w:rPr>
              <w:t>ü</w:t>
            </w:r>
          </w:p>
        </w:tc>
        <w:tc>
          <w:tcPr>
            <w:tcW w:w="962" w:type="dxa"/>
          </w:tcPr>
          <w:p w14:paraId="21E63C0B" w14:textId="77777777" w:rsidR="00E21858" w:rsidRDefault="00E21858">
            <w:pPr>
              <w:pStyle w:val="051Tabletext228pt"/>
              <w:jc w:val="center"/>
              <w:rPr>
                <w:rFonts w:eastAsia="Calibri"/>
                <w:lang w:val="en-US"/>
              </w:rPr>
            </w:pPr>
          </w:p>
        </w:tc>
      </w:tr>
      <w:tr w:rsidR="00E21858" w14:paraId="51AAF1D9" w14:textId="77777777">
        <w:tc>
          <w:tcPr>
            <w:tcW w:w="1418" w:type="dxa"/>
          </w:tcPr>
          <w:p w14:paraId="71C3C944" w14:textId="77777777" w:rsidR="00E21858" w:rsidRDefault="00E21858">
            <w:pPr>
              <w:pStyle w:val="051Tabletext228pt"/>
              <w:rPr>
                <w:rFonts w:eastAsia="Calibri"/>
                <w:lang w:val="en-US"/>
              </w:rPr>
            </w:pPr>
          </w:p>
        </w:tc>
        <w:tc>
          <w:tcPr>
            <w:tcW w:w="1701" w:type="dxa"/>
          </w:tcPr>
          <w:p w14:paraId="7F0D29B0" w14:textId="77777777" w:rsidR="00E21858" w:rsidRDefault="00E21858">
            <w:pPr>
              <w:pStyle w:val="051Tabletext228pt"/>
              <w:rPr>
                <w:rFonts w:eastAsia="Calibri"/>
                <w:lang w:val="en-US"/>
              </w:rPr>
            </w:pPr>
            <w:r w:rsidRPr="005F5A5D">
              <w:rPr>
                <w:rFonts w:eastAsia="Calibri"/>
                <w:lang w:val="en-US"/>
              </w:rPr>
              <w:t>NCT03733886</w:t>
            </w:r>
          </w:p>
        </w:tc>
        <w:tc>
          <w:tcPr>
            <w:tcW w:w="9497" w:type="dxa"/>
          </w:tcPr>
          <w:p w14:paraId="37054C09" w14:textId="77777777" w:rsidR="00E21858" w:rsidRDefault="00E21858">
            <w:pPr>
              <w:pStyle w:val="051Tabletext228pt"/>
              <w:rPr>
                <w:rFonts w:eastAsia="Calibri"/>
                <w:lang w:val="en-US"/>
              </w:rPr>
            </w:pPr>
            <w:r w:rsidRPr="005F5A5D">
              <w:rPr>
                <w:rFonts w:eastAsia="Calibri"/>
                <w:lang w:val="en-US"/>
              </w:rPr>
              <w:t>A randomised sham-controlled double-blinded study of burst</w:t>
            </w:r>
            <w:r>
              <w:rPr>
                <w:rFonts w:eastAsia="Calibri"/>
                <w:lang w:val="en-US"/>
              </w:rPr>
              <w:t xml:space="preserve"> </w:t>
            </w:r>
            <w:r w:rsidRPr="005F5A5D">
              <w:rPr>
                <w:rFonts w:eastAsia="Calibri"/>
                <w:lang w:val="en-US"/>
              </w:rPr>
              <w:t>spinal cord stimulation for chronic peripheral neuropathic</w:t>
            </w:r>
            <w:r>
              <w:rPr>
                <w:rFonts w:eastAsia="Calibri"/>
                <w:lang w:val="en-US"/>
              </w:rPr>
              <w:t xml:space="preserve"> </w:t>
            </w:r>
            <w:r w:rsidRPr="005F5A5D">
              <w:rPr>
                <w:rFonts w:eastAsia="Calibri"/>
                <w:lang w:val="en-US"/>
              </w:rPr>
              <w:t>pain</w:t>
            </w:r>
          </w:p>
        </w:tc>
        <w:tc>
          <w:tcPr>
            <w:tcW w:w="992" w:type="dxa"/>
          </w:tcPr>
          <w:p w14:paraId="6142BBED" w14:textId="77777777" w:rsidR="00E21858" w:rsidRDefault="00E21858">
            <w:pPr>
              <w:pStyle w:val="051Tabletext228pt"/>
              <w:jc w:val="center"/>
              <w:rPr>
                <w:rFonts w:eastAsia="Calibri"/>
                <w:lang w:val="en-US"/>
              </w:rPr>
            </w:pPr>
            <w:r>
              <w:rPr>
                <w:rFonts w:ascii="Wingdings" w:eastAsia="Wingdings" w:hAnsi="Wingdings" w:cs="Wingdings"/>
                <w:lang w:val="en-US"/>
              </w:rPr>
              <w:t>ü</w:t>
            </w:r>
          </w:p>
        </w:tc>
        <w:tc>
          <w:tcPr>
            <w:tcW w:w="962" w:type="dxa"/>
          </w:tcPr>
          <w:p w14:paraId="583057F3" w14:textId="77777777" w:rsidR="00E21858" w:rsidRDefault="00E21858">
            <w:pPr>
              <w:pStyle w:val="051Tabletext228pt"/>
              <w:jc w:val="center"/>
              <w:rPr>
                <w:rFonts w:eastAsia="Calibri"/>
                <w:lang w:val="en-US"/>
              </w:rPr>
            </w:pPr>
          </w:p>
        </w:tc>
      </w:tr>
      <w:tr w:rsidR="00E21858" w14:paraId="7FA7B8A8" w14:textId="77777777">
        <w:tc>
          <w:tcPr>
            <w:tcW w:w="1418" w:type="dxa"/>
          </w:tcPr>
          <w:p w14:paraId="260CF33E" w14:textId="77777777" w:rsidR="00E21858" w:rsidRDefault="00E21858">
            <w:pPr>
              <w:pStyle w:val="051Tabletext228pt"/>
              <w:rPr>
                <w:rFonts w:eastAsia="Calibri"/>
                <w:lang w:val="en-US"/>
              </w:rPr>
            </w:pPr>
          </w:p>
        </w:tc>
        <w:tc>
          <w:tcPr>
            <w:tcW w:w="1701" w:type="dxa"/>
          </w:tcPr>
          <w:p w14:paraId="59DC4A18" w14:textId="77777777" w:rsidR="00E21858" w:rsidRDefault="00E21858">
            <w:pPr>
              <w:pStyle w:val="051Tabletext228pt"/>
              <w:rPr>
                <w:rFonts w:eastAsia="Calibri"/>
                <w:lang w:val="en-US"/>
              </w:rPr>
            </w:pPr>
            <w:r w:rsidRPr="008450C3">
              <w:rPr>
                <w:rFonts w:eastAsia="Calibri"/>
                <w:lang w:val="en-US"/>
              </w:rPr>
              <w:t>NCT04039633</w:t>
            </w:r>
          </w:p>
        </w:tc>
        <w:tc>
          <w:tcPr>
            <w:tcW w:w="9497" w:type="dxa"/>
          </w:tcPr>
          <w:p w14:paraId="731359E0" w14:textId="77777777" w:rsidR="00E21858" w:rsidRDefault="00E21858">
            <w:pPr>
              <w:pStyle w:val="051Tabletext228pt"/>
              <w:rPr>
                <w:rFonts w:eastAsia="Calibri"/>
                <w:lang w:val="en-US"/>
              </w:rPr>
            </w:pPr>
            <w:r w:rsidRPr="004E3B67">
              <w:rPr>
                <w:rFonts w:eastAsia="Calibri"/>
                <w:lang w:val="en-US"/>
              </w:rPr>
              <w:t>Spinal cord stimulation for refractory pain in erythromelalgia</w:t>
            </w:r>
          </w:p>
        </w:tc>
        <w:tc>
          <w:tcPr>
            <w:tcW w:w="992" w:type="dxa"/>
          </w:tcPr>
          <w:p w14:paraId="486BDA70" w14:textId="77777777" w:rsidR="00E21858" w:rsidRDefault="00E21858">
            <w:pPr>
              <w:pStyle w:val="051Tabletext228pt"/>
              <w:jc w:val="center"/>
              <w:rPr>
                <w:rFonts w:eastAsia="Calibri"/>
                <w:lang w:val="en-US"/>
              </w:rPr>
            </w:pPr>
            <w:r w:rsidRPr="00295554">
              <w:rPr>
                <w:rFonts w:ascii="Wingdings" w:eastAsia="Wingdings" w:hAnsi="Wingdings" w:cs="Wingdings"/>
                <w:lang w:val="en-US"/>
              </w:rPr>
              <w:t>ü</w:t>
            </w:r>
          </w:p>
        </w:tc>
        <w:tc>
          <w:tcPr>
            <w:tcW w:w="962" w:type="dxa"/>
          </w:tcPr>
          <w:p w14:paraId="6CA7E276" w14:textId="77777777" w:rsidR="00E21858" w:rsidRDefault="00E21858">
            <w:pPr>
              <w:pStyle w:val="051Tabletext228pt"/>
              <w:jc w:val="center"/>
              <w:rPr>
                <w:rFonts w:eastAsia="Calibri"/>
                <w:lang w:val="en-US"/>
              </w:rPr>
            </w:pPr>
          </w:p>
        </w:tc>
      </w:tr>
      <w:tr w:rsidR="00E21858" w14:paraId="5D5B947A" w14:textId="77777777">
        <w:tc>
          <w:tcPr>
            <w:tcW w:w="1418" w:type="dxa"/>
          </w:tcPr>
          <w:p w14:paraId="60640588" w14:textId="77777777" w:rsidR="00E21858" w:rsidRDefault="00E21858">
            <w:pPr>
              <w:pStyle w:val="051Tabletext228pt"/>
              <w:rPr>
                <w:rFonts w:eastAsia="Calibri"/>
                <w:lang w:val="en-US"/>
              </w:rPr>
            </w:pPr>
          </w:p>
        </w:tc>
        <w:tc>
          <w:tcPr>
            <w:tcW w:w="1701" w:type="dxa"/>
          </w:tcPr>
          <w:p w14:paraId="78352006" w14:textId="77777777" w:rsidR="00E21858" w:rsidRPr="008450C3" w:rsidRDefault="00E21858">
            <w:pPr>
              <w:pStyle w:val="051Tabletext228pt"/>
              <w:rPr>
                <w:rFonts w:eastAsia="Calibri"/>
                <w:lang w:val="en-US"/>
              </w:rPr>
            </w:pPr>
            <w:r w:rsidRPr="0055265D">
              <w:rPr>
                <w:rFonts w:eastAsia="Calibri"/>
                <w:lang w:val="en-US"/>
              </w:rPr>
              <w:t>NCT04894734</w:t>
            </w:r>
          </w:p>
        </w:tc>
        <w:tc>
          <w:tcPr>
            <w:tcW w:w="9497" w:type="dxa"/>
          </w:tcPr>
          <w:p w14:paraId="291A7C6B" w14:textId="77777777" w:rsidR="00E21858" w:rsidRPr="004E3B67" w:rsidRDefault="00E21858">
            <w:pPr>
              <w:pStyle w:val="051Tabletext228pt"/>
              <w:rPr>
                <w:rFonts w:eastAsia="Calibri"/>
                <w:lang w:val="en-US"/>
              </w:rPr>
            </w:pPr>
            <w:r w:rsidRPr="0055265D">
              <w:rPr>
                <w:rFonts w:eastAsia="Calibri"/>
                <w:lang w:val="en-US"/>
              </w:rPr>
              <w:t>Spinal cord stimulation (SCS) for</w:t>
            </w:r>
            <w:r>
              <w:rPr>
                <w:rFonts w:eastAsia="Calibri"/>
                <w:lang w:val="en-US"/>
              </w:rPr>
              <w:t xml:space="preserve"> </w:t>
            </w:r>
            <w:r w:rsidRPr="0055265D">
              <w:rPr>
                <w:rFonts w:eastAsia="Calibri"/>
                <w:lang w:val="en-US"/>
              </w:rPr>
              <w:t>spinal cord injury (SCI)</w:t>
            </w:r>
          </w:p>
        </w:tc>
        <w:tc>
          <w:tcPr>
            <w:tcW w:w="992" w:type="dxa"/>
          </w:tcPr>
          <w:p w14:paraId="7823E09F" w14:textId="77777777" w:rsidR="00E21858" w:rsidRDefault="00E21858">
            <w:pPr>
              <w:pStyle w:val="051Tabletext228pt"/>
              <w:jc w:val="center"/>
              <w:rPr>
                <w:rFonts w:eastAsia="Calibri"/>
                <w:lang w:val="en-US"/>
              </w:rPr>
            </w:pPr>
            <w:r w:rsidRPr="00295554">
              <w:rPr>
                <w:rFonts w:ascii="Wingdings" w:eastAsia="Wingdings" w:hAnsi="Wingdings" w:cs="Wingdings"/>
                <w:lang w:val="en-US"/>
              </w:rPr>
              <w:t>ü</w:t>
            </w:r>
          </w:p>
        </w:tc>
        <w:tc>
          <w:tcPr>
            <w:tcW w:w="962" w:type="dxa"/>
          </w:tcPr>
          <w:p w14:paraId="136D261B" w14:textId="77777777" w:rsidR="00E21858" w:rsidRDefault="00E21858">
            <w:pPr>
              <w:pStyle w:val="051Tabletext228pt"/>
              <w:jc w:val="center"/>
              <w:rPr>
                <w:rFonts w:eastAsia="Calibri"/>
                <w:lang w:val="en-US"/>
              </w:rPr>
            </w:pPr>
          </w:p>
        </w:tc>
      </w:tr>
      <w:tr w:rsidR="00E21858" w14:paraId="67443333" w14:textId="77777777">
        <w:tc>
          <w:tcPr>
            <w:tcW w:w="1418" w:type="dxa"/>
          </w:tcPr>
          <w:p w14:paraId="1D5BEEC7" w14:textId="77777777" w:rsidR="00E21858" w:rsidRDefault="00E21858">
            <w:pPr>
              <w:pStyle w:val="051Tabletext228pt"/>
              <w:rPr>
                <w:rFonts w:eastAsia="Calibri"/>
                <w:lang w:val="en-US"/>
              </w:rPr>
            </w:pPr>
            <w:r w:rsidRPr="00341372">
              <w:rPr>
                <w:rFonts w:eastAsia="Calibri"/>
                <w:lang w:val="en-US"/>
              </w:rPr>
              <w:t>PANACEA</w:t>
            </w:r>
          </w:p>
        </w:tc>
        <w:tc>
          <w:tcPr>
            <w:tcW w:w="1701" w:type="dxa"/>
          </w:tcPr>
          <w:p w14:paraId="6AE415B1" w14:textId="77777777" w:rsidR="00E21858" w:rsidRPr="0055265D" w:rsidRDefault="00E21858">
            <w:pPr>
              <w:pStyle w:val="051Tabletext228pt"/>
              <w:rPr>
                <w:rFonts w:eastAsia="Calibri"/>
                <w:lang w:val="en-US"/>
              </w:rPr>
            </w:pPr>
          </w:p>
        </w:tc>
        <w:tc>
          <w:tcPr>
            <w:tcW w:w="9497" w:type="dxa"/>
          </w:tcPr>
          <w:p w14:paraId="4B21197E" w14:textId="77777777" w:rsidR="00E21858" w:rsidRPr="0055265D" w:rsidRDefault="00E21858">
            <w:pPr>
              <w:pStyle w:val="051Tabletext228pt"/>
              <w:rPr>
                <w:rFonts w:eastAsia="Calibri"/>
                <w:lang w:val="en-US"/>
              </w:rPr>
            </w:pPr>
            <w:r w:rsidRPr="00B923DD">
              <w:rPr>
                <w:rFonts w:eastAsia="Calibri"/>
                <w:lang w:val="en-US"/>
              </w:rPr>
              <w:t>Prospective, randomised, crossover, controlled, feasibility study</w:t>
            </w:r>
            <w:r>
              <w:rPr>
                <w:rFonts w:eastAsia="Calibri"/>
                <w:lang w:val="en-US"/>
              </w:rPr>
              <w:t xml:space="preserve"> </w:t>
            </w:r>
            <w:r w:rsidRPr="00B923DD">
              <w:rPr>
                <w:rFonts w:eastAsia="Calibri"/>
                <w:lang w:val="en-US"/>
              </w:rPr>
              <w:t>to assess the e</w:t>
            </w:r>
            <w:r>
              <w:rPr>
                <w:rFonts w:eastAsia="Calibri"/>
                <w:lang w:val="en-US"/>
              </w:rPr>
              <w:t>ff</w:t>
            </w:r>
            <w:r w:rsidRPr="00B923DD">
              <w:rPr>
                <w:rFonts w:eastAsia="Calibri"/>
                <w:lang w:val="en-US"/>
              </w:rPr>
              <w:t xml:space="preserve">icacy of </w:t>
            </w:r>
            <w:proofErr w:type="spellStart"/>
            <w:r w:rsidRPr="00B923DD">
              <w:rPr>
                <w:rFonts w:eastAsia="Calibri"/>
                <w:lang w:val="en-US"/>
              </w:rPr>
              <w:t>BurstDR</w:t>
            </w:r>
            <w:proofErr w:type="spellEnd"/>
            <w:r w:rsidRPr="00B923DD">
              <w:rPr>
                <w:rFonts w:eastAsia="Calibri"/>
                <w:lang w:val="en-US"/>
              </w:rPr>
              <w:t xml:space="preserve"> spinal cord stimulation (SCS)</w:t>
            </w:r>
            <w:r>
              <w:rPr>
                <w:rFonts w:eastAsia="Calibri"/>
                <w:lang w:val="en-US"/>
              </w:rPr>
              <w:t xml:space="preserve"> </w:t>
            </w:r>
            <w:r w:rsidRPr="00B923DD">
              <w:rPr>
                <w:rFonts w:eastAsia="Calibri"/>
                <w:lang w:val="en-US"/>
              </w:rPr>
              <w:t>as a treatment for persistent abdominal refractory visceral</w:t>
            </w:r>
            <w:r>
              <w:rPr>
                <w:rFonts w:eastAsia="Calibri"/>
                <w:lang w:val="en-US"/>
              </w:rPr>
              <w:t xml:space="preserve"> </w:t>
            </w:r>
            <w:r w:rsidRPr="00B923DD">
              <w:rPr>
                <w:rFonts w:eastAsia="Calibri"/>
                <w:lang w:val="en-US"/>
              </w:rPr>
              <w:t xml:space="preserve">pain secondary to chronic </w:t>
            </w:r>
            <w:proofErr w:type="spellStart"/>
            <w:r w:rsidRPr="00B923DD">
              <w:rPr>
                <w:rFonts w:eastAsia="Calibri"/>
                <w:lang w:val="en-US"/>
              </w:rPr>
              <w:t>pancreatitis:trial</w:t>
            </w:r>
            <w:proofErr w:type="spellEnd"/>
          </w:p>
        </w:tc>
        <w:tc>
          <w:tcPr>
            <w:tcW w:w="992" w:type="dxa"/>
          </w:tcPr>
          <w:p w14:paraId="4FDBC9B8" w14:textId="77777777" w:rsidR="00E21858" w:rsidRDefault="00E21858">
            <w:pPr>
              <w:pStyle w:val="051Tabletext228pt"/>
              <w:jc w:val="center"/>
              <w:rPr>
                <w:rFonts w:eastAsia="Calibri"/>
                <w:lang w:val="en-US"/>
              </w:rPr>
            </w:pPr>
            <w:r w:rsidRPr="00295554">
              <w:rPr>
                <w:rFonts w:ascii="Wingdings" w:eastAsia="Wingdings" w:hAnsi="Wingdings" w:cs="Wingdings"/>
                <w:lang w:val="en-US"/>
              </w:rPr>
              <w:t>ü</w:t>
            </w:r>
          </w:p>
        </w:tc>
        <w:tc>
          <w:tcPr>
            <w:tcW w:w="962" w:type="dxa"/>
          </w:tcPr>
          <w:p w14:paraId="3DD6749B" w14:textId="77777777" w:rsidR="00E21858" w:rsidRDefault="00E21858">
            <w:pPr>
              <w:pStyle w:val="051Tabletext228pt"/>
              <w:jc w:val="center"/>
              <w:rPr>
                <w:rFonts w:eastAsia="Calibri"/>
                <w:lang w:val="en-US"/>
              </w:rPr>
            </w:pPr>
          </w:p>
        </w:tc>
      </w:tr>
      <w:tr w:rsidR="00E21858" w14:paraId="440CAD8B" w14:textId="77777777">
        <w:tc>
          <w:tcPr>
            <w:tcW w:w="1418" w:type="dxa"/>
          </w:tcPr>
          <w:p w14:paraId="3E6D2403" w14:textId="77777777" w:rsidR="00E21858" w:rsidRDefault="00E21858">
            <w:pPr>
              <w:pStyle w:val="051Tabletext228pt"/>
              <w:rPr>
                <w:rFonts w:eastAsia="Calibri"/>
                <w:lang w:val="en-US"/>
              </w:rPr>
            </w:pPr>
            <w:r>
              <w:rPr>
                <w:rFonts w:eastAsia="Calibri"/>
                <w:lang w:val="en-US"/>
              </w:rPr>
              <w:t>PET-SCS</w:t>
            </w:r>
          </w:p>
        </w:tc>
        <w:tc>
          <w:tcPr>
            <w:tcW w:w="1701" w:type="dxa"/>
          </w:tcPr>
          <w:p w14:paraId="7C0B63EC" w14:textId="77777777" w:rsidR="00E21858" w:rsidRPr="0055265D" w:rsidRDefault="00E21858">
            <w:pPr>
              <w:pStyle w:val="051Tabletext228pt"/>
              <w:rPr>
                <w:rFonts w:eastAsia="Calibri"/>
                <w:lang w:val="en-US"/>
              </w:rPr>
            </w:pPr>
            <w:r w:rsidRPr="00F77EBB">
              <w:rPr>
                <w:rFonts w:eastAsia="Calibri"/>
                <w:lang w:val="en-US"/>
              </w:rPr>
              <w:t>NCT03419312</w:t>
            </w:r>
          </w:p>
        </w:tc>
        <w:tc>
          <w:tcPr>
            <w:tcW w:w="9497" w:type="dxa"/>
          </w:tcPr>
          <w:p w14:paraId="5C0556F5" w14:textId="77777777" w:rsidR="00E21858" w:rsidRPr="0055265D" w:rsidRDefault="00E21858">
            <w:pPr>
              <w:pStyle w:val="051Tabletext228pt"/>
              <w:rPr>
                <w:rFonts w:eastAsia="Calibri"/>
                <w:lang w:val="en-US"/>
              </w:rPr>
            </w:pPr>
            <w:r w:rsidRPr="001A0221">
              <w:rPr>
                <w:rFonts w:eastAsia="Calibri"/>
                <w:lang w:val="en-US"/>
              </w:rPr>
              <w:t>PET patterns, biomarkers and outcome in</w:t>
            </w:r>
            <w:r>
              <w:rPr>
                <w:rFonts w:eastAsia="Calibri"/>
                <w:lang w:val="en-US"/>
              </w:rPr>
              <w:t xml:space="preserve"> </w:t>
            </w:r>
            <w:r w:rsidRPr="001A0221">
              <w:rPr>
                <w:rFonts w:eastAsia="Calibri"/>
                <w:lang w:val="en-US"/>
              </w:rPr>
              <w:t>treated FBSS</w:t>
            </w:r>
            <w:r>
              <w:rPr>
                <w:rFonts w:eastAsia="Calibri"/>
                <w:lang w:val="en-US"/>
              </w:rPr>
              <w:t xml:space="preserve"> </w:t>
            </w:r>
            <w:r w:rsidRPr="001A0221">
              <w:rPr>
                <w:rFonts w:eastAsia="Calibri"/>
                <w:lang w:val="en-US"/>
              </w:rPr>
              <w:t>patients</w:t>
            </w:r>
          </w:p>
        </w:tc>
        <w:tc>
          <w:tcPr>
            <w:tcW w:w="992" w:type="dxa"/>
          </w:tcPr>
          <w:p w14:paraId="53E5E984" w14:textId="77777777" w:rsidR="00E21858" w:rsidRDefault="00E21858">
            <w:pPr>
              <w:pStyle w:val="051Tabletext228pt"/>
              <w:jc w:val="center"/>
              <w:rPr>
                <w:rFonts w:eastAsia="Calibri"/>
                <w:lang w:val="en-US"/>
              </w:rPr>
            </w:pPr>
            <w:r w:rsidRPr="00295554">
              <w:rPr>
                <w:rFonts w:ascii="Wingdings" w:eastAsia="Wingdings" w:hAnsi="Wingdings" w:cs="Wingdings"/>
                <w:lang w:val="en-US"/>
              </w:rPr>
              <w:t>ü</w:t>
            </w:r>
          </w:p>
        </w:tc>
        <w:tc>
          <w:tcPr>
            <w:tcW w:w="962" w:type="dxa"/>
          </w:tcPr>
          <w:p w14:paraId="363C581A" w14:textId="77777777" w:rsidR="00E21858" w:rsidRDefault="00E21858">
            <w:pPr>
              <w:pStyle w:val="051Tabletext228pt"/>
              <w:jc w:val="center"/>
              <w:rPr>
                <w:rFonts w:eastAsia="Calibri"/>
                <w:lang w:val="en-US"/>
              </w:rPr>
            </w:pPr>
            <w:r w:rsidRPr="00295554">
              <w:rPr>
                <w:rFonts w:ascii="Wingdings" w:eastAsia="Wingdings" w:hAnsi="Wingdings" w:cs="Wingdings"/>
                <w:lang w:val="en-US"/>
              </w:rPr>
              <w:t>ü</w:t>
            </w:r>
          </w:p>
        </w:tc>
      </w:tr>
      <w:tr w:rsidR="00E21858" w14:paraId="0A5FAA4C" w14:textId="77777777">
        <w:tc>
          <w:tcPr>
            <w:tcW w:w="1418" w:type="dxa"/>
          </w:tcPr>
          <w:p w14:paraId="356A8E01" w14:textId="77777777" w:rsidR="00E21858" w:rsidRDefault="00E21858">
            <w:pPr>
              <w:pStyle w:val="051Tabletext228pt"/>
              <w:rPr>
                <w:rFonts w:eastAsia="Calibri"/>
                <w:lang w:val="en-US"/>
              </w:rPr>
            </w:pPr>
            <w:r w:rsidRPr="008A6C83">
              <w:rPr>
                <w:rFonts w:eastAsia="Calibri"/>
                <w:lang w:val="en-US"/>
              </w:rPr>
              <w:t>SENZA-NSRBP</w:t>
            </w:r>
          </w:p>
        </w:tc>
        <w:tc>
          <w:tcPr>
            <w:tcW w:w="1701" w:type="dxa"/>
          </w:tcPr>
          <w:p w14:paraId="53D69467" w14:textId="77777777" w:rsidR="00E21858" w:rsidRPr="0055265D" w:rsidRDefault="00E21858">
            <w:pPr>
              <w:pStyle w:val="051Tabletext228pt"/>
              <w:rPr>
                <w:rFonts w:eastAsia="Calibri"/>
                <w:lang w:val="en-US"/>
              </w:rPr>
            </w:pPr>
            <w:r>
              <w:rPr>
                <w:rFonts w:eastAsia="Calibri"/>
                <w:lang w:val="en-US"/>
              </w:rPr>
              <w:t>Al-</w:t>
            </w:r>
            <w:proofErr w:type="spellStart"/>
            <w:r>
              <w:rPr>
                <w:rFonts w:eastAsia="Calibri"/>
                <w:lang w:val="en-US"/>
              </w:rPr>
              <w:t>Kaisy</w:t>
            </w:r>
            <w:proofErr w:type="spellEnd"/>
            <w:r>
              <w:rPr>
                <w:rFonts w:eastAsia="Calibri"/>
                <w:lang w:val="en-US"/>
              </w:rPr>
              <w:t xml:space="preserve"> 2018</w:t>
            </w:r>
          </w:p>
        </w:tc>
        <w:tc>
          <w:tcPr>
            <w:tcW w:w="9497" w:type="dxa"/>
          </w:tcPr>
          <w:p w14:paraId="6A081DAA" w14:textId="77777777" w:rsidR="00E21858" w:rsidRPr="001A0221" w:rsidRDefault="00E21858">
            <w:pPr>
              <w:pStyle w:val="051Tabletext228pt"/>
              <w:rPr>
                <w:rFonts w:eastAsia="Calibri"/>
                <w:lang w:val="en-US"/>
              </w:rPr>
            </w:pPr>
            <w:r w:rsidRPr="008A6C83">
              <w:rPr>
                <w:rFonts w:eastAsia="Calibri"/>
                <w:lang w:val="en-US"/>
              </w:rPr>
              <w:t>Medical management versus 10 k</w:t>
            </w:r>
            <w:r>
              <w:rPr>
                <w:rFonts w:eastAsia="Calibri"/>
                <w:lang w:val="en-US"/>
              </w:rPr>
              <w:t>H</w:t>
            </w:r>
            <w:r w:rsidRPr="008A6C83">
              <w:rPr>
                <w:rFonts w:eastAsia="Calibri"/>
                <w:lang w:val="en-US"/>
              </w:rPr>
              <w:t>z spinal cord</w:t>
            </w:r>
            <w:r>
              <w:rPr>
                <w:rFonts w:eastAsia="Calibri"/>
                <w:lang w:val="en-US"/>
              </w:rPr>
              <w:t xml:space="preserve"> </w:t>
            </w:r>
            <w:r w:rsidRPr="008A6C83">
              <w:rPr>
                <w:rFonts w:eastAsia="Calibri"/>
                <w:lang w:val="en-US"/>
              </w:rPr>
              <w:t>stimulation and medical management for the treatment of nonsurgical</w:t>
            </w:r>
            <w:r>
              <w:rPr>
                <w:rFonts w:eastAsia="Calibri"/>
                <w:lang w:val="en-US"/>
              </w:rPr>
              <w:t xml:space="preserve"> </w:t>
            </w:r>
            <w:r w:rsidRPr="008A6C83">
              <w:rPr>
                <w:rFonts w:eastAsia="Calibri"/>
                <w:lang w:val="en-US"/>
              </w:rPr>
              <w:t>back pain</w:t>
            </w:r>
          </w:p>
        </w:tc>
        <w:tc>
          <w:tcPr>
            <w:tcW w:w="992" w:type="dxa"/>
          </w:tcPr>
          <w:p w14:paraId="5466F253" w14:textId="77777777" w:rsidR="00E21858" w:rsidRPr="00295554" w:rsidRDefault="00E21858">
            <w:pPr>
              <w:pStyle w:val="051Tabletext228pt"/>
              <w:jc w:val="center"/>
              <w:rPr>
                <w:rFonts w:eastAsia="Calibri"/>
                <w:lang w:val="en-US"/>
              </w:rPr>
            </w:pPr>
            <w:r w:rsidRPr="00295554">
              <w:rPr>
                <w:rFonts w:ascii="Wingdings" w:eastAsia="Wingdings" w:hAnsi="Wingdings" w:cs="Wingdings"/>
                <w:lang w:val="en-US"/>
              </w:rPr>
              <w:t>ü</w:t>
            </w:r>
          </w:p>
        </w:tc>
        <w:tc>
          <w:tcPr>
            <w:tcW w:w="962" w:type="dxa"/>
          </w:tcPr>
          <w:p w14:paraId="0C6B45C1" w14:textId="77777777" w:rsidR="00E21858" w:rsidRDefault="00E21858">
            <w:pPr>
              <w:pStyle w:val="051Tabletext228pt"/>
              <w:jc w:val="center"/>
              <w:rPr>
                <w:rFonts w:eastAsia="Calibri"/>
                <w:lang w:val="en-US"/>
              </w:rPr>
            </w:pPr>
          </w:p>
        </w:tc>
      </w:tr>
      <w:tr w:rsidR="00E21858" w14:paraId="1E49EA2B" w14:textId="77777777">
        <w:tc>
          <w:tcPr>
            <w:tcW w:w="1418" w:type="dxa"/>
          </w:tcPr>
          <w:p w14:paraId="1314ED65" w14:textId="77777777" w:rsidR="00E21858" w:rsidRPr="008A6C83" w:rsidRDefault="00E21858">
            <w:pPr>
              <w:pStyle w:val="051Tabletext228pt"/>
              <w:rPr>
                <w:rFonts w:eastAsia="Calibri"/>
                <w:lang w:val="en-US"/>
              </w:rPr>
            </w:pPr>
          </w:p>
        </w:tc>
        <w:tc>
          <w:tcPr>
            <w:tcW w:w="1701" w:type="dxa"/>
          </w:tcPr>
          <w:p w14:paraId="24E3EF9E" w14:textId="77777777" w:rsidR="00E21858" w:rsidRDefault="00E21858">
            <w:pPr>
              <w:pStyle w:val="051Tabletext228pt"/>
              <w:rPr>
                <w:rFonts w:eastAsia="Calibri"/>
                <w:lang w:val="en-US"/>
              </w:rPr>
            </w:pPr>
            <w:r>
              <w:rPr>
                <w:rFonts w:eastAsia="Calibri"/>
                <w:lang w:val="en-US"/>
              </w:rPr>
              <w:t>Patel 2021</w:t>
            </w:r>
          </w:p>
        </w:tc>
        <w:tc>
          <w:tcPr>
            <w:tcW w:w="9497" w:type="dxa"/>
          </w:tcPr>
          <w:p w14:paraId="576C5584" w14:textId="77777777" w:rsidR="00E21858" w:rsidRPr="008A6C83" w:rsidRDefault="00E21858">
            <w:pPr>
              <w:pStyle w:val="051Tabletext228pt"/>
              <w:rPr>
                <w:rFonts w:eastAsia="Calibri"/>
                <w:lang w:val="en-US"/>
              </w:rPr>
            </w:pPr>
            <w:r>
              <w:rPr>
                <w:rFonts w:eastAsia="Calibri"/>
                <w:lang w:val="en-US"/>
              </w:rPr>
              <w:t>H</w:t>
            </w:r>
            <w:r w:rsidRPr="001F401D">
              <w:rPr>
                <w:rFonts w:eastAsia="Calibri"/>
                <w:lang w:val="en-US"/>
              </w:rPr>
              <w:t>igh-frequency spinal cord stimulation at 10 kHz</w:t>
            </w:r>
            <w:r>
              <w:rPr>
                <w:rFonts w:eastAsia="Calibri"/>
                <w:lang w:val="en-US"/>
              </w:rPr>
              <w:t xml:space="preserve"> </w:t>
            </w:r>
            <w:r w:rsidRPr="001F401D">
              <w:rPr>
                <w:rFonts w:eastAsia="Calibri"/>
                <w:lang w:val="en-US"/>
              </w:rPr>
              <w:t>for the treatment of nonsurgical refractory back pain: design</w:t>
            </w:r>
            <w:r>
              <w:rPr>
                <w:rFonts w:eastAsia="Calibri"/>
                <w:lang w:val="en-US"/>
              </w:rPr>
              <w:t xml:space="preserve"> </w:t>
            </w:r>
            <w:r w:rsidRPr="001F401D">
              <w:rPr>
                <w:rFonts w:eastAsia="Calibri"/>
                <w:lang w:val="en-US"/>
              </w:rPr>
              <w:t>of a pragmatic, multicenter, randomized controlled trial</w:t>
            </w:r>
          </w:p>
        </w:tc>
        <w:tc>
          <w:tcPr>
            <w:tcW w:w="992" w:type="dxa"/>
          </w:tcPr>
          <w:p w14:paraId="72198FFA" w14:textId="77777777" w:rsidR="00E21858" w:rsidRPr="00295554" w:rsidRDefault="00E21858">
            <w:pPr>
              <w:pStyle w:val="051Tabletext228pt"/>
              <w:jc w:val="center"/>
              <w:rPr>
                <w:rFonts w:eastAsia="Calibri"/>
                <w:lang w:val="en-US"/>
              </w:rPr>
            </w:pPr>
            <w:r w:rsidRPr="00295554">
              <w:rPr>
                <w:rFonts w:ascii="Wingdings" w:eastAsia="Wingdings" w:hAnsi="Wingdings" w:cs="Wingdings"/>
                <w:lang w:val="en-US"/>
              </w:rPr>
              <w:t>ü</w:t>
            </w:r>
          </w:p>
        </w:tc>
        <w:tc>
          <w:tcPr>
            <w:tcW w:w="962" w:type="dxa"/>
          </w:tcPr>
          <w:p w14:paraId="59B560A8" w14:textId="77777777" w:rsidR="00E21858" w:rsidRDefault="00E21858">
            <w:pPr>
              <w:pStyle w:val="051Tabletext228pt"/>
              <w:jc w:val="center"/>
              <w:rPr>
                <w:rFonts w:eastAsia="Calibri"/>
                <w:lang w:val="en-US"/>
              </w:rPr>
            </w:pPr>
          </w:p>
        </w:tc>
      </w:tr>
      <w:tr w:rsidR="00E21858" w14:paraId="7A0EAAC3" w14:textId="77777777">
        <w:tc>
          <w:tcPr>
            <w:tcW w:w="1418" w:type="dxa"/>
          </w:tcPr>
          <w:p w14:paraId="14A944FF" w14:textId="77777777" w:rsidR="00E21858" w:rsidRPr="008A6C83" w:rsidRDefault="00E21858">
            <w:pPr>
              <w:pStyle w:val="051Tabletext228pt"/>
              <w:rPr>
                <w:rFonts w:eastAsia="Calibri"/>
                <w:lang w:val="en-US"/>
              </w:rPr>
            </w:pPr>
          </w:p>
        </w:tc>
        <w:tc>
          <w:tcPr>
            <w:tcW w:w="1701" w:type="dxa"/>
          </w:tcPr>
          <w:p w14:paraId="3CC8A827" w14:textId="77777777" w:rsidR="00E21858" w:rsidRDefault="00E21858">
            <w:pPr>
              <w:pStyle w:val="051Tabletext228pt"/>
              <w:rPr>
                <w:rFonts w:eastAsia="Calibri"/>
                <w:lang w:val="en-US"/>
              </w:rPr>
            </w:pPr>
            <w:proofErr w:type="spellStart"/>
            <w:r>
              <w:rPr>
                <w:rFonts w:eastAsia="Calibri"/>
                <w:lang w:val="en-US"/>
              </w:rPr>
              <w:t>Reiters</w:t>
            </w:r>
            <w:proofErr w:type="spellEnd"/>
            <w:r>
              <w:rPr>
                <w:rFonts w:eastAsia="Calibri"/>
                <w:lang w:val="en-US"/>
              </w:rPr>
              <w:t xml:space="preserve"> 2019</w:t>
            </w:r>
          </w:p>
        </w:tc>
        <w:tc>
          <w:tcPr>
            <w:tcW w:w="9497" w:type="dxa"/>
          </w:tcPr>
          <w:p w14:paraId="78E7BEE0" w14:textId="77777777" w:rsidR="00E21858" w:rsidRDefault="00E21858">
            <w:pPr>
              <w:pStyle w:val="051Tabletext228pt"/>
              <w:rPr>
                <w:rFonts w:eastAsia="Calibri"/>
                <w:lang w:val="en-US"/>
              </w:rPr>
            </w:pPr>
            <w:r w:rsidRPr="00203D90">
              <w:rPr>
                <w:rFonts w:eastAsia="Calibri"/>
                <w:lang w:val="en-US"/>
              </w:rPr>
              <w:t>High Frequency Spinal Cord Stimulation (HFSCS) at</w:t>
            </w:r>
            <w:r>
              <w:rPr>
                <w:rFonts w:eastAsia="Calibri"/>
                <w:lang w:val="en-US"/>
              </w:rPr>
              <w:t xml:space="preserve"> </w:t>
            </w:r>
            <w:r w:rsidRPr="00203D90">
              <w:rPr>
                <w:rFonts w:eastAsia="Calibri"/>
                <w:lang w:val="en-US"/>
              </w:rPr>
              <w:t>10 kHz plus Conventional Medical Management (CMM) versus</w:t>
            </w:r>
            <w:r>
              <w:rPr>
                <w:rFonts w:eastAsia="Calibri"/>
                <w:lang w:val="en-US"/>
              </w:rPr>
              <w:t xml:space="preserve"> </w:t>
            </w:r>
            <w:r w:rsidRPr="00203D90">
              <w:rPr>
                <w:rFonts w:eastAsia="Calibri"/>
                <w:lang w:val="en-US"/>
              </w:rPr>
              <w:t>conventional medical management alone for the treatment of</w:t>
            </w:r>
            <w:r>
              <w:rPr>
                <w:rFonts w:eastAsia="Calibri"/>
                <w:lang w:val="en-US"/>
              </w:rPr>
              <w:t xml:space="preserve"> </w:t>
            </w:r>
            <w:r w:rsidRPr="00203D90">
              <w:rPr>
                <w:rFonts w:eastAsia="Calibri"/>
                <w:lang w:val="en-US"/>
              </w:rPr>
              <w:t>non-surgical back pain</w:t>
            </w:r>
          </w:p>
        </w:tc>
        <w:tc>
          <w:tcPr>
            <w:tcW w:w="992" w:type="dxa"/>
          </w:tcPr>
          <w:p w14:paraId="6D9287FD" w14:textId="77777777" w:rsidR="00E21858" w:rsidRPr="00295554" w:rsidRDefault="00E21858">
            <w:pPr>
              <w:pStyle w:val="051Tabletext228pt"/>
              <w:jc w:val="center"/>
              <w:rPr>
                <w:rFonts w:eastAsia="Calibri"/>
                <w:lang w:val="en-US"/>
              </w:rPr>
            </w:pPr>
            <w:r w:rsidRPr="00762392">
              <w:rPr>
                <w:rFonts w:ascii="Wingdings" w:eastAsia="Wingdings" w:hAnsi="Wingdings" w:cs="Wingdings"/>
                <w:lang w:val="en-US"/>
              </w:rPr>
              <w:t>ü</w:t>
            </w:r>
          </w:p>
        </w:tc>
        <w:tc>
          <w:tcPr>
            <w:tcW w:w="962" w:type="dxa"/>
          </w:tcPr>
          <w:p w14:paraId="2977F56A" w14:textId="77777777" w:rsidR="00E21858" w:rsidRDefault="00E21858">
            <w:pPr>
              <w:pStyle w:val="051Tabletext228pt"/>
              <w:jc w:val="center"/>
              <w:rPr>
                <w:rFonts w:eastAsia="Calibri"/>
                <w:lang w:val="en-US"/>
              </w:rPr>
            </w:pPr>
            <w:r w:rsidRPr="00762392">
              <w:rPr>
                <w:rFonts w:ascii="Wingdings" w:eastAsia="Wingdings" w:hAnsi="Wingdings" w:cs="Wingdings"/>
                <w:lang w:val="en-US"/>
              </w:rPr>
              <w:t>ü</w:t>
            </w:r>
          </w:p>
        </w:tc>
      </w:tr>
      <w:tr w:rsidR="00E21858" w14:paraId="2D805E5F" w14:textId="77777777">
        <w:tc>
          <w:tcPr>
            <w:tcW w:w="1418" w:type="dxa"/>
          </w:tcPr>
          <w:p w14:paraId="1FB9F114" w14:textId="77777777" w:rsidR="00E21858" w:rsidRPr="008A6C83" w:rsidRDefault="00E21858">
            <w:pPr>
              <w:pStyle w:val="051Tabletext228pt"/>
              <w:rPr>
                <w:rFonts w:eastAsia="Calibri"/>
                <w:lang w:val="en-US"/>
              </w:rPr>
            </w:pPr>
            <w:r>
              <w:rPr>
                <w:rFonts w:eastAsia="Calibri"/>
                <w:lang w:val="en-US"/>
              </w:rPr>
              <w:t>TSUNAMI DRG</w:t>
            </w:r>
          </w:p>
        </w:tc>
        <w:tc>
          <w:tcPr>
            <w:tcW w:w="1701" w:type="dxa"/>
          </w:tcPr>
          <w:p w14:paraId="3B625805" w14:textId="77777777" w:rsidR="00E21858" w:rsidRDefault="00E21858">
            <w:pPr>
              <w:pStyle w:val="051Tabletext228pt"/>
              <w:rPr>
                <w:rFonts w:eastAsia="Calibri"/>
                <w:lang w:val="en-US"/>
              </w:rPr>
            </w:pPr>
          </w:p>
        </w:tc>
        <w:tc>
          <w:tcPr>
            <w:tcW w:w="9497" w:type="dxa"/>
          </w:tcPr>
          <w:p w14:paraId="46D783CB" w14:textId="77777777" w:rsidR="00E21858" w:rsidRPr="00203D90" w:rsidRDefault="00E21858">
            <w:pPr>
              <w:pStyle w:val="051Tabletext228pt"/>
              <w:rPr>
                <w:rFonts w:eastAsia="Calibri"/>
                <w:lang w:val="en-US"/>
              </w:rPr>
            </w:pPr>
            <w:r w:rsidRPr="006F56A8">
              <w:rPr>
                <w:rFonts w:eastAsia="Calibri"/>
                <w:lang w:val="en-US"/>
              </w:rPr>
              <w:t>A European, prospective, multi-center, double-blind,</w:t>
            </w:r>
            <w:r>
              <w:rPr>
                <w:rFonts w:eastAsia="Calibri"/>
                <w:lang w:val="en-US"/>
              </w:rPr>
              <w:t xml:space="preserve"> </w:t>
            </w:r>
            <w:r w:rsidRPr="006F56A8">
              <w:rPr>
                <w:rFonts w:eastAsia="Calibri"/>
                <w:lang w:val="en-US"/>
              </w:rPr>
              <w:t>randomized, controlled, clinical trial investigating the e</w:t>
            </w:r>
            <w:r>
              <w:rPr>
                <w:rFonts w:eastAsia="Calibri"/>
                <w:lang w:val="en-US"/>
              </w:rPr>
              <w:t>ff</w:t>
            </w:r>
            <w:r w:rsidRPr="006F56A8">
              <w:rPr>
                <w:rFonts w:eastAsia="Calibri"/>
                <w:lang w:val="en-US"/>
              </w:rPr>
              <w:t>ects</w:t>
            </w:r>
            <w:r>
              <w:rPr>
                <w:rFonts w:eastAsia="Calibri"/>
                <w:lang w:val="en-US"/>
              </w:rPr>
              <w:t xml:space="preserve"> </w:t>
            </w:r>
            <w:r w:rsidRPr="006F56A8">
              <w:rPr>
                <w:rFonts w:eastAsia="Calibri"/>
                <w:lang w:val="en-US"/>
              </w:rPr>
              <w:t>of high frequency wireless spinal cord stimulation (SCS)</w:t>
            </w:r>
            <w:r>
              <w:rPr>
                <w:rFonts w:eastAsia="Calibri"/>
                <w:lang w:val="en-US"/>
              </w:rPr>
              <w:t xml:space="preserve"> </w:t>
            </w:r>
            <w:r w:rsidRPr="006F56A8">
              <w:rPr>
                <w:rFonts w:eastAsia="Calibri"/>
                <w:lang w:val="en-US"/>
              </w:rPr>
              <w:t>over exiting nerve roots in the treatment of chronic back</w:t>
            </w:r>
            <w:r>
              <w:rPr>
                <w:rFonts w:eastAsia="Calibri"/>
                <w:lang w:val="en-US"/>
              </w:rPr>
              <w:t xml:space="preserve"> </w:t>
            </w:r>
            <w:r w:rsidRPr="006F56A8">
              <w:rPr>
                <w:rFonts w:eastAsia="Calibri"/>
                <w:lang w:val="en-US"/>
              </w:rPr>
              <w:t>pain</w:t>
            </w:r>
          </w:p>
        </w:tc>
        <w:tc>
          <w:tcPr>
            <w:tcW w:w="992" w:type="dxa"/>
          </w:tcPr>
          <w:p w14:paraId="54E7E3A1" w14:textId="77777777" w:rsidR="00E21858" w:rsidRPr="00295554" w:rsidRDefault="00E21858">
            <w:pPr>
              <w:pStyle w:val="051Tabletext228pt"/>
              <w:jc w:val="center"/>
              <w:rPr>
                <w:rFonts w:eastAsia="Calibri"/>
                <w:lang w:val="en-US"/>
              </w:rPr>
            </w:pPr>
            <w:r w:rsidRPr="00762392">
              <w:rPr>
                <w:rFonts w:ascii="Wingdings" w:eastAsia="Wingdings" w:hAnsi="Wingdings" w:cs="Wingdings"/>
                <w:lang w:val="en-US"/>
              </w:rPr>
              <w:t>ü</w:t>
            </w:r>
          </w:p>
        </w:tc>
        <w:tc>
          <w:tcPr>
            <w:tcW w:w="962" w:type="dxa"/>
          </w:tcPr>
          <w:p w14:paraId="5F146C01" w14:textId="77777777" w:rsidR="00E21858" w:rsidRDefault="00E21858">
            <w:pPr>
              <w:pStyle w:val="051Tabletext228pt"/>
              <w:jc w:val="center"/>
              <w:rPr>
                <w:rFonts w:eastAsia="Calibri"/>
                <w:lang w:val="en-US"/>
              </w:rPr>
            </w:pPr>
          </w:p>
        </w:tc>
      </w:tr>
      <w:tr w:rsidR="00E21858" w14:paraId="423D6FC2" w14:textId="77777777">
        <w:tc>
          <w:tcPr>
            <w:tcW w:w="1418" w:type="dxa"/>
          </w:tcPr>
          <w:p w14:paraId="30B12D97" w14:textId="77777777" w:rsidR="00E21858" w:rsidRDefault="00E21858">
            <w:pPr>
              <w:pStyle w:val="051Tabletext228pt"/>
              <w:rPr>
                <w:rFonts w:eastAsia="Calibri"/>
                <w:lang w:val="en-US"/>
              </w:rPr>
            </w:pPr>
          </w:p>
        </w:tc>
        <w:tc>
          <w:tcPr>
            <w:tcW w:w="1701" w:type="dxa"/>
          </w:tcPr>
          <w:p w14:paraId="182ED3D9" w14:textId="77777777" w:rsidR="00E21858" w:rsidRDefault="00E21858">
            <w:pPr>
              <w:pStyle w:val="051Tabletext228pt"/>
              <w:rPr>
                <w:rFonts w:eastAsia="Calibri"/>
                <w:lang w:val="en-US"/>
              </w:rPr>
            </w:pPr>
            <w:r w:rsidRPr="00A3730C">
              <w:rPr>
                <w:rFonts w:eastAsia="Calibri"/>
                <w:lang w:val="en-US"/>
              </w:rPr>
              <w:t>ISRCTN33292457</w:t>
            </w:r>
          </w:p>
        </w:tc>
        <w:tc>
          <w:tcPr>
            <w:tcW w:w="9497" w:type="dxa"/>
          </w:tcPr>
          <w:p w14:paraId="5781E513" w14:textId="77777777" w:rsidR="00E21858" w:rsidRPr="006F56A8" w:rsidRDefault="00E21858">
            <w:pPr>
              <w:pStyle w:val="051Tabletext228pt"/>
              <w:rPr>
                <w:rFonts w:eastAsia="Calibri"/>
                <w:lang w:val="en-US"/>
              </w:rPr>
            </w:pPr>
            <w:r w:rsidRPr="00A3730C">
              <w:rPr>
                <w:rFonts w:eastAsia="Calibri"/>
                <w:lang w:val="en-US"/>
              </w:rPr>
              <w:t>Senza spinal cord stimulation system for the</w:t>
            </w:r>
            <w:r>
              <w:rPr>
                <w:rFonts w:eastAsia="Calibri"/>
                <w:lang w:val="en-US"/>
              </w:rPr>
              <w:t xml:space="preserve"> </w:t>
            </w:r>
            <w:r w:rsidRPr="00A3730C">
              <w:rPr>
                <w:rFonts w:eastAsia="Calibri"/>
                <w:lang w:val="en-US"/>
              </w:rPr>
              <w:t>treatment of chronic back and leg pain in failed back surgery</w:t>
            </w:r>
            <w:r>
              <w:rPr>
                <w:rFonts w:eastAsia="Calibri"/>
                <w:lang w:val="en-US"/>
              </w:rPr>
              <w:t xml:space="preserve"> </w:t>
            </w:r>
            <w:r w:rsidRPr="00A3730C">
              <w:rPr>
                <w:rFonts w:eastAsia="Calibri"/>
                <w:lang w:val="en-US"/>
              </w:rPr>
              <w:t>syndrome (FBSS) patients</w:t>
            </w:r>
          </w:p>
        </w:tc>
        <w:tc>
          <w:tcPr>
            <w:tcW w:w="992" w:type="dxa"/>
          </w:tcPr>
          <w:p w14:paraId="2D3E016A" w14:textId="77777777" w:rsidR="00E21858" w:rsidRPr="00762392" w:rsidRDefault="00E21858">
            <w:pPr>
              <w:pStyle w:val="051Tabletext228pt"/>
              <w:jc w:val="center"/>
              <w:rPr>
                <w:rFonts w:eastAsia="Calibri"/>
                <w:lang w:val="en-US"/>
              </w:rPr>
            </w:pPr>
          </w:p>
        </w:tc>
        <w:tc>
          <w:tcPr>
            <w:tcW w:w="962" w:type="dxa"/>
          </w:tcPr>
          <w:p w14:paraId="3EC90E7C" w14:textId="77777777" w:rsidR="00E21858" w:rsidRDefault="00E21858">
            <w:pPr>
              <w:pStyle w:val="051Tabletext228pt"/>
              <w:jc w:val="center"/>
              <w:rPr>
                <w:rFonts w:eastAsia="Calibri"/>
                <w:lang w:val="en-US"/>
              </w:rPr>
            </w:pPr>
            <w:r w:rsidRPr="00762392">
              <w:rPr>
                <w:rFonts w:ascii="Wingdings" w:eastAsia="Wingdings" w:hAnsi="Wingdings" w:cs="Wingdings"/>
                <w:lang w:val="en-US"/>
              </w:rPr>
              <w:t>ü</w:t>
            </w:r>
          </w:p>
        </w:tc>
      </w:tr>
      <w:tr w:rsidR="00E21858" w:rsidRPr="00762392" w14:paraId="78E0C6DA" w14:textId="77777777">
        <w:tc>
          <w:tcPr>
            <w:tcW w:w="1418" w:type="dxa"/>
          </w:tcPr>
          <w:p w14:paraId="49F52E9B" w14:textId="77777777" w:rsidR="00E21858" w:rsidRDefault="00E21858">
            <w:pPr>
              <w:pStyle w:val="051Tabletext228pt"/>
              <w:rPr>
                <w:rFonts w:eastAsia="Calibri"/>
                <w:lang w:val="en-US"/>
              </w:rPr>
            </w:pPr>
          </w:p>
        </w:tc>
        <w:tc>
          <w:tcPr>
            <w:tcW w:w="1701" w:type="dxa"/>
          </w:tcPr>
          <w:p w14:paraId="5E09D4F0" w14:textId="77777777" w:rsidR="00E21858" w:rsidRPr="00A3730C" w:rsidRDefault="00E21858">
            <w:pPr>
              <w:pStyle w:val="051Tabletext228pt"/>
              <w:rPr>
                <w:rFonts w:eastAsia="Calibri"/>
                <w:lang w:val="en-US"/>
              </w:rPr>
            </w:pPr>
            <w:r w:rsidRPr="00152D7D">
              <w:rPr>
                <w:rFonts w:eastAsia="Calibri"/>
                <w:lang w:val="en-US"/>
              </w:rPr>
              <w:t>NCT03462147</w:t>
            </w:r>
          </w:p>
        </w:tc>
        <w:tc>
          <w:tcPr>
            <w:tcW w:w="9497" w:type="dxa"/>
          </w:tcPr>
          <w:p w14:paraId="3A3AD2DB" w14:textId="77777777" w:rsidR="00E21858" w:rsidRPr="00A3730C" w:rsidRDefault="00E21858">
            <w:pPr>
              <w:pStyle w:val="051Tabletext228pt"/>
              <w:rPr>
                <w:rFonts w:eastAsia="Calibri"/>
                <w:lang w:val="en-US"/>
              </w:rPr>
            </w:pPr>
            <w:r>
              <w:rPr>
                <w:rFonts w:eastAsia="Calibri"/>
                <w:lang w:val="en-US"/>
              </w:rPr>
              <w:t>Eff</w:t>
            </w:r>
            <w:r w:rsidRPr="00686FB5">
              <w:rPr>
                <w:rFonts w:eastAsia="Calibri"/>
                <w:lang w:val="en-US"/>
              </w:rPr>
              <w:t>icacy of spinal cord stimulation in patients</w:t>
            </w:r>
            <w:r>
              <w:rPr>
                <w:rFonts w:eastAsia="Calibri"/>
                <w:lang w:val="en-US"/>
              </w:rPr>
              <w:t xml:space="preserve"> </w:t>
            </w:r>
            <w:r w:rsidRPr="00686FB5">
              <w:rPr>
                <w:rFonts w:eastAsia="Calibri"/>
                <w:lang w:val="en-US"/>
              </w:rPr>
              <w:t>with a failed back surgery syndrome</w:t>
            </w:r>
          </w:p>
        </w:tc>
        <w:tc>
          <w:tcPr>
            <w:tcW w:w="992" w:type="dxa"/>
          </w:tcPr>
          <w:p w14:paraId="7DB7E2F6" w14:textId="77777777" w:rsidR="00E21858" w:rsidRPr="00762392" w:rsidRDefault="00E21858">
            <w:pPr>
              <w:pStyle w:val="051Tabletext228pt"/>
              <w:jc w:val="center"/>
              <w:rPr>
                <w:rFonts w:eastAsia="Calibri"/>
                <w:lang w:val="en-US"/>
              </w:rPr>
            </w:pPr>
          </w:p>
        </w:tc>
        <w:tc>
          <w:tcPr>
            <w:tcW w:w="962" w:type="dxa"/>
          </w:tcPr>
          <w:p w14:paraId="128AFB8B" w14:textId="77777777" w:rsidR="00E21858" w:rsidRPr="00762392" w:rsidRDefault="00E21858">
            <w:pPr>
              <w:pStyle w:val="051Tabletext228pt"/>
              <w:jc w:val="center"/>
              <w:rPr>
                <w:rFonts w:eastAsia="Calibri"/>
                <w:lang w:val="en-US"/>
              </w:rPr>
            </w:pPr>
            <w:r w:rsidRPr="00762392">
              <w:rPr>
                <w:rFonts w:ascii="Wingdings" w:eastAsia="Wingdings" w:hAnsi="Wingdings" w:cs="Wingdings"/>
                <w:lang w:val="en-US"/>
              </w:rPr>
              <w:t>ü</w:t>
            </w:r>
          </w:p>
        </w:tc>
      </w:tr>
      <w:tr w:rsidR="00E21858" w:rsidRPr="00762392" w14:paraId="043FE5EB" w14:textId="77777777">
        <w:tc>
          <w:tcPr>
            <w:tcW w:w="1418" w:type="dxa"/>
          </w:tcPr>
          <w:p w14:paraId="6239A4B6" w14:textId="77777777" w:rsidR="00E21858" w:rsidRDefault="00E21858">
            <w:pPr>
              <w:pStyle w:val="051Tabletext228pt"/>
              <w:rPr>
                <w:rFonts w:eastAsia="Calibri"/>
                <w:lang w:val="en-US"/>
              </w:rPr>
            </w:pPr>
          </w:p>
        </w:tc>
        <w:tc>
          <w:tcPr>
            <w:tcW w:w="1701" w:type="dxa"/>
          </w:tcPr>
          <w:p w14:paraId="5870BC59" w14:textId="77777777" w:rsidR="00E21858" w:rsidRPr="00152D7D" w:rsidRDefault="00E21858">
            <w:pPr>
              <w:pStyle w:val="051Tabletext228pt"/>
              <w:rPr>
                <w:rFonts w:eastAsia="Calibri"/>
                <w:lang w:val="en-US"/>
              </w:rPr>
            </w:pPr>
            <w:r w:rsidRPr="00EE0218">
              <w:rPr>
                <w:rFonts w:eastAsia="Calibri"/>
                <w:lang w:val="en-US"/>
              </w:rPr>
              <w:t>NCT03858790</w:t>
            </w:r>
          </w:p>
        </w:tc>
        <w:tc>
          <w:tcPr>
            <w:tcW w:w="9497" w:type="dxa"/>
          </w:tcPr>
          <w:p w14:paraId="77F68130" w14:textId="77777777" w:rsidR="00E21858" w:rsidRDefault="00E21858">
            <w:pPr>
              <w:pStyle w:val="051Tabletext228pt"/>
              <w:rPr>
                <w:rFonts w:eastAsia="Calibri"/>
                <w:lang w:val="en-US"/>
              </w:rPr>
            </w:pPr>
            <w:r w:rsidRPr="00EE0218">
              <w:rPr>
                <w:rFonts w:eastAsia="Calibri"/>
                <w:lang w:val="en-US"/>
              </w:rPr>
              <w:t>E</w:t>
            </w:r>
            <w:r>
              <w:rPr>
                <w:rFonts w:eastAsia="Calibri"/>
                <w:lang w:val="en-US"/>
              </w:rPr>
              <w:t>ff</w:t>
            </w:r>
            <w:r w:rsidRPr="00EE0218">
              <w:rPr>
                <w:rFonts w:eastAsia="Calibri"/>
                <w:lang w:val="en-US"/>
              </w:rPr>
              <w:t>icacy and safety of spinal cord stimulation</w:t>
            </w:r>
            <w:r>
              <w:rPr>
                <w:rFonts w:eastAsia="Calibri"/>
                <w:lang w:val="en-US"/>
              </w:rPr>
              <w:t xml:space="preserve"> </w:t>
            </w:r>
            <w:r w:rsidRPr="00EE0218">
              <w:rPr>
                <w:rFonts w:eastAsia="Calibri"/>
                <w:lang w:val="en-US"/>
              </w:rPr>
              <w:t>in patients with chronic intractable pain</w:t>
            </w:r>
          </w:p>
        </w:tc>
        <w:tc>
          <w:tcPr>
            <w:tcW w:w="992" w:type="dxa"/>
          </w:tcPr>
          <w:p w14:paraId="46C70CFE" w14:textId="77777777" w:rsidR="00E21858" w:rsidRPr="00762392" w:rsidRDefault="00E21858">
            <w:pPr>
              <w:pStyle w:val="051Tabletext228pt"/>
              <w:jc w:val="center"/>
              <w:rPr>
                <w:rFonts w:eastAsia="Calibri"/>
                <w:lang w:val="en-US"/>
              </w:rPr>
            </w:pPr>
          </w:p>
        </w:tc>
        <w:tc>
          <w:tcPr>
            <w:tcW w:w="962" w:type="dxa"/>
          </w:tcPr>
          <w:p w14:paraId="5D4A3E2B" w14:textId="77777777" w:rsidR="00E21858" w:rsidRPr="00762392" w:rsidRDefault="00E21858">
            <w:pPr>
              <w:pStyle w:val="051Tabletext228pt"/>
              <w:jc w:val="center"/>
              <w:rPr>
                <w:rFonts w:eastAsia="Calibri"/>
                <w:lang w:val="en-US"/>
              </w:rPr>
            </w:pPr>
            <w:r w:rsidRPr="00762392">
              <w:rPr>
                <w:rFonts w:ascii="Wingdings" w:eastAsia="Wingdings" w:hAnsi="Wingdings" w:cs="Wingdings"/>
                <w:lang w:val="en-US"/>
              </w:rPr>
              <w:t>ü</w:t>
            </w:r>
          </w:p>
        </w:tc>
      </w:tr>
      <w:tr w:rsidR="00E21858" w:rsidRPr="00762392" w14:paraId="79F690B2" w14:textId="77777777">
        <w:tc>
          <w:tcPr>
            <w:tcW w:w="1418" w:type="dxa"/>
          </w:tcPr>
          <w:p w14:paraId="22642A3C" w14:textId="77777777" w:rsidR="00E21858" w:rsidRDefault="00E21858">
            <w:pPr>
              <w:pStyle w:val="051Tabletext228pt"/>
              <w:rPr>
                <w:rFonts w:eastAsia="Calibri"/>
                <w:lang w:val="en-US"/>
              </w:rPr>
            </w:pPr>
          </w:p>
        </w:tc>
        <w:tc>
          <w:tcPr>
            <w:tcW w:w="1701" w:type="dxa"/>
          </w:tcPr>
          <w:p w14:paraId="77B50CAC" w14:textId="77777777" w:rsidR="00E21858" w:rsidRPr="00EE0218" w:rsidRDefault="00E21858">
            <w:pPr>
              <w:pStyle w:val="051Tabletext228pt"/>
              <w:rPr>
                <w:rFonts w:eastAsia="Calibri"/>
                <w:lang w:val="en-US"/>
              </w:rPr>
            </w:pPr>
            <w:r w:rsidRPr="00933DB2">
              <w:rPr>
                <w:rFonts w:eastAsia="Calibri"/>
                <w:lang w:val="en-US"/>
              </w:rPr>
              <w:t>NCT04732325</w:t>
            </w:r>
          </w:p>
        </w:tc>
        <w:tc>
          <w:tcPr>
            <w:tcW w:w="9497" w:type="dxa"/>
          </w:tcPr>
          <w:p w14:paraId="77B40A42" w14:textId="77777777" w:rsidR="00E21858" w:rsidRPr="00EE0218" w:rsidRDefault="00E21858">
            <w:pPr>
              <w:pStyle w:val="051Tabletext228pt"/>
              <w:rPr>
                <w:rFonts w:eastAsia="Calibri"/>
                <w:lang w:val="en-US"/>
              </w:rPr>
            </w:pPr>
            <w:r w:rsidRPr="00933DB2">
              <w:rPr>
                <w:rFonts w:eastAsia="Calibri"/>
                <w:lang w:val="en-US"/>
              </w:rPr>
              <w:t>Sensory testing of multiple forms of spinal cord</w:t>
            </w:r>
            <w:r>
              <w:rPr>
                <w:rFonts w:eastAsia="Calibri"/>
                <w:lang w:val="en-US"/>
              </w:rPr>
              <w:t xml:space="preserve"> </w:t>
            </w:r>
            <w:r w:rsidRPr="00933DB2">
              <w:rPr>
                <w:rFonts w:eastAsia="Calibri"/>
                <w:lang w:val="en-US"/>
              </w:rPr>
              <w:t>stimulation for pain</w:t>
            </w:r>
          </w:p>
        </w:tc>
        <w:tc>
          <w:tcPr>
            <w:tcW w:w="992" w:type="dxa"/>
          </w:tcPr>
          <w:p w14:paraId="50FA75D8" w14:textId="77777777" w:rsidR="00E21858" w:rsidRPr="00762392" w:rsidRDefault="00E21858">
            <w:pPr>
              <w:pStyle w:val="051Tabletext228pt"/>
              <w:jc w:val="center"/>
              <w:rPr>
                <w:rFonts w:eastAsia="Calibri"/>
                <w:lang w:val="en-US"/>
              </w:rPr>
            </w:pPr>
          </w:p>
        </w:tc>
        <w:tc>
          <w:tcPr>
            <w:tcW w:w="962" w:type="dxa"/>
          </w:tcPr>
          <w:p w14:paraId="3387C0A7" w14:textId="77777777" w:rsidR="00E21858" w:rsidRPr="00762392" w:rsidRDefault="00E21858">
            <w:pPr>
              <w:pStyle w:val="051Tabletext228pt"/>
              <w:jc w:val="center"/>
              <w:rPr>
                <w:rFonts w:eastAsia="Calibri"/>
                <w:lang w:val="en-US"/>
              </w:rPr>
            </w:pPr>
            <w:r w:rsidRPr="00762392">
              <w:rPr>
                <w:rFonts w:ascii="Wingdings" w:eastAsia="Wingdings" w:hAnsi="Wingdings" w:cs="Wingdings"/>
                <w:lang w:val="en-US"/>
              </w:rPr>
              <w:t>ü</w:t>
            </w:r>
          </w:p>
        </w:tc>
      </w:tr>
    </w:tbl>
    <w:p w14:paraId="0761728E" w14:textId="32D16887" w:rsidR="00EE7167" w:rsidRDefault="00AC62BF" w:rsidP="00AC62BF">
      <w:pPr>
        <w:pStyle w:val="111Tablefootnoteslast-nostick8pt"/>
      </w:pPr>
      <w:r>
        <w:t xml:space="preserve">Abbreviations: </w:t>
      </w:r>
      <w:r w:rsidR="00F71A64">
        <w:t xml:space="preserve">FBSS, failed back surgery syndrome; </w:t>
      </w:r>
      <w:r>
        <w:t>RCT, randomised controlled trial</w:t>
      </w:r>
    </w:p>
    <w:p w14:paraId="0B3333C7" w14:textId="77DF9F04" w:rsidR="006616D4" w:rsidRDefault="006616D4" w:rsidP="00B13FD9">
      <w:pPr>
        <w:pStyle w:val="Caption"/>
      </w:pPr>
    </w:p>
    <w:p w14:paraId="730F2067" w14:textId="77777777" w:rsidR="00F2778B" w:rsidRDefault="00F2778B" w:rsidP="007C79C7">
      <w:pPr>
        <w:pStyle w:val="BodyText"/>
        <w:sectPr w:rsidR="00F2778B" w:rsidSect="000E0564">
          <w:pgSz w:w="16838" w:h="11906" w:orient="landscape"/>
          <w:pgMar w:top="1134" w:right="1134" w:bottom="1134" w:left="1134" w:header="850" w:footer="709" w:gutter="0"/>
          <w:cols w:space="708"/>
          <w:docGrid w:linePitch="360"/>
        </w:sectPr>
      </w:pPr>
    </w:p>
    <w:p w14:paraId="7784A54C" w14:textId="3552EB8F" w:rsidR="0012475F" w:rsidRDefault="002252DB" w:rsidP="00EB2C8A">
      <w:pPr>
        <w:pStyle w:val="Heading9"/>
      </w:pPr>
      <w:bookmarkStart w:id="173" w:name="_Ref134615669"/>
      <w:bookmarkStart w:id="174" w:name="_Toc134026857"/>
      <w:bookmarkStart w:id="175" w:name="_Ref134028222"/>
      <w:bookmarkStart w:id="176" w:name="_Toc134184986"/>
      <w:r>
        <w:lastRenderedPageBreak/>
        <w:t>Studies from stakeholder submissions</w:t>
      </w:r>
      <w:bookmarkEnd w:id="173"/>
      <w:r>
        <w:t xml:space="preserve"> </w:t>
      </w:r>
      <w:bookmarkEnd w:id="174"/>
      <w:bookmarkEnd w:id="175"/>
      <w:bookmarkEnd w:id="176"/>
    </w:p>
    <w:p w14:paraId="31B6FE8F" w14:textId="182A714C" w:rsidR="00783F36" w:rsidRDefault="002252DB" w:rsidP="002252DB">
      <w:pPr>
        <w:pStyle w:val="BodyText"/>
      </w:pPr>
      <w:r>
        <w:t>T</w:t>
      </w:r>
      <w:r w:rsidR="003323A3">
        <w:t xml:space="preserve">o supplement the evidence </w:t>
      </w:r>
      <w:r w:rsidR="00F554D4">
        <w:t>scan and</w:t>
      </w:r>
      <w:r w:rsidR="003323A3">
        <w:t xml:space="preserve"> allow for a broader </w:t>
      </w:r>
      <w:r w:rsidR="00F554D4">
        <w:t>overview of the available evidence, the</w:t>
      </w:r>
      <w:r>
        <w:t xml:space="preserve"> 18 stakeholder submissions were reviewed for </w:t>
      </w:r>
      <w:r w:rsidR="00DF147E">
        <w:t>relevant</w:t>
      </w:r>
      <w:r>
        <w:t xml:space="preserve"> publications</w:t>
      </w:r>
      <w:r w:rsidR="004D0855">
        <w:t xml:space="preserve"> that addressed the research questions for this PLR</w:t>
      </w:r>
      <w:r w:rsidR="00F554D4">
        <w:t>. The publications provided by stakeholders were</w:t>
      </w:r>
      <w:r>
        <w:t xml:space="preserve"> combined with studies from the two Cochrane reviews (O’Connell 2021 and </w:t>
      </w:r>
      <w:r w:rsidRPr="00E65A38">
        <w:t>Traeger 2023</w:t>
      </w:r>
      <w:r>
        <w:t xml:space="preserve">), </w:t>
      </w:r>
      <w:r w:rsidR="00F42DDE">
        <w:t xml:space="preserve">from which </w:t>
      </w:r>
      <w:r>
        <w:t xml:space="preserve">a total of 255 publications relating to SCS have been identified by this </w:t>
      </w:r>
      <w:r w:rsidR="00762D78">
        <w:t>r</w:t>
      </w:r>
      <w:r>
        <w:t>eport</w:t>
      </w:r>
      <w:r w:rsidR="00783F36">
        <w:t xml:space="preserve"> and are described below.</w:t>
      </w:r>
    </w:p>
    <w:p w14:paraId="01D1B336" w14:textId="77777777" w:rsidR="002252DB" w:rsidRPr="00F54CF0" w:rsidRDefault="002252DB" w:rsidP="00A26096">
      <w:pPr>
        <w:pStyle w:val="BodyText"/>
        <w:numPr>
          <w:ilvl w:val="0"/>
          <w:numId w:val="6"/>
        </w:numPr>
        <w:spacing w:after="0"/>
        <w:ind w:left="360"/>
        <w:rPr>
          <w:b/>
          <w:bCs/>
        </w:rPr>
      </w:pPr>
      <w:r w:rsidRPr="00F54CF0">
        <w:rPr>
          <w:b/>
          <w:bCs/>
        </w:rPr>
        <w:t>Cochrane Review</w:t>
      </w:r>
      <w:r>
        <w:rPr>
          <w:b/>
          <w:bCs/>
        </w:rPr>
        <w:t xml:space="preserve"> studies (incl &amp; excl)</w:t>
      </w:r>
      <w:r w:rsidRPr="00F54CF0">
        <w:rPr>
          <w:b/>
          <w:bCs/>
        </w:rPr>
        <w:t xml:space="preserve"> and</w:t>
      </w:r>
      <w:r>
        <w:rPr>
          <w:b/>
          <w:bCs/>
        </w:rPr>
        <w:t xml:space="preserve"> </w:t>
      </w:r>
      <w:r w:rsidRPr="00F54CF0">
        <w:rPr>
          <w:b/>
          <w:bCs/>
        </w:rPr>
        <w:t>stakeholder</w:t>
      </w:r>
      <w:r>
        <w:rPr>
          <w:b/>
          <w:bCs/>
        </w:rPr>
        <w:t>-</w:t>
      </w:r>
      <w:r w:rsidRPr="00F54CF0">
        <w:rPr>
          <w:b/>
          <w:bCs/>
        </w:rPr>
        <w:t>provided</w:t>
      </w:r>
      <w:r>
        <w:rPr>
          <w:b/>
          <w:bCs/>
        </w:rPr>
        <w:t xml:space="preserve"> </w:t>
      </w:r>
      <w:r w:rsidRPr="00F54CF0">
        <w:rPr>
          <w:b/>
          <w:bCs/>
        </w:rPr>
        <w:t xml:space="preserve">follow-up </w:t>
      </w:r>
      <w:r>
        <w:rPr>
          <w:b/>
          <w:bCs/>
        </w:rPr>
        <w:t>publications</w:t>
      </w:r>
    </w:p>
    <w:p w14:paraId="64D4D5C3" w14:textId="0724E61E" w:rsidR="002252DB" w:rsidRDefault="002252DB" w:rsidP="002252DB">
      <w:pPr>
        <w:pStyle w:val="Bulletpoint"/>
      </w:pPr>
      <w:r>
        <w:t>67 RCT publications reporting on the 20 RCTs included across the two Cochrane reviews – these encompass a number of</w:t>
      </w:r>
      <w:r w:rsidRPr="00142F00">
        <w:t xml:space="preserve"> </w:t>
      </w:r>
      <w:r>
        <w:t>follow-up studies presenting analyses that may or may not be comparative (overview in</w:t>
      </w:r>
      <w:r w:rsidR="00552D47">
        <w:rPr>
          <w:b/>
          <w:bCs/>
          <w:lang w:val="en-US"/>
        </w:rPr>
        <w:t xml:space="preserve"> </w:t>
      </w:r>
      <w:r w:rsidR="00552D47">
        <w:rPr>
          <w:b/>
          <w:bCs/>
          <w:lang w:val="en-US"/>
        </w:rPr>
        <w:fldChar w:fldCharType="begin"/>
      </w:r>
      <w:r w:rsidR="00552D47">
        <w:rPr>
          <w:b/>
          <w:bCs/>
          <w:lang w:val="en-US"/>
        </w:rPr>
        <w:instrText xml:space="preserve"> REF _Ref134440513 \h </w:instrText>
      </w:r>
      <w:r w:rsidR="00552D47">
        <w:rPr>
          <w:b/>
          <w:bCs/>
          <w:lang w:val="en-US"/>
        </w:rPr>
      </w:r>
      <w:r w:rsidR="00552D47">
        <w:rPr>
          <w:b/>
          <w:bCs/>
          <w:lang w:val="en-US"/>
        </w:rPr>
        <w:fldChar w:fldCharType="separate"/>
      </w:r>
      <w:r w:rsidR="00CE6ACA">
        <w:t xml:space="preserve">Table App </w:t>
      </w:r>
      <w:r w:rsidR="00CE6ACA">
        <w:rPr>
          <w:noProof/>
        </w:rPr>
        <w:t>7</w:t>
      </w:r>
      <w:r w:rsidR="00552D47">
        <w:rPr>
          <w:b/>
          <w:bCs/>
          <w:lang w:val="en-US"/>
        </w:rPr>
        <w:fldChar w:fldCharType="end"/>
      </w:r>
      <w:r>
        <w:t>; list of studies in</w:t>
      </w:r>
      <w:r w:rsidR="00CF3A82">
        <w:rPr>
          <w:b/>
          <w:bCs/>
          <w:lang w:val="en-US"/>
        </w:rPr>
        <w:t xml:space="preserve"> </w:t>
      </w:r>
      <w:r w:rsidR="00CF3A82">
        <w:rPr>
          <w:b/>
          <w:bCs/>
          <w:lang w:val="en-US"/>
        </w:rPr>
        <w:fldChar w:fldCharType="begin"/>
      </w:r>
      <w:r w:rsidR="00CF3A82">
        <w:rPr>
          <w:b/>
          <w:bCs/>
          <w:lang w:val="en-US"/>
        </w:rPr>
        <w:instrText xml:space="preserve"> REF _Ref134457224 \h </w:instrText>
      </w:r>
      <w:r w:rsidR="00CF3A82">
        <w:rPr>
          <w:b/>
          <w:bCs/>
          <w:lang w:val="en-US"/>
        </w:rPr>
      </w:r>
      <w:r w:rsidR="00CF3A82">
        <w:rPr>
          <w:b/>
          <w:bCs/>
          <w:lang w:val="en-US"/>
        </w:rPr>
        <w:fldChar w:fldCharType="separate"/>
      </w:r>
      <w:r w:rsidR="00CE6ACA">
        <w:t xml:space="preserve">Table App </w:t>
      </w:r>
      <w:r w:rsidR="00CE6ACA">
        <w:rPr>
          <w:noProof/>
        </w:rPr>
        <w:t>8</w:t>
      </w:r>
      <w:r w:rsidR="00CF3A82">
        <w:rPr>
          <w:b/>
          <w:bCs/>
          <w:lang w:val="en-US"/>
        </w:rPr>
        <w:fldChar w:fldCharType="end"/>
      </w:r>
      <w:r>
        <w:t>)</w:t>
      </w:r>
    </w:p>
    <w:p w14:paraId="54198E0E" w14:textId="22432CCE" w:rsidR="002252DB" w:rsidRDefault="002252DB" w:rsidP="002252DB">
      <w:pPr>
        <w:pStyle w:val="Bulletpoint"/>
      </w:pPr>
      <w:r>
        <w:t>38 publications specifically excluded from either of the two Cochrane reviews (23 RCT publications and 15 other publications, including one non-randomised comparative cohort study) (</w:t>
      </w:r>
      <w:r w:rsidR="002A34A4">
        <w:fldChar w:fldCharType="begin"/>
      </w:r>
      <w:r w:rsidR="002A34A4">
        <w:instrText xml:space="preserve"> REF _Ref134458586 \h </w:instrText>
      </w:r>
      <w:r w:rsidR="002A34A4">
        <w:fldChar w:fldCharType="separate"/>
      </w:r>
      <w:r w:rsidR="00CE6ACA">
        <w:t xml:space="preserve">Table App </w:t>
      </w:r>
      <w:r w:rsidR="00CE6ACA">
        <w:rPr>
          <w:noProof/>
        </w:rPr>
        <w:t>9</w:t>
      </w:r>
      <w:r w:rsidR="002A34A4">
        <w:fldChar w:fldCharType="end"/>
      </w:r>
      <w:r>
        <w:t>)</w:t>
      </w:r>
    </w:p>
    <w:p w14:paraId="2F1BCC5C" w14:textId="1DFCD7C6" w:rsidR="001E5865" w:rsidRDefault="001E5865" w:rsidP="002252DB">
      <w:pPr>
        <w:pStyle w:val="Bulletpoint"/>
      </w:pPr>
      <w:r>
        <w:t>An additional four publications</w:t>
      </w:r>
      <w:r>
        <w:rPr>
          <w:lang w:val="en-US"/>
        </w:rPr>
        <w:t xml:space="preserve"> </w:t>
      </w:r>
      <w:r>
        <w:t>from stakeholder submissions</w:t>
      </w:r>
      <w:r w:rsidRPr="0054260A">
        <w:rPr>
          <w:lang w:val="en-US"/>
        </w:rPr>
        <w:t xml:space="preserve"> </w:t>
      </w:r>
      <w:r>
        <w:rPr>
          <w:lang w:val="en-US"/>
        </w:rPr>
        <w:t>reporting on three RCTs that were included in either of the</w:t>
      </w:r>
      <w:r w:rsidRPr="0054260A">
        <w:rPr>
          <w:lang w:val="en-US"/>
        </w:rPr>
        <w:t xml:space="preserve"> Cochrane </w:t>
      </w:r>
      <w:r w:rsidR="002E7D2D">
        <w:rPr>
          <w:lang w:val="en-US"/>
        </w:rPr>
        <w:t>r</w:t>
      </w:r>
      <w:r>
        <w:rPr>
          <w:lang w:val="en-US"/>
        </w:rPr>
        <w:t>eviews (</w:t>
      </w:r>
      <w:r>
        <w:rPr>
          <w:lang w:val="en-US"/>
        </w:rPr>
        <w:fldChar w:fldCharType="begin"/>
      </w:r>
      <w:r>
        <w:rPr>
          <w:lang w:val="en-US"/>
        </w:rPr>
        <w:instrText xml:space="preserve"> REF _Ref134533403 \h </w:instrText>
      </w:r>
      <w:r>
        <w:rPr>
          <w:lang w:val="en-US"/>
        </w:rPr>
      </w:r>
      <w:r>
        <w:rPr>
          <w:lang w:val="en-US"/>
        </w:rPr>
        <w:fldChar w:fldCharType="separate"/>
      </w:r>
      <w:r w:rsidR="00CE6ACA">
        <w:t xml:space="preserve">Table App </w:t>
      </w:r>
      <w:r w:rsidR="00CE6ACA">
        <w:rPr>
          <w:noProof/>
        </w:rPr>
        <w:t>10</w:t>
      </w:r>
      <w:r>
        <w:rPr>
          <w:lang w:val="en-US"/>
        </w:rPr>
        <w:fldChar w:fldCharType="end"/>
      </w:r>
      <w:r>
        <w:rPr>
          <w:lang w:val="en-US"/>
        </w:rPr>
        <w:t>)</w:t>
      </w:r>
    </w:p>
    <w:p w14:paraId="014DE84E" w14:textId="501E9BA9" w:rsidR="002252DB" w:rsidRPr="00350FA8" w:rsidRDefault="002252DB" w:rsidP="002252DB">
      <w:pPr>
        <w:pStyle w:val="Bulletpoint"/>
      </w:pPr>
      <w:r w:rsidRPr="00CB67BC">
        <w:t>A</w:t>
      </w:r>
      <w:r>
        <w:t>n a</w:t>
      </w:r>
      <w:r w:rsidRPr="00CB67BC">
        <w:t xml:space="preserve">dditional </w:t>
      </w:r>
      <w:r>
        <w:t xml:space="preserve">seven </w:t>
      </w:r>
      <w:r w:rsidRPr="00CB67BC">
        <w:t xml:space="preserve">RCT publications from stakeholder submissions </w:t>
      </w:r>
      <w:r>
        <w:t>reporting on five</w:t>
      </w:r>
      <w:r w:rsidRPr="00CB67BC">
        <w:t xml:space="preserve"> RCTs </w:t>
      </w:r>
      <w:r w:rsidRPr="0066686A">
        <w:rPr>
          <w:lang w:val="en-US"/>
        </w:rPr>
        <w:t xml:space="preserve">that were excluded by either of the Cochrane </w:t>
      </w:r>
      <w:r w:rsidR="002E7D2D">
        <w:rPr>
          <w:lang w:val="en-US"/>
        </w:rPr>
        <w:t>r</w:t>
      </w:r>
      <w:r w:rsidRPr="0066686A">
        <w:rPr>
          <w:lang w:val="en-US"/>
        </w:rPr>
        <w:t>eviews (</w:t>
      </w:r>
      <w:r w:rsidR="002A34A4">
        <w:rPr>
          <w:lang w:val="en-US"/>
        </w:rPr>
        <w:fldChar w:fldCharType="begin"/>
      </w:r>
      <w:r w:rsidR="002A34A4">
        <w:rPr>
          <w:lang w:val="en-US"/>
        </w:rPr>
        <w:instrText xml:space="preserve"> REF _Ref134458614 \h </w:instrText>
      </w:r>
      <w:r w:rsidR="002A34A4">
        <w:rPr>
          <w:lang w:val="en-US"/>
        </w:rPr>
      </w:r>
      <w:r w:rsidR="002A34A4">
        <w:rPr>
          <w:lang w:val="en-US"/>
        </w:rPr>
        <w:fldChar w:fldCharType="separate"/>
      </w:r>
      <w:r w:rsidR="00CE6ACA">
        <w:t xml:space="preserve">Table App </w:t>
      </w:r>
      <w:r w:rsidR="00CE6ACA">
        <w:rPr>
          <w:noProof/>
        </w:rPr>
        <w:t>11</w:t>
      </w:r>
      <w:r w:rsidR="002A34A4">
        <w:rPr>
          <w:lang w:val="en-US"/>
        </w:rPr>
        <w:fldChar w:fldCharType="end"/>
      </w:r>
      <w:r w:rsidRPr="0066686A">
        <w:rPr>
          <w:lang w:val="en-US"/>
        </w:rPr>
        <w:t>)</w:t>
      </w:r>
    </w:p>
    <w:p w14:paraId="24D5B1CF" w14:textId="2B152CF9" w:rsidR="002252DB" w:rsidRPr="00B25A23" w:rsidRDefault="002252DB" w:rsidP="00A26096">
      <w:pPr>
        <w:pStyle w:val="BodyText"/>
        <w:numPr>
          <w:ilvl w:val="0"/>
          <w:numId w:val="6"/>
        </w:numPr>
        <w:spacing w:after="0"/>
        <w:ind w:left="360"/>
        <w:rPr>
          <w:b/>
          <w:bCs/>
        </w:rPr>
      </w:pPr>
      <w:r w:rsidRPr="00F54CF0">
        <w:rPr>
          <w:b/>
          <w:bCs/>
        </w:rPr>
        <w:t>Stakeholder</w:t>
      </w:r>
      <w:r>
        <w:rPr>
          <w:b/>
          <w:bCs/>
        </w:rPr>
        <w:t>-</w:t>
      </w:r>
      <w:r w:rsidRPr="00F54CF0">
        <w:rPr>
          <w:b/>
          <w:bCs/>
        </w:rPr>
        <w:t>provided</w:t>
      </w:r>
      <w:r>
        <w:rPr>
          <w:b/>
          <w:bCs/>
        </w:rPr>
        <w:t xml:space="preserve"> </w:t>
      </w:r>
      <w:r w:rsidRPr="00B25A23">
        <w:rPr>
          <w:b/>
          <w:bCs/>
        </w:rPr>
        <w:t xml:space="preserve">publications for RCTs not listed in Cochrane </w:t>
      </w:r>
      <w:r w:rsidR="002E7D2D">
        <w:rPr>
          <w:b/>
          <w:bCs/>
        </w:rPr>
        <w:t>r</w:t>
      </w:r>
      <w:r w:rsidRPr="00B25A23">
        <w:rPr>
          <w:b/>
          <w:bCs/>
        </w:rPr>
        <w:t>eviews</w:t>
      </w:r>
    </w:p>
    <w:p w14:paraId="351311E4" w14:textId="093B771E" w:rsidR="002252DB" w:rsidRPr="00A563B2" w:rsidRDefault="002252DB" w:rsidP="002252DB">
      <w:pPr>
        <w:pStyle w:val="Bulletpoint"/>
      </w:pPr>
      <w:r>
        <w:t>An additional 13 publications</w:t>
      </w:r>
      <w:r>
        <w:rPr>
          <w:lang w:val="en-US"/>
        </w:rPr>
        <w:t xml:space="preserve"> </w:t>
      </w:r>
      <w:r>
        <w:t>from stakeholder submissions reporting on eight novel</w:t>
      </w:r>
      <w:r>
        <w:rPr>
          <w:lang w:val="en-US"/>
        </w:rPr>
        <w:t xml:space="preserve"> RCTs not listed in either Cochrane Review (</w:t>
      </w:r>
      <w:r w:rsidR="009E5868">
        <w:rPr>
          <w:lang w:val="en-US"/>
        </w:rPr>
        <w:fldChar w:fldCharType="begin"/>
      </w:r>
      <w:r w:rsidR="009E5868">
        <w:rPr>
          <w:lang w:val="en-US"/>
        </w:rPr>
        <w:instrText xml:space="preserve"> REF _Ref134458638 \h </w:instrText>
      </w:r>
      <w:r w:rsidR="009E5868">
        <w:rPr>
          <w:lang w:val="en-US"/>
        </w:rPr>
      </w:r>
      <w:r w:rsidR="009E5868">
        <w:rPr>
          <w:lang w:val="en-US"/>
        </w:rPr>
        <w:fldChar w:fldCharType="separate"/>
      </w:r>
      <w:r w:rsidR="00CE6ACA">
        <w:t xml:space="preserve">Table App </w:t>
      </w:r>
      <w:r w:rsidR="00CE6ACA">
        <w:rPr>
          <w:noProof/>
        </w:rPr>
        <w:t>12</w:t>
      </w:r>
      <w:r w:rsidR="009E5868">
        <w:rPr>
          <w:lang w:val="en-US"/>
        </w:rPr>
        <w:fldChar w:fldCharType="end"/>
      </w:r>
      <w:r>
        <w:rPr>
          <w:lang w:val="en-US"/>
        </w:rPr>
        <w:t>)</w:t>
      </w:r>
    </w:p>
    <w:p w14:paraId="37A225F1" w14:textId="0FF2480B" w:rsidR="002252DB" w:rsidRPr="00A563B2" w:rsidRDefault="002252DB" w:rsidP="00A26096">
      <w:pPr>
        <w:pStyle w:val="BodyText"/>
        <w:numPr>
          <w:ilvl w:val="0"/>
          <w:numId w:val="6"/>
        </w:numPr>
        <w:spacing w:after="0"/>
        <w:ind w:left="360"/>
        <w:rPr>
          <w:b/>
          <w:bCs/>
        </w:rPr>
      </w:pPr>
      <w:r w:rsidRPr="00A563B2">
        <w:rPr>
          <w:b/>
          <w:bCs/>
        </w:rPr>
        <w:t>Other stakeholder-provided publications</w:t>
      </w:r>
    </w:p>
    <w:p w14:paraId="62966308" w14:textId="77777777" w:rsidR="002252DB" w:rsidRDefault="002252DB" w:rsidP="002252DB">
      <w:pPr>
        <w:pStyle w:val="Bulletpoint"/>
      </w:pPr>
      <w:r>
        <w:t>An additional 126 non-RCT publications included in submissions from the 18 stakeholders, including the following study and publication types:</w:t>
      </w:r>
    </w:p>
    <w:p w14:paraId="783A549B" w14:textId="56B47796" w:rsidR="00990A09" w:rsidRDefault="006803DA" w:rsidP="002252DB">
      <w:pPr>
        <w:pStyle w:val="Bulletpoint2ndlevel"/>
      </w:pPr>
      <w:r>
        <w:t>Non-randomised comparative cohort studies (n=5)</w:t>
      </w:r>
    </w:p>
    <w:p w14:paraId="52EE5445" w14:textId="4CEC7E02" w:rsidR="002252DB" w:rsidRDefault="002252DB" w:rsidP="002252DB">
      <w:pPr>
        <w:pStyle w:val="Bulletpoint2ndlevel"/>
      </w:pPr>
      <w:r>
        <w:t>Non-comparative cohort studies, including on/off studies (n=55) (</w:t>
      </w:r>
      <w:r w:rsidR="00E07397">
        <w:fldChar w:fldCharType="begin"/>
      </w:r>
      <w:r w:rsidR="00E07397">
        <w:instrText xml:space="preserve"> REF _Ref134458846 \h </w:instrText>
      </w:r>
      <w:r w:rsidR="00E07397">
        <w:fldChar w:fldCharType="separate"/>
      </w:r>
      <w:r w:rsidR="00CE6ACA">
        <w:t xml:space="preserve">Table App </w:t>
      </w:r>
      <w:r w:rsidR="00CE6ACA">
        <w:rPr>
          <w:noProof/>
        </w:rPr>
        <w:t>13</w:t>
      </w:r>
      <w:r w:rsidR="00E07397">
        <w:fldChar w:fldCharType="end"/>
      </w:r>
      <w:r>
        <w:t>)</w:t>
      </w:r>
    </w:p>
    <w:p w14:paraId="1C23CA1D" w14:textId="610B51EF" w:rsidR="002252DB" w:rsidRDefault="005C05BD" w:rsidP="002252DB">
      <w:pPr>
        <w:pStyle w:val="Bulletpoint2ndlevel"/>
      </w:pPr>
      <w:r>
        <w:t>SRs</w:t>
      </w:r>
      <w:r w:rsidR="002252DB">
        <w:t xml:space="preserve"> (n=13) and meta-analyses (n=4) (</w:t>
      </w:r>
      <w:r w:rsidR="008D65DD">
        <w:fldChar w:fldCharType="begin"/>
      </w:r>
      <w:r w:rsidR="008D65DD">
        <w:instrText xml:space="preserve"> REF _Ref134458861 \h </w:instrText>
      </w:r>
      <w:r w:rsidR="008D65DD">
        <w:fldChar w:fldCharType="separate"/>
      </w:r>
      <w:r w:rsidR="00CE6ACA">
        <w:t xml:space="preserve">Table App </w:t>
      </w:r>
      <w:r w:rsidR="00CE6ACA">
        <w:rPr>
          <w:noProof/>
        </w:rPr>
        <w:t>14</w:t>
      </w:r>
      <w:r w:rsidR="008D65DD">
        <w:fldChar w:fldCharType="end"/>
      </w:r>
      <w:r w:rsidR="002252DB">
        <w:t>)</w:t>
      </w:r>
    </w:p>
    <w:p w14:paraId="240D755B" w14:textId="68A3148A" w:rsidR="002252DB" w:rsidRDefault="002252DB" w:rsidP="002252DB">
      <w:pPr>
        <w:pStyle w:val="Bulletpoint2ndlevel"/>
      </w:pPr>
      <w:r>
        <w:t>Safety studies and reviews (n=8) (</w:t>
      </w:r>
      <w:r w:rsidR="00942B6F">
        <w:fldChar w:fldCharType="begin"/>
      </w:r>
      <w:r w:rsidR="00942B6F">
        <w:instrText xml:space="preserve"> REF _Ref134458883 \h </w:instrText>
      </w:r>
      <w:r w:rsidR="00942B6F">
        <w:fldChar w:fldCharType="separate"/>
      </w:r>
      <w:r w:rsidR="00CE6ACA">
        <w:t xml:space="preserve">Table App </w:t>
      </w:r>
      <w:r w:rsidR="00CE6ACA">
        <w:rPr>
          <w:noProof/>
        </w:rPr>
        <w:t>15</w:t>
      </w:r>
      <w:r w:rsidR="00942B6F">
        <w:fldChar w:fldCharType="end"/>
      </w:r>
      <w:r>
        <w:t>)</w:t>
      </w:r>
    </w:p>
    <w:p w14:paraId="335BEE17" w14:textId="4C7A06D2" w:rsidR="002252DB" w:rsidRDefault="002252DB" w:rsidP="002252DB">
      <w:pPr>
        <w:pStyle w:val="Bulletpoint2ndlevel"/>
      </w:pPr>
      <w:r>
        <w:t>Economic and costing studies and reports (n=23) (</w:t>
      </w:r>
      <w:r w:rsidR="00CA442D">
        <w:fldChar w:fldCharType="begin"/>
      </w:r>
      <w:r w:rsidR="00CA442D">
        <w:instrText xml:space="preserve"> REF _Ref134458896 \h </w:instrText>
      </w:r>
      <w:r w:rsidR="00CA442D">
        <w:fldChar w:fldCharType="separate"/>
      </w:r>
      <w:r w:rsidR="00CE6ACA">
        <w:t xml:space="preserve">Table App </w:t>
      </w:r>
      <w:r w:rsidR="00CE6ACA">
        <w:rPr>
          <w:noProof/>
        </w:rPr>
        <w:t>16</w:t>
      </w:r>
      <w:r w:rsidR="00CA442D">
        <w:fldChar w:fldCharType="end"/>
      </w:r>
      <w:r>
        <w:t>)</w:t>
      </w:r>
    </w:p>
    <w:p w14:paraId="68C9AD83" w14:textId="4AFF707A" w:rsidR="002252DB" w:rsidRDefault="002252DB" w:rsidP="002252DB">
      <w:pPr>
        <w:pStyle w:val="Bulletpoint2ndlevel"/>
      </w:pPr>
      <w:r>
        <w:t>Studies of clinical longevity (n=1) (</w:t>
      </w:r>
      <w:r w:rsidR="00403759">
        <w:fldChar w:fldCharType="begin"/>
      </w:r>
      <w:r w:rsidR="00403759">
        <w:instrText xml:space="preserve"> REF _Ref134458918 \h </w:instrText>
      </w:r>
      <w:r w:rsidR="00403759">
        <w:fldChar w:fldCharType="separate"/>
      </w:r>
      <w:r w:rsidR="00CE6ACA">
        <w:t xml:space="preserve">Table App </w:t>
      </w:r>
      <w:r w:rsidR="00CE6ACA">
        <w:rPr>
          <w:noProof/>
        </w:rPr>
        <w:t>17</w:t>
      </w:r>
      <w:r w:rsidR="00403759">
        <w:fldChar w:fldCharType="end"/>
      </w:r>
      <w:r>
        <w:t>)</w:t>
      </w:r>
    </w:p>
    <w:p w14:paraId="1C126D88" w14:textId="42A8F317" w:rsidR="002252DB" w:rsidRPr="003579EF" w:rsidRDefault="002252DB" w:rsidP="003579EF">
      <w:pPr>
        <w:pStyle w:val="Bulletpoint2ndlevel"/>
      </w:pPr>
      <w:r>
        <w:t>Predicted MRI requirement rates (n=1) (</w:t>
      </w:r>
      <w:r w:rsidR="007E7219">
        <w:fldChar w:fldCharType="begin"/>
      </w:r>
      <w:r w:rsidR="007E7219">
        <w:instrText xml:space="preserve"> REF _Ref134824818 \h </w:instrText>
      </w:r>
      <w:r w:rsidR="007E7219">
        <w:fldChar w:fldCharType="separate"/>
      </w:r>
      <w:r w:rsidR="00CE6ACA">
        <w:t xml:space="preserve">Table App </w:t>
      </w:r>
      <w:r w:rsidR="00CE6ACA">
        <w:rPr>
          <w:noProof/>
        </w:rPr>
        <w:t>18</w:t>
      </w:r>
      <w:r w:rsidR="007E7219">
        <w:fldChar w:fldCharType="end"/>
      </w:r>
      <w:r>
        <w:t>)</w:t>
      </w:r>
    </w:p>
    <w:p w14:paraId="0A00C650" w14:textId="1EBA95CC" w:rsidR="002252DB" w:rsidRDefault="002252DB" w:rsidP="002252DB">
      <w:pPr>
        <w:pStyle w:val="Bulletpoint2ndlevel"/>
      </w:pPr>
      <w:r>
        <w:t>Patient selection studies (n=4) (</w:t>
      </w:r>
      <w:r w:rsidR="00AC2050">
        <w:fldChar w:fldCharType="begin"/>
      </w:r>
      <w:r w:rsidR="00AC2050">
        <w:instrText xml:space="preserve"> REF _Ref134459053 \h </w:instrText>
      </w:r>
      <w:r w:rsidR="00AC2050">
        <w:fldChar w:fldCharType="separate"/>
      </w:r>
      <w:r w:rsidR="00CE6ACA">
        <w:t xml:space="preserve">Table App </w:t>
      </w:r>
      <w:r w:rsidR="00CE6ACA">
        <w:rPr>
          <w:noProof/>
        </w:rPr>
        <w:t>19</w:t>
      </w:r>
      <w:r w:rsidR="00AC2050">
        <w:fldChar w:fldCharType="end"/>
      </w:r>
      <w:r>
        <w:t>)</w:t>
      </w:r>
    </w:p>
    <w:p w14:paraId="5AC49E9D" w14:textId="69B95BB6" w:rsidR="002252DB" w:rsidRDefault="002252DB" w:rsidP="002252DB">
      <w:pPr>
        <w:pStyle w:val="Bulletpoint2ndlevel"/>
      </w:pPr>
      <w:r>
        <w:t>Technical studies, e.g., lead placement, ECAP estimation schemes, dosing studies (n=9) (</w:t>
      </w:r>
      <w:r w:rsidR="00AC2050">
        <w:fldChar w:fldCharType="begin"/>
      </w:r>
      <w:r w:rsidR="00AC2050">
        <w:instrText xml:space="preserve"> REF _Ref134459065 \h </w:instrText>
      </w:r>
      <w:r w:rsidR="00AC2050">
        <w:fldChar w:fldCharType="separate"/>
      </w:r>
      <w:r w:rsidR="00CE6ACA">
        <w:t xml:space="preserve">Table App </w:t>
      </w:r>
      <w:r w:rsidR="00CE6ACA">
        <w:rPr>
          <w:noProof/>
        </w:rPr>
        <w:t>20</w:t>
      </w:r>
      <w:r w:rsidR="00AC2050">
        <w:fldChar w:fldCharType="end"/>
      </w:r>
      <w:r>
        <w:t>)</w:t>
      </w:r>
    </w:p>
    <w:p w14:paraId="116EFD15" w14:textId="101FC3A3" w:rsidR="00E109AD" w:rsidRDefault="002252DB" w:rsidP="002252DB">
      <w:pPr>
        <w:pStyle w:val="Bulletpoint2ndlevel"/>
        <w:sectPr w:rsidR="00E109AD" w:rsidSect="000E0564">
          <w:headerReference w:type="even" r:id="rId20"/>
          <w:footerReference w:type="default" r:id="rId21"/>
          <w:headerReference w:type="first" r:id="rId22"/>
          <w:pgSz w:w="11906" w:h="16838"/>
          <w:pgMar w:top="1134" w:right="1134" w:bottom="1134" w:left="1134" w:header="850" w:footer="709" w:gutter="0"/>
          <w:cols w:space="708"/>
          <w:docGrid w:linePitch="360"/>
        </w:sectPr>
      </w:pPr>
      <w:r>
        <w:t>Critiques and position statements (n=3) (</w:t>
      </w:r>
      <w:r w:rsidR="00AC2050">
        <w:fldChar w:fldCharType="begin"/>
      </w:r>
      <w:r w:rsidR="00AC2050">
        <w:instrText xml:space="preserve"> REF _Ref134459076 \h </w:instrText>
      </w:r>
      <w:r w:rsidR="00AC2050">
        <w:fldChar w:fldCharType="separate"/>
      </w:r>
      <w:r w:rsidR="00CE6ACA">
        <w:t xml:space="preserve">Table App </w:t>
      </w:r>
      <w:r w:rsidR="00CE6ACA">
        <w:rPr>
          <w:noProof/>
        </w:rPr>
        <w:t>21</w:t>
      </w:r>
      <w:r w:rsidR="00AC2050">
        <w:fldChar w:fldCharType="end"/>
      </w:r>
      <w:r>
        <w:t>).</w:t>
      </w:r>
    </w:p>
    <w:p w14:paraId="5EEA747F" w14:textId="5ED641DE" w:rsidR="002252DB" w:rsidRPr="007B02B3" w:rsidRDefault="00B13FD9" w:rsidP="00B13FD9">
      <w:pPr>
        <w:pStyle w:val="Caption"/>
      </w:pPr>
      <w:bookmarkStart w:id="177" w:name="_Ref134440513"/>
      <w:r>
        <w:lastRenderedPageBreak/>
        <w:t xml:space="preserve">Table App </w:t>
      </w:r>
      <w:fldSimple w:instr=" SEQ Table_App \* ARABIC ">
        <w:r w:rsidR="00CE6ACA">
          <w:rPr>
            <w:noProof/>
          </w:rPr>
          <w:t>7</w:t>
        </w:r>
      </w:fldSimple>
      <w:bookmarkEnd w:id="177"/>
      <w:r w:rsidR="002252DB">
        <w:tab/>
        <w:t xml:space="preserve">RCTs included in either the O’Connell 2021 or Traeger 2023 Cochrane </w:t>
      </w:r>
      <w:r w:rsidR="002E7D2D">
        <w:t>r</w:t>
      </w:r>
      <w:r w:rsidR="002252DB">
        <w:t>eviews</w:t>
      </w:r>
    </w:p>
    <w:tbl>
      <w:tblPr>
        <w:tblStyle w:val="TableGrid"/>
        <w:tblW w:w="5000" w:type="pct"/>
        <w:tblLayout w:type="fixed"/>
        <w:tblLook w:val="04A0" w:firstRow="1" w:lastRow="0" w:firstColumn="1" w:lastColumn="0" w:noHBand="0" w:noVBand="1"/>
        <w:tblCaption w:val="RCTs included in either the O’Connell 2021 or Traeger 2023 Cochrane reviews"/>
        <w:tblDescription w:val="Table showing the included RCTs in either O'Connell 2021 or Traeger 2023."/>
      </w:tblPr>
      <w:tblGrid>
        <w:gridCol w:w="2697"/>
        <w:gridCol w:w="1841"/>
        <w:gridCol w:w="1700"/>
        <w:gridCol w:w="1700"/>
        <w:gridCol w:w="1700"/>
      </w:tblGrid>
      <w:tr w:rsidR="002252DB" w:rsidRPr="00795A1F" w14:paraId="538B7A88" w14:textId="77777777" w:rsidTr="00B758E1">
        <w:trPr>
          <w:cnfStyle w:val="100000000000" w:firstRow="1" w:lastRow="0" w:firstColumn="0" w:lastColumn="0" w:oddVBand="0" w:evenVBand="0" w:oddHBand="0" w:evenHBand="0" w:firstRowFirstColumn="0" w:firstRowLastColumn="0" w:lastRowFirstColumn="0" w:lastRowLastColumn="0"/>
        </w:trPr>
        <w:tc>
          <w:tcPr>
            <w:tcW w:w="1399" w:type="pct"/>
            <w:tcBorders>
              <w:bottom w:val="single" w:sz="4" w:space="0" w:color="auto"/>
            </w:tcBorders>
          </w:tcPr>
          <w:p w14:paraId="63841ABB" w14:textId="77777777" w:rsidR="002252DB" w:rsidRPr="00795A1F" w:rsidRDefault="002252DB" w:rsidP="00B758E1">
            <w:pPr>
              <w:pStyle w:val="011TableHeading8pt"/>
            </w:pPr>
            <w:r w:rsidRPr="00795A1F">
              <w:t>RCT identifier</w:t>
            </w:r>
          </w:p>
        </w:tc>
        <w:tc>
          <w:tcPr>
            <w:tcW w:w="955" w:type="pct"/>
            <w:tcBorders>
              <w:bottom w:val="single" w:sz="4" w:space="0" w:color="auto"/>
            </w:tcBorders>
          </w:tcPr>
          <w:p w14:paraId="5E0255AB" w14:textId="47DA0158" w:rsidR="002252DB" w:rsidRPr="00795A1F" w:rsidRDefault="002252DB" w:rsidP="00B758E1">
            <w:pPr>
              <w:pStyle w:val="011TableHeading8pt"/>
            </w:pPr>
            <w:r w:rsidRPr="00795A1F">
              <w:t xml:space="preserve">Trial </w:t>
            </w:r>
            <w:r w:rsidR="00F23BB4">
              <w:t>no.</w:t>
            </w:r>
          </w:p>
        </w:tc>
        <w:tc>
          <w:tcPr>
            <w:tcW w:w="882" w:type="pct"/>
            <w:tcBorders>
              <w:bottom w:val="single" w:sz="4" w:space="0" w:color="auto"/>
            </w:tcBorders>
          </w:tcPr>
          <w:p w14:paraId="1A9D63E1" w14:textId="77777777" w:rsidR="002252DB" w:rsidRPr="00795A1F" w:rsidRDefault="002252DB" w:rsidP="00B758E1">
            <w:pPr>
              <w:pStyle w:val="011TableHeading8pt"/>
            </w:pPr>
            <w:r w:rsidRPr="00795A1F">
              <w:t>O'Connell 2021</w:t>
            </w:r>
          </w:p>
        </w:tc>
        <w:tc>
          <w:tcPr>
            <w:tcW w:w="882" w:type="pct"/>
            <w:tcBorders>
              <w:bottom w:val="single" w:sz="4" w:space="0" w:color="auto"/>
            </w:tcBorders>
          </w:tcPr>
          <w:p w14:paraId="230D71A7" w14:textId="77777777" w:rsidR="002252DB" w:rsidRPr="00795A1F" w:rsidRDefault="002252DB" w:rsidP="00B758E1">
            <w:pPr>
              <w:pStyle w:val="011TableHeading8pt"/>
            </w:pPr>
            <w:r w:rsidRPr="00795A1F">
              <w:t>Traeger 2023</w:t>
            </w:r>
          </w:p>
        </w:tc>
        <w:tc>
          <w:tcPr>
            <w:tcW w:w="882" w:type="pct"/>
            <w:tcBorders>
              <w:bottom w:val="single" w:sz="4" w:space="0" w:color="auto"/>
            </w:tcBorders>
          </w:tcPr>
          <w:p w14:paraId="55CDCF03" w14:textId="77777777" w:rsidR="002252DB" w:rsidRPr="00795A1F" w:rsidRDefault="002252DB" w:rsidP="00B758E1">
            <w:pPr>
              <w:pStyle w:val="011TableHeading8pt"/>
            </w:pPr>
            <w:r>
              <w:t>Number of study publications</w:t>
            </w:r>
          </w:p>
        </w:tc>
      </w:tr>
      <w:tr w:rsidR="002252DB" w:rsidRPr="00795A1F" w14:paraId="2EED177B" w14:textId="77777777" w:rsidTr="00B758E1">
        <w:tc>
          <w:tcPr>
            <w:tcW w:w="1399" w:type="pct"/>
            <w:tcBorders>
              <w:top w:val="single" w:sz="4" w:space="0" w:color="auto"/>
              <w:bottom w:val="single" w:sz="4" w:space="0" w:color="auto"/>
            </w:tcBorders>
            <w:vAlign w:val="center"/>
          </w:tcPr>
          <w:p w14:paraId="28E8A872" w14:textId="77777777" w:rsidR="002252DB" w:rsidRPr="008676A9" w:rsidRDefault="002252DB" w:rsidP="00B758E1">
            <w:pPr>
              <w:pStyle w:val="051Tabletext228pt"/>
            </w:pPr>
            <w:r w:rsidRPr="008676A9">
              <w:t>De Ridder 2013</w:t>
            </w:r>
          </w:p>
        </w:tc>
        <w:tc>
          <w:tcPr>
            <w:tcW w:w="955" w:type="pct"/>
            <w:tcBorders>
              <w:top w:val="single" w:sz="4" w:space="0" w:color="auto"/>
              <w:bottom w:val="single" w:sz="4" w:space="0" w:color="auto"/>
            </w:tcBorders>
            <w:vAlign w:val="center"/>
          </w:tcPr>
          <w:p w14:paraId="0092EC9E"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1F8C1CA7" w14:textId="77777777" w:rsidR="002252DB" w:rsidRPr="00795A1F" w:rsidRDefault="002252DB" w:rsidP="00B758E1">
            <w:pPr>
              <w:pStyle w:val="051Tabletext228pt"/>
            </w:pPr>
            <w:r w:rsidRPr="00403136">
              <w:rPr>
                <w:rFonts w:ascii="Wingdings" w:eastAsia="Wingdings" w:hAnsi="Wingdings" w:cs="Wingdings"/>
              </w:rPr>
              <w:t>ü</w:t>
            </w:r>
          </w:p>
        </w:tc>
        <w:tc>
          <w:tcPr>
            <w:tcW w:w="882" w:type="pct"/>
            <w:tcBorders>
              <w:top w:val="single" w:sz="4" w:space="0" w:color="auto"/>
              <w:bottom w:val="single" w:sz="4" w:space="0" w:color="auto"/>
            </w:tcBorders>
            <w:vAlign w:val="center"/>
          </w:tcPr>
          <w:p w14:paraId="5D33EF6F" w14:textId="77777777" w:rsidR="002252DB" w:rsidRPr="00795A1F" w:rsidRDefault="002252DB" w:rsidP="00B758E1">
            <w:pPr>
              <w:pStyle w:val="051Tabletext228pt"/>
            </w:pPr>
            <w:r w:rsidRPr="004F4B13">
              <w:rPr>
                <w:rFonts w:ascii="Wingdings" w:eastAsia="Wingdings" w:hAnsi="Wingdings" w:cs="Wingdings"/>
              </w:rPr>
              <w:t>ü</w:t>
            </w:r>
          </w:p>
        </w:tc>
        <w:tc>
          <w:tcPr>
            <w:tcW w:w="882" w:type="pct"/>
            <w:tcBorders>
              <w:top w:val="single" w:sz="4" w:space="0" w:color="auto"/>
              <w:bottom w:val="single" w:sz="4" w:space="0" w:color="auto"/>
            </w:tcBorders>
            <w:vAlign w:val="center"/>
          </w:tcPr>
          <w:p w14:paraId="2C756694" w14:textId="77777777" w:rsidR="002252DB" w:rsidRPr="004F4B13" w:rsidRDefault="002252DB" w:rsidP="00B758E1">
            <w:pPr>
              <w:pStyle w:val="051Tabletext228pt"/>
            </w:pPr>
            <w:r>
              <w:t>2</w:t>
            </w:r>
          </w:p>
        </w:tc>
      </w:tr>
      <w:tr w:rsidR="002252DB" w:rsidRPr="00795A1F" w14:paraId="2515D83F" w14:textId="77777777" w:rsidTr="00B758E1">
        <w:tc>
          <w:tcPr>
            <w:tcW w:w="1399" w:type="pct"/>
            <w:tcBorders>
              <w:top w:val="single" w:sz="4" w:space="0" w:color="auto"/>
              <w:bottom w:val="single" w:sz="4" w:space="0" w:color="auto"/>
            </w:tcBorders>
            <w:vAlign w:val="center"/>
          </w:tcPr>
          <w:p w14:paraId="58AA89BF" w14:textId="77777777" w:rsidR="002252DB" w:rsidRPr="008676A9" w:rsidRDefault="002252DB" w:rsidP="00B758E1">
            <w:pPr>
              <w:pStyle w:val="051Tabletext228pt"/>
            </w:pPr>
            <w:r w:rsidRPr="008676A9">
              <w:t>de Vos 2014</w:t>
            </w:r>
          </w:p>
        </w:tc>
        <w:tc>
          <w:tcPr>
            <w:tcW w:w="955" w:type="pct"/>
            <w:tcBorders>
              <w:top w:val="single" w:sz="4" w:space="0" w:color="auto"/>
              <w:bottom w:val="single" w:sz="4" w:space="0" w:color="auto"/>
            </w:tcBorders>
            <w:vAlign w:val="center"/>
          </w:tcPr>
          <w:p w14:paraId="217349D8" w14:textId="77777777" w:rsidR="002252DB" w:rsidRPr="00795A1F" w:rsidRDefault="002252DB" w:rsidP="00B758E1">
            <w:pPr>
              <w:pStyle w:val="051Tabletext228pt"/>
            </w:pPr>
            <w:r w:rsidRPr="00795A1F">
              <w:t>ISRCTN03269533</w:t>
            </w:r>
          </w:p>
        </w:tc>
        <w:tc>
          <w:tcPr>
            <w:tcW w:w="882" w:type="pct"/>
            <w:tcBorders>
              <w:top w:val="single" w:sz="4" w:space="0" w:color="auto"/>
              <w:bottom w:val="single" w:sz="4" w:space="0" w:color="auto"/>
            </w:tcBorders>
            <w:vAlign w:val="center"/>
          </w:tcPr>
          <w:p w14:paraId="5EE494B2" w14:textId="77777777" w:rsidR="002252DB" w:rsidRPr="00795A1F" w:rsidRDefault="002252DB" w:rsidP="00B758E1">
            <w:pPr>
              <w:pStyle w:val="051Tabletext228pt"/>
            </w:pPr>
            <w:r w:rsidRPr="00403136">
              <w:rPr>
                <w:rFonts w:ascii="Wingdings" w:eastAsia="Wingdings" w:hAnsi="Wingdings" w:cs="Wingdings"/>
              </w:rPr>
              <w:t>ü</w:t>
            </w:r>
          </w:p>
        </w:tc>
        <w:tc>
          <w:tcPr>
            <w:tcW w:w="882" w:type="pct"/>
            <w:tcBorders>
              <w:top w:val="single" w:sz="4" w:space="0" w:color="auto"/>
              <w:bottom w:val="single" w:sz="4" w:space="0" w:color="auto"/>
            </w:tcBorders>
            <w:vAlign w:val="center"/>
          </w:tcPr>
          <w:p w14:paraId="02295778"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070D522A" w14:textId="77777777" w:rsidR="002252DB" w:rsidRPr="00795A1F" w:rsidRDefault="002252DB" w:rsidP="00B758E1">
            <w:pPr>
              <w:pStyle w:val="051Tabletext228pt"/>
            </w:pPr>
            <w:r>
              <w:t>4</w:t>
            </w:r>
          </w:p>
        </w:tc>
      </w:tr>
      <w:tr w:rsidR="002252DB" w:rsidRPr="00795A1F" w14:paraId="6643294F" w14:textId="77777777" w:rsidTr="00B758E1">
        <w:tc>
          <w:tcPr>
            <w:tcW w:w="1399" w:type="pct"/>
            <w:tcBorders>
              <w:top w:val="single" w:sz="4" w:space="0" w:color="auto"/>
              <w:bottom w:val="single" w:sz="4" w:space="0" w:color="auto"/>
            </w:tcBorders>
            <w:vAlign w:val="center"/>
          </w:tcPr>
          <w:p w14:paraId="5215C231" w14:textId="77777777" w:rsidR="002252DB" w:rsidRPr="008676A9" w:rsidRDefault="002252DB" w:rsidP="00B758E1">
            <w:pPr>
              <w:pStyle w:val="051Tabletext228pt"/>
            </w:pPr>
            <w:r w:rsidRPr="008676A9">
              <w:t>Eisenberg 2015</w:t>
            </w:r>
          </w:p>
        </w:tc>
        <w:tc>
          <w:tcPr>
            <w:tcW w:w="955" w:type="pct"/>
            <w:tcBorders>
              <w:top w:val="single" w:sz="4" w:space="0" w:color="auto"/>
              <w:bottom w:val="single" w:sz="4" w:space="0" w:color="auto"/>
            </w:tcBorders>
            <w:vAlign w:val="center"/>
          </w:tcPr>
          <w:p w14:paraId="27C7B02D"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32BE6C64"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4E50FB17"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13BD7521" w14:textId="77777777" w:rsidR="002252DB" w:rsidRDefault="002252DB" w:rsidP="00B758E1">
            <w:pPr>
              <w:pStyle w:val="051Tabletext228pt"/>
            </w:pPr>
            <w:r>
              <w:t>1</w:t>
            </w:r>
          </w:p>
        </w:tc>
      </w:tr>
      <w:tr w:rsidR="002252DB" w:rsidRPr="00795A1F" w14:paraId="4C89FFBC" w14:textId="77777777" w:rsidTr="00B758E1">
        <w:tc>
          <w:tcPr>
            <w:tcW w:w="1399" w:type="pct"/>
            <w:tcBorders>
              <w:top w:val="single" w:sz="4" w:space="0" w:color="auto"/>
              <w:bottom w:val="single" w:sz="4" w:space="0" w:color="auto"/>
            </w:tcBorders>
            <w:vAlign w:val="center"/>
          </w:tcPr>
          <w:p w14:paraId="3994AFFD" w14:textId="77777777" w:rsidR="002252DB" w:rsidRPr="008676A9" w:rsidRDefault="002252DB" w:rsidP="00B758E1">
            <w:pPr>
              <w:pStyle w:val="051Tabletext228pt"/>
            </w:pPr>
            <w:proofErr w:type="spellStart"/>
            <w:r w:rsidRPr="008676A9">
              <w:t>Eldabe</w:t>
            </w:r>
            <w:proofErr w:type="spellEnd"/>
            <w:r w:rsidRPr="008676A9">
              <w:t xml:space="preserve"> 2021</w:t>
            </w:r>
          </w:p>
        </w:tc>
        <w:tc>
          <w:tcPr>
            <w:tcW w:w="955" w:type="pct"/>
            <w:tcBorders>
              <w:top w:val="single" w:sz="4" w:space="0" w:color="auto"/>
              <w:bottom w:val="single" w:sz="4" w:space="0" w:color="auto"/>
            </w:tcBorders>
            <w:vAlign w:val="center"/>
          </w:tcPr>
          <w:p w14:paraId="18305328"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10F2DBA2"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4FE08EDF"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74D5E39D" w14:textId="77777777" w:rsidR="002252DB" w:rsidRPr="00795A1F" w:rsidRDefault="002252DB" w:rsidP="00B758E1">
            <w:pPr>
              <w:pStyle w:val="051Tabletext228pt"/>
            </w:pPr>
            <w:r>
              <w:t>2</w:t>
            </w:r>
          </w:p>
        </w:tc>
      </w:tr>
      <w:tr w:rsidR="002252DB" w:rsidRPr="00795A1F" w14:paraId="5B94B232" w14:textId="77777777" w:rsidTr="00B758E1">
        <w:tc>
          <w:tcPr>
            <w:tcW w:w="1399" w:type="pct"/>
            <w:tcBorders>
              <w:top w:val="single" w:sz="4" w:space="0" w:color="auto"/>
              <w:bottom w:val="single" w:sz="4" w:space="0" w:color="auto"/>
            </w:tcBorders>
            <w:vAlign w:val="center"/>
          </w:tcPr>
          <w:p w14:paraId="6524B952" w14:textId="77777777" w:rsidR="002252DB" w:rsidRPr="008676A9" w:rsidRDefault="002252DB" w:rsidP="00B758E1">
            <w:pPr>
              <w:pStyle w:val="051Tabletext228pt"/>
            </w:pPr>
            <w:r w:rsidRPr="008676A9">
              <w:t>Hara 2022</w:t>
            </w:r>
          </w:p>
        </w:tc>
        <w:tc>
          <w:tcPr>
            <w:tcW w:w="955" w:type="pct"/>
            <w:tcBorders>
              <w:top w:val="single" w:sz="4" w:space="0" w:color="auto"/>
              <w:bottom w:val="single" w:sz="4" w:space="0" w:color="auto"/>
            </w:tcBorders>
            <w:vAlign w:val="center"/>
          </w:tcPr>
          <w:p w14:paraId="4CE65974" w14:textId="77777777" w:rsidR="002252DB" w:rsidRPr="00795A1F" w:rsidRDefault="002252DB" w:rsidP="00B758E1">
            <w:pPr>
              <w:pStyle w:val="051Tabletext228pt"/>
            </w:pPr>
            <w:r w:rsidRPr="00795A1F">
              <w:t>NCT03546738</w:t>
            </w:r>
          </w:p>
        </w:tc>
        <w:tc>
          <w:tcPr>
            <w:tcW w:w="882" w:type="pct"/>
            <w:tcBorders>
              <w:top w:val="single" w:sz="4" w:space="0" w:color="auto"/>
              <w:bottom w:val="single" w:sz="4" w:space="0" w:color="auto"/>
            </w:tcBorders>
            <w:vAlign w:val="center"/>
          </w:tcPr>
          <w:p w14:paraId="3C0288BD"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48448D15" w14:textId="77777777" w:rsidR="002252DB" w:rsidRPr="00795A1F" w:rsidRDefault="002252DB" w:rsidP="00B758E1">
            <w:pPr>
              <w:pStyle w:val="051Tabletext228pt"/>
            </w:pPr>
            <w:r w:rsidRPr="00E2221D">
              <w:rPr>
                <w:rFonts w:ascii="Wingdings" w:eastAsia="Wingdings" w:hAnsi="Wingdings" w:cs="Wingdings"/>
              </w:rPr>
              <w:t>ü</w:t>
            </w:r>
          </w:p>
        </w:tc>
        <w:tc>
          <w:tcPr>
            <w:tcW w:w="882" w:type="pct"/>
            <w:tcBorders>
              <w:top w:val="single" w:sz="4" w:space="0" w:color="auto"/>
              <w:bottom w:val="single" w:sz="4" w:space="0" w:color="auto"/>
            </w:tcBorders>
            <w:vAlign w:val="center"/>
          </w:tcPr>
          <w:p w14:paraId="08E530FB" w14:textId="77777777" w:rsidR="002252DB" w:rsidRPr="00E2221D" w:rsidRDefault="002252DB" w:rsidP="00B758E1">
            <w:pPr>
              <w:pStyle w:val="051Tabletext228pt"/>
            </w:pPr>
            <w:r>
              <w:t>1</w:t>
            </w:r>
          </w:p>
        </w:tc>
      </w:tr>
      <w:tr w:rsidR="002252DB" w:rsidRPr="00795A1F" w14:paraId="6151B4D4" w14:textId="77777777" w:rsidTr="00B758E1">
        <w:tc>
          <w:tcPr>
            <w:tcW w:w="1399" w:type="pct"/>
            <w:tcBorders>
              <w:top w:val="single" w:sz="4" w:space="0" w:color="auto"/>
              <w:bottom w:val="single" w:sz="4" w:space="0" w:color="auto"/>
            </w:tcBorders>
            <w:vAlign w:val="center"/>
          </w:tcPr>
          <w:p w14:paraId="72851E06" w14:textId="77777777" w:rsidR="002252DB" w:rsidRPr="00EA2CB2" w:rsidRDefault="002252DB" w:rsidP="00B758E1">
            <w:pPr>
              <w:pStyle w:val="051Tabletext228pt"/>
              <w:rPr>
                <w:b/>
                <w:bCs/>
              </w:rPr>
            </w:pPr>
            <w:r w:rsidRPr="003537AE">
              <w:rPr>
                <w:b/>
                <w:bCs/>
              </w:rPr>
              <w:t>NSRBP-RCT</w:t>
            </w:r>
            <w:r>
              <w:rPr>
                <w:b/>
                <w:bCs/>
              </w:rPr>
              <w:t xml:space="preserve"> </w:t>
            </w:r>
            <w:r>
              <w:rPr>
                <w:b/>
                <w:bCs/>
              </w:rPr>
              <w:br/>
            </w:r>
            <w:r w:rsidRPr="003537AE">
              <w:t>(</w:t>
            </w:r>
            <w:proofErr w:type="spellStart"/>
            <w:r w:rsidRPr="008676A9">
              <w:t>Kapural</w:t>
            </w:r>
            <w:proofErr w:type="spellEnd"/>
            <w:r w:rsidRPr="008676A9">
              <w:t xml:space="preserve"> 2022</w:t>
            </w:r>
            <w:r w:rsidRPr="003537AE">
              <w:t>)</w:t>
            </w:r>
          </w:p>
        </w:tc>
        <w:tc>
          <w:tcPr>
            <w:tcW w:w="955" w:type="pct"/>
            <w:tcBorders>
              <w:top w:val="single" w:sz="4" w:space="0" w:color="auto"/>
              <w:bottom w:val="single" w:sz="4" w:space="0" w:color="auto"/>
            </w:tcBorders>
            <w:vAlign w:val="center"/>
          </w:tcPr>
          <w:p w14:paraId="77DDC1AA" w14:textId="77777777" w:rsidR="002252DB" w:rsidRPr="00795A1F" w:rsidRDefault="002252DB" w:rsidP="00B758E1">
            <w:pPr>
              <w:pStyle w:val="051Tabletext228pt"/>
            </w:pPr>
            <w:r w:rsidRPr="00795A1F">
              <w:t>SRCTN87648175</w:t>
            </w:r>
            <w:r>
              <w:t xml:space="preserve"> &amp; </w:t>
            </w:r>
            <w:r w:rsidRPr="00C84B2E">
              <w:t>NCT03680846</w:t>
            </w:r>
          </w:p>
        </w:tc>
        <w:tc>
          <w:tcPr>
            <w:tcW w:w="882" w:type="pct"/>
            <w:tcBorders>
              <w:top w:val="single" w:sz="4" w:space="0" w:color="auto"/>
              <w:bottom w:val="single" w:sz="4" w:space="0" w:color="auto"/>
            </w:tcBorders>
            <w:vAlign w:val="center"/>
          </w:tcPr>
          <w:p w14:paraId="115B8FC5"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00A73989" w14:textId="77777777" w:rsidR="002252DB" w:rsidRPr="00795A1F" w:rsidRDefault="002252DB" w:rsidP="00B758E1">
            <w:pPr>
              <w:pStyle w:val="051Tabletext228pt"/>
            </w:pPr>
            <w:r w:rsidRPr="00E2221D">
              <w:rPr>
                <w:rFonts w:ascii="Wingdings" w:eastAsia="Wingdings" w:hAnsi="Wingdings" w:cs="Wingdings"/>
              </w:rPr>
              <w:t>ü</w:t>
            </w:r>
          </w:p>
        </w:tc>
        <w:tc>
          <w:tcPr>
            <w:tcW w:w="882" w:type="pct"/>
            <w:tcBorders>
              <w:top w:val="single" w:sz="4" w:space="0" w:color="auto"/>
              <w:bottom w:val="single" w:sz="4" w:space="0" w:color="auto"/>
            </w:tcBorders>
            <w:vAlign w:val="center"/>
          </w:tcPr>
          <w:p w14:paraId="2A56DC64" w14:textId="77777777" w:rsidR="002252DB" w:rsidRPr="00E2221D" w:rsidRDefault="002252DB" w:rsidP="00B758E1">
            <w:pPr>
              <w:pStyle w:val="051Tabletext228pt"/>
            </w:pPr>
            <w:r>
              <w:t>3</w:t>
            </w:r>
          </w:p>
        </w:tc>
      </w:tr>
      <w:tr w:rsidR="002252DB" w:rsidRPr="00795A1F" w14:paraId="107C0569" w14:textId="77777777" w:rsidTr="00B758E1">
        <w:tc>
          <w:tcPr>
            <w:tcW w:w="1399" w:type="pct"/>
            <w:tcBorders>
              <w:top w:val="single" w:sz="4" w:space="0" w:color="auto"/>
              <w:bottom w:val="single" w:sz="4" w:space="0" w:color="auto"/>
            </w:tcBorders>
            <w:vAlign w:val="center"/>
          </w:tcPr>
          <w:p w14:paraId="16931FD1" w14:textId="77777777" w:rsidR="002252DB" w:rsidRPr="008676A9" w:rsidRDefault="002252DB" w:rsidP="00B758E1">
            <w:pPr>
              <w:pStyle w:val="051Tabletext228pt"/>
            </w:pPr>
            <w:proofErr w:type="spellStart"/>
            <w:r w:rsidRPr="008676A9">
              <w:t>Kemler</w:t>
            </w:r>
            <w:proofErr w:type="spellEnd"/>
            <w:r w:rsidRPr="008676A9">
              <w:t xml:space="preserve"> 2000</w:t>
            </w:r>
          </w:p>
        </w:tc>
        <w:tc>
          <w:tcPr>
            <w:tcW w:w="955" w:type="pct"/>
            <w:tcBorders>
              <w:top w:val="single" w:sz="4" w:space="0" w:color="auto"/>
              <w:bottom w:val="single" w:sz="4" w:space="0" w:color="auto"/>
            </w:tcBorders>
            <w:vAlign w:val="center"/>
          </w:tcPr>
          <w:p w14:paraId="25385B36"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7E0FE8A0"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435C434D"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458EC082" w14:textId="77777777" w:rsidR="002252DB" w:rsidRPr="00795A1F" w:rsidRDefault="002252DB" w:rsidP="00B758E1">
            <w:pPr>
              <w:pStyle w:val="051Tabletext228pt"/>
            </w:pPr>
            <w:r>
              <w:t>4</w:t>
            </w:r>
          </w:p>
        </w:tc>
      </w:tr>
      <w:tr w:rsidR="002252DB" w:rsidRPr="00795A1F" w14:paraId="03084FE6" w14:textId="77777777" w:rsidTr="00B758E1">
        <w:tc>
          <w:tcPr>
            <w:tcW w:w="1399" w:type="pct"/>
            <w:tcBorders>
              <w:top w:val="single" w:sz="4" w:space="0" w:color="auto"/>
              <w:bottom w:val="single" w:sz="4" w:space="0" w:color="auto"/>
            </w:tcBorders>
            <w:vAlign w:val="center"/>
          </w:tcPr>
          <w:p w14:paraId="00E839E2" w14:textId="681178B6" w:rsidR="002252DB" w:rsidRPr="008676A9" w:rsidRDefault="002252DB" w:rsidP="00B758E1">
            <w:pPr>
              <w:pStyle w:val="051Tabletext228pt"/>
            </w:pPr>
            <w:proofErr w:type="spellStart"/>
            <w:r w:rsidRPr="008676A9">
              <w:t>Kriek</w:t>
            </w:r>
            <w:proofErr w:type="spellEnd"/>
            <w:r w:rsidRPr="008676A9">
              <w:t xml:space="preserve"> 2017</w:t>
            </w:r>
            <w:r w:rsidR="00D13A1E" w:rsidRPr="0048127F">
              <w:rPr>
                <w:rFonts w:cs="Calibri"/>
                <w:vertAlign w:val="superscript"/>
              </w:rPr>
              <w:t>a</w:t>
            </w:r>
          </w:p>
        </w:tc>
        <w:tc>
          <w:tcPr>
            <w:tcW w:w="955" w:type="pct"/>
            <w:tcBorders>
              <w:top w:val="single" w:sz="4" w:space="0" w:color="auto"/>
              <w:bottom w:val="single" w:sz="4" w:space="0" w:color="auto"/>
            </w:tcBorders>
            <w:vAlign w:val="center"/>
          </w:tcPr>
          <w:p w14:paraId="68013112" w14:textId="77777777" w:rsidR="002252DB" w:rsidRPr="00795A1F" w:rsidRDefault="002252DB" w:rsidP="00B758E1">
            <w:pPr>
              <w:pStyle w:val="051Tabletext228pt"/>
            </w:pPr>
            <w:r w:rsidRPr="00795A1F">
              <w:t>ISRCTN36655259</w:t>
            </w:r>
          </w:p>
        </w:tc>
        <w:tc>
          <w:tcPr>
            <w:tcW w:w="882" w:type="pct"/>
            <w:tcBorders>
              <w:top w:val="single" w:sz="4" w:space="0" w:color="auto"/>
              <w:bottom w:val="single" w:sz="4" w:space="0" w:color="auto"/>
            </w:tcBorders>
            <w:vAlign w:val="center"/>
          </w:tcPr>
          <w:p w14:paraId="10C4728F"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5B6B8FEB"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487D1E82" w14:textId="77777777" w:rsidR="002252DB" w:rsidRPr="00795A1F" w:rsidRDefault="002252DB" w:rsidP="00B758E1">
            <w:pPr>
              <w:pStyle w:val="051Tabletext228pt"/>
            </w:pPr>
            <w:r>
              <w:t>3</w:t>
            </w:r>
          </w:p>
        </w:tc>
      </w:tr>
      <w:tr w:rsidR="002252DB" w:rsidRPr="00795A1F" w14:paraId="6EC6DFFB" w14:textId="77777777" w:rsidTr="00B758E1">
        <w:tc>
          <w:tcPr>
            <w:tcW w:w="1399" w:type="pct"/>
            <w:tcBorders>
              <w:top w:val="single" w:sz="4" w:space="0" w:color="auto"/>
              <w:bottom w:val="single" w:sz="4" w:space="0" w:color="auto"/>
            </w:tcBorders>
            <w:vAlign w:val="center"/>
          </w:tcPr>
          <w:p w14:paraId="70EDE8E4" w14:textId="77777777" w:rsidR="002252DB" w:rsidRPr="008676A9" w:rsidRDefault="002252DB" w:rsidP="00B758E1">
            <w:pPr>
              <w:pStyle w:val="051Tabletext228pt"/>
            </w:pPr>
            <w:r w:rsidRPr="008676A9">
              <w:t>Lind 2015</w:t>
            </w:r>
          </w:p>
        </w:tc>
        <w:tc>
          <w:tcPr>
            <w:tcW w:w="955" w:type="pct"/>
            <w:tcBorders>
              <w:top w:val="single" w:sz="4" w:space="0" w:color="auto"/>
              <w:bottom w:val="single" w:sz="4" w:space="0" w:color="auto"/>
            </w:tcBorders>
            <w:vAlign w:val="center"/>
          </w:tcPr>
          <w:p w14:paraId="720C77D3"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635DDA4D"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228CB788"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0B69A40B" w14:textId="77777777" w:rsidR="002252DB" w:rsidRPr="00795A1F" w:rsidRDefault="002252DB" w:rsidP="00B758E1">
            <w:pPr>
              <w:pStyle w:val="051Tabletext228pt"/>
            </w:pPr>
            <w:r>
              <w:t>2</w:t>
            </w:r>
          </w:p>
        </w:tc>
      </w:tr>
      <w:tr w:rsidR="002252DB" w:rsidRPr="00795A1F" w14:paraId="6CBCFBDE" w14:textId="77777777" w:rsidTr="00B758E1">
        <w:tc>
          <w:tcPr>
            <w:tcW w:w="1399" w:type="pct"/>
            <w:tcBorders>
              <w:top w:val="single" w:sz="4" w:space="0" w:color="auto"/>
              <w:bottom w:val="single" w:sz="4" w:space="0" w:color="auto"/>
            </w:tcBorders>
            <w:vAlign w:val="center"/>
          </w:tcPr>
          <w:p w14:paraId="5E8BA3E8" w14:textId="77777777" w:rsidR="002252DB" w:rsidRPr="008676A9" w:rsidRDefault="002252DB" w:rsidP="00B758E1">
            <w:pPr>
              <w:pStyle w:val="051Tabletext228pt"/>
            </w:pPr>
            <w:proofErr w:type="spellStart"/>
            <w:r w:rsidRPr="008676A9">
              <w:t>Perruchoud</w:t>
            </w:r>
            <w:proofErr w:type="spellEnd"/>
            <w:r w:rsidRPr="008676A9">
              <w:t xml:space="preserve"> 2013</w:t>
            </w:r>
          </w:p>
        </w:tc>
        <w:tc>
          <w:tcPr>
            <w:tcW w:w="955" w:type="pct"/>
            <w:tcBorders>
              <w:top w:val="single" w:sz="4" w:space="0" w:color="auto"/>
              <w:bottom w:val="single" w:sz="4" w:space="0" w:color="auto"/>
            </w:tcBorders>
            <w:vAlign w:val="center"/>
          </w:tcPr>
          <w:p w14:paraId="2E1BE1B6"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7EAEC234"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115D42D9"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41DA3F58" w14:textId="77777777" w:rsidR="002252DB" w:rsidRPr="00795A1F" w:rsidRDefault="002252DB" w:rsidP="00B758E1">
            <w:pPr>
              <w:pStyle w:val="051Tabletext228pt"/>
            </w:pPr>
            <w:r>
              <w:t>1</w:t>
            </w:r>
          </w:p>
        </w:tc>
      </w:tr>
      <w:tr w:rsidR="002252DB" w:rsidRPr="00795A1F" w14:paraId="4CB1E2CE" w14:textId="77777777" w:rsidTr="00B758E1">
        <w:tc>
          <w:tcPr>
            <w:tcW w:w="1399" w:type="pct"/>
            <w:tcBorders>
              <w:top w:val="single" w:sz="4" w:space="0" w:color="auto"/>
              <w:bottom w:val="single" w:sz="4" w:space="0" w:color="auto"/>
            </w:tcBorders>
            <w:vAlign w:val="center"/>
          </w:tcPr>
          <w:p w14:paraId="291758E1" w14:textId="77777777" w:rsidR="002252DB" w:rsidRPr="00EA2CB2" w:rsidRDefault="002252DB" w:rsidP="00B758E1">
            <w:pPr>
              <w:pStyle w:val="051Tabletext228pt"/>
              <w:rPr>
                <w:b/>
                <w:bCs/>
              </w:rPr>
            </w:pPr>
            <w:r w:rsidRPr="00EA2CB2">
              <w:rPr>
                <w:b/>
                <w:bCs/>
              </w:rPr>
              <w:t>PROCESS</w:t>
            </w:r>
          </w:p>
        </w:tc>
        <w:tc>
          <w:tcPr>
            <w:tcW w:w="955" w:type="pct"/>
            <w:tcBorders>
              <w:top w:val="single" w:sz="4" w:space="0" w:color="auto"/>
              <w:bottom w:val="single" w:sz="4" w:space="0" w:color="auto"/>
            </w:tcBorders>
            <w:vAlign w:val="center"/>
          </w:tcPr>
          <w:p w14:paraId="7FB9727F" w14:textId="77777777" w:rsidR="002252DB" w:rsidRPr="00795A1F" w:rsidRDefault="002252DB" w:rsidP="00B758E1">
            <w:pPr>
              <w:pStyle w:val="051Tabletext228pt"/>
            </w:pPr>
            <w:r w:rsidRPr="00795A1F">
              <w:t>ISRCTN77527324</w:t>
            </w:r>
          </w:p>
        </w:tc>
        <w:tc>
          <w:tcPr>
            <w:tcW w:w="882" w:type="pct"/>
            <w:tcBorders>
              <w:top w:val="single" w:sz="4" w:space="0" w:color="auto"/>
              <w:bottom w:val="single" w:sz="4" w:space="0" w:color="auto"/>
            </w:tcBorders>
            <w:vAlign w:val="center"/>
          </w:tcPr>
          <w:p w14:paraId="086A6C46"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75C86FE6"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2579CCC8" w14:textId="77777777" w:rsidR="002252DB" w:rsidRPr="00795A1F" w:rsidRDefault="002252DB" w:rsidP="00B758E1">
            <w:pPr>
              <w:pStyle w:val="051Tabletext228pt"/>
            </w:pPr>
            <w:r>
              <w:t>11</w:t>
            </w:r>
          </w:p>
        </w:tc>
      </w:tr>
      <w:tr w:rsidR="002252DB" w:rsidRPr="00795A1F" w14:paraId="56506A8D" w14:textId="77777777" w:rsidTr="00B758E1">
        <w:tc>
          <w:tcPr>
            <w:tcW w:w="1399" w:type="pct"/>
            <w:tcBorders>
              <w:top w:val="single" w:sz="4" w:space="0" w:color="auto"/>
              <w:bottom w:val="single" w:sz="4" w:space="0" w:color="auto"/>
            </w:tcBorders>
            <w:vAlign w:val="center"/>
          </w:tcPr>
          <w:p w14:paraId="5F56E3FB" w14:textId="77777777" w:rsidR="002252DB" w:rsidRPr="00EA2CB2" w:rsidRDefault="002252DB" w:rsidP="00B758E1">
            <w:pPr>
              <w:pStyle w:val="051Tabletext228pt"/>
              <w:rPr>
                <w:b/>
                <w:bCs/>
              </w:rPr>
            </w:pPr>
            <w:r w:rsidRPr="00EA2CB2">
              <w:rPr>
                <w:b/>
                <w:bCs/>
              </w:rPr>
              <w:t>PROMISE</w:t>
            </w:r>
          </w:p>
        </w:tc>
        <w:tc>
          <w:tcPr>
            <w:tcW w:w="955" w:type="pct"/>
            <w:tcBorders>
              <w:top w:val="single" w:sz="4" w:space="0" w:color="auto"/>
              <w:bottom w:val="single" w:sz="4" w:space="0" w:color="auto"/>
            </w:tcBorders>
            <w:vAlign w:val="center"/>
          </w:tcPr>
          <w:p w14:paraId="23750AA6"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5C263C73"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41E9DFD1"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443C3F2D" w14:textId="77777777" w:rsidR="002252DB" w:rsidRPr="00795A1F" w:rsidRDefault="002252DB" w:rsidP="00B758E1">
            <w:pPr>
              <w:pStyle w:val="051Tabletext228pt"/>
            </w:pPr>
            <w:r>
              <w:t>7</w:t>
            </w:r>
          </w:p>
        </w:tc>
      </w:tr>
      <w:tr w:rsidR="002252DB" w:rsidRPr="00795A1F" w14:paraId="01B76DA6" w14:textId="77777777" w:rsidTr="00B758E1">
        <w:tc>
          <w:tcPr>
            <w:tcW w:w="1399" w:type="pct"/>
            <w:tcBorders>
              <w:top w:val="single" w:sz="4" w:space="0" w:color="auto"/>
              <w:bottom w:val="single" w:sz="4" w:space="0" w:color="auto"/>
            </w:tcBorders>
            <w:vAlign w:val="center"/>
          </w:tcPr>
          <w:p w14:paraId="66148ED1" w14:textId="77777777" w:rsidR="002252DB" w:rsidRPr="008676A9" w:rsidRDefault="002252DB" w:rsidP="00B758E1">
            <w:pPr>
              <w:pStyle w:val="051Tabletext228pt"/>
            </w:pPr>
            <w:proofErr w:type="spellStart"/>
            <w:r w:rsidRPr="008676A9">
              <w:t>Schu</w:t>
            </w:r>
            <w:proofErr w:type="spellEnd"/>
            <w:r w:rsidRPr="008676A9">
              <w:t xml:space="preserve"> 2014</w:t>
            </w:r>
          </w:p>
        </w:tc>
        <w:tc>
          <w:tcPr>
            <w:tcW w:w="955" w:type="pct"/>
            <w:tcBorders>
              <w:top w:val="single" w:sz="4" w:space="0" w:color="auto"/>
              <w:bottom w:val="single" w:sz="4" w:space="0" w:color="auto"/>
            </w:tcBorders>
            <w:vAlign w:val="center"/>
          </w:tcPr>
          <w:p w14:paraId="3DB7E1D6"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525F9686"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381E6CF8"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02473B37" w14:textId="77777777" w:rsidR="002252DB" w:rsidRPr="00795A1F" w:rsidRDefault="002252DB" w:rsidP="00B758E1">
            <w:pPr>
              <w:pStyle w:val="051Tabletext228pt"/>
            </w:pPr>
            <w:r>
              <w:t>3</w:t>
            </w:r>
          </w:p>
        </w:tc>
      </w:tr>
      <w:tr w:rsidR="002252DB" w:rsidRPr="00795A1F" w14:paraId="5C9A290B" w14:textId="77777777" w:rsidTr="00B758E1">
        <w:tc>
          <w:tcPr>
            <w:tcW w:w="1399" w:type="pct"/>
            <w:tcBorders>
              <w:top w:val="single" w:sz="4" w:space="0" w:color="auto"/>
              <w:bottom w:val="single" w:sz="4" w:space="0" w:color="auto"/>
            </w:tcBorders>
            <w:vAlign w:val="center"/>
          </w:tcPr>
          <w:p w14:paraId="74F6236A" w14:textId="77777777" w:rsidR="002252DB" w:rsidRPr="00630301" w:rsidRDefault="002252DB" w:rsidP="00B758E1">
            <w:pPr>
              <w:pStyle w:val="051Tabletext228pt"/>
            </w:pPr>
            <w:r w:rsidRPr="009A694F">
              <w:rPr>
                <w:b/>
                <w:bCs/>
              </w:rPr>
              <w:t>SCS Frequency Study</w:t>
            </w:r>
            <w:r>
              <w:rPr>
                <w:b/>
                <w:bCs/>
              </w:rPr>
              <w:br/>
            </w:r>
            <w:r w:rsidRPr="00630301">
              <w:t>(</w:t>
            </w:r>
            <w:r w:rsidRPr="008676A9">
              <w:t>Al-</w:t>
            </w:r>
            <w:proofErr w:type="spellStart"/>
            <w:r w:rsidRPr="008676A9">
              <w:t>Kaisy</w:t>
            </w:r>
            <w:proofErr w:type="spellEnd"/>
            <w:r w:rsidRPr="008676A9">
              <w:t xml:space="preserve"> 2018</w:t>
            </w:r>
            <w:r w:rsidRPr="00630301">
              <w:t>)</w:t>
            </w:r>
          </w:p>
        </w:tc>
        <w:tc>
          <w:tcPr>
            <w:tcW w:w="955" w:type="pct"/>
            <w:tcBorders>
              <w:top w:val="single" w:sz="4" w:space="0" w:color="auto"/>
              <w:bottom w:val="single" w:sz="4" w:space="0" w:color="auto"/>
            </w:tcBorders>
            <w:vAlign w:val="center"/>
          </w:tcPr>
          <w:p w14:paraId="21B98D7F" w14:textId="77777777" w:rsidR="002252DB" w:rsidRPr="00795A1F" w:rsidRDefault="002252DB" w:rsidP="00B758E1">
            <w:pPr>
              <w:pStyle w:val="051Tabletext228pt"/>
            </w:pPr>
            <w:r w:rsidRPr="00F8553D">
              <w:t>NCT01750229</w:t>
            </w:r>
          </w:p>
        </w:tc>
        <w:tc>
          <w:tcPr>
            <w:tcW w:w="882" w:type="pct"/>
            <w:tcBorders>
              <w:top w:val="single" w:sz="4" w:space="0" w:color="auto"/>
              <w:bottom w:val="single" w:sz="4" w:space="0" w:color="auto"/>
            </w:tcBorders>
            <w:vAlign w:val="center"/>
          </w:tcPr>
          <w:p w14:paraId="6675F403"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561EFDBE" w14:textId="77777777" w:rsidR="002252DB" w:rsidRPr="00795A1F" w:rsidRDefault="002252DB" w:rsidP="00B758E1">
            <w:pPr>
              <w:pStyle w:val="051Tabletext228pt"/>
            </w:pPr>
            <w:r w:rsidRPr="004F4B13">
              <w:rPr>
                <w:rFonts w:ascii="Wingdings" w:eastAsia="Wingdings" w:hAnsi="Wingdings" w:cs="Wingdings"/>
              </w:rPr>
              <w:t>ü</w:t>
            </w:r>
          </w:p>
        </w:tc>
        <w:tc>
          <w:tcPr>
            <w:tcW w:w="882" w:type="pct"/>
            <w:tcBorders>
              <w:top w:val="single" w:sz="4" w:space="0" w:color="auto"/>
              <w:bottom w:val="single" w:sz="4" w:space="0" w:color="auto"/>
            </w:tcBorders>
            <w:vAlign w:val="center"/>
          </w:tcPr>
          <w:p w14:paraId="7DF93604" w14:textId="77777777" w:rsidR="002252DB" w:rsidRPr="004F4B13" w:rsidRDefault="002252DB" w:rsidP="00B758E1">
            <w:pPr>
              <w:pStyle w:val="051Tabletext228pt"/>
            </w:pPr>
            <w:r>
              <w:t>3</w:t>
            </w:r>
          </w:p>
        </w:tc>
      </w:tr>
      <w:tr w:rsidR="002252DB" w:rsidRPr="00795A1F" w14:paraId="0D949989" w14:textId="77777777" w:rsidTr="00B758E1">
        <w:tc>
          <w:tcPr>
            <w:tcW w:w="1399" w:type="pct"/>
            <w:tcBorders>
              <w:top w:val="single" w:sz="4" w:space="0" w:color="auto"/>
              <w:bottom w:val="single" w:sz="4" w:space="0" w:color="auto"/>
            </w:tcBorders>
            <w:vAlign w:val="center"/>
          </w:tcPr>
          <w:p w14:paraId="212572ED" w14:textId="77777777" w:rsidR="002252DB" w:rsidRPr="00EA2CB2" w:rsidRDefault="002252DB" w:rsidP="00B758E1">
            <w:pPr>
              <w:pStyle w:val="051Tabletext228pt"/>
              <w:rPr>
                <w:b/>
                <w:bCs/>
              </w:rPr>
            </w:pPr>
            <w:r w:rsidRPr="00EA2CB2">
              <w:rPr>
                <w:b/>
                <w:bCs/>
              </w:rPr>
              <w:t>SENZA-PDN</w:t>
            </w:r>
          </w:p>
        </w:tc>
        <w:tc>
          <w:tcPr>
            <w:tcW w:w="955" w:type="pct"/>
            <w:tcBorders>
              <w:top w:val="single" w:sz="4" w:space="0" w:color="auto"/>
              <w:bottom w:val="single" w:sz="4" w:space="0" w:color="auto"/>
            </w:tcBorders>
            <w:vAlign w:val="center"/>
          </w:tcPr>
          <w:p w14:paraId="34B69F1A"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5D027A57"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431C49E6"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2F4BE4C8" w14:textId="77777777" w:rsidR="002252DB" w:rsidRPr="00795A1F" w:rsidRDefault="002252DB" w:rsidP="00B758E1">
            <w:pPr>
              <w:pStyle w:val="051Tabletext228pt"/>
            </w:pPr>
            <w:r>
              <w:t>13</w:t>
            </w:r>
          </w:p>
        </w:tc>
      </w:tr>
      <w:tr w:rsidR="002252DB" w:rsidRPr="00795A1F" w14:paraId="3BDA09D2" w14:textId="77777777" w:rsidTr="00B758E1">
        <w:tc>
          <w:tcPr>
            <w:tcW w:w="1399" w:type="pct"/>
            <w:tcBorders>
              <w:top w:val="single" w:sz="4" w:space="0" w:color="auto"/>
              <w:bottom w:val="single" w:sz="4" w:space="0" w:color="auto"/>
            </w:tcBorders>
            <w:vAlign w:val="center"/>
          </w:tcPr>
          <w:p w14:paraId="18D2DE2F" w14:textId="77777777" w:rsidR="002252DB" w:rsidRPr="008676A9" w:rsidRDefault="002252DB" w:rsidP="00B758E1">
            <w:pPr>
              <w:pStyle w:val="051Tabletext228pt"/>
            </w:pPr>
            <w:proofErr w:type="spellStart"/>
            <w:r w:rsidRPr="008676A9">
              <w:t>Slangen</w:t>
            </w:r>
            <w:proofErr w:type="spellEnd"/>
            <w:r w:rsidRPr="008676A9">
              <w:t xml:space="preserve"> 2014</w:t>
            </w:r>
          </w:p>
        </w:tc>
        <w:tc>
          <w:tcPr>
            <w:tcW w:w="955" w:type="pct"/>
            <w:tcBorders>
              <w:top w:val="single" w:sz="4" w:space="0" w:color="auto"/>
              <w:bottom w:val="single" w:sz="4" w:space="0" w:color="auto"/>
            </w:tcBorders>
            <w:vAlign w:val="center"/>
          </w:tcPr>
          <w:p w14:paraId="6CA27A80"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30428101"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025BCAA0"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167905A3" w14:textId="77777777" w:rsidR="002252DB" w:rsidRPr="00795A1F" w:rsidRDefault="002252DB" w:rsidP="00B758E1">
            <w:pPr>
              <w:pStyle w:val="051Tabletext228pt"/>
            </w:pPr>
            <w:r>
              <w:t>2</w:t>
            </w:r>
          </w:p>
        </w:tc>
      </w:tr>
      <w:tr w:rsidR="002252DB" w:rsidRPr="00795A1F" w14:paraId="582C608B" w14:textId="77777777" w:rsidTr="00B758E1">
        <w:tc>
          <w:tcPr>
            <w:tcW w:w="1399" w:type="pct"/>
            <w:tcBorders>
              <w:top w:val="single" w:sz="4" w:space="0" w:color="auto"/>
              <w:bottom w:val="single" w:sz="4" w:space="0" w:color="auto"/>
            </w:tcBorders>
            <w:vAlign w:val="center"/>
          </w:tcPr>
          <w:p w14:paraId="36B79255" w14:textId="77777777" w:rsidR="002252DB" w:rsidRPr="008676A9" w:rsidRDefault="002252DB" w:rsidP="00B758E1">
            <w:pPr>
              <w:pStyle w:val="051Tabletext228pt"/>
            </w:pPr>
            <w:proofErr w:type="spellStart"/>
            <w:r w:rsidRPr="008676A9">
              <w:t>Sokal</w:t>
            </w:r>
            <w:proofErr w:type="spellEnd"/>
            <w:r w:rsidRPr="008676A9">
              <w:t xml:space="preserve"> 2020</w:t>
            </w:r>
          </w:p>
        </w:tc>
        <w:tc>
          <w:tcPr>
            <w:tcW w:w="955" w:type="pct"/>
            <w:tcBorders>
              <w:top w:val="single" w:sz="4" w:space="0" w:color="auto"/>
              <w:bottom w:val="single" w:sz="4" w:space="0" w:color="auto"/>
            </w:tcBorders>
            <w:vAlign w:val="center"/>
          </w:tcPr>
          <w:p w14:paraId="3B75A6F0"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2B9219C8" w14:textId="77777777" w:rsidR="002252DB" w:rsidRPr="00795A1F" w:rsidRDefault="002252DB" w:rsidP="00B758E1">
            <w:pPr>
              <w:pStyle w:val="051Tabletext228pt"/>
            </w:pPr>
            <w:r w:rsidRPr="00EA20F7">
              <w:rPr>
                <w:rFonts w:ascii="Wingdings" w:eastAsia="Wingdings" w:hAnsi="Wingdings" w:cs="Wingdings"/>
              </w:rPr>
              <w:t>ü</w:t>
            </w:r>
          </w:p>
        </w:tc>
        <w:tc>
          <w:tcPr>
            <w:tcW w:w="882" w:type="pct"/>
            <w:tcBorders>
              <w:top w:val="single" w:sz="4" w:space="0" w:color="auto"/>
              <w:bottom w:val="single" w:sz="4" w:space="0" w:color="auto"/>
            </w:tcBorders>
            <w:vAlign w:val="center"/>
          </w:tcPr>
          <w:p w14:paraId="1EF3EA45"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0E6F2007" w14:textId="77777777" w:rsidR="002252DB" w:rsidRPr="00795A1F" w:rsidRDefault="002252DB" w:rsidP="00B758E1">
            <w:pPr>
              <w:pStyle w:val="051Tabletext228pt"/>
            </w:pPr>
            <w:r>
              <w:t>2</w:t>
            </w:r>
          </w:p>
        </w:tc>
      </w:tr>
      <w:tr w:rsidR="002252DB" w:rsidRPr="00795A1F" w14:paraId="1256B9D1" w14:textId="77777777" w:rsidTr="00B758E1">
        <w:tc>
          <w:tcPr>
            <w:tcW w:w="1399" w:type="pct"/>
            <w:tcBorders>
              <w:top w:val="single" w:sz="4" w:space="0" w:color="auto"/>
              <w:bottom w:val="single" w:sz="4" w:space="0" w:color="auto"/>
            </w:tcBorders>
            <w:vAlign w:val="center"/>
          </w:tcPr>
          <w:p w14:paraId="39809095" w14:textId="77777777" w:rsidR="002252DB" w:rsidRPr="008676A9" w:rsidRDefault="002252DB" w:rsidP="00B758E1">
            <w:pPr>
              <w:pStyle w:val="051Tabletext228pt"/>
            </w:pPr>
            <w:r w:rsidRPr="008676A9">
              <w:t>Sweet 2016</w:t>
            </w:r>
          </w:p>
        </w:tc>
        <w:tc>
          <w:tcPr>
            <w:tcW w:w="955" w:type="pct"/>
            <w:tcBorders>
              <w:top w:val="single" w:sz="4" w:space="0" w:color="auto"/>
              <w:bottom w:val="single" w:sz="4" w:space="0" w:color="auto"/>
            </w:tcBorders>
            <w:vAlign w:val="center"/>
          </w:tcPr>
          <w:p w14:paraId="1437870A" w14:textId="77777777" w:rsidR="002252DB" w:rsidRPr="00795A1F" w:rsidRDefault="002252DB" w:rsidP="00B758E1">
            <w:pPr>
              <w:pStyle w:val="051Tabletext228pt"/>
            </w:pPr>
            <w:r w:rsidRPr="00795A1F">
              <w:t>NCT05283863</w:t>
            </w:r>
          </w:p>
        </w:tc>
        <w:tc>
          <w:tcPr>
            <w:tcW w:w="882" w:type="pct"/>
            <w:tcBorders>
              <w:top w:val="single" w:sz="4" w:space="0" w:color="auto"/>
              <w:bottom w:val="single" w:sz="4" w:space="0" w:color="auto"/>
            </w:tcBorders>
            <w:vAlign w:val="center"/>
          </w:tcPr>
          <w:p w14:paraId="3144351E"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20B6995D"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182659FB" w14:textId="77777777" w:rsidR="002252DB" w:rsidRDefault="002252DB" w:rsidP="00B758E1">
            <w:pPr>
              <w:pStyle w:val="051Tabletext228pt"/>
            </w:pPr>
            <w:r>
              <w:t>1</w:t>
            </w:r>
          </w:p>
        </w:tc>
      </w:tr>
      <w:tr w:rsidR="002252DB" w:rsidRPr="00795A1F" w14:paraId="5CC3D930" w14:textId="77777777" w:rsidTr="00B758E1">
        <w:tc>
          <w:tcPr>
            <w:tcW w:w="1399" w:type="pct"/>
            <w:tcBorders>
              <w:top w:val="single" w:sz="4" w:space="0" w:color="auto"/>
              <w:bottom w:val="single" w:sz="4" w:space="0" w:color="auto"/>
            </w:tcBorders>
            <w:vAlign w:val="center"/>
          </w:tcPr>
          <w:p w14:paraId="24235348" w14:textId="77777777" w:rsidR="002252DB" w:rsidRPr="008676A9" w:rsidRDefault="002252DB" w:rsidP="00B758E1">
            <w:pPr>
              <w:pStyle w:val="051Tabletext228pt"/>
            </w:pPr>
            <w:proofErr w:type="spellStart"/>
            <w:r w:rsidRPr="008676A9">
              <w:t>Tjepkema-Cloostermans</w:t>
            </w:r>
            <w:proofErr w:type="spellEnd"/>
            <w:r w:rsidRPr="008676A9">
              <w:t xml:space="preserve"> 2016</w:t>
            </w:r>
          </w:p>
        </w:tc>
        <w:tc>
          <w:tcPr>
            <w:tcW w:w="955" w:type="pct"/>
            <w:tcBorders>
              <w:top w:val="single" w:sz="4" w:space="0" w:color="auto"/>
              <w:bottom w:val="single" w:sz="4" w:space="0" w:color="auto"/>
            </w:tcBorders>
            <w:vAlign w:val="center"/>
          </w:tcPr>
          <w:p w14:paraId="7A3EA827"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50C5C672" w14:textId="77777777" w:rsidR="002252DB" w:rsidRPr="00795A1F"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4E5ADB01"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0E909C2B" w14:textId="77777777" w:rsidR="002252DB" w:rsidRPr="00795A1F" w:rsidRDefault="002252DB" w:rsidP="00B758E1">
            <w:pPr>
              <w:pStyle w:val="051Tabletext228pt"/>
            </w:pPr>
            <w:r>
              <w:t>1</w:t>
            </w:r>
          </w:p>
        </w:tc>
      </w:tr>
      <w:tr w:rsidR="002252DB" w:rsidRPr="00795A1F" w14:paraId="4F94D484" w14:textId="77777777" w:rsidTr="00B758E1">
        <w:tc>
          <w:tcPr>
            <w:tcW w:w="1399" w:type="pct"/>
            <w:tcBorders>
              <w:top w:val="single" w:sz="4" w:space="0" w:color="auto"/>
              <w:bottom w:val="single" w:sz="4" w:space="0" w:color="auto"/>
            </w:tcBorders>
            <w:vAlign w:val="center"/>
          </w:tcPr>
          <w:p w14:paraId="606FEFC9" w14:textId="63C0CCE6" w:rsidR="002252DB" w:rsidRPr="0048127F" w:rsidRDefault="002252DB" w:rsidP="00B758E1">
            <w:pPr>
              <w:pStyle w:val="051Tabletext228pt"/>
              <w:rPr>
                <w:vertAlign w:val="superscript"/>
              </w:rPr>
            </w:pPr>
            <w:r>
              <w:t>Wolter 2012</w:t>
            </w:r>
            <w:r w:rsidR="0048127F" w:rsidRPr="0048127F">
              <w:rPr>
                <w:rFonts w:cs="Calibri"/>
                <w:vertAlign w:val="superscript"/>
              </w:rPr>
              <w:t>b</w:t>
            </w:r>
          </w:p>
        </w:tc>
        <w:tc>
          <w:tcPr>
            <w:tcW w:w="955" w:type="pct"/>
            <w:tcBorders>
              <w:top w:val="single" w:sz="4" w:space="0" w:color="auto"/>
              <w:bottom w:val="single" w:sz="4" w:space="0" w:color="auto"/>
            </w:tcBorders>
            <w:vAlign w:val="center"/>
          </w:tcPr>
          <w:p w14:paraId="414EDAB2"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0928AEFE" w14:textId="77777777" w:rsidR="002252DB" w:rsidRPr="00795A1F" w:rsidRDefault="002252DB" w:rsidP="00B758E1">
            <w:pPr>
              <w:pStyle w:val="051Tabletext228pt"/>
            </w:pPr>
          </w:p>
        </w:tc>
        <w:tc>
          <w:tcPr>
            <w:tcW w:w="882" w:type="pct"/>
            <w:tcBorders>
              <w:top w:val="single" w:sz="4" w:space="0" w:color="auto"/>
              <w:bottom w:val="single" w:sz="4" w:space="0" w:color="auto"/>
            </w:tcBorders>
            <w:vAlign w:val="center"/>
          </w:tcPr>
          <w:p w14:paraId="78CDEEF5" w14:textId="77777777" w:rsidR="002252DB" w:rsidRDefault="002252DB" w:rsidP="00B758E1">
            <w:pPr>
              <w:pStyle w:val="051Tabletext228pt"/>
            </w:pPr>
            <w:r>
              <w:rPr>
                <w:rFonts w:ascii="Wingdings" w:eastAsia="Wingdings" w:hAnsi="Wingdings" w:cs="Wingdings"/>
              </w:rPr>
              <w:t>ü</w:t>
            </w:r>
          </w:p>
        </w:tc>
        <w:tc>
          <w:tcPr>
            <w:tcW w:w="882" w:type="pct"/>
            <w:tcBorders>
              <w:top w:val="single" w:sz="4" w:space="0" w:color="auto"/>
              <w:bottom w:val="single" w:sz="4" w:space="0" w:color="auto"/>
            </w:tcBorders>
            <w:vAlign w:val="center"/>
          </w:tcPr>
          <w:p w14:paraId="0F551F0C" w14:textId="77777777" w:rsidR="002252DB" w:rsidRDefault="002252DB" w:rsidP="00B758E1">
            <w:pPr>
              <w:pStyle w:val="051Tabletext228pt"/>
            </w:pPr>
            <w:r>
              <w:t>1</w:t>
            </w:r>
          </w:p>
        </w:tc>
      </w:tr>
    </w:tbl>
    <w:p w14:paraId="1BA9BEE5" w14:textId="1CBB4282" w:rsidR="002252DB" w:rsidRDefault="00CA633C" w:rsidP="002252DB">
      <w:pPr>
        <w:pStyle w:val="101Tablefootnotes8pt"/>
      </w:pPr>
      <w:r>
        <w:rPr>
          <w:rFonts w:cs="Calibri"/>
        </w:rPr>
        <w:t xml:space="preserve">Abbreviations: </w:t>
      </w:r>
      <w:r w:rsidR="00F23BB4">
        <w:rPr>
          <w:rFonts w:cs="Calibri"/>
        </w:rPr>
        <w:t xml:space="preserve">no, number; </w:t>
      </w:r>
      <w:r w:rsidR="002D4C6A">
        <w:rPr>
          <w:rFonts w:cs="Calibri"/>
        </w:rPr>
        <w:t>RCT, randomised controlled trial</w:t>
      </w:r>
      <w:r w:rsidR="00B6504C">
        <w:rPr>
          <w:rFonts w:cs="Calibri"/>
        </w:rPr>
        <w:t>; SCS, spinal cord stimulation</w:t>
      </w:r>
      <w:r w:rsidR="00286BC9">
        <w:rPr>
          <w:rFonts w:cs="Calibri"/>
          <w:b/>
          <w:bCs/>
        </w:rPr>
        <w:br/>
      </w:r>
      <w:r w:rsidR="0048127F">
        <w:rPr>
          <w:rFonts w:cs="Calibri"/>
          <w:b/>
          <w:bCs/>
        </w:rPr>
        <w:t>a</w:t>
      </w:r>
      <w:r w:rsidR="002252DB">
        <w:t xml:space="preserve"> Included in O’Connell 2021 but excluded from Traeger 2023</w:t>
      </w:r>
    </w:p>
    <w:p w14:paraId="5A0D2318" w14:textId="0F901FE6" w:rsidR="002252DB" w:rsidRDefault="0048127F" w:rsidP="002252DB">
      <w:pPr>
        <w:pStyle w:val="111Tablefootnoteslast-nostick8pt"/>
      </w:pPr>
      <w:r>
        <w:rPr>
          <w:rFonts w:cs="Calibri"/>
          <w:b/>
          <w:bCs/>
        </w:rPr>
        <w:t>b</w:t>
      </w:r>
      <w:r w:rsidR="002252DB">
        <w:t xml:space="preserve"> Included in Traeger 2023 but excluded from O’Connell 2021</w:t>
      </w:r>
    </w:p>
    <w:p w14:paraId="450829A2" w14:textId="77777777" w:rsidR="002252DB" w:rsidRPr="00B11E03" w:rsidRDefault="002252DB" w:rsidP="002252DB">
      <w:pPr>
        <w:pStyle w:val="BodyText"/>
        <w:rPr>
          <w:lang w:val="en-US"/>
        </w:rPr>
      </w:pPr>
    </w:p>
    <w:p w14:paraId="6532047D" w14:textId="77777777" w:rsidR="002252DB" w:rsidRDefault="002252DB" w:rsidP="002252DB">
      <w:pPr>
        <w:pStyle w:val="BodyText"/>
        <w:rPr>
          <w:lang w:val="en-US"/>
        </w:rPr>
        <w:sectPr w:rsidR="002252DB" w:rsidSect="000E0564">
          <w:pgSz w:w="11906" w:h="16838"/>
          <w:pgMar w:top="1134" w:right="1134" w:bottom="1134" w:left="1134" w:header="850" w:footer="709" w:gutter="0"/>
          <w:cols w:space="708"/>
          <w:docGrid w:linePitch="360"/>
        </w:sectPr>
      </w:pPr>
    </w:p>
    <w:p w14:paraId="4AE32B0B" w14:textId="7B064120" w:rsidR="002252DB" w:rsidRDefault="00B13FD9" w:rsidP="00B13FD9">
      <w:pPr>
        <w:pStyle w:val="Caption"/>
        <w:rPr>
          <w:lang w:val="en-US"/>
        </w:rPr>
      </w:pPr>
      <w:bookmarkStart w:id="178" w:name="_Ref134457224"/>
      <w:r>
        <w:lastRenderedPageBreak/>
        <w:t xml:space="preserve">Table App </w:t>
      </w:r>
      <w:fldSimple w:instr=" SEQ Table_App \* ARABIC ">
        <w:r w:rsidR="00CE6ACA">
          <w:rPr>
            <w:noProof/>
          </w:rPr>
          <w:t>8</w:t>
        </w:r>
      </w:fldSimple>
      <w:bookmarkEnd w:id="178"/>
      <w:r w:rsidR="002252DB">
        <w:tab/>
      </w:r>
      <w:r w:rsidR="002252DB">
        <w:rPr>
          <w:lang w:val="en-US"/>
        </w:rPr>
        <w:t xml:space="preserve">Study publications for </w:t>
      </w:r>
      <w:r w:rsidR="002252DB">
        <w:t xml:space="preserve">RCTs included in either the O’Connell 2021 or Traeger 2023 Cochrane </w:t>
      </w:r>
      <w:r w:rsidR="002E7D2D">
        <w:t>r</w:t>
      </w:r>
      <w:r w:rsidR="002252DB">
        <w:t>eviews</w:t>
      </w:r>
    </w:p>
    <w:tbl>
      <w:tblPr>
        <w:tblStyle w:val="TableGrid"/>
        <w:tblW w:w="5000" w:type="pct"/>
        <w:tblBorders>
          <w:insideH w:val="dotted" w:sz="4" w:space="0" w:color="auto"/>
        </w:tblBorders>
        <w:tblLook w:val="04A0" w:firstRow="1" w:lastRow="0" w:firstColumn="1" w:lastColumn="0" w:noHBand="0" w:noVBand="1"/>
        <w:tblCaption w:val="Study publications for RCTs included in either the O’Connell 2021 or Traeger 2023 Cochrane reviews"/>
        <w:tblDescription w:val="Table showing the study publication for RCTs included in either of the Cochrane reviews (O'Connell 2021 or Traeger 2023)."/>
      </w:tblPr>
      <w:tblGrid>
        <w:gridCol w:w="1885"/>
        <w:gridCol w:w="1728"/>
        <w:gridCol w:w="10957"/>
      </w:tblGrid>
      <w:tr w:rsidR="002252DB" w:rsidRPr="00F56F21" w14:paraId="11C3075E" w14:textId="77777777" w:rsidTr="00FE41DA">
        <w:trPr>
          <w:cnfStyle w:val="100000000000" w:firstRow="1" w:lastRow="0" w:firstColumn="0" w:lastColumn="0" w:oddVBand="0" w:evenVBand="0" w:oddHBand="0" w:evenHBand="0" w:firstRowFirstColumn="0" w:firstRowLastColumn="0" w:lastRowFirstColumn="0" w:lastRowLastColumn="0"/>
        </w:trPr>
        <w:tc>
          <w:tcPr>
            <w:tcW w:w="647" w:type="pct"/>
            <w:tcBorders>
              <w:bottom w:val="dotted" w:sz="4" w:space="0" w:color="auto"/>
            </w:tcBorders>
          </w:tcPr>
          <w:p w14:paraId="07F7139A" w14:textId="77777777" w:rsidR="002252DB" w:rsidRPr="00F56F21" w:rsidRDefault="002252DB">
            <w:pPr>
              <w:pStyle w:val="011TableHeading8pt"/>
              <w:rPr>
                <w:lang w:val="en-US"/>
              </w:rPr>
            </w:pPr>
            <w:r w:rsidRPr="00F56F21">
              <w:rPr>
                <w:lang w:val="en-US"/>
              </w:rPr>
              <w:t>RCT Identifier</w:t>
            </w:r>
          </w:p>
        </w:tc>
        <w:tc>
          <w:tcPr>
            <w:tcW w:w="593" w:type="pct"/>
          </w:tcPr>
          <w:p w14:paraId="2CB79CD0" w14:textId="555E9930" w:rsidR="002252DB" w:rsidRPr="00F56F21" w:rsidRDefault="00984466">
            <w:pPr>
              <w:pStyle w:val="011TableHeading8pt"/>
              <w:rPr>
                <w:lang w:val="en-US"/>
              </w:rPr>
            </w:pPr>
            <w:r>
              <w:rPr>
                <w:lang w:val="en-US"/>
              </w:rPr>
              <w:t>Study</w:t>
            </w:r>
            <w:r w:rsidR="002252DB" w:rsidRPr="00F56F21">
              <w:rPr>
                <w:lang w:val="en-US"/>
              </w:rPr>
              <w:t xml:space="preserve"> ID</w:t>
            </w:r>
          </w:p>
        </w:tc>
        <w:tc>
          <w:tcPr>
            <w:tcW w:w="3760" w:type="pct"/>
          </w:tcPr>
          <w:p w14:paraId="1B07B54D" w14:textId="77777777" w:rsidR="002252DB" w:rsidRPr="00F56F21" w:rsidRDefault="002252DB">
            <w:pPr>
              <w:pStyle w:val="011TableHeading8pt"/>
              <w:rPr>
                <w:lang w:val="en-US"/>
              </w:rPr>
            </w:pPr>
            <w:r w:rsidRPr="00F56F21">
              <w:rPr>
                <w:lang w:val="en-US"/>
              </w:rPr>
              <w:t>Title</w:t>
            </w:r>
          </w:p>
        </w:tc>
      </w:tr>
      <w:tr w:rsidR="002252DB" w:rsidRPr="00F56F21" w14:paraId="798A837F" w14:textId="77777777" w:rsidTr="00FE41DA">
        <w:tc>
          <w:tcPr>
            <w:tcW w:w="647" w:type="pct"/>
            <w:tcBorders>
              <w:top w:val="dotted" w:sz="4" w:space="0" w:color="auto"/>
              <w:bottom w:val="nil"/>
            </w:tcBorders>
          </w:tcPr>
          <w:p w14:paraId="01FE6410" w14:textId="77777777" w:rsidR="002252DB" w:rsidRPr="00852E94" w:rsidRDefault="002252DB">
            <w:pPr>
              <w:pStyle w:val="051Tabletext228pt"/>
              <w:keepNext/>
              <w:rPr>
                <w:i/>
                <w:iCs/>
                <w:lang w:val="en-US"/>
              </w:rPr>
            </w:pPr>
            <w:r w:rsidRPr="00852E94">
              <w:rPr>
                <w:i/>
                <w:iCs/>
                <w:lang w:val="en-US"/>
              </w:rPr>
              <w:t>De Ridder 2013</w:t>
            </w:r>
          </w:p>
        </w:tc>
        <w:tc>
          <w:tcPr>
            <w:tcW w:w="593" w:type="pct"/>
          </w:tcPr>
          <w:p w14:paraId="17517529" w14:textId="77777777" w:rsidR="002252DB" w:rsidRPr="00F56F21" w:rsidRDefault="002252DB">
            <w:pPr>
              <w:pStyle w:val="051Tabletext228pt"/>
              <w:keepNext/>
              <w:rPr>
                <w:lang w:val="en-US"/>
              </w:rPr>
            </w:pPr>
            <w:r w:rsidRPr="00F56F21">
              <w:rPr>
                <w:lang w:val="en-US"/>
              </w:rPr>
              <w:t>De Ridder 2013</w:t>
            </w:r>
          </w:p>
        </w:tc>
        <w:tc>
          <w:tcPr>
            <w:tcW w:w="3760" w:type="pct"/>
          </w:tcPr>
          <w:p w14:paraId="2B0853FB" w14:textId="77777777" w:rsidR="002252DB" w:rsidRPr="00F56F21" w:rsidRDefault="002252DB">
            <w:pPr>
              <w:pStyle w:val="051Tabletext228pt"/>
              <w:keepNext/>
              <w:rPr>
                <w:lang w:val="en-US"/>
              </w:rPr>
            </w:pPr>
            <w:r w:rsidRPr="00F56F21">
              <w:rPr>
                <w:lang w:val="en-US"/>
              </w:rPr>
              <w:t>Burst spinal cord stimulation for limb and back pain</w:t>
            </w:r>
          </w:p>
        </w:tc>
      </w:tr>
      <w:tr w:rsidR="002252DB" w:rsidRPr="00F56F21" w14:paraId="4969EAF9" w14:textId="77777777" w:rsidTr="00FE41DA">
        <w:tc>
          <w:tcPr>
            <w:tcW w:w="647" w:type="pct"/>
            <w:tcBorders>
              <w:top w:val="nil"/>
              <w:bottom w:val="single" w:sz="4" w:space="0" w:color="auto"/>
            </w:tcBorders>
          </w:tcPr>
          <w:p w14:paraId="51E38BA2" w14:textId="77777777" w:rsidR="002252DB" w:rsidRPr="00F56F21" w:rsidRDefault="002252DB">
            <w:pPr>
              <w:pStyle w:val="051Tabletext228pt"/>
              <w:rPr>
                <w:lang w:val="en-US"/>
              </w:rPr>
            </w:pPr>
          </w:p>
        </w:tc>
        <w:tc>
          <w:tcPr>
            <w:tcW w:w="593" w:type="pct"/>
            <w:tcBorders>
              <w:bottom w:val="single" w:sz="4" w:space="0" w:color="auto"/>
            </w:tcBorders>
          </w:tcPr>
          <w:p w14:paraId="2170A04B" w14:textId="77777777" w:rsidR="002252DB" w:rsidRPr="00F56F21" w:rsidRDefault="002252DB">
            <w:pPr>
              <w:pStyle w:val="051Tabletext228pt"/>
              <w:rPr>
                <w:lang w:val="en-US"/>
              </w:rPr>
            </w:pPr>
            <w:r w:rsidRPr="00F56F21">
              <w:rPr>
                <w:lang w:val="en-US"/>
              </w:rPr>
              <w:t>De Ridder 2016</w:t>
            </w:r>
          </w:p>
        </w:tc>
        <w:tc>
          <w:tcPr>
            <w:tcW w:w="3760" w:type="pct"/>
            <w:tcBorders>
              <w:bottom w:val="single" w:sz="4" w:space="0" w:color="auto"/>
            </w:tcBorders>
          </w:tcPr>
          <w:p w14:paraId="78C219EF" w14:textId="77777777" w:rsidR="002252DB" w:rsidRPr="00F56F21" w:rsidRDefault="002252DB">
            <w:pPr>
              <w:pStyle w:val="051Tabletext228pt"/>
              <w:rPr>
                <w:lang w:val="en-US"/>
              </w:rPr>
            </w:pPr>
            <w:r w:rsidRPr="00F56F21">
              <w:rPr>
                <w:lang w:val="en-US"/>
              </w:rPr>
              <w:t>Burst and tonic spinal cord stimulation: Different and common brain mechanisms</w:t>
            </w:r>
          </w:p>
        </w:tc>
      </w:tr>
      <w:tr w:rsidR="002252DB" w:rsidRPr="00F56F21" w14:paraId="5079C1F8" w14:textId="77777777" w:rsidTr="00FE41DA">
        <w:tc>
          <w:tcPr>
            <w:tcW w:w="647" w:type="pct"/>
            <w:tcBorders>
              <w:top w:val="single" w:sz="4" w:space="0" w:color="auto"/>
              <w:bottom w:val="nil"/>
            </w:tcBorders>
          </w:tcPr>
          <w:p w14:paraId="7F6823C0" w14:textId="77777777" w:rsidR="002252DB" w:rsidRPr="00852E94" w:rsidRDefault="002252DB">
            <w:pPr>
              <w:pStyle w:val="051Tabletext228pt"/>
              <w:keepNext/>
              <w:rPr>
                <w:i/>
                <w:iCs/>
                <w:lang w:val="en-US"/>
              </w:rPr>
            </w:pPr>
            <w:r w:rsidRPr="00852E94">
              <w:rPr>
                <w:i/>
                <w:iCs/>
                <w:lang w:val="en-US"/>
              </w:rPr>
              <w:t>de Vos 2014</w:t>
            </w:r>
          </w:p>
        </w:tc>
        <w:tc>
          <w:tcPr>
            <w:tcW w:w="593" w:type="pct"/>
            <w:tcBorders>
              <w:top w:val="single" w:sz="4" w:space="0" w:color="auto"/>
            </w:tcBorders>
          </w:tcPr>
          <w:p w14:paraId="59308006" w14:textId="77777777" w:rsidR="002252DB" w:rsidRPr="00F56F21" w:rsidRDefault="002252DB">
            <w:pPr>
              <w:pStyle w:val="051Tabletext228pt"/>
              <w:keepNext/>
              <w:rPr>
                <w:lang w:val="en-US"/>
              </w:rPr>
            </w:pPr>
            <w:r w:rsidRPr="00F56F21">
              <w:rPr>
                <w:lang w:val="en-US"/>
              </w:rPr>
              <w:t>De Vos 2011</w:t>
            </w:r>
          </w:p>
        </w:tc>
        <w:tc>
          <w:tcPr>
            <w:tcW w:w="3760" w:type="pct"/>
            <w:tcBorders>
              <w:top w:val="single" w:sz="4" w:space="0" w:color="auto"/>
            </w:tcBorders>
          </w:tcPr>
          <w:p w14:paraId="34AC4903" w14:textId="77777777" w:rsidR="002252DB" w:rsidRPr="00F56F21" w:rsidRDefault="002252DB">
            <w:pPr>
              <w:pStyle w:val="051Tabletext228pt"/>
              <w:keepNext/>
              <w:rPr>
                <w:lang w:val="en-US"/>
              </w:rPr>
            </w:pPr>
            <w:r w:rsidRPr="00F56F21">
              <w:rPr>
                <w:lang w:val="en-US"/>
              </w:rPr>
              <w:t xml:space="preserve">Spinal cord stimulation in patients </w:t>
            </w:r>
            <w:proofErr w:type="spellStart"/>
            <w:r w:rsidRPr="00F56F21">
              <w:rPr>
                <w:lang w:val="en-US"/>
              </w:rPr>
              <w:t>withdiabetic</w:t>
            </w:r>
            <w:proofErr w:type="spellEnd"/>
            <w:r w:rsidRPr="00F56F21">
              <w:rPr>
                <w:lang w:val="en-US"/>
              </w:rPr>
              <w:t xml:space="preserve"> neuropathic pain</w:t>
            </w:r>
          </w:p>
        </w:tc>
      </w:tr>
      <w:tr w:rsidR="002252DB" w:rsidRPr="00F56F21" w14:paraId="582C427B" w14:textId="77777777" w:rsidTr="00FE41DA">
        <w:tc>
          <w:tcPr>
            <w:tcW w:w="647" w:type="pct"/>
            <w:tcBorders>
              <w:top w:val="nil"/>
              <w:bottom w:val="nil"/>
            </w:tcBorders>
          </w:tcPr>
          <w:p w14:paraId="6A1324AD" w14:textId="77777777" w:rsidR="002252DB" w:rsidRPr="00F56F21" w:rsidRDefault="002252DB">
            <w:pPr>
              <w:pStyle w:val="051Tabletext228pt"/>
              <w:keepNext/>
              <w:ind w:left="113"/>
              <w:rPr>
                <w:lang w:val="en-US"/>
              </w:rPr>
            </w:pPr>
            <w:r w:rsidRPr="00F56F21">
              <w:rPr>
                <w:lang w:val="en-US"/>
              </w:rPr>
              <w:t>ISRCTN03269533</w:t>
            </w:r>
          </w:p>
        </w:tc>
        <w:tc>
          <w:tcPr>
            <w:tcW w:w="593" w:type="pct"/>
          </w:tcPr>
          <w:p w14:paraId="7B72FC07" w14:textId="77777777" w:rsidR="002252DB" w:rsidRPr="00F56F21" w:rsidRDefault="002252DB">
            <w:pPr>
              <w:pStyle w:val="051Tabletext228pt"/>
              <w:keepNext/>
              <w:rPr>
                <w:lang w:val="en-US"/>
              </w:rPr>
            </w:pPr>
            <w:r w:rsidRPr="00F56F21">
              <w:rPr>
                <w:lang w:val="en-US"/>
              </w:rPr>
              <w:t>De Vos 2014</w:t>
            </w:r>
          </w:p>
        </w:tc>
        <w:tc>
          <w:tcPr>
            <w:tcW w:w="3760" w:type="pct"/>
          </w:tcPr>
          <w:p w14:paraId="053B8A10" w14:textId="77777777" w:rsidR="002252DB" w:rsidRPr="00F56F21" w:rsidRDefault="002252DB">
            <w:pPr>
              <w:pStyle w:val="051Tabletext228pt"/>
              <w:keepNext/>
              <w:rPr>
                <w:lang w:val="en-US"/>
              </w:rPr>
            </w:pPr>
            <w:r w:rsidRPr="00F56F21">
              <w:rPr>
                <w:lang w:val="en-US"/>
              </w:rPr>
              <w:t xml:space="preserve">Spinal cord stimulation in patients with painful diabetic neuropathy: A </w:t>
            </w:r>
            <w:proofErr w:type="spellStart"/>
            <w:r w:rsidRPr="00F56F21">
              <w:rPr>
                <w:lang w:val="en-US"/>
              </w:rPr>
              <w:t>multicentre</w:t>
            </w:r>
            <w:proofErr w:type="spellEnd"/>
            <w:r w:rsidRPr="00F56F21">
              <w:rPr>
                <w:lang w:val="en-US"/>
              </w:rPr>
              <w:t xml:space="preserve"> randomized clinical trial</w:t>
            </w:r>
          </w:p>
        </w:tc>
      </w:tr>
      <w:tr w:rsidR="002252DB" w:rsidRPr="00F56F21" w14:paraId="62DC3F89" w14:textId="77777777" w:rsidTr="00FE41DA">
        <w:tc>
          <w:tcPr>
            <w:tcW w:w="647" w:type="pct"/>
            <w:tcBorders>
              <w:top w:val="nil"/>
              <w:bottom w:val="nil"/>
            </w:tcBorders>
          </w:tcPr>
          <w:p w14:paraId="34FF4B24" w14:textId="77777777" w:rsidR="002252DB" w:rsidRPr="00F56F21" w:rsidRDefault="002252DB">
            <w:pPr>
              <w:pStyle w:val="051Tabletext228pt"/>
              <w:keepNext/>
              <w:rPr>
                <w:lang w:val="en-US"/>
              </w:rPr>
            </w:pPr>
          </w:p>
        </w:tc>
        <w:tc>
          <w:tcPr>
            <w:tcW w:w="593" w:type="pct"/>
          </w:tcPr>
          <w:p w14:paraId="40F2717B" w14:textId="77777777" w:rsidR="002252DB" w:rsidRPr="00F56F21" w:rsidRDefault="002252DB">
            <w:pPr>
              <w:pStyle w:val="051Tabletext228pt"/>
              <w:keepNext/>
              <w:rPr>
                <w:lang w:val="en-US"/>
              </w:rPr>
            </w:pPr>
            <w:r w:rsidRPr="00F56F21">
              <w:rPr>
                <w:lang w:val="en-US"/>
              </w:rPr>
              <w:t>Duarte 2016</w:t>
            </w:r>
          </w:p>
        </w:tc>
        <w:tc>
          <w:tcPr>
            <w:tcW w:w="3760" w:type="pct"/>
          </w:tcPr>
          <w:p w14:paraId="2FF84783" w14:textId="77777777" w:rsidR="002252DB" w:rsidRPr="00F56F21" w:rsidRDefault="002252DB">
            <w:pPr>
              <w:pStyle w:val="051Tabletext228pt"/>
              <w:keepNext/>
              <w:rPr>
                <w:lang w:val="en-US"/>
              </w:rPr>
            </w:pPr>
            <w:r w:rsidRPr="00F56F21">
              <w:rPr>
                <w:lang w:val="en-US"/>
              </w:rPr>
              <w:t>Quality of life increases in patients with painful diabetic neuropathy following treatment with spinal cord stimulation</w:t>
            </w:r>
          </w:p>
        </w:tc>
      </w:tr>
      <w:tr w:rsidR="002252DB" w:rsidRPr="00F56F21" w14:paraId="6972AA8D" w14:textId="77777777" w:rsidTr="00FE41DA">
        <w:tc>
          <w:tcPr>
            <w:tcW w:w="647" w:type="pct"/>
            <w:tcBorders>
              <w:top w:val="nil"/>
              <w:bottom w:val="single" w:sz="4" w:space="0" w:color="auto"/>
            </w:tcBorders>
          </w:tcPr>
          <w:p w14:paraId="367E4788" w14:textId="77777777" w:rsidR="002252DB" w:rsidRPr="00F56F21" w:rsidRDefault="002252DB">
            <w:pPr>
              <w:pStyle w:val="051Tabletext228pt"/>
              <w:rPr>
                <w:lang w:val="en-US"/>
              </w:rPr>
            </w:pPr>
          </w:p>
        </w:tc>
        <w:tc>
          <w:tcPr>
            <w:tcW w:w="593" w:type="pct"/>
            <w:tcBorders>
              <w:bottom w:val="single" w:sz="4" w:space="0" w:color="auto"/>
            </w:tcBorders>
          </w:tcPr>
          <w:p w14:paraId="258B014D" w14:textId="77777777" w:rsidR="002252DB" w:rsidRPr="00F56F21" w:rsidRDefault="002252DB">
            <w:pPr>
              <w:pStyle w:val="051Tabletext228pt"/>
              <w:rPr>
                <w:lang w:val="en-US"/>
              </w:rPr>
            </w:pPr>
            <w:r w:rsidRPr="00F56F21">
              <w:rPr>
                <w:lang w:val="en-US"/>
              </w:rPr>
              <w:t>Vos 2013</w:t>
            </w:r>
          </w:p>
        </w:tc>
        <w:tc>
          <w:tcPr>
            <w:tcW w:w="3760" w:type="pct"/>
            <w:tcBorders>
              <w:bottom w:val="single" w:sz="4" w:space="0" w:color="auto"/>
            </w:tcBorders>
          </w:tcPr>
          <w:p w14:paraId="60BDB918" w14:textId="77777777" w:rsidR="002252DB" w:rsidRPr="00F56F21" w:rsidRDefault="002252DB">
            <w:pPr>
              <w:pStyle w:val="051Tabletext228pt"/>
              <w:rPr>
                <w:lang w:val="en-US"/>
              </w:rPr>
            </w:pPr>
            <w:r w:rsidRPr="00F56F21">
              <w:rPr>
                <w:lang w:val="en-US"/>
              </w:rPr>
              <w:t>Spinal cord stimulation in patients with painful diabetic neuropathy</w:t>
            </w:r>
          </w:p>
        </w:tc>
      </w:tr>
      <w:tr w:rsidR="002252DB" w:rsidRPr="00F56F21" w14:paraId="02DE2A14" w14:textId="77777777" w:rsidTr="00FE41DA">
        <w:tc>
          <w:tcPr>
            <w:tcW w:w="647" w:type="pct"/>
            <w:tcBorders>
              <w:top w:val="single" w:sz="4" w:space="0" w:color="auto"/>
              <w:bottom w:val="single" w:sz="4" w:space="0" w:color="auto"/>
            </w:tcBorders>
          </w:tcPr>
          <w:p w14:paraId="6F05E572" w14:textId="77777777" w:rsidR="002252DB" w:rsidRPr="00852E94" w:rsidRDefault="002252DB">
            <w:pPr>
              <w:pStyle w:val="051Tabletext228pt"/>
              <w:rPr>
                <w:i/>
                <w:iCs/>
                <w:lang w:val="en-US"/>
              </w:rPr>
            </w:pPr>
            <w:r w:rsidRPr="00852E94">
              <w:rPr>
                <w:i/>
                <w:iCs/>
                <w:lang w:val="en-US"/>
              </w:rPr>
              <w:t>Eisenberg 2015</w:t>
            </w:r>
          </w:p>
        </w:tc>
        <w:tc>
          <w:tcPr>
            <w:tcW w:w="593" w:type="pct"/>
            <w:tcBorders>
              <w:top w:val="single" w:sz="4" w:space="0" w:color="auto"/>
              <w:bottom w:val="single" w:sz="4" w:space="0" w:color="auto"/>
            </w:tcBorders>
          </w:tcPr>
          <w:p w14:paraId="50403AC7" w14:textId="77777777" w:rsidR="002252DB" w:rsidRPr="00F56F21" w:rsidRDefault="002252DB">
            <w:pPr>
              <w:pStyle w:val="051Tabletext228pt"/>
              <w:rPr>
                <w:lang w:val="en-US"/>
              </w:rPr>
            </w:pPr>
            <w:r w:rsidRPr="00F56F21">
              <w:rPr>
                <w:lang w:val="en-US"/>
              </w:rPr>
              <w:t>Eisenberg 2015</w:t>
            </w:r>
          </w:p>
        </w:tc>
        <w:tc>
          <w:tcPr>
            <w:tcW w:w="3760" w:type="pct"/>
            <w:tcBorders>
              <w:top w:val="single" w:sz="4" w:space="0" w:color="auto"/>
              <w:bottom w:val="single" w:sz="4" w:space="0" w:color="auto"/>
            </w:tcBorders>
          </w:tcPr>
          <w:p w14:paraId="4B1BC194" w14:textId="77777777" w:rsidR="002252DB" w:rsidRPr="00F56F21" w:rsidRDefault="002252DB">
            <w:pPr>
              <w:pStyle w:val="051Tabletext228pt"/>
              <w:rPr>
                <w:lang w:val="en-US"/>
              </w:rPr>
            </w:pPr>
            <w:r w:rsidRPr="00F56F21">
              <w:rPr>
                <w:lang w:val="en-US"/>
              </w:rPr>
              <w:t>Spinal cord stimulation attenuates temporal summation in patients with neuropathic pain</w:t>
            </w:r>
          </w:p>
        </w:tc>
      </w:tr>
      <w:tr w:rsidR="002252DB" w:rsidRPr="00F56F21" w14:paraId="289A707A" w14:textId="77777777" w:rsidTr="00FE41DA">
        <w:tc>
          <w:tcPr>
            <w:tcW w:w="647" w:type="pct"/>
            <w:tcBorders>
              <w:top w:val="single" w:sz="4" w:space="0" w:color="auto"/>
              <w:bottom w:val="nil"/>
            </w:tcBorders>
          </w:tcPr>
          <w:p w14:paraId="2000F68B" w14:textId="77777777" w:rsidR="002252DB" w:rsidRPr="00852E94" w:rsidRDefault="002252DB">
            <w:pPr>
              <w:pStyle w:val="051Tabletext228pt"/>
              <w:keepNext/>
              <w:rPr>
                <w:i/>
                <w:iCs/>
                <w:lang w:val="en-US"/>
              </w:rPr>
            </w:pPr>
            <w:proofErr w:type="spellStart"/>
            <w:r w:rsidRPr="00852E94">
              <w:rPr>
                <w:i/>
                <w:iCs/>
                <w:lang w:val="en-US"/>
              </w:rPr>
              <w:t>Eldabe</w:t>
            </w:r>
            <w:proofErr w:type="spellEnd"/>
            <w:r w:rsidRPr="00852E94">
              <w:rPr>
                <w:i/>
                <w:iCs/>
                <w:lang w:val="en-US"/>
              </w:rPr>
              <w:t xml:space="preserve"> 2021</w:t>
            </w:r>
          </w:p>
        </w:tc>
        <w:tc>
          <w:tcPr>
            <w:tcW w:w="593" w:type="pct"/>
            <w:tcBorders>
              <w:top w:val="single" w:sz="4" w:space="0" w:color="auto"/>
            </w:tcBorders>
          </w:tcPr>
          <w:p w14:paraId="5FFEEB98" w14:textId="77777777" w:rsidR="002252DB" w:rsidRPr="00F56F21" w:rsidRDefault="002252DB">
            <w:pPr>
              <w:pStyle w:val="051Tabletext228pt"/>
              <w:keepNext/>
              <w:rPr>
                <w:lang w:val="en-US"/>
              </w:rPr>
            </w:pPr>
            <w:proofErr w:type="spellStart"/>
            <w:r w:rsidRPr="00F56F21">
              <w:rPr>
                <w:lang w:val="en-US"/>
              </w:rPr>
              <w:t>Eldabe</w:t>
            </w:r>
            <w:proofErr w:type="spellEnd"/>
            <w:r w:rsidRPr="00F56F21">
              <w:rPr>
                <w:lang w:val="en-US"/>
              </w:rPr>
              <w:t xml:space="preserve"> 2021</w:t>
            </w:r>
          </w:p>
        </w:tc>
        <w:tc>
          <w:tcPr>
            <w:tcW w:w="3760" w:type="pct"/>
            <w:tcBorders>
              <w:top w:val="single" w:sz="4" w:space="0" w:color="auto"/>
            </w:tcBorders>
          </w:tcPr>
          <w:p w14:paraId="51A1006F" w14:textId="77777777" w:rsidR="002252DB" w:rsidRPr="00F56F21" w:rsidRDefault="002252DB">
            <w:pPr>
              <w:pStyle w:val="051Tabletext228pt"/>
              <w:keepNext/>
              <w:rPr>
                <w:lang w:val="en-US"/>
              </w:rPr>
            </w:pPr>
            <w:r w:rsidRPr="00F56F21">
              <w:rPr>
                <w:lang w:val="en-US"/>
              </w:rPr>
              <w:t>Analgesic Efficacy of “Burst” and Tonic (500 Hz) Spinal Cord Stimulation Patterns: A Randomized Placebo-Controlled Crossover Study</w:t>
            </w:r>
          </w:p>
        </w:tc>
      </w:tr>
      <w:tr w:rsidR="002252DB" w:rsidRPr="00F56F21" w14:paraId="6EA5556C" w14:textId="77777777" w:rsidTr="00FE41DA">
        <w:tc>
          <w:tcPr>
            <w:tcW w:w="647" w:type="pct"/>
            <w:tcBorders>
              <w:top w:val="nil"/>
              <w:bottom w:val="single" w:sz="4" w:space="0" w:color="auto"/>
            </w:tcBorders>
          </w:tcPr>
          <w:p w14:paraId="47D9BD1B" w14:textId="77777777" w:rsidR="002252DB" w:rsidRPr="00F56F21" w:rsidRDefault="002252DB">
            <w:pPr>
              <w:pStyle w:val="051Tabletext228pt"/>
              <w:rPr>
                <w:lang w:val="en-US"/>
              </w:rPr>
            </w:pPr>
          </w:p>
        </w:tc>
        <w:tc>
          <w:tcPr>
            <w:tcW w:w="593" w:type="pct"/>
            <w:tcBorders>
              <w:bottom w:val="single" w:sz="4" w:space="0" w:color="auto"/>
            </w:tcBorders>
          </w:tcPr>
          <w:p w14:paraId="073884E9" w14:textId="77777777" w:rsidR="002252DB" w:rsidRPr="00F56F21" w:rsidRDefault="002252DB">
            <w:pPr>
              <w:pStyle w:val="051Tabletext228pt"/>
              <w:rPr>
                <w:lang w:val="en-US"/>
              </w:rPr>
            </w:pPr>
            <w:r w:rsidRPr="00F56F21">
              <w:rPr>
                <w:lang w:val="en-US"/>
              </w:rPr>
              <w:t>Tariq 2020</w:t>
            </w:r>
          </w:p>
        </w:tc>
        <w:tc>
          <w:tcPr>
            <w:tcW w:w="3760" w:type="pct"/>
            <w:tcBorders>
              <w:bottom w:val="single" w:sz="4" w:space="0" w:color="auto"/>
            </w:tcBorders>
          </w:tcPr>
          <w:p w14:paraId="1E4F98CB" w14:textId="77777777" w:rsidR="002252DB" w:rsidRPr="00F56F21" w:rsidRDefault="002252DB">
            <w:pPr>
              <w:pStyle w:val="051Tabletext228pt"/>
              <w:rPr>
                <w:lang w:val="en-US"/>
              </w:rPr>
            </w:pPr>
            <w:r w:rsidRPr="00F56F21">
              <w:rPr>
                <w:lang w:val="en-US"/>
              </w:rPr>
              <w:t>Analgesic efficacy of “burst” and tonic (500 Hz) spinal cord stimulation patterns: A randomised placebo-controlled study</w:t>
            </w:r>
          </w:p>
        </w:tc>
      </w:tr>
      <w:tr w:rsidR="002252DB" w:rsidRPr="00F56F21" w14:paraId="373BEB80" w14:textId="77777777" w:rsidTr="00FE41DA">
        <w:tc>
          <w:tcPr>
            <w:tcW w:w="647" w:type="pct"/>
            <w:tcBorders>
              <w:top w:val="single" w:sz="4" w:space="0" w:color="auto"/>
              <w:bottom w:val="single" w:sz="4" w:space="0" w:color="auto"/>
            </w:tcBorders>
          </w:tcPr>
          <w:p w14:paraId="57CAFA7B" w14:textId="77777777" w:rsidR="002252DB" w:rsidRPr="00852E94" w:rsidRDefault="002252DB">
            <w:pPr>
              <w:pStyle w:val="051Tabletext228pt"/>
              <w:rPr>
                <w:i/>
                <w:iCs/>
                <w:lang w:val="en-US"/>
              </w:rPr>
            </w:pPr>
            <w:r w:rsidRPr="00852E94">
              <w:rPr>
                <w:i/>
                <w:iCs/>
                <w:lang w:val="en-US"/>
              </w:rPr>
              <w:t>Hara 2022</w:t>
            </w:r>
          </w:p>
          <w:p w14:paraId="20F83067" w14:textId="77777777" w:rsidR="002252DB" w:rsidRPr="00F56F21" w:rsidRDefault="002252DB">
            <w:pPr>
              <w:pStyle w:val="051Tabletext228pt"/>
              <w:ind w:left="113"/>
              <w:rPr>
                <w:lang w:val="en-US"/>
              </w:rPr>
            </w:pPr>
            <w:r w:rsidRPr="00F56F21">
              <w:rPr>
                <w:lang w:val="en-US"/>
              </w:rPr>
              <w:t>NCT03546738</w:t>
            </w:r>
          </w:p>
        </w:tc>
        <w:tc>
          <w:tcPr>
            <w:tcW w:w="593" w:type="pct"/>
            <w:tcBorders>
              <w:top w:val="single" w:sz="4" w:space="0" w:color="auto"/>
              <w:bottom w:val="single" w:sz="4" w:space="0" w:color="auto"/>
            </w:tcBorders>
          </w:tcPr>
          <w:p w14:paraId="6C65B296" w14:textId="77777777" w:rsidR="002252DB" w:rsidRPr="00F56F21" w:rsidRDefault="002252DB">
            <w:pPr>
              <w:pStyle w:val="051Tabletext228pt"/>
              <w:rPr>
                <w:lang w:val="en-US"/>
              </w:rPr>
            </w:pPr>
            <w:r w:rsidRPr="00F56F21">
              <w:rPr>
                <w:lang w:val="en-US"/>
              </w:rPr>
              <w:t>Hara 2022</w:t>
            </w:r>
          </w:p>
        </w:tc>
        <w:tc>
          <w:tcPr>
            <w:tcW w:w="3760" w:type="pct"/>
            <w:tcBorders>
              <w:top w:val="single" w:sz="4" w:space="0" w:color="auto"/>
              <w:bottom w:val="single" w:sz="4" w:space="0" w:color="auto"/>
            </w:tcBorders>
          </w:tcPr>
          <w:p w14:paraId="14811629" w14:textId="77777777" w:rsidR="002252DB" w:rsidRPr="00F56F21" w:rsidRDefault="002252DB">
            <w:pPr>
              <w:pStyle w:val="051Tabletext228pt"/>
              <w:rPr>
                <w:lang w:val="en-US"/>
              </w:rPr>
            </w:pPr>
            <w:r w:rsidRPr="00F56F21">
              <w:rPr>
                <w:lang w:val="en-US"/>
              </w:rPr>
              <w:t>Effect of Spinal Cord Burst Stimulation vs Placebo Stimulation on Disability in Patients with Chronic Radicular Pain after Lumbar Spine Surgery: A Randomized Clinical Trial</w:t>
            </w:r>
          </w:p>
        </w:tc>
      </w:tr>
      <w:tr w:rsidR="002252DB" w:rsidRPr="00F56F21" w14:paraId="7BFBC94F" w14:textId="77777777" w:rsidTr="00FE41DA">
        <w:tc>
          <w:tcPr>
            <w:tcW w:w="647" w:type="pct"/>
            <w:tcBorders>
              <w:top w:val="single" w:sz="4" w:space="0" w:color="auto"/>
              <w:bottom w:val="nil"/>
            </w:tcBorders>
          </w:tcPr>
          <w:p w14:paraId="10C667B8" w14:textId="77777777" w:rsidR="002252DB" w:rsidRPr="00852E94" w:rsidRDefault="002252DB">
            <w:pPr>
              <w:pStyle w:val="051Tabletext228pt"/>
              <w:keepNext/>
              <w:rPr>
                <w:i/>
                <w:iCs/>
                <w:lang w:val="en-US"/>
              </w:rPr>
            </w:pPr>
            <w:proofErr w:type="spellStart"/>
            <w:r w:rsidRPr="00852E94">
              <w:rPr>
                <w:i/>
                <w:iCs/>
                <w:lang w:val="en-US"/>
              </w:rPr>
              <w:t>Kemler</w:t>
            </w:r>
            <w:proofErr w:type="spellEnd"/>
            <w:r w:rsidRPr="00852E94">
              <w:rPr>
                <w:i/>
                <w:iCs/>
                <w:lang w:val="en-US"/>
              </w:rPr>
              <w:t xml:space="preserve"> 2000</w:t>
            </w:r>
          </w:p>
        </w:tc>
        <w:tc>
          <w:tcPr>
            <w:tcW w:w="593" w:type="pct"/>
            <w:tcBorders>
              <w:top w:val="single" w:sz="4" w:space="0" w:color="auto"/>
            </w:tcBorders>
          </w:tcPr>
          <w:p w14:paraId="2685A5A2" w14:textId="77777777" w:rsidR="002252DB" w:rsidRPr="00F56F21" w:rsidRDefault="002252DB">
            <w:pPr>
              <w:pStyle w:val="051Tabletext228pt"/>
              <w:keepNext/>
              <w:rPr>
                <w:lang w:val="en-US"/>
              </w:rPr>
            </w:pPr>
            <w:proofErr w:type="spellStart"/>
            <w:r w:rsidRPr="00F56F21">
              <w:rPr>
                <w:lang w:val="en-US"/>
              </w:rPr>
              <w:t>Kemler</w:t>
            </w:r>
            <w:proofErr w:type="spellEnd"/>
            <w:r w:rsidRPr="00F56F21">
              <w:rPr>
                <w:lang w:val="en-US"/>
              </w:rPr>
              <w:t xml:space="preserve"> 2000</w:t>
            </w:r>
          </w:p>
        </w:tc>
        <w:tc>
          <w:tcPr>
            <w:tcW w:w="3760" w:type="pct"/>
            <w:tcBorders>
              <w:top w:val="single" w:sz="4" w:space="0" w:color="auto"/>
            </w:tcBorders>
          </w:tcPr>
          <w:p w14:paraId="702FFCA2" w14:textId="77777777" w:rsidR="002252DB" w:rsidRPr="00F56F21" w:rsidRDefault="002252DB">
            <w:pPr>
              <w:pStyle w:val="051Tabletext228pt"/>
              <w:keepNext/>
              <w:rPr>
                <w:lang w:val="en-US"/>
              </w:rPr>
            </w:pPr>
            <w:r w:rsidRPr="00F56F21">
              <w:rPr>
                <w:lang w:val="en-US"/>
              </w:rPr>
              <w:t>Spinal cord stimulation in patients with chronic reflex sympathetic dystrophy</w:t>
            </w:r>
          </w:p>
        </w:tc>
      </w:tr>
      <w:tr w:rsidR="002252DB" w:rsidRPr="00F56F21" w14:paraId="777B9B40" w14:textId="77777777" w:rsidTr="00FE41DA">
        <w:tc>
          <w:tcPr>
            <w:tcW w:w="647" w:type="pct"/>
            <w:tcBorders>
              <w:top w:val="nil"/>
              <w:bottom w:val="nil"/>
            </w:tcBorders>
          </w:tcPr>
          <w:p w14:paraId="0566E2A6" w14:textId="77777777" w:rsidR="002252DB" w:rsidRPr="00F56F21" w:rsidRDefault="002252DB">
            <w:pPr>
              <w:pStyle w:val="051Tabletext228pt"/>
              <w:keepNext/>
              <w:rPr>
                <w:lang w:val="en-US"/>
              </w:rPr>
            </w:pPr>
          </w:p>
        </w:tc>
        <w:tc>
          <w:tcPr>
            <w:tcW w:w="593" w:type="pct"/>
          </w:tcPr>
          <w:p w14:paraId="5711B306" w14:textId="77777777" w:rsidR="002252DB" w:rsidRPr="00F56F21" w:rsidRDefault="002252DB">
            <w:pPr>
              <w:pStyle w:val="051Tabletext228pt"/>
              <w:keepNext/>
              <w:rPr>
                <w:lang w:val="en-US"/>
              </w:rPr>
            </w:pPr>
            <w:proofErr w:type="spellStart"/>
            <w:r w:rsidRPr="00F56F21">
              <w:rPr>
                <w:lang w:val="en-US"/>
              </w:rPr>
              <w:t>Kemler</w:t>
            </w:r>
            <w:proofErr w:type="spellEnd"/>
            <w:r w:rsidRPr="00F56F21">
              <w:rPr>
                <w:lang w:val="en-US"/>
              </w:rPr>
              <w:t xml:space="preserve"> 2002</w:t>
            </w:r>
          </w:p>
        </w:tc>
        <w:tc>
          <w:tcPr>
            <w:tcW w:w="3760" w:type="pct"/>
          </w:tcPr>
          <w:p w14:paraId="5D0DDA46" w14:textId="77777777" w:rsidR="002252DB" w:rsidRPr="00F56F21" w:rsidRDefault="002252DB">
            <w:pPr>
              <w:pStyle w:val="051Tabletext228pt"/>
              <w:keepNext/>
              <w:rPr>
                <w:lang w:val="en-US"/>
              </w:rPr>
            </w:pPr>
            <w:r w:rsidRPr="00F56F21">
              <w:rPr>
                <w:lang w:val="en-US"/>
              </w:rPr>
              <w:t>Economic evaluation of spinal cord stimulation for chronic reflex sympathetic dystrophy</w:t>
            </w:r>
          </w:p>
        </w:tc>
      </w:tr>
      <w:tr w:rsidR="002252DB" w:rsidRPr="00F56F21" w14:paraId="36E0DF85" w14:textId="77777777" w:rsidTr="00FE41DA">
        <w:tc>
          <w:tcPr>
            <w:tcW w:w="647" w:type="pct"/>
            <w:tcBorders>
              <w:top w:val="nil"/>
              <w:bottom w:val="nil"/>
            </w:tcBorders>
          </w:tcPr>
          <w:p w14:paraId="5BFFCEB3" w14:textId="77777777" w:rsidR="002252DB" w:rsidRPr="00F56F21" w:rsidRDefault="002252DB">
            <w:pPr>
              <w:pStyle w:val="051Tabletext228pt"/>
              <w:keepNext/>
              <w:rPr>
                <w:lang w:val="en-US"/>
              </w:rPr>
            </w:pPr>
          </w:p>
        </w:tc>
        <w:tc>
          <w:tcPr>
            <w:tcW w:w="593" w:type="pct"/>
          </w:tcPr>
          <w:p w14:paraId="7FA98AF4" w14:textId="77777777" w:rsidR="002252DB" w:rsidRPr="00F56F21" w:rsidRDefault="002252DB">
            <w:pPr>
              <w:pStyle w:val="051Tabletext228pt"/>
              <w:keepNext/>
              <w:rPr>
                <w:lang w:val="en-US"/>
              </w:rPr>
            </w:pPr>
            <w:proofErr w:type="spellStart"/>
            <w:r w:rsidRPr="00F56F21">
              <w:rPr>
                <w:lang w:val="en-US"/>
              </w:rPr>
              <w:t>Kemler</w:t>
            </w:r>
            <w:proofErr w:type="spellEnd"/>
            <w:r w:rsidRPr="00F56F21">
              <w:rPr>
                <w:lang w:val="en-US"/>
              </w:rPr>
              <w:t xml:space="preserve"> 2004</w:t>
            </w:r>
          </w:p>
        </w:tc>
        <w:tc>
          <w:tcPr>
            <w:tcW w:w="3760" w:type="pct"/>
          </w:tcPr>
          <w:p w14:paraId="2644C25B" w14:textId="77777777" w:rsidR="002252DB" w:rsidRPr="00F56F21" w:rsidRDefault="002252DB">
            <w:pPr>
              <w:pStyle w:val="051Tabletext228pt"/>
              <w:keepNext/>
              <w:rPr>
                <w:lang w:val="en-US"/>
              </w:rPr>
            </w:pPr>
            <w:r w:rsidRPr="00F56F21">
              <w:rPr>
                <w:lang w:val="en-US"/>
              </w:rPr>
              <w:t>The effect of spinal cord stimulation in patients with chronic reflex sympathetic dystrophy: two years' follow-up of the randomized controlled trial</w:t>
            </w:r>
          </w:p>
        </w:tc>
      </w:tr>
      <w:tr w:rsidR="002252DB" w:rsidRPr="00F56F21" w14:paraId="3D10CF37" w14:textId="77777777" w:rsidTr="00FE41DA">
        <w:tc>
          <w:tcPr>
            <w:tcW w:w="647" w:type="pct"/>
            <w:tcBorders>
              <w:top w:val="nil"/>
              <w:bottom w:val="single" w:sz="4" w:space="0" w:color="auto"/>
            </w:tcBorders>
          </w:tcPr>
          <w:p w14:paraId="6BEBCF93" w14:textId="77777777" w:rsidR="002252DB" w:rsidRPr="00F56F21" w:rsidRDefault="002252DB">
            <w:pPr>
              <w:pStyle w:val="051Tabletext228pt"/>
              <w:rPr>
                <w:lang w:val="en-US"/>
              </w:rPr>
            </w:pPr>
          </w:p>
        </w:tc>
        <w:tc>
          <w:tcPr>
            <w:tcW w:w="593" w:type="pct"/>
            <w:tcBorders>
              <w:bottom w:val="single" w:sz="4" w:space="0" w:color="auto"/>
            </w:tcBorders>
          </w:tcPr>
          <w:p w14:paraId="50872792" w14:textId="77777777" w:rsidR="002252DB" w:rsidRPr="00F56F21" w:rsidRDefault="002252DB">
            <w:pPr>
              <w:pStyle w:val="051Tabletext228pt"/>
              <w:rPr>
                <w:lang w:val="en-US"/>
              </w:rPr>
            </w:pPr>
            <w:proofErr w:type="spellStart"/>
            <w:r w:rsidRPr="00F56F21">
              <w:rPr>
                <w:lang w:val="en-US"/>
              </w:rPr>
              <w:t>Kemler</w:t>
            </w:r>
            <w:proofErr w:type="spellEnd"/>
            <w:r w:rsidRPr="00F56F21">
              <w:rPr>
                <w:lang w:val="en-US"/>
              </w:rPr>
              <w:t xml:space="preserve"> 2008</w:t>
            </w:r>
          </w:p>
        </w:tc>
        <w:tc>
          <w:tcPr>
            <w:tcW w:w="3760" w:type="pct"/>
            <w:tcBorders>
              <w:bottom w:val="single" w:sz="4" w:space="0" w:color="auto"/>
            </w:tcBorders>
          </w:tcPr>
          <w:p w14:paraId="6C05FEE7" w14:textId="77777777" w:rsidR="002252DB" w:rsidRPr="00F56F21" w:rsidRDefault="002252DB">
            <w:pPr>
              <w:pStyle w:val="051Tabletext228pt"/>
              <w:rPr>
                <w:lang w:val="en-US"/>
              </w:rPr>
            </w:pPr>
            <w:r w:rsidRPr="00F56F21">
              <w:rPr>
                <w:lang w:val="en-US"/>
              </w:rPr>
              <w:t>Effect of spinal cord stimulation for chronic complex regional pain syndrome Type I: five-year final follow-up of patients in a randomized controlled trial</w:t>
            </w:r>
          </w:p>
        </w:tc>
      </w:tr>
      <w:tr w:rsidR="002252DB" w:rsidRPr="00F56F21" w14:paraId="08FC4D0F" w14:textId="77777777" w:rsidTr="00FE41DA">
        <w:tc>
          <w:tcPr>
            <w:tcW w:w="647" w:type="pct"/>
            <w:tcBorders>
              <w:top w:val="single" w:sz="4" w:space="0" w:color="auto"/>
              <w:bottom w:val="nil"/>
            </w:tcBorders>
          </w:tcPr>
          <w:p w14:paraId="48EA4F04" w14:textId="77777777" w:rsidR="002252DB" w:rsidRPr="00852E94" w:rsidRDefault="002252DB">
            <w:pPr>
              <w:pStyle w:val="051Tabletext228pt"/>
              <w:keepNext/>
              <w:rPr>
                <w:i/>
                <w:iCs/>
                <w:lang w:val="en-US"/>
              </w:rPr>
            </w:pPr>
            <w:proofErr w:type="spellStart"/>
            <w:r w:rsidRPr="00852E94">
              <w:rPr>
                <w:i/>
                <w:iCs/>
                <w:lang w:val="en-US"/>
              </w:rPr>
              <w:t>Kriek</w:t>
            </w:r>
            <w:proofErr w:type="spellEnd"/>
            <w:r w:rsidRPr="00852E94">
              <w:rPr>
                <w:i/>
                <w:iCs/>
                <w:lang w:val="en-US"/>
              </w:rPr>
              <w:t xml:space="preserve"> 2017</w:t>
            </w:r>
          </w:p>
        </w:tc>
        <w:tc>
          <w:tcPr>
            <w:tcW w:w="593" w:type="pct"/>
            <w:tcBorders>
              <w:top w:val="single" w:sz="4" w:space="0" w:color="auto"/>
            </w:tcBorders>
          </w:tcPr>
          <w:p w14:paraId="5FE624B8" w14:textId="77777777" w:rsidR="002252DB" w:rsidRPr="00F56F21" w:rsidRDefault="002252DB">
            <w:pPr>
              <w:pStyle w:val="051Tabletext228pt"/>
              <w:keepNext/>
              <w:rPr>
                <w:lang w:val="en-US"/>
              </w:rPr>
            </w:pPr>
            <w:proofErr w:type="spellStart"/>
            <w:r w:rsidRPr="00F56F21">
              <w:rPr>
                <w:lang w:val="en-US"/>
              </w:rPr>
              <w:t>Kriek</w:t>
            </w:r>
            <w:proofErr w:type="spellEnd"/>
            <w:r w:rsidRPr="00F56F21">
              <w:rPr>
                <w:lang w:val="en-US"/>
              </w:rPr>
              <w:t xml:space="preserve"> 2014</w:t>
            </w:r>
          </w:p>
        </w:tc>
        <w:tc>
          <w:tcPr>
            <w:tcW w:w="3760" w:type="pct"/>
            <w:tcBorders>
              <w:top w:val="single" w:sz="4" w:space="0" w:color="auto"/>
            </w:tcBorders>
          </w:tcPr>
          <w:p w14:paraId="1B1B7FA3" w14:textId="77777777" w:rsidR="002252DB" w:rsidRPr="00F56F21" w:rsidRDefault="002252DB">
            <w:pPr>
              <w:pStyle w:val="051Tabletext228pt"/>
              <w:keepNext/>
              <w:rPr>
                <w:lang w:val="en-US"/>
              </w:rPr>
            </w:pPr>
            <w:r w:rsidRPr="00F56F21">
              <w:rPr>
                <w:lang w:val="en-US"/>
              </w:rPr>
              <w:t>High frequency and burst spinal cord stimulations in patients with complex regional pain syndrome: A randomized placebo controlled trial</w:t>
            </w:r>
          </w:p>
        </w:tc>
      </w:tr>
      <w:tr w:rsidR="002252DB" w:rsidRPr="00F56F21" w14:paraId="18ACF267" w14:textId="77777777" w:rsidTr="00FE41DA">
        <w:tc>
          <w:tcPr>
            <w:tcW w:w="647" w:type="pct"/>
            <w:tcBorders>
              <w:top w:val="nil"/>
              <w:bottom w:val="nil"/>
            </w:tcBorders>
          </w:tcPr>
          <w:p w14:paraId="5224FECE" w14:textId="77777777" w:rsidR="002252DB" w:rsidRPr="00F56F21" w:rsidRDefault="002252DB">
            <w:pPr>
              <w:pStyle w:val="051Tabletext228pt"/>
              <w:keepNext/>
              <w:ind w:left="113"/>
              <w:rPr>
                <w:lang w:val="en-US"/>
              </w:rPr>
            </w:pPr>
            <w:r w:rsidRPr="00F56F21">
              <w:rPr>
                <w:lang w:val="en-US"/>
              </w:rPr>
              <w:t>ISRCTN36655259</w:t>
            </w:r>
          </w:p>
        </w:tc>
        <w:tc>
          <w:tcPr>
            <w:tcW w:w="593" w:type="pct"/>
          </w:tcPr>
          <w:p w14:paraId="7050142D" w14:textId="77777777" w:rsidR="002252DB" w:rsidRPr="00F56F21" w:rsidRDefault="002252DB">
            <w:pPr>
              <w:pStyle w:val="051Tabletext228pt"/>
              <w:keepNext/>
              <w:rPr>
                <w:lang w:val="en-US"/>
              </w:rPr>
            </w:pPr>
            <w:proofErr w:type="spellStart"/>
            <w:r w:rsidRPr="00F56F21">
              <w:rPr>
                <w:lang w:val="en-US"/>
              </w:rPr>
              <w:t>Kriek</w:t>
            </w:r>
            <w:proofErr w:type="spellEnd"/>
            <w:r w:rsidRPr="00F56F21">
              <w:rPr>
                <w:lang w:val="en-US"/>
              </w:rPr>
              <w:t xml:space="preserve"> 2015</w:t>
            </w:r>
          </w:p>
        </w:tc>
        <w:tc>
          <w:tcPr>
            <w:tcW w:w="3760" w:type="pct"/>
          </w:tcPr>
          <w:p w14:paraId="4B22FF67" w14:textId="77777777" w:rsidR="002252DB" w:rsidRPr="00F56F21" w:rsidRDefault="002252DB">
            <w:pPr>
              <w:pStyle w:val="051Tabletext228pt"/>
              <w:keepNext/>
              <w:rPr>
                <w:lang w:val="en-US"/>
              </w:rPr>
            </w:pPr>
            <w:r w:rsidRPr="00F56F21">
              <w:rPr>
                <w:lang w:val="en-US"/>
              </w:rPr>
              <w:t>Comparison of tonic spinal cord stimulation, high-frequency and burst stimulation in patients with complex regional pain syndrome: a double-blind, randomised placebo controlled trial</w:t>
            </w:r>
          </w:p>
        </w:tc>
      </w:tr>
      <w:tr w:rsidR="002252DB" w:rsidRPr="00F56F21" w14:paraId="5154BAD6" w14:textId="77777777" w:rsidTr="00FE41DA">
        <w:tc>
          <w:tcPr>
            <w:tcW w:w="647" w:type="pct"/>
            <w:tcBorders>
              <w:top w:val="nil"/>
              <w:bottom w:val="single" w:sz="4" w:space="0" w:color="auto"/>
            </w:tcBorders>
          </w:tcPr>
          <w:p w14:paraId="3DDC270B" w14:textId="77777777" w:rsidR="002252DB" w:rsidRPr="00F56F21" w:rsidRDefault="002252DB">
            <w:pPr>
              <w:pStyle w:val="051Tabletext228pt"/>
              <w:rPr>
                <w:lang w:val="en-US"/>
              </w:rPr>
            </w:pPr>
          </w:p>
        </w:tc>
        <w:tc>
          <w:tcPr>
            <w:tcW w:w="593" w:type="pct"/>
            <w:tcBorders>
              <w:bottom w:val="single" w:sz="4" w:space="0" w:color="auto"/>
            </w:tcBorders>
          </w:tcPr>
          <w:p w14:paraId="41D2B1BB" w14:textId="77777777" w:rsidR="002252DB" w:rsidRPr="00F56F21" w:rsidRDefault="002252DB">
            <w:pPr>
              <w:pStyle w:val="051Tabletext228pt"/>
              <w:rPr>
                <w:lang w:val="en-US"/>
              </w:rPr>
            </w:pPr>
            <w:proofErr w:type="spellStart"/>
            <w:r w:rsidRPr="00F56F21">
              <w:rPr>
                <w:lang w:val="en-US"/>
              </w:rPr>
              <w:t>Kriek</w:t>
            </w:r>
            <w:proofErr w:type="spellEnd"/>
            <w:r w:rsidRPr="00F56F21">
              <w:rPr>
                <w:lang w:val="en-US"/>
              </w:rPr>
              <w:t xml:space="preserve"> 2017</w:t>
            </w:r>
          </w:p>
        </w:tc>
        <w:tc>
          <w:tcPr>
            <w:tcW w:w="3760" w:type="pct"/>
            <w:tcBorders>
              <w:bottom w:val="single" w:sz="4" w:space="0" w:color="auto"/>
            </w:tcBorders>
          </w:tcPr>
          <w:p w14:paraId="4AF91984" w14:textId="77777777" w:rsidR="002252DB" w:rsidRPr="00F56F21" w:rsidRDefault="002252DB">
            <w:pPr>
              <w:pStyle w:val="051Tabletext228pt"/>
              <w:rPr>
                <w:lang w:val="en-US"/>
              </w:rPr>
            </w:pPr>
            <w:r w:rsidRPr="00F56F21">
              <w:rPr>
                <w:lang w:val="en-US"/>
              </w:rPr>
              <w:t xml:space="preserve">Preferred frequencies and waveforms for spinal cord stimulation in patients with complex regional pain syndrome: A </w:t>
            </w:r>
            <w:proofErr w:type="spellStart"/>
            <w:r w:rsidRPr="00F56F21">
              <w:rPr>
                <w:lang w:val="en-US"/>
              </w:rPr>
              <w:t>multicentre</w:t>
            </w:r>
            <w:proofErr w:type="spellEnd"/>
            <w:r w:rsidRPr="00F56F21">
              <w:rPr>
                <w:lang w:val="en-US"/>
              </w:rPr>
              <w:t>, double-blind, randomized and placebo-controlled crossover trial</w:t>
            </w:r>
          </w:p>
        </w:tc>
      </w:tr>
      <w:tr w:rsidR="002252DB" w:rsidRPr="00F56F21" w14:paraId="48D6A55B" w14:textId="77777777" w:rsidTr="00FE41DA">
        <w:tc>
          <w:tcPr>
            <w:tcW w:w="647" w:type="pct"/>
            <w:tcBorders>
              <w:top w:val="single" w:sz="4" w:space="0" w:color="auto"/>
              <w:bottom w:val="nil"/>
            </w:tcBorders>
          </w:tcPr>
          <w:p w14:paraId="3A90946F" w14:textId="77777777" w:rsidR="002252DB" w:rsidRPr="00852E94" w:rsidRDefault="002252DB">
            <w:pPr>
              <w:pStyle w:val="051Tabletext228pt"/>
              <w:keepNext/>
              <w:rPr>
                <w:i/>
                <w:iCs/>
                <w:lang w:val="en-US"/>
              </w:rPr>
            </w:pPr>
            <w:r w:rsidRPr="00852E94">
              <w:rPr>
                <w:i/>
                <w:iCs/>
                <w:lang w:val="en-US"/>
              </w:rPr>
              <w:t>Lind 2015</w:t>
            </w:r>
          </w:p>
        </w:tc>
        <w:tc>
          <w:tcPr>
            <w:tcW w:w="593" w:type="pct"/>
            <w:tcBorders>
              <w:top w:val="single" w:sz="4" w:space="0" w:color="auto"/>
            </w:tcBorders>
          </w:tcPr>
          <w:p w14:paraId="579B475B" w14:textId="77777777" w:rsidR="002252DB" w:rsidRPr="00F56F21" w:rsidRDefault="002252DB">
            <w:pPr>
              <w:pStyle w:val="051Tabletext228pt"/>
              <w:keepNext/>
              <w:rPr>
                <w:lang w:val="en-US"/>
              </w:rPr>
            </w:pPr>
            <w:proofErr w:type="spellStart"/>
            <w:r w:rsidRPr="00F56F21">
              <w:rPr>
                <w:lang w:val="en-US"/>
              </w:rPr>
              <w:t>Hellström</w:t>
            </w:r>
            <w:proofErr w:type="spellEnd"/>
            <w:r w:rsidRPr="00F56F21">
              <w:rPr>
                <w:lang w:val="en-US"/>
              </w:rPr>
              <w:t xml:space="preserve"> 2013</w:t>
            </w:r>
          </w:p>
        </w:tc>
        <w:tc>
          <w:tcPr>
            <w:tcW w:w="3760" w:type="pct"/>
            <w:tcBorders>
              <w:top w:val="single" w:sz="4" w:space="0" w:color="auto"/>
            </w:tcBorders>
          </w:tcPr>
          <w:p w14:paraId="7B0D5083" w14:textId="77777777" w:rsidR="002252DB" w:rsidRPr="00F56F21" w:rsidRDefault="002252DB">
            <w:pPr>
              <w:pStyle w:val="051Tabletext228pt"/>
              <w:keepNext/>
              <w:rPr>
                <w:lang w:val="en-US"/>
              </w:rPr>
            </w:pPr>
            <w:r w:rsidRPr="00F56F21">
              <w:rPr>
                <w:lang w:val="en-US"/>
              </w:rPr>
              <w:t>Spinal cord stimulation in the irritable bowel syndrome-a randomized cross-over trial</w:t>
            </w:r>
          </w:p>
        </w:tc>
      </w:tr>
      <w:tr w:rsidR="002252DB" w:rsidRPr="00F56F21" w14:paraId="5704CB60" w14:textId="77777777" w:rsidTr="00FE41DA">
        <w:tc>
          <w:tcPr>
            <w:tcW w:w="647" w:type="pct"/>
            <w:tcBorders>
              <w:top w:val="nil"/>
              <w:bottom w:val="single" w:sz="4" w:space="0" w:color="auto"/>
            </w:tcBorders>
          </w:tcPr>
          <w:p w14:paraId="6D925FF5" w14:textId="77777777" w:rsidR="002252DB" w:rsidRPr="00F56F21" w:rsidRDefault="002252DB">
            <w:pPr>
              <w:pStyle w:val="051Tabletext228pt"/>
              <w:rPr>
                <w:lang w:val="en-US"/>
              </w:rPr>
            </w:pPr>
          </w:p>
        </w:tc>
        <w:tc>
          <w:tcPr>
            <w:tcW w:w="593" w:type="pct"/>
            <w:tcBorders>
              <w:bottom w:val="single" w:sz="4" w:space="0" w:color="auto"/>
            </w:tcBorders>
          </w:tcPr>
          <w:p w14:paraId="23783A49" w14:textId="77777777" w:rsidR="002252DB" w:rsidRPr="00F56F21" w:rsidRDefault="002252DB">
            <w:pPr>
              <w:pStyle w:val="051Tabletext228pt"/>
              <w:rPr>
                <w:lang w:val="en-US"/>
              </w:rPr>
            </w:pPr>
            <w:r w:rsidRPr="00F56F21">
              <w:rPr>
                <w:lang w:val="en-US"/>
              </w:rPr>
              <w:t>Lind 2015</w:t>
            </w:r>
          </w:p>
        </w:tc>
        <w:tc>
          <w:tcPr>
            <w:tcW w:w="3760" w:type="pct"/>
            <w:tcBorders>
              <w:bottom w:val="single" w:sz="4" w:space="0" w:color="auto"/>
            </w:tcBorders>
          </w:tcPr>
          <w:p w14:paraId="5660B4CC" w14:textId="77777777" w:rsidR="002252DB" w:rsidRPr="00F56F21" w:rsidRDefault="002252DB">
            <w:pPr>
              <w:pStyle w:val="051Tabletext228pt"/>
              <w:rPr>
                <w:lang w:val="en-US"/>
              </w:rPr>
            </w:pPr>
            <w:r w:rsidRPr="00F56F21">
              <w:rPr>
                <w:lang w:val="en-US"/>
              </w:rPr>
              <w:t>Therapeutic value of spinal cord stimulation in irritable bowel syndrome: a randomized crossover pilot study</w:t>
            </w:r>
          </w:p>
        </w:tc>
      </w:tr>
      <w:tr w:rsidR="002252DB" w:rsidRPr="00F56F21" w14:paraId="3F52FBAD" w14:textId="77777777" w:rsidTr="00FE41DA">
        <w:tc>
          <w:tcPr>
            <w:tcW w:w="647" w:type="pct"/>
            <w:tcBorders>
              <w:top w:val="single" w:sz="4" w:space="0" w:color="auto"/>
              <w:bottom w:val="nil"/>
            </w:tcBorders>
          </w:tcPr>
          <w:p w14:paraId="6DFB16D6" w14:textId="77777777" w:rsidR="002252DB" w:rsidRDefault="002252DB">
            <w:pPr>
              <w:pStyle w:val="051Tabletext228pt"/>
              <w:keepNext/>
              <w:rPr>
                <w:b/>
                <w:bCs/>
                <w:lang w:val="en-US"/>
              </w:rPr>
            </w:pPr>
            <w:r w:rsidRPr="00B0257A">
              <w:rPr>
                <w:b/>
                <w:bCs/>
                <w:lang w:val="en-US"/>
              </w:rPr>
              <w:t>NSRBP-RCT</w:t>
            </w:r>
          </w:p>
          <w:p w14:paraId="54A7FE56" w14:textId="77777777" w:rsidR="002252DB" w:rsidRPr="00B0257A" w:rsidRDefault="002252DB">
            <w:pPr>
              <w:pStyle w:val="051Tabletext228pt"/>
              <w:keepNext/>
              <w:ind w:left="113"/>
              <w:rPr>
                <w:b/>
                <w:bCs/>
                <w:lang w:val="en-US"/>
              </w:rPr>
            </w:pPr>
            <w:r w:rsidRPr="00F56F21">
              <w:rPr>
                <w:lang w:val="en-US"/>
              </w:rPr>
              <w:t>ISRCTN87648175/</w:t>
            </w:r>
          </w:p>
        </w:tc>
        <w:tc>
          <w:tcPr>
            <w:tcW w:w="593" w:type="pct"/>
            <w:tcBorders>
              <w:top w:val="single" w:sz="4" w:space="0" w:color="auto"/>
            </w:tcBorders>
          </w:tcPr>
          <w:p w14:paraId="4BD506FA" w14:textId="77777777" w:rsidR="002252DB" w:rsidRPr="00F56F21" w:rsidRDefault="002252DB">
            <w:pPr>
              <w:pStyle w:val="051Tabletext228pt"/>
              <w:keepNext/>
              <w:rPr>
                <w:lang w:val="en-US"/>
              </w:rPr>
            </w:pPr>
            <w:proofErr w:type="spellStart"/>
            <w:r w:rsidRPr="00F56F21">
              <w:rPr>
                <w:lang w:val="en-US"/>
              </w:rPr>
              <w:t>Kapural</w:t>
            </w:r>
            <w:proofErr w:type="spellEnd"/>
            <w:r w:rsidRPr="00F56F21">
              <w:rPr>
                <w:lang w:val="en-US"/>
              </w:rPr>
              <w:t xml:space="preserve"> 2022</w:t>
            </w:r>
          </w:p>
        </w:tc>
        <w:tc>
          <w:tcPr>
            <w:tcW w:w="3760" w:type="pct"/>
            <w:tcBorders>
              <w:top w:val="single" w:sz="4" w:space="0" w:color="auto"/>
            </w:tcBorders>
          </w:tcPr>
          <w:p w14:paraId="46798793" w14:textId="77777777" w:rsidR="002252DB" w:rsidRPr="00F56F21" w:rsidRDefault="002252DB">
            <w:pPr>
              <w:pStyle w:val="051Tabletext228pt"/>
              <w:keepNext/>
              <w:rPr>
                <w:lang w:val="en-US"/>
              </w:rPr>
            </w:pPr>
            <w:r w:rsidRPr="00F56F21">
              <w:rPr>
                <w:lang w:val="en-US"/>
              </w:rPr>
              <w:t>Treatment of nonsurgical refractory back pain with high-frequency spinal cord stimulation at 10 kHz: 12-month results of a pragmatic, multicenter, randomized controlled trial</w:t>
            </w:r>
          </w:p>
        </w:tc>
      </w:tr>
      <w:tr w:rsidR="002252DB" w:rsidRPr="00F56F21" w14:paraId="7C444D45" w14:textId="77777777" w:rsidTr="00FE41DA">
        <w:tc>
          <w:tcPr>
            <w:tcW w:w="647" w:type="pct"/>
            <w:tcBorders>
              <w:top w:val="nil"/>
              <w:bottom w:val="nil"/>
            </w:tcBorders>
          </w:tcPr>
          <w:p w14:paraId="6D8DFD8D" w14:textId="77777777" w:rsidR="002252DB" w:rsidRPr="00F56F21" w:rsidRDefault="002252DB">
            <w:pPr>
              <w:pStyle w:val="051Tabletext228pt"/>
              <w:keepNext/>
              <w:ind w:left="113"/>
              <w:rPr>
                <w:lang w:val="en-US"/>
              </w:rPr>
            </w:pPr>
            <w:r w:rsidRPr="00F56F21">
              <w:rPr>
                <w:lang w:val="en-US"/>
              </w:rPr>
              <w:t>NCT03680846</w:t>
            </w:r>
          </w:p>
        </w:tc>
        <w:tc>
          <w:tcPr>
            <w:tcW w:w="593" w:type="pct"/>
          </w:tcPr>
          <w:p w14:paraId="7B450507" w14:textId="77777777" w:rsidR="002252DB" w:rsidRPr="00F56F21" w:rsidRDefault="002252DB">
            <w:pPr>
              <w:pStyle w:val="051Tabletext228pt"/>
              <w:keepNext/>
              <w:rPr>
                <w:lang w:val="en-US"/>
              </w:rPr>
            </w:pPr>
            <w:r w:rsidRPr="00F56F21">
              <w:rPr>
                <w:lang w:val="en-US"/>
              </w:rPr>
              <w:t>Patel 2021</w:t>
            </w:r>
          </w:p>
        </w:tc>
        <w:tc>
          <w:tcPr>
            <w:tcW w:w="3760" w:type="pct"/>
          </w:tcPr>
          <w:p w14:paraId="21DED2A8" w14:textId="77777777" w:rsidR="002252DB" w:rsidRPr="00F56F21" w:rsidRDefault="002252DB">
            <w:pPr>
              <w:pStyle w:val="051Tabletext228pt"/>
              <w:keepNext/>
              <w:rPr>
                <w:lang w:val="en-US"/>
              </w:rPr>
            </w:pPr>
            <w:r w:rsidRPr="00F56F21">
              <w:rPr>
                <w:lang w:val="en-US"/>
              </w:rPr>
              <w:t>High-Frequency Spinal Cord Stimulation at 10 kHz for the Treatment of Nonsurgical Refractory Back Pain: Design of a Pragmatic, Multicenter, Randomized Controlled Trial</w:t>
            </w:r>
          </w:p>
        </w:tc>
      </w:tr>
      <w:tr w:rsidR="002252DB" w:rsidRPr="00F56F21" w14:paraId="22687FD4" w14:textId="77777777" w:rsidTr="00FE41DA">
        <w:tc>
          <w:tcPr>
            <w:tcW w:w="647" w:type="pct"/>
            <w:tcBorders>
              <w:top w:val="nil"/>
              <w:bottom w:val="single" w:sz="4" w:space="0" w:color="auto"/>
            </w:tcBorders>
          </w:tcPr>
          <w:p w14:paraId="635552E4" w14:textId="77777777" w:rsidR="002252DB" w:rsidRPr="00F56F21" w:rsidRDefault="002252DB">
            <w:pPr>
              <w:pStyle w:val="051Tabletext228pt"/>
              <w:rPr>
                <w:lang w:val="en-US"/>
              </w:rPr>
            </w:pPr>
          </w:p>
        </w:tc>
        <w:tc>
          <w:tcPr>
            <w:tcW w:w="593" w:type="pct"/>
            <w:tcBorders>
              <w:bottom w:val="single" w:sz="4" w:space="0" w:color="auto"/>
            </w:tcBorders>
          </w:tcPr>
          <w:p w14:paraId="5B59D45C" w14:textId="77777777" w:rsidR="002252DB" w:rsidRPr="00F56F21" w:rsidRDefault="002252DB">
            <w:pPr>
              <w:pStyle w:val="051Tabletext228pt"/>
              <w:rPr>
                <w:lang w:val="en-US"/>
              </w:rPr>
            </w:pPr>
            <w:r w:rsidRPr="00F56F21">
              <w:rPr>
                <w:lang w:val="en-US"/>
              </w:rPr>
              <w:t>Province-</w:t>
            </w:r>
            <w:proofErr w:type="spellStart"/>
            <w:r w:rsidRPr="00F56F21">
              <w:rPr>
                <w:lang w:val="en-US"/>
              </w:rPr>
              <w:t>Azalde</w:t>
            </w:r>
            <w:proofErr w:type="spellEnd"/>
            <w:r w:rsidRPr="00F56F21">
              <w:rPr>
                <w:lang w:val="en-US"/>
              </w:rPr>
              <w:t xml:space="preserve"> 2019</w:t>
            </w:r>
          </w:p>
        </w:tc>
        <w:tc>
          <w:tcPr>
            <w:tcW w:w="3760" w:type="pct"/>
            <w:tcBorders>
              <w:bottom w:val="single" w:sz="4" w:space="0" w:color="auto"/>
            </w:tcBorders>
          </w:tcPr>
          <w:p w14:paraId="2034BDF7" w14:textId="77777777" w:rsidR="002252DB" w:rsidRPr="00F56F21" w:rsidRDefault="002252DB">
            <w:pPr>
              <w:pStyle w:val="051Tabletext228pt"/>
              <w:rPr>
                <w:lang w:val="en-US"/>
              </w:rPr>
            </w:pPr>
            <w:r w:rsidRPr="00F56F21">
              <w:rPr>
                <w:lang w:val="en-US"/>
              </w:rPr>
              <w:t>Taking spinal cord stimulation beyond failed back surgery syndrome: Design of a multicenter RCT</w:t>
            </w:r>
          </w:p>
        </w:tc>
      </w:tr>
      <w:tr w:rsidR="002252DB" w:rsidRPr="00F56F21" w14:paraId="3C8332AF" w14:textId="77777777" w:rsidTr="00FE41DA">
        <w:tc>
          <w:tcPr>
            <w:tcW w:w="647" w:type="pct"/>
            <w:tcBorders>
              <w:top w:val="single" w:sz="4" w:space="0" w:color="auto"/>
              <w:bottom w:val="single" w:sz="4" w:space="0" w:color="auto"/>
            </w:tcBorders>
          </w:tcPr>
          <w:p w14:paraId="1DFCAC5A" w14:textId="77777777" w:rsidR="002252DB" w:rsidRPr="00852E94" w:rsidRDefault="002252DB">
            <w:pPr>
              <w:pStyle w:val="051Tabletext228pt"/>
              <w:rPr>
                <w:i/>
                <w:iCs/>
                <w:lang w:val="en-US"/>
              </w:rPr>
            </w:pPr>
            <w:proofErr w:type="spellStart"/>
            <w:r w:rsidRPr="00852E94">
              <w:rPr>
                <w:i/>
                <w:iCs/>
                <w:lang w:val="en-US"/>
              </w:rPr>
              <w:t>Perruchoud</w:t>
            </w:r>
            <w:proofErr w:type="spellEnd"/>
            <w:r w:rsidRPr="00852E94">
              <w:rPr>
                <w:i/>
                <w:iCs/>
                <w:lang w:val="en-US"/>
              </w:rPr>
              <w:t xml:space="preserve"> 2013</w:t>
            </w:r>
          </w:p>
        </w:tc>
        <w:tc>
          <w:tcPr>
            <w:tcW w:w="593" w:type="pct"/>
            <w:tcBorders>
              <w:top w:val="single" w:sz="4" w:space="0" w:color="auto"/>
              <w:bottom w:val="single" w:sz="4" w:space="0" w:color="auto"/>
            </w:tcBorders>
          </w:tcPr>
          <w:p w14:paraId="016CC55A" w14:textId="77777777" w:rsidR="002252DB" w:rsidRPr="00F56F21" w:rsidRDefault="002252DB">
            <w:pPr>
              <w:pStyle w:val="051Tabletext228pt"/>
              <w:rPr>
                <w:lang w:val="en-US"/>
              </w:rPr>
            </w:pPr>
            <w:proofErr w:type="spellStart"/>
            <w:r w:rsidRPr="00F56F21">
              <w:rPr>
                <w:lang w:val="en-US"/>
              </w:rPr>
              <w:t>Perruchoud</w:t>
            </w:r>
            <w:proofErr w:type="spellEnd"/>
            <w:r w:rsidRPr="00F56F21">
              <w:rPr>
                <w:lang w:val="en-US"/>
              </w:rPr>
              <w:t xml:space="preserve"> 2013</w:t>
            </w:r>
          </w:p>
        </w:tc>
        <w:tc>
          <w:tcPr>
            <w:tcW w:w="3760" w:type="pct"/>
            <w:tcBorders>
              <w:top w:val="single" w:sz="4" w:space="0" w:color="auto"/>
              <w:bottom w:val="single" w:sz="4" w:space="0" w:color="auto"/>
            </w:tcBorders>
          </w:tcPr>
          <w:p w14:paraId="44DBBA34" w14:textId="77777777" w:rsidR="002252DB" w:rsidRPr="00F56F21" w:rsidRDefault="002252DB">
            <w:pPr>
              <w:pStyle w:val="051Tabletext228pt"/>
              <w:rPr>
                <w:lang w:val="en-US"/>
              </w:rPr>
            </w:pPr>
            <w:r w:rsidRPr="00F56F21">
              <w:rPr>
                <w:lang w:val="en-US"/>
              </w:rPr>
              <w:t>Analgesic efficacy of high-frequency spinal cord stimulation: A randomized double-blind placebo-controlled study</w:t>
            </w:r>
          </w:p>
        </w:tc>
      </w:tr>
      <w:tr w:rsidR="002252DB" w:rsidRPr="00F56F21" w14:paraId="2207BB8A" w14:textId="77777777" w:rsidTr="00FE41DA">
        <w:tc>
          <w:tcPr>
            <w:tcW w:w="647" w:type="pct"/>
            <w:tcBorders>
              <w:top w:val="single" w:sz="4" w:space="0" w:color="auto"/>
              <w:bottom w:val="nil"/>
            </w:tcBorders>
          </w:tcPr>
          <w:p w14:paraId="103C480E" w14:textId="77777777" w:rsidR="002252DB" w:rsidRPr="00852E94" w:rsidRDefault="002252DB">
            <w:pPr>
              <w:pStyle w:val="051Tabletext228pt"/>
              <w:keepNext/>
              <w:rPr>
                <w:b/>
                <w:bCs/>
                <w:lang w:val="en-US"/>
              </w:rPr>
            </w:pPr>
            <w:r w:rsidRPr="00852E94">
              <w:rPr>
                <w:b/>
                <w:bCs/>
                <w:lang w:val="en-US"/>
              </w:rPr>
              <w:lastRenderedPageBreak/>
              <w:t>PROCESS</w:t>
            </w:r>
          </w:p>
        </w:tc>
        <w:tc>
          <w:tcPr>
            <w:tcW w:w="593" w:type="pct"/>
            <w:tcBorders>
              <w:top w:val="single" w:sz="4" w:space="0" w:color="auto"/>
            </w:tcBorders>
          </w:tcPr>
          <w:p w14:paraId="73A50AD0" w14:textId="77777777" w:rsidR="002252DB" w:rsidRPr="00F56F21" w:rsidRDefault="002252DB">
            <w:pPr>
              <w:pStyle w:val="051Tabletext228pt"/>
              <w:keepNext/>
              <w:rPr>
                <w:lang w:val="en-US"/>
              </w:rPr>
            </w:pPr>
            <w:proofErr w:type="spellStart"/>
            <w:r w:rsidRPr="00F56F21">
              <w:rPr>
                <w:lang w:val="en-US"/>
              </w:rPr>
              <w:t>Eldabe</w:t>
            </w:r>
            <w:proofErr w:type="spellEnd"/>
            <w:r w:rsidRPr="00F56F21">
              <w:rPr>
                <w:lang w:val="en-US"/>
              </w:rPr>
              <w:t xml:space="preserve"> 2009</w:t>
            </w:r>
          </w:p>
        </w:tc>
        <w:tc>
          <w:tcPr>
            <w:tcW w:w="3760" w:type="pct"/>
            <w:tcBorders>
              <w:top w:val="single" w:sz="4" w:space="0" w:color="auto"/>
            </w:tcBorders>
          </w:tcPr>
          <w:p w14:paraId="1D9CC394" w14:textId="77777777" w:rsidR="002252DB" w:rsidRPr="00F56F21" w:rsidRDefault="002252DB">
            <w:pPr>
              <w:pStyle w:val="051Tabletext228pt"/>
              <w:keepNext/>
              <w:rPr>
                <w:lang w:val="en-US"/>
              </w:rPr>
            </w:pPr>
            <w:r w:rsidRPr="00F56F21">
              <w:rPr>
                <w:lang w:val="en-US"/>
              </w:rPr>
              <w:t>Function and quality of life in failed back surgery syndrome patients following spinal cord stimulation and conventional medical management</w:t>
            </w:r>
          </w:p>
        </w:tc>
      </w:tr>
      <w:tr w:rsidR="002252DB" w:rsidRPr="00F56F21" w14:paraId="1E27AF8E" w14:textId="77777777" w:rsidTr="00FE41DA">
        <w:tc>
          <w:tcPr>
            <w:tcW w:w="647" w:type="pct"/>
            <w:tcBorders>
              <w:top w:val="nil"/>
              <w:bottom w:val="nil"/>
            </w:tcBorders>
          </w:tcPr>
          <w:p w14:paraId="1DB26E82" w14:textId="77777777" w:rsidR="002252DB" w:rsidRPr="00F56F21" w:rsidRDefault="002252DB">
            <w:pPr>
              <w:pStyle w:val="051Tabletext228pt"/>
              <w:keepNext/>
              <w:ind w:left="113"/>
              <w:rPr>
                <w:lang w:val="en-US"/>
              </w:rPr>
            </w:pPr>
            <w:r w:rsidRPr="00F56F21">
              <w:rPr>
                <w:lang w:val="en-US"/>
              </w:rPr>
              <w:t>ISRCTN77527324</w:t>
            </w:r>
          </w:p>
        </w:tc>
        <w:tc>
          <w:tcPr>
            <w:tcW w:w="593" w:type="pct"/>
          </w:tcPr>
          <w:p w14:paraId="61462EBE" w14:textId="77777777" w:rsidR="002252DB" w:rsidRPr="00F56F21" w:rsidRDefault="002252DB">
            <w:pPr>
              <w:pStyle w:val="051Tabletext228pt"/>
              <w:keepNext/>
              <w:rPr>
                <w:lang w:val="en-US"/>
              </w:rPr>
            </w:pPr>
            <w:proofErr w:type="spellStart"/>
            <w:r w:rsidRPr="00F56F21">
              <w:rPr>
                <w:lang w:val="en-US"/>
              </w:rPr>
              <w:t>Eldabe</w:t>
            </w:r>
            <w:proofErr w:type="spellEnd"/>
            <w:r w:rsidRPr="00F56F21">
              <w:rPr>
                <w:lang w:val="en-US"/>
              </w:rPr>
              <w:t xml:space="preserve"> 2009</w:t>
            </w:r>
          </w:p>
        </w:tc>
        <w:tc>
          <w:tcPr>
            <w:tcW w:w="3760" w:type="pct"/>
          </w:tcPr>
          <w:p w14:paraId="5C7C0DBB" w14:textId="77777777" w:rsidR="002252DB" w:rsidRPr="00F56F21" w:rsidRDefault="002252DB">
            <w:pPr>
              <w:pStyle w:val="051Tabletext228pt"/>
              <w:keepNext/>
              <w:rPr>
                <w:lang w:val="en-US"/>
              </w:rPr>
            </w:pPr>
            <w:r w:rsidRPr="00F56F21">
              <w:rPr>
                <w:lang w:val="en-US"/>
              </w:rPr>
              <w:t>Pain in failed back surgery syndrome patients following spinal cord stimulation and conventional medical management</w:t>
            </w:r>
          </w:p>
        </w:tc>
      </w:tr>
      <w:tr w:rsidR="002252DB" w:rsidRPr="00F56F21" w14:paraId="17E25265" w14:textId="77777777" w:rsidTr="00FE41DA">
        <w:tc>
          <w:tcPr>
            <w:tcW w:w="647" w:type="pct"/>
            <w:tcBorders>
              <w:top w:val="nil"/>
              <w:bottom w:val="nil"/>
            </w:tcBorders>
          </w:tcPr>
          <w:p w14:paraId="73868E49" w14:textId="77777777" w:rsidR="002252DB" w:rsidRPr="00F56F21" w:rsidRDefault="002252DB">
            <w:pPr>
              <w:pStyle w:val="051Tabletext228pt"/>
              <w:keepNext/>
              <w:rPr>
                <w:lang w:val="en-US"/>
              </w:rPr>
            </w:pPr>
          </w:p>
        </w:tc>
        <w:tc>
          <w:tcPr>
            <w:tcW w:w="593" w:type="pct"/>
          </w:tcPr>
          <w:p w14:paraId="0C0D6D1A" w14:textId="77777777" w:rsidR="002252DB" w:rsidRPr="00F56F21" w:rsidRDefault="002252DB">
            <w:pPr>
              <w:pStyle w:val="051Tabletext228pt"/>
              <w:keepNext/>
              <w:rPr>
                <w:lang w:val="en-US"/>
              </w:rPr>
            </w:pPr>
            <w:proofErr w:type="spellStart"/>
            <w:r w:rsidRPr="00F56F21">
              <w:rPr>
                <w:lang w:val="en-US"/>
              </w:rPr>
              <w:t>Eldabe</w:t>
            </w:r>
            <w:proofErr w:type="spellEnd"/>
            <w:r w:rsidRPr="00F56F21">
              <w:rPr>
                <w:lang w:val="en-US"/>
              </w:rPr>
              <w:t xml:space="preserve"> 2010</w:t>
            </w:r>
          </w:p>
        </w:tc>
        <w:tc>
          <w:tcPr>
            <w:tcW w:w="3760" w:type="pct"/>
          </w:tcPr>
          <w:p w14:paraId="7A1F252E" w14:textId="77777777" w:rsidR="002252DB" w:rsidRPr="00F56F21" w:rsidRDefault="002252DB">
            <w:pPr>
              <w:pStyle w:val="051Tabletext228pt"/>
              <w:keepNext/>
              <w:rPr>
                <w:lang w:val="en-US"/>
              </w:rPr>
            </w:pPr>
            <w:r w:rsidRPr="00F56F21">
              <w:rPr>
                <w:lang w:val="en-US"/>
              </w:rPr>
              <w:t>An analysis of the components of pain, function, and health-related quality of life in patients with failed back surgery syndrome treated with spinal cord stimulation or conventional medical management</w:t>
            </w:r>
          </w:p>
        </w:tc>
      </w:tr>
      <w:tr w:rsidR="002252DB" w:rsidRPr="00F56F21" w14:paraId="1B660E66" w14:textId="77777777" w:rsidTr="00FE41DA">
        <w:tc>
          <w:tcPr>
            <w:tcW w:w="647" w:type="pct"/>
            <w:tcBorders>
              <w:top w:val="nil"/>
              <w:bottom w:val="nil"/>
            </w:tcBorders>
          </w:tcPr>
          <w:p w14:paraId="607FA9C2" w14:textId="77777777" w:rsidR="002252DB" w:rsidRPr="00F56F21" w:rsidRDefault="002252DB">
            <w:pPr>
              <w:pStyle w:val="051Tabletext228pt"/>
              <w:keepNext/>
              <w:rPr>
                <w:lang w:val="en-US"/>
              </w:rPr>
            </w:pPr>
          </w:p>
        </w:tc>
        <w:tc>
          <w:tcPr>
            <w:tcW w:w="593" w:type="pct"/>
          </w:tcPr>
          <w:p w14:paraId="1CA052BE" w14:textId="77777777" w:rsidR="002252DB" w:rsidRPr="00F56F21" w:rsidRDefault="002252DB">
            <w:pPr>
              <w:pStyle w:val="051Tabletext228pt"/>
              <w:keepNext/>
              <w:rPr>
                <w:lang w:val="en-US"/>
              </w:rPr>
            </w:pPr>
            <w:r w:rsidRPr="00F56F21">
              <w:rPr>
                <w:lang w:val="en-US"/>
              </w:rPr>
              <w:t>Kumar 2005</w:t>
            </w:r>
          </w:p>
        </w:tc>
        <w:tc>
          <w:tcPr>
            <w:tcW w:w="3760" w:type="pct"/>
          </w:tcPr>
          <w:p w14:paraId="4D92FFA4" w14:textId="77777777" w:rsidR="002252DB" w:rsidRPr="00F56F21" w:rsidRDefault="002252DB">
            <w:pPr>
              <w:pStyle w:val="051Tabletext228pt"/>
              <w:keepNext/>
              <w:rPr>
                <w:lang w:val="en-US"/>
              </w:rPr>
            </w:pPr>
            <w:r w:rsidRPr="00F56F21">
              <w:rPr>
                <w:lang w:val="en-US"/>
              </w:rPr>
              <w:t>Spinal Cord Stimulation vs. Conventional Medical Management: A Prospective, Randomized, Controlled, Multicenter Study of Patients with Failed Back Surgery Syndrome (PROCESS Study)</w:t>
            </w:r>
          </w:p>
        </w:tc>
      </w:tr>
      <w:tr w:rsidR="002252DB" w:rsidRPr="00F56F21" w14:paraId="272C0C18" w14:textId="77777777" w:rsidTr="00FE41DA">
        <w:tc>
          <w:tcPr>
            <w:tcW w:w="647" w:type="pct"/>
            <w:tcBorders>
              <w:top w:val="nil"/>
              <w:bottom w:val="nil"/>
            </w:tcBorders>
          </w:tcPr>
          <w:p w14:paraId="35430E09" w14:textId="77777777" w:rsidR="002252DB" w:rsidRPr="00F56F21" w:rsidRDefault="002252DB">
            <w:pPr>
              <w:pStyle w:val="051Tabletext228pt"/>
              <w:keepNext/>
              <w:rPr>
                <w:lang w:val="en-US"/>
              </w:rPr>
            </w:pPr>
          </w:p>
        </w:tc>
        <w:tc>
          <w:tcPr>
            <w:tcW w:w="593" w:type="pct"/>
          </w:tcPr>
          <w:p w14:paraId="687E44D6" w14:textId="77777777" w:rsidR="002252DB" w:rsidRPr="00F56F21" w:rsidRDefault="002252DB">
            <w:pPr>
              <w:pStyle w:val="051Tabletext228pt"/>
              <w:keepNext/>
              <w:rPr>
                <w:lang w:val="en-US"/>
              </w:rPr>
            </w:pPr>
            <w:r w:rsidRPr="00F56F21">
              <w:rPr>
                <w:lang w:val="en-US"/>
              </w:rPr>
              <w:t>Kumar 2007</w:t>
            </w:r>
          </w:p>
        </w:tc>
        <w:tc>
          <w:tcPr>
            <w:tcW w:w="3760" w:type="pct"/>
          </w:tcPr>
          <w:p w14:paraId="4F23B037" w14:textId="77777777" w:rsidR="002252DB" w:rsidRPr="00F56F21" w:rsidRDefault="002252DB">
            <w:pPr>
              <w:pStyle w:val="051Tabletext228pt"/>
              <w:keepNext/>
              <w:rPr>
                <w:lang w:val="en-US"/>
              </w:rPr>
            </w:pPr>
            <w:r w:rsidRPr="00F56F21">
              <w:rPr>
                <w:lang w:val="en-US"/>
              </w:rPr>
              <w:t xml:space="preserve">Spinal cord stimulation versus conventional medical management for neuropathic pain: A </w:t>
            </w:r>
            <w:proofErr w:type="spellStart"/>
            <w:r w:rsidRPr="00F56F21">
              <w:rPr>
                <w:lang w:val="en-US"/>
              </w:rPr>
              <w:t>multicentre</w:t>
            </w:r>
            <w:proofErr w:type="spellEnd"/>
            <w:r w:rsidRPr="00F56F21">
              <w:rPr>
                <w:lang w:val="en-US"/>
              </w:rPr>
              <w:t xml:space="preserve"> randomised controlled trial in patients with failed back surgery syndrome</w:t>
            </w:r>
          </w:p>
        </w:tc>
      </w:tr>
      <w:tr w:rsidR="002252DB" w:rsidRPr="00F56F21" w14:paraId="5F7C232D" w14:textId="77777777" w:rsidTr="00FE41DA">
        <w:tc>
          <w:tcPr>
            <w:tcW w:w="647" w:type="pct"/>
            <w:tcBorders>
              <w:top w:val="nil"/>
              <w:bottom w:val="nil"/>
            </w:tcBorders>
          </w:tcPr>
          <w:p w14:paraId="5FD8AD96" w14:textId="77777777" w:rsidR="002252DB" w:rsidRPr="00F56F21" w:rsidRDefault="002252DB">
            <w:pPr>
              <w:pStyle w:val="051Tabletext228pt"/>
              <w:keepNext/>
              <w:rPr>
                <w:lang w:val="en-US"/>
              </w:rPr>
            </w:pPr>
          </w:p>
        </w:tc>
        <w:tc>
          <w:tcPr>
            <w:tcW w:w="593" w:type="pct"/>
          </w:tcPr>
          <w:p w14:paraId="16884E87" w14:textId="77777777" w:rsidR="002252DB" w:rsidRPr="00F56F21" w:rsidRDefault="002252DB">
            <w:pPr>
              <w:pStyle w:val="051Tabletext228pt"/>
              <w:keepNext/>
              <w:rPr>
                <w:lang w:val="en-US"/>
              </w:rPr>
            </w:pPr>
            <w:r w:rsidRPr="00F56F21">
              <w:rPr>
                <w:lang w:val="en-US"/>
              </w:rPr>
              <w:t>Kumar 2008</w:t>
            </w:r>
          </w:p>
        </w:tc>
        <w:tc>
          <w:tcPr>
            <w:tcW w:w="3760" w:type="pct"/>
          </w:tcPr>
          <w:p w14:paraId="06394E43" w14:textId="77777777" w:rsidR="002252DB" w:rsidRPr="00F56F21" w:rsidRDefault="002252DB">
            <w:pPr>
              <w:pStyle w:val="051Tabletext228pt"/>
              <w:keepNext/>
              <w:rPr>
                <w:lang w:val="en-US"/>
              </w:rPr>
            </w:pPr>
            <w:r w:rsidRPr="00F56F21">
              <w:rPr>
                <w:lang w:val="en-US"/>
              </w:rPr>
              <w:t>The effects of spinal cord stimulation in neuropathic pain are sustained: A 24-month follow-up of the prospective randomized controlled multicenter trial of the effectiveness of spinal cord stimulation</w:t>
            </w:r>
          </w:p>
        </w:tc>
      </w:tr>
      <w:tr w:rsidR="002252DB" w:rsidRPr="00F56F21" w14:paraId="4A0609F8" w14:textId="77777777" w:rsidTr="00FE41DA">
        <w:tc>
          <w:tcPr>
            <w:tcW w:w="647" w:type="pct"/>
            <w:tcBorders>
              <w:top w:val="nil"/>
              <w:bottom w:val="nil"/>
            </w:tcBorders>
          </w:tcPr>
          <w:p w14:paraId="385E5016" w14:textId="77777777" w:rsidR="002252DB" w:rsidRPr="00F56F21" w:rsidRDefault="002252DB">
            <w:pPr>
              <w:pStyle w:val="051Tabletext228pt"/>
              <w:keepNext/>
              <w:rPr>
                <w:lang w:val="en-US"/>
              </w:rPr>
            </w:pPr>
          </w:p>
        </w:tc>
        <w:tc>
          <w:tcPr>
            <w:tcW w:w="593" w:type="pct"/>
          </w:tcPr>
          <w:p w14:paraId="1533348F" w14:textId="77777777" w:rsidR="002252DB" w:rsidRPr="00F56F21" w:rsidRDefault="002252DB">
            <w:pPr>
              <w:pStyle w:val="051Tabletext228pt"/>
              <w:keepNext/>
              <w:rPr>
                <w:lang w:val="en-US"/>
              </w:rPr>
            </w:pPr>
            <w:r w:rsidRPr="00F56F21">
              <w:rPr>
                <w:lang w:val="en-US"/>
              </w:rPr>
              <w:t>Kumar 2009</w:t>
            </w:r>
          </w:p>
        </w:tc>
        <w:tc>
          <w:tcPr>
            <w:tcW w:w="3760" w:type="pct"/>
          </w:tcPr>
          <w:p w14:paraId="6874203F" w14:textId="77777777" w:rsidR="002252DB" w:rsidRPr="00F56F21" w:rsidRDefault="002252DB">
            <w:pPr>
              <w:pStyle w:val="051Tabletext228pt"/>
              <w:keepNext/>
              <w:rPr>
                <w:lang w:val="en-US"/>
              </w:rPr>
            </w:pPr>
            <w:r w:rsidRPr="00F56F21">
              <w:rPr>
                <w:lang w:val="en-US"/>
              </w:rPr>
              <w:t>Changes in pain, function and quality of life in patients with failed back surgery syndrome treated with spinal cord stimulation or conventional medical management</w:t>
            </w:r>
          </w:p>
        </w:tc>
      </w:tr>
      <w:tr w:rsidR="002252DB" w:rsidRPr="00F56F21" w14:paraId="60D8976B" w14:textId="77777777" w:rsidTr="00FE41DA">
        <w:tc>
          <w:tcPr>
            <w:tcW w:w="647" w:type="pct"/>
            <w:tcBorders>
              <w:top w:val="nil"/>
              <w:bottom w:val="nil"/>
            </w:tcBorders>
          </w:tcPr>
          <w:p w14:paraId="64B95D50" w14:textId="77777777" w:rsidR="002252DB" w:rsidRPr="00F56F21" w:rsidRDefault="002252DB">
            <w:pPr>
              <w:pStyle w:val="051Tabletext228pt"/>
              <w:keepNext/>
              <w:rPr>
                <w:lang w:val="en-US"/>
              </w:rPr>
            </w:pPr>
          </w:p>
        </w:tc>
        <w:tc>
          <w:tcPr>
            <w:tcW w:w="593" w:type="pct"/>
          </w:tcPr>
          <w:p w14:paraId="363DA752" w14:textId="77777777" w:rsidR="002252DB" w:rsidRPr="00F56F21" w:rsidRDefault="002252DB">
            <w:pPr>
              <w:pStyle w:val="051Tabletext228pt"/>
              <w:keepNext/>
              <w:rPr>
                <w:lang w:val="en-US"/>
              </w:rPr>
            </w:pPr>
            <w:r w:rsidRPr="00F56F21">
              <w:rPr>
                <w:lang w:val="en-US"/>
              </w:rPr>
              <w:t>Kumar 2010</w:t>
            </w:r>
          </w:p>
        </w:tc>
        <w:tc>
          <w:tcPr>
            <w:tcW w:w="3760" w:type="pct"/>
          </w:tcPr>
          <w:p w14:paraId="7648C5C9" w14:textId="77777777" w:rsidR="002252DB" w:rsidRPr="00F56F21" w:rsidRDefault="002252DB">
            <w:pPr>
              <w:pStyle w:val="051Tabletext228pt"/>
              <w:keepNext/>
              <w:rPr>
                <w:lang w:val="en-US"/>
              </w:rPr>
            </w:pPr>
            <w:r w:rsidRPr="00F56F21">
              <w:rPr>
                <w:lang w:val="en-US"/>
              </w:rPr>
              <w:t>Pain outcomes in failed back surgery syndrome patients following spinal cord stimulation and conventional medical management</w:t>
            </w:r>
          </w:p>
        </w:tc>
      </w:tr>
      <w:tr w:rsidR="002252DB" w:rsidRPr="00F56F21" w14:paraId="49D264D6" w14:textId="77777777" w:rsidTr="00FE41DA">
        <w:tc>
          <w:tcPr>
            <w:tcW w:w="647" w:type="pct"/>
            <w:tcBorders>
              <w:top w:val="nil"/>
              <w:bottom w:val="nil"/>
            </w:tcBorders>
          </w:tcPr>
          <w:p w14:paraId="7035D72F" w14:textId="77777777" w:rsidR="002252DB" w:rsidRPr="00F56F21" w:rsidRDefault="002252DB">
            <w:pPr>
              <w:pStyle w:val="051Tabletext228pt"/>
              <w:keepNext/>
              <w:rPr>
                <w:lang w:val="en-US"/>
              </w:rPr>
            </w:pPr>
          </w:p>
        </w:tc>
        <w:tc>
          <w:tcPr>
            <w:tcW w:w="593" w:type="pct"/>
          </w:tcPr>
          <w:p w14:paraId="5C8D14D1" w14:textId="77777777" w:rsidR="002252DB" w:rsidRPr="00F56F21" w:rsidRDefault="002252DB">
            <w:pPr>
              <w:pStyle w:val="051Tabletext228pt"/>
              <w:keepNext/>
              <w:rPr>
                <w:lang w:val="en-US"/>
              </w:rPr>
            </w:pPr>
            <w:r w:rsidRPr="00F56F21">
              <w:rPr>
                <w:lang w:val="en-US"/>
              </w:rPr>
              <w:t>Kumar 2010</w:t>
            </w:r>
          </w:p>
        </w:tc>
        <w:tc>
          <w:tcPr>
            <w:tcW w:w="3760" w:type="pct"/>
          </w:tcPr>
          <w:p w14:paraId="2B6481C0" w14:textId="77777777" w:rsidR="002252DB" w:rsidRPr="00F56F21" w:rsidRDefault="002252DB">
            <w:pPr>
              <w:pStyle w:val="051Tabletext228pt"/>
              <w:keepNext/>
              <w:rPr>
                <w:lang w:val="en-US"/>
              </w:rPr>
            </w:pPr>
            <w:r w:rsidRPr="00F56F21">
              <w:rPr>
                <w:lang w:val="en-US"/>
              </w:rPr>
              <w:t>Function and health-related quality of life in failed back surgery syndrome patients following spinal cord stimulation and conventional medical management</w:t>
            </w:r>
          </w:p>
        </w:tc>
      </w:tr>
      <w:tr w:rsidR="002252DB" w:rsidRPr="00F56F21" w14:paraId="66821700" w14:textId="77777777" w:rsidTr="00FE41DA">
        <w:tc>
          <w:tcPr>
            <w:tcW w:w="647" w:type="pct"/>
            <w:tcBorders>
              <w:top w:val="nil"/>
              <w:bottom w:val="nil"/>
            </w:tcBorders>
          </w:tcPr>
          <w:p w14:paraId="27734787" w14:textId="77777777" w:rsidR="002252DB" w:rsidRPr="00F56F21" w:rsidRDefault="002252DB">
            <w:pPr>
              <w:pStyle w:val="051Tabletext228pt"/>
              <w:keepNext/>
              <w:rPr>
                <w:lang w:val="en-US"/>
              </w:rPr>
            </w:pPr>
          </w:p>
        </w:tc>
        <w:tc>
          <w:tcPr>
            <w:tcW w:w="593" w:type="pct"/>
          </w:tcPr>
          <w:p w14:paraId="0C8BBB18" w14:textId="77777777" w:rsidR="002252DB" w:rsidRPr="00F56F21" w:rsidRDefault="002252DB">
            <w:pPr>
              <w:pStyle w:val="051Tabletext228pt"/>
              <w:keepNext/>
              <w:rPr>
                <w:lang w:val="en-US"/>
              </w:rPr>
            </w:pPr>
            <w:proofErr w:type="spellStart"/>
            <w:r w:rsidRPr="00F56F21">
              <w:rPr>
                <w:lang w:val="en-US"/>
              </w:rPr>
              <w:t>Loeser</w:t>
            </w:r>
            <w:proofErr w:type="spellEnd"/>
            <w:r w:rsidRPr="00F56F21">
              <w:rPr>
                <w:lang w:val="en-US"/>
              </w:rPr>
              <w:t xml:space="preserve"> 2008</w:t>
            </w:r>
          </w:p>
        </w:tc>
        <w:tc>
          <w:tcPr>
            <w:tcW w:w="3760" w:type="pct"/>
          </w:tcPr>
          <w:p w14:paraId="67955245" w14:textId="77777777" w:rsidR="002252DB" w:rsidRPr="00F56F21" w:rsidRDefault="002252DB">
            <w:pPr>
              <w:pStyle w:val="051Tabletext228pt"/>
              <w:keepNext/>
              <w:rPr>
                <w:lang w:val="en-US"/>
              </w:rPr>
            </w:pPr>
            <w:r w:rsidRPr="00F56F21">
              <w:rPr>
                <w:lang w:val="en-US"/>
              </w:rPr>
              <w:t>The effects of spinal cord stimulation in neuropathic pain are sustained: A 24-month follow-up of the prospective randomized controlled multicenter trial of the effectiveness of spinal cord stimulation: Commentary</w:t>
            </w:r>
          </w:p>
        </w:tc>
      </w:tr>
      <w:tr w:rsidR="002252DB" w:rsidRPr="00F56F21" w14:paraId="6300F97A" w14:textId="77777777" w:rsidTr="00FE41DA">
        <w:tc>
          <w:tcPr>
            <w:tcW w:w="647" w:type="pct"/>
            <w:tcBorders>
              <w:top w:val="nil"/>
              <w:bottom w:val="single" w:sz="4" w:space="0" w:color="auto"/>
            </w:tcBorders>
          </w:tcPr>
          <w:p w14:paraId="27B95775" w14:textId="77777777" w:rsidR="002252DB" w:rsidRPr="00F56F21" w:rsidRDefault="002252DB">
            <w:pPr>
              <w:pStyle w:val="051Tabletext228pt"/>
              <w:rPr>
                <w:lang w:val="en-US"/>
              </w:rPr>
            </w:pPr>
          </w:p>
        </w:tc>
        <w:tc>
          <w:tcPr>
            <w:tcW w:w="593" w:type="pct"/>
            <w:tcBorders>
              <w:bottom w:val="single" w:sz="4" w:space="0" w:color="auto"/>
            </w:tcBorders>
          </w:tcPr>
          <w:p w14:paraId="0C5CF208" w14:textId="77777777" w:rsidR="002252DB" w:rsidRPr="00F56F21" w:rsidRDefault="002252DB">
            <w:pPr>
              <w:pStyle w:val="051Tabletext228pt"/>
              <w:rPr>
                <w:lang w:val="en-US"/>
              </w:rPr>
            </w:pPr>
            <w:proofErr w:type="spellStart"/>
            <w:r w:rsidRPr="00F56F21">
              <w:rPr>
                <w:lang w:val="en-US"/>
              </w:rPr>
              <w:t>Manca</w:t>
            </w:r>
            <w:proofErr w:type="spellEnd"/>
            <w:r w:rsidRPr="00F56F21">
              <w:rPr>
                <w:lang w:val="en-US"/>
              </w:rPr>
              <w:t xml:space="preserve"> 2008</w:t>
            </w:r>
          </w:p>
        </w:tc>
        <w:tc>
          <w:tcPr>
            <w:tcW w:w="3760" w:type="pct"/>
            <w:tcBorders>
              <w:bottom w:val="single" w:sz="4" w:space="0" w:color="auto"/>
            </w:tcBorders>
          </w:tcPr>
          <w:p w14:paraId="64BDDE2B" w14:textId="77777777" w:rsidR="002252DB" w:rsidRPr="00F56F21" w:rsidRDefault="002252DB">
            <w:pPr>
              <w:pStyle w:val="051Tabletext228pt"/>
              <w:rPr>
                <w:lang w:val="en-US"/>
              </w:rPr>
            </w:pPr>
            <w:r w:rsidRPr="00F56F21">
              <w:rPr>
                <w:lang w:val="en-US"/>
              </w:rPr>
              <w:t>Quality of life, resource consumption and costs of spinal cord stimulation versus conventional medical management in neuropathic pain patients with failed back surgery syndrome (PROCESS trial)</w:t>
            </w:r>
          </w:p>
        </w:tc>
      </w:tr>
      <w:tr w:rsidR="002252DB" w:rsidRPr="00F56F21" w14:paraId="1439EE85" w14:textId="77777777" w:rsidTr="00FE41DA">
        <w:tc>
          <w:tcPr>
            <w:tcW w:w="647" w:type="pct"/>
            <w:tcBorders>
              <w:top w:val="single" w:sz="4" w:space="0" w:color="auto"/>
              <w:bottom w:val="nil"/>
            </w:tcBorders>
          </w:tcPr>
          <w:p w14:paraId="376F9FB4" w14:textId="77777777" w:rsidR="002252DB" w:rsidRPr="00852E94" w:rsidRDefault="002252DB">
            <w:pPr>
              <w:pStyle w:val="051Tabletext228pt"/>
              <w:keepNext/>
              <w:rPr>
                <w:b/>
                <w:bCs/>
                <w:lang w:val="en-US"/>
              </w:rPr>
            </w:pPr>
            <w:r w:rsidRPr="00852E94">
              <w:rPr>
                <w:b/>
                <w:bCs/>
                <w:lang w:val="en-US"/>
              </w:rPr>
              <w:t>PROMISE</w:t>
            </w:r>
          </w:p>
        </w:tc>
        <w:tc>
          <w:tcPr>
            <w:tcW w:w="593" w:type="pct"/>
            <w:tcBorders>
              <w:top w:val="single" w:sz="4" w:space="0" w:color="auto"/>
            </w:tcBorders>
          </w:tcPr>
          <w:p w14:paraId="504E82D3" w14:textId="77777777" w:rsidR="002252DB" w:rsidRPr="00F56F21" w:rsidRDefault="002252DB">
            <w:pPr>
              <w:pStyle w:val="051Tabletext228pt"/>
              <w:keepNext/>
              <w:rPr>
                <w:lang w:val="en-US"/>
              </w:rPr>
            </w:pPr>
            <w:r w:rsidRPr="00F56F21">
              <w:rPr>
                <w:lang w:val="en-US"/>
              </w:rPr>
              <w:t>North 2018</w:t>
            </w:r>
          </w:p>
        </w:tc>
        <w:tc>
          <w:tcPr>
            <w:tcW w:w="3760" w:type="pct"/>
            <w:tcBorders>
              <w:top w:val="single" w:sz="4" w:space="0" w:color="auto"/>
            </w:tcBorders>
          </w:tcPr>
          <w:p w14:paraId="6EFDA899" w14:textId="77777777" w:rsidR="002252DB" w:rsidRPr="00F56F21" w:rsidRDefault="002252DB">
            <w:pPr>
              <w:pStyle w:val="051Tabletext228pt"/>
              <w:keepNext/>
              <w:rPr>
                <w:lang w:val="en-US"/>
              </w:rPr>
            </w:pPr>
            <w:r w:rsidRPr="00F56F21">
              <w:rPr>
                <w:lang w:val="en-US"/>
              </w:rPr>
              <w:t>Perioperative infections and prolonged SCS trial duration (PROMISE study)</w:t>
            </w:r>
          </w:p>
        </w:tc>
      </w:tr>
      <w:tr w:rsidR="002252DB" w:rsidRPr="00F56F21" w14:paraId="6ED0DC68" w14:textId="77777777" w:rsidTr="00FE41DA">
        <w:tc>
          <w:tcPr>
            <w:tcW w:w="647" w:type="pct"/>
            <w:tcBorders>
              <w:top w:val="nil"/>
              <w:bottom w:val="nil"/>
            </w:tcBorders>
          </w:tcPr>
          <w:p w14:paraId="0D801E64" w14:textId="77777777" w:rsidR="002252DB" w:rsidRPr="00F56F21" w:rsidRDefault="002252DB">
            <w:pPr>
              <w:pStyle w:val="051Tabletext228pt"/>
              <w:keepNext/>
              <w:rPr>
                <w:lang w:val="en-US"/>
              </w:rPr>
            </w:pPr>
          </w:p>
        </w:tc>
        <w:tc>
          <w:tcPr>
            <w:tcW w:w="593" w:type="pct"/>
          </w:tcPr>
          <w:p w14:paraId="071A8D0B" w14:textId="77777777" w:rsidR="002252DB" w:rsidRPr="00F56F21" w:rsidRDefault="002252DB">
            <w:pPr>
              <w:pStyle w:val="051Tabletext228pt"/>
              <w:keepNext/>
              <w:rPr>
                <w:lang w:val="en-US"/>
              </w:rPr>
            </w:pPr>
            <w:r w:rsidRPr="00F56F21">
              <w:rPr>
                <w:lang w:val="en-US"/>
              </w:rPr>
              <w:t>North 2020</w:t>
            </w:r>
          </w:p>
        </w:tc>
        <w:tc>
          <w:tcPr>
            <w:tcW w:w="3760" w:type="pct"/>
          </w:tcPr>
          <w:p w14:paraId="20A180A4" w14:textId="77777777" w:rsidR="002252DB" w:rsidRPr="00F56F21" w:rsidRDefault="002252DB">
            <w:pPr>
              <w:pStyle w:val="051Tabletext228pt"/>
              <w:keepNext/>
              <w:rPr>
                <w:lang w:val="en-US"/>
              </w:rPr>
            </w:pPr>
            <w:r w:rsidRPr="00F56F21">
              <w:rPr>
                <w:lang w:val="en-US"/>
              </w:rPr>
              <w:t>Postoperative Infections Associated With Prolonged Spinal Cord Stimulation Trial Duration (PROMISE RCT)</w:t>
            </w:r>
          </w:p>
        </w:tc>
      </w:tr>
      <w:tr w:rsidR="002252DB" w:rsidRPr="00F56F21" w14:paraId="20F3A12F" w14:textId="77777777" w:rsidTr="00FE41DA">
        <w:tc>
          <w:tcPr>
            <w:tcW w:w="647" w:type="pct"/>
            <w:tcBorders>
              <w:top w:val="nil"/>
              <w:bottom w:val="nil"/>
            </w:tcBorders>
          </w:tcPr>
          <w:p w14:paraId="5DA470E6" w14:textId="77777777" w:rsidR="002252DB" w:rsidRPr="00F56F21" w:rsidRDefault="002252DB">
            <w:pPr>
              <w:pStyle w:val="051Tabletext228pt"/>
              <w:keepNext/>
              <w:rPr>
                <w:lang w:val="en-US"/>
              </w:rPr>
            </w:pPr>
          </w:p>
        </w:tc>
        <w:tc>
          <w:tcPr>
            <w:tcW w:w="593" w:type="pct"/>
          </w:tcPr>
          <w:p w14:paraId="088C0FC9" w14:textId="77777777" w:rsidR="002252DB" w:rsidRPr="00F56F21" w:rsidRDefault="002252DB">
            <w:pPr>
              <w:pStyle w:val="051Tabletext228pt"/>
              <w:keepNext/>
              <w:rPr>
                <w:lang w:val="en-US"/>
              </w:rPr>
            </w:pPr>
            <w:proofErr w:type="spellStart"/>
            <w:r w:rsidRPr="00F56F21">
              <w:rPr>
                <w:lang w:val="en-US"/>
              </w:rPr>
              <w:t>Rigoard</w:t>
            </w:r>
            <w:proofErr w:type="spellEnd"/>
            <w:r w:rsidRPr="00F56F21">
              <w:rPr>
                <w:lang w:val="en-US"/>
              </w:rPr>
              <w:t xml:space="preserve"> 2013</w:t>
            </w:r>
          </w:p>
        </w:tc>
        <w:tc>
          <w:tcPr>
            <w:tcW w:w="3760" w:type="pct"/>
          </w:tcPr>
          <w:p w14:paraId="00463889" w14:textId="77777777" w:rsidR="002252DB" w:rsidRPr="00F56F21" w:rsidRDefault="002252DB">
            <w:pPr>
              <w:pStyle w:val="051Tabletext228pt"/>
              <w:keepNext/>
              <w:rPr>
                <w:lang w:val="en-US"/>
              </w:rPr>
            </w:pPr>
            <w:r w:rsidRPr="00F56F21">
              <w:rPr>
                <w:lang w:val="en-US"/>
              </w:rPr>
              <w:t>Spinal cord stimulation for predominant low back pain in failed back surgery syndrome: Design and enrollment of an international multicenter randomized controlled trial (promise study)</w:t>
            </w:r>
          </w:p>
        </w:tc>
      </w:tr>
      <w:tr w:rsidR="002252DB" w:rsidRPr="00F56F21" w14:paraId="7C79C3C5" w14:textId="77777777" w:rsidTr="00FE41DA">
        <w:tc>
          <w:tcPr>
            <w:tcW w:w="647" w:type="pct"/>
            <w:tcBorders>
              <w:top w:val="nil"/>
              <w:bottom w:val="nil"/>
            </w:tcBorders>
          </w:tcPr>
          <w:p w14:paraId="3D7B5182" w14:textId="77777777" w:rsidR="002252DB" w:rsidRPr="00F56F21" w:rsidRDefault="002252DB">
            <w:pPr>
              <w:pStyle w:val="051Tabletext228pt"/>
              <w:keepNext/>
              <w:rPr>
                <w:lang w:val="en-US"/>
              </w:rPr>
            </w:pPr>
          </w:p>
        </w:tc>
        <w:tc>
          <w:tcPr>
            <w:tcW w:w="593" w:type="pct"/>
          </w:tcPr>
          <w:p w14:paraId="3EF2AA63" w14:textId="77777777" w:rsidR="002252DB" w:rsidRPr="00F56F21" w:rsidRDefault="002252DB">
            <w:pPr>
              <w:pStyle w:val="051Tabletext228pt"/>
              <w:keepNext/>
              <w:rPr>
                <w:lang w:val="en-US"/>
              </w:rPr>
            </w:pPr>
            <w:proofErr w:type="spellStart"/>
            <w:r w:rsidRPr="00F56F21">
              <w:rPr>
                <w:lang w:val="en-US"/>
              </w:rPr>
              <w:t>Rigoard</w:t>
            </w:r>
            <w:proofErr w:type="spellEnd"/>
            <w:r w:rsidRPr="00F56F21">
              <w:rPr>
                <w:lang w:val="en-US"/>
              </w:rPr>
              <w:t xml:space="preserve"> 2013</w:t>
            </w:r>
          </w:p>
        </w:tc>
        <w:tc>
          <w:tcPr>
            <w:tcW w:w="3760" w:type="pct"/>
          </w:tcPr>
          <w:p w14:paraId="7E7F80B6" w14:textId="77777777" w:rsidR="002252DB" w:rsidRPr="00F56F21" w:rsidRDefault="002252DB">
            <w:pPr>
              <w:pStyle w:val="051Tabletext228pt"/>
              <w:keepNext/>
              <w:rPr>
                <w:lang w:val="en-US"/>
              </w:rPr>
            </w:pPr>
            <w:r w:rsidRPr="00F56F21">
              <w:rPr>
                <w:lang w:val="en-US"/>
              </w:rPr>
              <w:t>Spinal cord stimulation for predominant low back pain in failed back surgery syndrome: Study protocol for an international multicenter randomized controlled trial (PROMISE study)</w:t>
            </w:r>
          </w:p>
        </w:tc>
      </w:tr>
      <w:tr w:rsidR="002252DB" w:rsidRPr="00F56F21" w14:paraId="72005530" w14:textId="77777777" w:rsidTr="00FE41DA">
        <w:tc>
          <w:tcPr>
            <w:tcW w:w="647" w:type="pct"/>
            <w:tcBorders>
              <w:top w:val="nil"/>
              <w:bottom w:val="nil"/>
            </w:tcBorders>
          </w:tcPr>
          <w:p w14:paraId="66584DEE" w14:textId="77777777" w:rsidR="002252DB" w:rsidRPr="00F56F21" w:rsidRDefault="002252DB">
            <w:pPr>
              <w:pStyle w:val="051Tabletext228pt"/>
              <w:keepNext/>
              <w:rPr>
                <w:lang w:val="en-US"/>
              </w:rPr>
            </w:pPr>
          </w:p>
        </w:tc>
        <w:tc>
          <w:tcPr>
            <w:tcW w:w="593" w:type="pct"/>
          </w:tcPr>
          <w:p w14:paraId="64B29CEB" w14:textId="77777777" w:rsidR="002252DB" w:rsidRPr="00F56F21" w:rsidRDefault="002252DB">
            <w:pPr>
              <w:pStyle w:val="051Tabletext228pt"/>
              <w:keepNext/>
              <w:rPr>
                <w:lang w:val="en-US"/>
              </w:rPr>
            </w:pPr>
            <w:proofErr w:type="spellStart"/>
            <w:r w:rsidRPr="00F56F21">
              <w:rPr>
                <w:lang w:val="en-US"/>
              </w:rPr>
              <w:t>Rigoard</w:t>
            </w:r>
            <w:proofErr w:type="spellEnd"/>
            <w:r w:rsidRPr="00F56F21">
              <w:rPr>
                <w:lang w:val="en-US"/>
              </w:rPr>
              <w:t xml:space="preserve"> 2017</w:t>
            </w:r>
          </w:p>
        </w:tc>
        <w:tc>
          <w:tcPr>
            <w:tcW w:w="3760" w:type="pct"/>
          </w:tcPr>
          <w:p w14:paraId="333ACE12" w14:textId="77777777" w:rsidR="002252DB" w:rsidRPr="00F56F21" w:rsidRDefault="002252DB">
            <w:pPr>
              <w:pStyle w:val="051Tabletext228pt"/>
              <w:keepNext/>
              <w:rPr>
                <w:lang w:val="en-US"/>
              </w:rPr>
            </w:pPr>
            <w:r w:rsidRPr="00F56F21">
              <w:rPr>
                <w:lang w:val="en-US"/>
              </w:rPr>
              <w:t>Multicolumn spinal cord stimulation for predominant back pain in failed back surgery syndrome patients: An international multicenter randomized trial (PROMISE study)</w:t>
            </w:r>
          </w:p>
        </w:tc>
      </w:tr>
      <w:tr w:rsidR="002252DB" w:rsidRPr="00F56F21" w14:paraId="3CD269BA" w14:textId="77777777" w:rsidTr="00FE41DA">
        <w:tc>
          <w:tcPr>
            <w:tcW w:w="647" w:type="pct"/>
            <w:tcBorders>
              <w:top w:val="nil"/>
              <w:bottom w:val="nil"/>
            </w:tcBorders>
          </w:tcPr>
          <w:p w14:paraId="11D10BAD" w14:textId="77777777" w:rsidR="002252DB" w:rsidRPr="00F56F21" w:rsidRDefault="002252DB">
            <w:pPr>
              <w:pStyle w:val="051Tabletext228pt"/>
              <w:keepNext/>
              <w:rPr>
                <w:lang w:val="en-US"/>
              </w:rPr>
            </w:pPr>
          </w:p>
        </w:tc>
        <w:tc>
          <w:tcPr>
            <w:tcW w:w="593" w:type="pct"/>
          </w:tcPr>
          <w:p w14:paraId="1BB99B6E" w14:textId="77777777" w:rsidR="002252DB" w:rsidRPr="00F56F21" w:rsidRDefault="002252DB">
            <w:pPr>
              <w:pStyle w:val="051Tabletext228pt"/>
              <w:keepNext/>
              <w:rPr>
                <w:lang w:val="en-US"/>
              </w:rPr>
            </w:pPr>
            <w:proofErr w:type="spellStart"/>
            <w:r w:rsidRPr="00F56F21">
              <w:rPr>
                <w:lang w:val="en-US"/>
              </w:rPr>
              <w:t>Rigoard</w:t>
            </w:r>
            <w:proofErr w:type="spellEnd"/>
            <w:r w:rsidRPr="00F56F21">
              <w:rPr>
                <w:lang w:val="en-US"/>
              </w:rPr>
              <w:t xml:space="preserve"> 2018</w:t>
            </w:r>
          </w:p>
        </w:tc>
        <w:tc>
          <w:tcPr>
            <w:tcW w:w="3760" w:type="pct"/>
          </w:tcPr>
          <w:p w14:paraId="3A8C8B8D" w14:textId="77777777" w:rsidR="002252DB" w:rsidRPr="00F56F21" w:rsidRDefault="002252DB">
            <w:pPr>
              <w:pStyle w:val="051Tabletext228pt"/>
              <w:keepNext/>
              <w:rPr>
                <w:lang w:val="en-US"/>
              </w:rPr>
            </w:pPr>
            <w:r w:rsidRPr="00F56F21">
              <w:rPr>
                <w:lang w:val="en-US"/>
              </w:rPr>
              <w:t>Multicolumn spinal cord stimulation for predominant back pain in failed back surgery syndrome patients: 12-month results of an international multicenter randomized trial (PROMISE Study)</w:t>
            </w:r>
          </w:p>
        </w:tc>
      </w:tr>
      <w:tr w:rsidR="002252DB" w:rsidRPr="00F56F21" w14:paraId="1C51DF44" w14:textId="77777777" w:rsidTr="00FE41DA">
        <w:tc>
          <w:tcPr>
            <w:tcW w:w="647" w:type="pct"/>
            <w:tcBorders>
              <w:top w:val="nil"/>
              <w:bottom w:val="single" w:sz="4" w:space="0" w:color="auto"/>
            </w:tcBorders>
          </w:tcPr>
          <w:p w14:paraId="6F2EE5AD" w14:textId="77777777" w:rsidR="002252DB" w:rsidRPr="00F56F21" w:rsidRDefault="002252DB">
            <w:pPr>
              <w:pStyle w:val="051Tabletext228pt"/>
              <w:rPr>
                <w:lang w:val="en-US"/>
              </w:rPr>
            </w:pPr>
          </w:p>
        </w:tc>
        <w:tc>
          <w:tcPr>
            <w:tcW w:w="593" w:type="pct"/>
            <w:tcBorders>
              <w:bottom w:val="single" w:sz="4" w:space="0" w:color="auto"/>
            </w:tcBorders>
          </w:tcPr>
          <w:p w14:paraId="752E0745" w14:textId="77777777" w:rsidR="002252DB" w:rsidRPr="00F56F21" w:rsidRDefault="002252DB">
            <w:pPr>
              <w:pStyle w:val="051Tabletext228pt"/>
              <w:rPr>
                <w:lang w:val="en-US"/>
              </w:rPr>
            </w:pPr>
            <w:proofErr w:type="spellStart"/>
            <w:r w:rsidRPr="00F56F21">
              <w:rPr>
                <w:lang w:val="en-US"/>
              </w:rPr>
              <w:t>Rigoard</w:t>
            </w:r>
            <w:proofErr w:type="spellEnd"/>
            <w:r w:rsidRPr="00F56F21">
              <w:rPr>
                <w:lang w:val="en-US"/>
              </w:rPr>
              <w:t xml:space="preserve"> 2019</w:t>
            </w:r>
          </w:p>
        </w:tc>
        <w:tc>
          <w:tcPr>
            <w:tcW w:w="3760" w:type="pct"/>
            <w:tcBorders>
              <w:bottom w:val="single" w:sz="4" w:space="0" w:color="auto"/>
            </w:tcBorders>
          </w:tcPr>
          <w:p w14:paraId="01D9D1CA" w14:textId="77777777" w:rsidR="002252DB" w:rsidRPr="00F56F21" w:rsidRDefault="002252DB">
            <w:pPr>
              <w:pStyle w:val="051Tabletext228pt"/>
              <w:rPr>
                <w:lang w:val="en-US"/>
              </w:rPr>
            </w:pPr>
            <w:r w:rsidRPr="00F56F21">
              <w:rPr>
                <w:lang w:val="en-US"/>
              </w:rPr>
              <w:t>Multicolumn spinal cord stimulation for predominant back pain in failed back surgery syndrome patients: A multicenter randomized controlled trial</w:t>
            </w:r>
          </w:p>
        </w:tc>
      </w:tr>
      <w:tr w:rsidR="002252DB" w:rsidRPr="00F56F21" w14:paraId="73536F57" w14:textId="77777777" w:rsidTr="00FE41DA">
        <w:tc>
          <w:tcPr>
            <w:tcW w:w="647" w:type="pct"/>
            <w:tcBorders>
              <w:top w:val="single" w:sz="4" w:space="0" w:color="auto"/>
              <w:bottom w:val="nil"/>
            </w:tcBorders>
          </w:tcPr>
          <w:p w14:paraId="0BEF05FB" w14:textId="77777777" w:rsidR="002252DB" w:rsidRPr="00852E94" w:rsidRDefault="002252DB">
            <w:pPr>
              <w:pStyle w:val="051Tabletext228pt"/>
              <w:keepNext/>
              <w:rPr>
                <w:i/>
                <w:iCs/>
                <w:lang w:val="en-US"/>
              </w:rPr>
            </w:pPr>
            <w:proofErr w:type="spellStart"/>
            <w:r w:rsidRPr="00852E94">
              <w:rPr>
                <w:i/>
                <w:iCs/>
                <w:lang w:val="en-US"/>
              </w:rPr>
              <w:t>Schu</w:t>
            </w:r>
            <w:proofErr w:type="spellEnd"/>
            <w:r w:rsidRPr="00852E94">
              <w:rPr>
                <w:i/>
                <w:iCs/>
                <w:lang w:val="en-US"/>
              </w:rPr>
              <w:t xml:space="preserve"> 2014</w:t>
            </w:r>
          </w:p>
        </w:tc>
        <w:tc>
          <w:tcPr>
            <w:tcW w:w="593" w:type="pct"/>
            <w:tcBorders>
              <w:top w:val="single" w:sz="4" w:space="0" w:color="auto"/>
            </w:tcBorders>
          </w:tcPr>
          <w:p w14:paraId="6BC5233B" w14:textId="77777777" w:rsidR="002252DB" w:rsidRPr="00F56F21" w:rsidRDefault="002252DB">
            <w:pPr>
              <w:pStyle w:val="051Tabletext228pt"/>
              <w:keepNext/>
              <w:rPr>
                <w:lang w:val="en-US"/>
              </w:rPr>
            </w:pPr>
            <w:proofErr w:type="spellStart"/>
            <w:r w:rsidRPr="00F56F21">
              <w:rPr>
                <w:lang w:val="en-US"/>
              </w:rPr>
              <w:t>Schu</w:t>
            </w:r>
            <w:proofErr w:type="spellEnd"/>
            <w:r w:rsidRPr="00F56F21">
              <w:rPr>
                <w:lang w:val="en-US"/>
              </w:rPr>
              <w:t xml:space="preserve"> 2014</w:t>
            </w:r>
          </w:p>
        </w:tc>
        <w:tc>
          <w:tcPr>
            <w:tcW w:w="3760" w:type="pct"/>
            <w:tcBorders>
              <w:top w:val="single" w:sz="4" w:space="0" w:color="auto"/>
            </w:tcBorders>
          </w:tcPr>
          <w:p w14:paraId="04E57F5B" w14:textId="77777777" w:rsidR="002252DB" w:rsidRPr="00F56F21" w:rsidRDefault="002252DB">
            <w:pPr>
              <w:pStyle w:val="051Tabletext228pt"/>
              <w:keepNext/>
              <w:rPr>
                <w:lang w:val="en-US"/>
              </w:rPr>
            </w:pPr>
            <w:r w:rsidRPr="00F56F21">
              <w:rPr>
                <w:lang w:val="en-US"/>
              </w:rPr>
              <w:t xml:space="preserve">Burst or tonic stimulation? first results of a placebo controlled, doubled blinded, randomized study for the treatment of </w:t>
            </w:r>
            <w:proofErr w:type="spellStart"/>
            <w:r w:rsidRPr="00F56F21">
              <w:rPr>
                <w:lang w:val="en-US"/>
              </w:rPr>
              <w:t>fbss</w:t>
            </w:r>
            <w:proofErr w:type="spellEnd"/>
            <w:r w:rsidRPr="00F56F21">
              <w:rPr>
                <w:lang w:val="en-US"/>
              </w:rPr>
              <w:t xml:space="preserve"> patients</w:t>
            </w:r>
          </w:p>
        </w:tc>
      </w:tr>
      <w:tr w:rsidR="002252DB" w:rsidRPr="00F56F21" w14:paraId="021B1026" w14:textId="77777777" w:rsidTr="00FE41DA">
        <w:tc>
          <w:tcPr>
            <w:tcW w:w="647" w:type="pct"/>
            <w:tcBorders>
              <w:top w:val="nil"/>
              <w:bottom w:val="nil"/>
            </w:tcBorders>
          </w:tcPr>
          <w:p w14:paraId="62E36007" w14:textId="77777777" w:rsidR="002252DB" w:rsidRPr="00F56F21" w:rsidRDefault="002252DB">
            <w:pPr>
              <w:pStyle w:val="051Tabletext228pt"/>
              <w:keepNext/>
              <w:rPr>
                <w:lang w:val="en-US"/>
              </w:rPr>
            </w:pPr>
          </w:p>
        </w:tc>
        <w:tc>
          <w:tcPr>
            <w:tcW w:w="593" w:type="pct"/>
          </w:tcPr>
          <w:p w14:paraId="47E7DD76" w14:textId="77777777" w:rsidR="002252DB" w:rsidRPr="00F56F21" w:rsidRDefault="002252DB">
            <w:pPr>
              <w:pStyle w:val="051Tabletext228pt"/>
              <w:keepNext/>
              <w:rPr>
                <w:lang w:val="en-US"/>
              </w:rPr>
            </w:pPr>
            <w:proofErr w:type="spellStart"/>
            <w:r w:rsidRPr="00F56F21">
              <w:rPr>
                <w:lang w:val="en-US"/>
              </w:rPr>
              <w:t>Schu</w:t>
            </w:r>
            <w:proofErr w:type="spellEnd"/>
            <w:r w:rsidRPr="00F56F21">
              <w:rPr>
                <w:lang w:val="en-US"/>
              </w:rPr>
              <w:t xml:space="preserve"> 2014</w:t>
            </w:r>
          </w:p>
        </w:tc>
        <w:tc>
          <w:tcPr>
            <w:tcW w:w="3760" w:type="pct"/>
          </w:tcPr>
          <w:p w14:paraId="2527C771" w14:textId="77777777" w:rsidR="002252DB" w:rsidRPr="00F56F21" w:rsidRDefault="002252DB">
            <w:pPr>
              <w:pStyle w:val="051Tabletext228pt"/>
              <w:keepNext/>
              <w:rPr>
                <w:lang w:val="en-US"/>
              </w:rPr>
            </w:pPr>
            <w:r w:rsidRPr="00F56F21">
              <w:rPr>
                <w:lang w:val="en-US"/>
              </w:rPr>
              <w:t>A prospective, randomised, double-blind, placebo-controlled study to examine the effectiveness of burst spinal cord stimulation patterns for the treatment of failed back surgery syndrome</w:t>
            </w:r>
          </w:p>
        </w:tc>
      </w:tr>
      <w:tr w:rsidR="002252DB" w:rsidRPr="00F56F21" w14:paraId="43F8AFB0" w14:textId="77777777" w:rsidTr="00FE41DA">
        <w:tc>
          <w:tcPr>
            <w:tcW w:w="647" w:type="pct"/>
            <w:tcBorders>
              <w:top w:val="nil"/>
              <w:bottom w:val="single" w:sz="4" w:space="0" w:color="auto"/>
            </w:tcBorders>
          </w:tcPr>
          <w:p w14:paraId="634729F7" w14:textId="77777777" w:rsidR="002252DB" w:rsidRPr="00F56F21" w:rsidRDefault="002252DB">
            <w:pPr>
              <w:pStyle w:val="051Tabletext228pt"/>
              <w:rPr>
                <w:lang w:val="en-US"/>
              </w:rPr>
            </w:pPr>
          </w:p>
        </w:tc>
        <w:tc>
          <w:tcPr>
            <w:tcW w:w="593" w:type="pct"/>
            <w:tcBorders>
              <w:bottom w:val="single" w:sz="4" w:space="0" w:color="auto"/>
            </w:tcBorders>
          </w:tcPr>
          <w:p w14:paraId="3C21D05C" w14:textId="77777777" w:rsidR="002252DB" w:rsidRPr="00F56F21" w:rsidRDefault="002252DB">
            <w:pPr>
              <w:pStyle w:val="051Tabletext228pt"/>
              <w:rPr>
                <w:lang w:val="en-US"/>
              </w:rPr>
            </w:pPr>
            <w:r w:rsidRPr="00F56F21">
              <w:rPr>
                <w:lang w:val="en-US"/>
              </w:rPr>
              <w:t>Vesper 2017</w:t>
            </w:r>
          </w:p>
        </w:tc>
        <w:tc>
          <w:tcPr>
            <w:tcW w:w="3760" w:type="pct"/>
            <w:tcBorders>
              <w:bottom w:val="single" w:sz="4" w:space="0" w:color="auto"/>
            </w:tcBorders>
          </w:tcPr>
          <w:p w14:paraId="78432BEA" w14:textId="77777777" w:rsidR="002252DB" w:rsidRPr="00F56F21" w:rsidRDefault="002252DB">
            <w:pPr>
              <w:pStyle w:val="051Tabletext228pt"/>
              <w:rPr>
                <w:lang w:val="en-US"/>
              </w:rPr>
            </w:pPr>
            <w:r w:rsidRPr="00F56F21">
              <w:rPr>
                <w:lang w:val="en-US"/>
              </w:rPr>
              <w:t xml:space="preserve">Burst or tonic stimulation? results of a placebo controlled, double blinded, randomized study for the treatment of </w:t>
            </w:r>
            <w:proofErr w:type="spellStart"/>
            <w:r w:rsidRPr="00F56F21">
              <w:rPr>
                <w:lang w:val="en-US"/>
              </w:rPr>
              <w:t>fbss</w:t>
            </w:r>
            <w:proofErr w:type="spellEnd"/>
            <w:r w:rsidRPr="00F56F21">
              <w:rPr>
                <w:lang w:val="en-US"/>
              </w:rPr>
              <w:t xml:space="preserve"> patients-3y follow-up</w:t>
            </w:r>
          </w:p>
        </w:tc>
      </w:tr>
      <w:tr w:rsidR="002252DB" w:rsidRPr="00F56F21" w14:paraId="309C0134" w14:textId="77777777" w:rsidTr="00FE41DA">
        <w:tc>
          <w:tcPr>
            <w:tcW w:w="647" w:type="pct"/>
            <w:tcBorders>
              <w:top w:val="single" w:sz="4" w:space="0" w:color="auto"/>
              <w:bottom w:val="nil"/>
            </w:tcBorders>
          </w:tcPr>
          <w:p w14:paraId="3678BA32" w14:textId="77777777" w:rsidR="002252DB" w:rsidRPr="00F56F21" w:rsidRDefault="002252DB">
            <w:pPr>
              <w:pStyle w:val="051Tabletext228pt"/>
              <w:keepNext/>
              <w:rPr>
                <w:lang w:val="en-US"/>
              </w:rPr>
            </w:pPr>
            <w:r w:rsidRPr="00852E94">
              <w:rPr>
                <w:b/>
                <w:bCs/>
                <w:lang w:val="en-US"/>
              </w:rPr>
              <w:lastRenderedPageBreak/>
              <w:t>SCS Frequency Study</w:t>
            </w:r>
            <w:r w:rsidRPr="00F56F21">
              <w:rPr>
                <w:lang w:val="en-US"/>
              </w:rPr>
              <w:t xml:space="preserve"> (Al-</w:t>
            </w:r>
            <w:proofErr w:type="spellStart"/>
            <w:r w:rsidRPr="00F56F21">
              <w:rPr>
                <w:lang w:val="en-US"/>
              </w:rPr>
              <w:t>Kaisy</w:t>
            </w:r>
            <w:proofErr w:type="spellEnd"/>
            <w:r w:rsidRPr="00F56F21">
              <w:rPr>
                <w:lang w:val="en-US"/>
              </w:rPr>
              <w:t xml:space="preserve"> 2018)</w:t>
            </w:r>
          </w:p>
        </w:tc>
        <w:tc>
          <w:tcPr>
            <w:tcW w:w="593" w:type="pct"/>
            <w:tcBorders>
              <w:top w:val="single" w:sz="4" w:space="0" w:color="auto"/>
            </w:tcBorders>
          </w:tcPr>
          <w:p w14:paraId="508BE009" w14:textId="77777777" w:rsidR="002252DB" w:rsidRPr="00F56F21" w:rsidRDefault="002252DB">
            <w:pPr>
              <w:pStyle w:val="051Tabletext228pt"/>
              <w:keepNext/>
              <w:rPr>
                <w:lang w:val="en-US"/>
              </w:rPr>
            </w:pPr>
            <w:r w:rsidRPr="00F56F21">
              <w:rPr>
                <w:lang w:val="en-US"/>
              </w:rPr>
              <w:t>Al-</w:t>
            </w:r>
            <w:proofErr w:type="spellStart"/>
            <w:r w:rsidRPr="00F56F21">
              <w:rPr>
                <w:lang w:val="en-US"/>
              </w:rPr>
              <w:t>Kaisy</w:t>
            </w:r>
            <w:proofErr w:type="spellEnd"/>
            <w:r w:rsidRPr="00F56F21">
              <w:rPr>
                <w:lang w:val="en-US"/>
              </w:rPr>
              <w:t xml:space="preserve"> 2016</w:t>
            </w:r>
          </w:p>
        </w:tc>
        <w:tc>
          <w:tcPr>
            <w:tcW w:w="3760" w:type="pct"/>
            <w:tcBorders>
              <w:top w:val="single" w:sz="4" w:space="0" w:color="auto"/>
            </w:tcBorders>
          </w:tcPr>
          <w:p w14:paraId="211EAB3D" w14:textId="77777777" w:rsidR="002252DB" w:rsidRPr="00F56F21" w:rsidRDefault="002252DB">
            <w:pPr>
              <w:pStyle w:val="051Tabletext228pt"/>
              <w:keepNext/>
              <w:rPr>
                <w:lang w:val="en-US"/>
              </w:rPr>
            </w:pPr>
            <w:r w:rsidRPr="00F56F21">
              <w:rPr>
                <w:lang w:val="en-US"/>
              </w:rPr>
              <w:t>Spinal cord stimulation study evaluating role of higher frequencies (SCS frequency study) (10524)</w:t>
            </w:r>
          </w:p>
        </w:tc>
      </w:tr>
      <w:tr w:rsidR="002252DB" w:rsidRPr="00F56F21" w14:paraId="24609D8B" w14:textId="77777777" w:rsidTr="00FE41DA">
        <w:tc>
          <w:tcPr>
            <w:tcW w:w="647" w:type="pct"/>
            <w:tcBorders>
              <w:top w:val="nil"/>
              <w:bottom w:val="nil"/>
            </w:tcBorders>
          </w:tcPr>
          <w:p w14:paraId="6BE6EAA6" w14:textId="77777777" w:rsidR="002252DB" w:rsidRPr="00F56F21" w:rsidRDefault="002252DB">
            <w:pPr>
              <w:pStyle w:val="051Tabletext228pt"/>
              <w:keepNext/>
              <w:ind w:left="113"/>
              <w:rPr>
                <w:lang w:val="en-US"/>
              </w:rPr>
            </w:pPr>
            <w:r w:rsidRPr="00F56F21">
              <w:rPr>
                <w:lang w:val="en-US"/>
              </w:rPr>
              <w:t>NCT01750229</w:t>
            </w:r>
          </w:p>
        </w:tc>
        <w:tc>
          <w:tcPr>
            <w:tcW w:w="593" w:type="pct"/>
          </w:tcPr>
          <w:p w14:paraId="14C4DC71" w14:textId="77777777" w:rsidR="002252DB" w:rsidRPr="00F56F21" w:rsidRDefault="002252DB">
            <w:pPr>
              <w:pStyle w:val="051Tabletext228pt"/>
              <w:keepNext/>
              <w:rPr>
                <w:lang w:val="en-US"/>
              </w:rPr>
            </w:pPr>
            <w:r w:rsidRPr="00F56F21">
              <w:rPr>
                <w:lang w:val="en-US"/>
              </w:rPr>
              <w:t>Al-</w:t>
            </w:r>
            <w:proofErr w:type="spellStart"/>
            <w:r w:rsidRPr="00F56F21">
              <w:rPr>
                <w:lang w:val="en-US"/>
              </w:rPr>
              <w:t>Kaisy</w:t>
            </w:r>
            <w:proofErr w:type="spellEnd"/>
            <w:r w:rsidRPr="00F56F21">
              <w:rPr>
                <w:lang w:val="en-US"/>
              </w:rPr>
              <w:t xml:space="preserve"> 2017</w:t>
            </w:r>
          </w:p>
        </w:tc>
        <w:tc>
          <w:tcPr>
            <w:tcW w:w="3760" w:type="pct"/>
          </w:tcPr>
          <w:p w14:paraId="5F499186" w14:textId="77777777" w:rsidR="002252DB" w:rsidRPr="00F56F21" w:rsidRDefault="002252DB">
            <w:pPr>
              <w:pStyle w:val="051Tabletext228pt"/>
              <w:keepNext/>
              <w:rPr>
                <w:lang w:val="en-US"/>
              </w:rPr>
            </w:pPr>
            <w:r w:rsidRPr="00F56F21">
              <w:rPr>
                <w:lang w:val="en-US"/>
              </w:rPr>
              <w:t>Subject therapy preference post randomized phase in a spinal cord stimulation study using higher frequencies</w:t>
            </w:r>
          </w:p>
        </w:tc>
      </w:tr>
      <w:tr w:rsidR="002252DB" w:rsidRPr="00F56F21" w14:paraId="0FDC8052" w14:textId="77777777" w:rsidTr="00FE41DA">
        <w:tc>
          <w:tcPr>
            <w:tcW w:w="647" w:type="pct"/>
            <w:tcBorders>
              <w:top w:val="nil"/>
              <w:bottom w:val="single" w:sz="4" w:space="0" w:color="auto"/>
            </w:tcBorders>
          </w:tcPr>
          <w:p w14:paraId="2988AB80" w14:textId="77777777" w:rsidR="002252DB" w:rsidRPr="00F56F21" w:rsidRDefault="002252DB">
            <w:pPr>
              <w:pStyle w:val="051Tabletext228pt"/>
              <w:rPr>
                <w:lang w:val="en-US"/>
              </w:rPr>
            </w:pPr>
          </w:p>
        </w:tc>
        <w:tc>
          <w:tcPr>
            <w:tcW w:w="593" w:type="pct"/>
            <w:tcBorders>
              <w:bottom w:val="single" w:sz="4" w:space="0" w:color="auto"/>
            </w:tcBorders>
          </w:tcPr>
          <w:p w14:paraId="7B280458" w14:textId="77777777" w:rsidR="002252DB" w:rsidRPr="00F56F21" w:rsidRDefault="002252DB">
            <w:pPr>
              <w:pStyle w:val="051Tabletext228pt"/>
              <w:rPr>
                <w:lang w:val="en-US"/>
              </w:rPr>
            </w:pPr>
            <w:r w:rsidRPr="00F56F21">
              <w:rPr>
                <w:lang w:val="en-US"/>
              </w:rPr>
              <w:t>Al-</w:t>
            </w:r>
            <w:proofErr w:type="spellStart"/>
            <w:r w:rsidRPr="00F56F21">
              <w:rPr>
                <w:lang w:val="en-US"/>
              </w:rPr>
              <w:t>Kaisy</w:t>
            </w:r>
            <w:proofErr w:type="spellEnd"/>
            <w:r w:rsidRPr="00F56F21">
              <w:rPr>
                <w:lang w:val="en-US"/>
              </w:rPr>
              <w:t xml:space="preserve"> 2018</w:t>
            </w:r>
          </w:p>
        </w:tc>
        <w:tc>
          <w:tcPr>
            <w:tcW w:w="3760" w:type="pct"/>
            <w:tcBorders>
              <w:bottom w:val="single" w:sz="4" w:space="0" w:color="auto"/>
            </w:tcBorders>
          </w:tcPr>
          <w:p w14:paraId="493BA2AC" w14:textId="77777777" w:rsidR="002252DB" w:rsidRPr="00F56F21" w:rsidRDefault="002252DB">
            <w:pPr>
              <w:pStyle w:val="051Tabletext228pt"/>
              <w:rPr>
                <w:lang w:val="en-US"/>
              </w:rPr>
            </w:pPr>
            <w:r w:rsidRPr="00F56F21">
              <w:rPr>
                <w:lang w:val="en-US"/>
              </w:rPr>
              <w:t>Prospective, Randomized, Sham-Control, Double Blind, Crossover Trial of Subthreshold Spinal Cord Stimulation at Various Kilohertz Frequencies in Subjects Suffering From Failed Back Surgery Syndrome (SCS Frequency Study)</w:t>
            </w:r>
          </w:p>
        </w:tc>
      </w:tr>
      <w:tr w:rsidR="002252DB" w:rsidRPr="00F56F21" w14:paraId="16AEDEFB" w14:textId="77777777" w:rsidTr="00FE41DA">
        <w:tc>
          <w:tcPr>
            <w:tcW w:w="647" w:type="pct"/>
            <w:tcBorders>
              <w:top w:val="single" w:sz="4" w:space="0" w:color="auto"/>
              <w:bottom w:val="nil"/>
            </w:tcBorders>
          </w:tcPr>
          <w:p w14:paraId="1933897B" w14:textId="77777777" w:rsidR="002252DB" w:rsidRPr="00852E94" w:rsidRDefault="002252DB">
            <w:pPr>
              <w:pStyle w:val="051Tabletext228pt"/>
              <w:keepNext/>
              <w:rPr>
                <w:b/>
                <w:bCs/>
                <w:lang w:val="en-US"/>
              </w:rPr>
            </w:pPr>
            <w:r w:rsidRPr="00852E94">
              <w:rPr>
                <w:b/>
                <w:bCs/>
                <w:lang w:val="en-US"/>
              </w:rPr>
              <w:t>SENZA-PDN</w:t>
            </w:r>
          </w:p>
        </w:tc>
        <w:tc>
          <w:tcPr>
            <w:tcW w:w="593" w:type="pct"/>
            <w:tcBorders>
              <w:top w:val="single" w:sz="4" w:space="0" w:color="auto"/>
            </w:tcBorders>
          </w:tcPr>
          <w:p w14:paraId="692DF64B" w14:textId="77777777" w:rsidR="002252DB" w:rsidRPr="00F56F21" w:rsidRDefault="002252DB">
            <w:pPr>
              <w:pStyle w:val="051Tabletext228pt"/>
              <w:keepNext/>
              <w:rPr>
                <w:lang w:val="en-US"/>
              </w:rPr>
            </w:pPr>
            <w:proofErr w:type="spellStart"/>
            <w:r w:rsidRPr="00F56F21">
              <w:rPr>
                <w:lang w:val="en-US"/>
              </w:rPr>
              <w:t>Argoff</w:t>
            </w:r>
            <w:proofErr w:type="spellEnd"/>
            <w:r w:rsidRPr="00F56F21">
              <w:rPr>
                <w:lang w:val="en-US"/>
              </w:rPr>
              <w:t xml:space="preserve"> 2018</w:t>
            </w:r>
          </w:p>
        </w:tc>
        <w:tc>
          <w:tcPr>
            <w:tcW w:w="3760" w:type="pct"/>
            <w:tcBorders>
              <w:top w:val="single" w:sz="4" w:space="0" w:color="auto"/>
            </w:tcBorders>
          </w:tcPr>
          <w:p w14:paraId="234E8772" w14:textId="77777777" w:rsidR="002252DB" w:rsidRPr="00F56F21" w:rsidRDefault="002252DB">
            <w:pPr>
              <w:pStyle w:val="051Tabletext228pt"/>
              <w:keepNext/>
              <w:rPr>
                <w:lang w:val="en-US"/>
              </w:rPr>
            </w:pPr>
            <w:r w:rsidRPr="00F56F21">
              <w:rPr>
                <w:lang w:val="en-US"/>
              </w:rPr>
              <w:t>High frequency spinal cord stimulation (HF-SCS) at 10 kHz for the treatment of neuropathic limb pain from painful diabetic neuropathy</w:t>
            </w:r>
          </w:p>
        </w:tc>
      </w:tr>
      <w:tr w:rsidR="002252DB" w:rsidRPr="00F56F21" w14:paraId="1FCC8A74" w14:textId="77777777" w:rsidTr="00FE41DA">
        <w:tc>
          <w:tcPr>
            <w:tcW w:w="647" w:type="pct"/>
            <w:tcBorders>
              <w:top w:val="nil"/>
              <w:bottom w:val="nil"/>
            </w:tcBorders>
          </w:tcPr>
          <w:p w14:paraId="4DAD105C" w14:textId="77777777" w:rsidR="002252DB" w:rsidRPr="00F56F21" w:rsidRDefault="002252DB">
            <w:pPr>
              <w:pStyle w:val="051Tabletext228pt"/>
              <w:keepNext/>
              <w:rPr>
                <w:lang w:val="en-US"/>
              </w:rPr>
            </w:pPr>
          </w:p>
        </w:tc>
        <w:tc>
          <w:tcPr>
            <w:tcW w:w="593" w:type="pct"/>
          </w:tcPr>
          <w:p w14:paraId="035976B6" w14:textId="77777777" w:rsidR="002252DB" w:rsidRPr="00F56F21" w:rsidRDefault="002252DB">
            <w:pPr>
              <w:pStyle w:val="051Tabletext228pt"/>
              <w:keepNext/>
              <w:rPr>
                <w:lang w:val="en-US"/>
              </w:rPr>
            </w:pPr>
            <w:proofErr w:type="spellStart"/>
            <w:r w:rsidRPr="00F56F21">
              <w:rPr>
                <w:lang w:val="en-US"/>
              </w:rPr>
              <w:t>Argoff</w:t>
            </w:r>
            <w:proofErr w:type="spellEnd"/>
            <w:r w:rsidRPr="00F56F21">
              <w:rPr>
                <w:lang w:val="en-US"/>
              </w:rPr>
              <w:t xml:space="preserve"> 2018</w:t>
            </w:r>
          </w:p>
        </w:tc>
        <w:tc>
          <w:tcPr>
            <w:tcW w:w="3760" w:type="pct"/>
          </w:tcPr>
          <w:p w14:paraId="1A2BDD11" w14:textId="77777777" w:rsidR="002252DB" w:rsidRPr="00F56F21" w:rsidRDefault="002252DB">
            <w:pPr>
              <w:pStyle w:val="051Tabletext228pt"/>
              <w:keepNext/>
              <w:rPr>
                <w:lang w:val="en-US"/>
              </w:rPr>
            </w:pPr>
            <w:r w:rsidRPr="00F56F21">
              <w:rPr>
                <w:lang w:val="en-US"/>
              </w:rPr>
              <w:t>A prospective, randomized, controlled trial of high frequency spinal cord stimulation for the treatment of neuropathic limb pain from painful diabetic neuropathy: The senza-</w:t>
            </w:r>
            <w:proofErr w:type="spellStart"/>
            <w:r w:rsidRPr="00F56F21">
              <w:rPr>
                <w:lang w:val="en-US"/>
              </w:rPr>
              <w:t>pdn</w:t>
            </w:r>
            <w:proofErr w:type="spellEnd"/>
            <w:r w:rsidRPr="00F56F21">
              <w:rPr>
                <w:lang w:val="en-US"/>
              </w:rPr>
              <w:t xml:space="preserve"> protocol</w:t>
            </w:r>
          </w:p>
        </w:tc>
      </w:tr>
      <w:tr w:rsidR="002252DB" w:rsidRPr="00F56F21" w14:paraId="10BF40E6" w14:textId="77777777" w:rsidTr="00FE41DA">
        <w:tc>
          <w:tcPr>
            <w:tcW w:w="647" w:type="pct"/>
            <w:tcBorders>
              <w:top w:val="nil"/>
              <w:bottom w:val="nil"/>
            </w:tcBorders>
          </w:tcPr>
          <w:p w14:paraId="04E83D3D" w14:textId="77777777" w:rsidR="002252DB" w:rsidRPr="00F56F21" w:rsidRDefault="002252DB">
            <w:pPr>
              <w:pStyle w:val="051Tabletext228pt"/>
              <w:keepNext/>
              <w:rPr>
                <w:lang w:val="en-US"/>
              </w:rPr>
            </w:pPr>
          </w:p>
        </w:tc>
        <w:tc>
          <w:tcPr>
            <w:tcW w:w="593" w:type="pct"/>
          </w:tcPr>
          <w:p w14:paraId="5C82105F" w14:textId="77777777" w:rsidR="002252DB" w:rsidRPr="00F56F21" w:rsidRDefault="002252DB">
            <w:pPr>
              <w:pStyle w:val="051Tabletext228pt"/>
              <w:keepNext/>
              <w:rPr>
                <w:lang w:val="en-US"/>
              </w:rPr>
            </w:pPr>
            <w:proofErr w:type="spellStart"/>
            <w:r w:rsidRPr="00F56F21">
              <w:rPr>
                <w:lang w:val="en-US"/>
              </w:rPr>
              <w:t>Mekhail</w:t>
            </w:r>
            <w:proofErr w:type="spellEnd"/>
            <w:r w:rsidRPr="00F56F21">
              <w:rPr>
                <w:lang w:val="en-US"/>
              </w:rPr>
              <w:t xml:space="preserve"> 2020</w:t>
            </w:r>
          </w:p>
        </w:tc>
        <w:tc>
          <w:tcPr>
            <w:tcW w:w="3760" w:type="pct"/>
          </w:tcPr>
          <w:p w14:paraId="04BAE3BB" w14:textId="77777777" w:rsidR="002252DB" w:rsidRPr="00F56F21" w:rsidRDefault="002252DB">
            <w:pPr>
              <w:pStyle w:val="051Tabletext228pt"/>
              <w:keepNext/>
              <w:rPr>
                <w:lang w:val="en-US"/>
              </w:rPr>
            </w:pPr>
            <w:r w:rsidRPr="00F56F21">
              <w:rPr>
                <w:lang w:val="en-US"/>
              </w:rPr>
              <w:t>High-frequency spinal cord stimulation at 10 kHz for the treatment of painful diabetic neuropathy: design of a multicenter, randomized controlled trial (SENZA-PDN)</w:t>
            </w:r>
          </w:p>
        </w:tc>
      </w:tr>
      <w:tr w:rsidR="002252DB" w:rsidRPr="00F56F21" w14:paraId="04BE289A" w14:textId="77777777" w:rsidTr="00FE41DA">
        <w:tc>
          <w:tcPr>
            <w:tcW w:w="647" w:type="pct"/>
            <w:tcBorders>
              <w:top w:val="nil"/>
              <w:bottom w:val="nil"/>
            </w:tcBorders>
          </w:tcPr>
          <w:p w14:paraId="1429615E" w14:textId="77777777" w:rsidR="002252DB" w:rsidRPr="00F56F21" w:rsidRDefault="002252DB">
            <w:pPr>
              <w:pStyle w:val="051Tabletext228pt"/>
              <w:keepNext/>
              <w:rPr>
                <w:lang w:val="en-US"/>
              </w:rPr>
            </w:pPr>
          </w:p>
        </w:tc>
        <w:tc>
          <w:tcPr>
            <w:tcW w:w="593" w:type="pct"/>
          </w:tcPr>
          <w:p w14:paraId="12891444" w14:textId="77777777" w:rsidR="002252DB" w:rsidRPr="00F56F21" w:rsidRDefault="002252DB">
            <w:pPr>
              <w:pStyle w:val="051Tabletext228pt"/>
              <w:keepNext/>
              <w:rPr>
                <w:lang w:val="en-US"/>
              </w:rPr>
            </w:pPr>
            <w:r w:rsidRPr="00F56F21">
              <w:rPr>
                <w:lang w:val="en-US"/>
              </w:rPr>
              <w:t>Petersen 2020</w:t>
            </w:r>
          </w:p>
        </w:tc>
        <w:tc>
          <w:tcPr>
            <w:tcW w:w="3760" w:type="pct"/>
          </w:tcPr>
          <w:p w14:paraId="2FDB2243" w14:textId="77777777" w:rsidR="002252DB" w:rsidRPr="00F56F21" w:rsidRDefault="002252DB">
            <w:pPr>
              <w:pStyle w:val="051Tabletext228pt"/>
              <w:keepNext/>
              <w:rPr>
                <w:lang w:val="en-US"/>
              </w:rPr>
            </w:pPr>
            <w:r w:rsidRPr="00F56F21">
              <w:rPr>
                <w:lang w:val="en-US"/>
              </w:rPr>
              <w:t>10 kHz Spinal Cord Stimulation for Treatment of Painful Diabetic Neuropathy-A Multicenter Randomized Controlled Trial (1612)</w:t>
            </w:r>
          </w:p>
        </w:tc>
      </w:tr>
      <w:tr w:rsidR="002252DB" w:rsidRPr="00F56F21" w14:paraId="427749FB" w14:textId="77777777" w:rsidTr="00FE41DA">
        <w:tc>
          <w:tcPr>
            <w:tcW w:w="647" w:type="pct"/>
            <w:tcBorders>
              <w:top w:val="nil"/>
              <w:bottom w:val="nil"/>
            </w:tcBorders>
          </w:tcPr>
          <w:p w14:paraId="0E2861A2" w14:textId="77777777" w:rsidR="002252DB" w:rsidRPr="00F56F21" w:rsidRDefault="002252DB">
            <w:pPr>
              <w:pStyle w:val="051Tabletext228pt"/>
              <w:keepNext/>
              <w:rPr>
                <w:lang w:val="en-US"/>
              </w:rPr>
            </w:pPr>
          </w:p>
        </w:tc>
        <w:tc>
          <w:tcPr>
            <w:tcW w:w="593" w:type="pct"/>
          </w:tcPr>
          <w:p w14:paraId="3E36347B" w14:textId="77777777" w:rsidR="002252DB" w:rsidRPr="00F56F21" w:rsidRDefault="002252DB">
            <w:pPr>
              <w:pStyle w:val="051Tabletext228pt"/>
              <w:keepNext/>
              <w:rPr>
                <w:lang w:val="en-US"/>
              </w:rPr>
            </w:pPr>
            <w:r w:rsidRPr="00F56F21">
              <w:rPr>
                <w:lang w:val="en-US"/>
              </w:rPr>
              <w:t>Petersen 2020</w:t>
            </w:r>
          </w:p>
        </w:tc>
        <w:tc>
          <w:tcPr>
            <w:tcW w:w="3760" w:type="pct"/>
          </w:tcPr>
          <w:p w14:paraId="4088281A" w14:textId="77777777" w:rsidR="002252DB" w:rsidRPr="00F56F21" w:rsidRDefault="002252DB">
            <w:pPr>
              <w:pStyle w:val="051Tabletext228pt"/>
              <w:keepNext/>
              <w:rPr>
                <w:lang w:val="en-US"/>
              </w:rPr>
            </w:pPr>
            <w:r w:rsidRPr="00F56F21">
              <w:rPr>
                <w:lang w:val="en-US"/>
              </w:rPr>
              <w:t xml:space="preserve">Neuromodulation for treatment of painful diabetic neuropathy: A </w:t>
            </w:r>
            <w:proofErr w:type="spellStart"/>
            <w:r w:rsidRPr="00F56F21">
              <w:rPr>
                <w:lang w:val="en-US"/>
              </w:rPr>
              <w:t>multicentre</w:t>
            </w:r>
            <w:proofErr w:type="spellEnd"/>
            <w:r w:rsidRPr="00F56F21">
              <w:rPr>
                <w:lang w:val="en-US"/>
              </w:rPr>
              <w:t xml:space="preserve"> randomised controlled trial</w:t>
            </w:r>
          </w:p>
        </w:tc>
      </w:tr>
      <w:tr w:rsidR="002252DB" w:rsidRPr="00F56F21" w14:paraId="35A50973" w14:textId="77777777" w:rsidTr="00FE41DA">
        <w:tc>
          <w:tcPr>
            <w:tcW w:w="647" w:type="pct"/>
            <w:tcBorders>
              <w:top w:val="nil"/>
              <w:bottom w:val="nil"/>
            </w:tcBorders>
          </w:tcPr>
          <w:p w14:paraId="755E0888" w14:textId="77777777" w:rsidR="002252DB" w:rsidRPr="00F56F21" w:rsidRDefault="002252DB">
            <w:pPr>
              <w:pStyle w:val="051Tabletext228pt"/>
              <w:keepNext/>
              <w:rPr>
                <w:lang w:val="en-US"/>
              </w:rPr>
            </w:pPr>
          </w:p>
        </w:tc>
        <w:tc>
          <w:tcPr>
            <w:tcW w:w="593" w:type="pct"/>
          </w:tcPr>
          <w:p w14:paraId="337A4E41" w14:textId="77777777" w:rsidR="002252DB" w:rsidRPr="00F56F21" w:rsidRDefault="002252DB">
            <w:pPr>
              <w:pStyle w:val="051Tabletext228pt"/>
              <w:keepNext/>
              <w:rPr>
                <w:lang w:val="en-US"/>
              </w:rPr>
            </w:pPr>
            <w:r w:rsidRPr="00F56F21">
              <w:rPr>
                <w:lang w:val="en-US"/>
              </w:rPr>
              <w:t>Petersen 2020</w:t>
            </w:r>
          </w:p>
        </w:tc>
        <w:tc>
          <w:tcPr>
            <w:tcW w:w="3760" w:type="pct"/>
          </w:tcPr>
          <w:p w14:paraId="7618EF66" w14:textId="77777777" w:rsidR="002252DB" w:rsidRPr="00F56F21" w:rsidRDefault="002252DB">
            <w:pPr>
              <w:pStyle w:val="051Tabletext228pt"/>
              <w:keepNext/>
              <w:rPr>
                <w:lang w:val="en-US"/>
              </w:rPr>
            </w:pPr>
            <w:r w:rsidRPr="00F56F21">
              <w:rPr>
                <w:lang w:val="en-US"/>
              </w:rPr>
              <w:t>10 kHz spinal cord stimulation for treatment of painful diabetic neuropathy-a multicenter randomized controlled trial</w:t>
            </w:r>
          </w:p>
        </w:tc>
      </w:tr>
      <w:tr w:rsidR="002252DB" w:rsidRPr="00F56F21" w14:paraId="340BC4F7" w14:textId="77777777" w:rsidTr="00FE41DA">
        <w:tc>
          <w:tcPr>
            <w:tcW w:w="647" w:type="pct"/>
            <w:tcBorders>
              <w:top w:val="nil"/>
              <w:bottom w:val="nil"/>
            </w:tcBorders>
          </w:tcPr>
          <w:p w14:paraId="1768621D" w14:textId="77777777" w:rsidR="002252DB" w:rsidRPr="00F56F21" w:rsidRDefault="002252DB">
            <w:pPr>
              <w:pStyle w:val="051Tabletext228pt"/>
              <w:keepNext/>
              <w:rPr>
                <w:lang w:val="en-US"/>
              </w:rPr>
            </w:pPr>
          </w:p>
        </w:tc>
        <w:tc>
          <w:tcPr>
            <w:tcW w:w="593" w:type="pct"/>
          </w:tcPr>
          <w:p w14:paraId="1A88A424" w14:textId="77777777" w:rsidR="002252DB" w:rsidRPr="00F56F21" w:rsidRDefault="002252DB">
            <w:pPr>
              <w:pStyle w:val="051Tabletext228pt"/>
              <w:keepNext/>
              <w:rPr>
                <w:lang w:val="en-US"/>
              </w:rPr>
            </w:pPr>
            <w:r w:rsidRPr="00F56F21">
              <w:rPr>
                <w:lang w:val="en-US"/>
              </w:rPr>
              <w:t>Petersen 2020</w:t>
            </w:r>
          </w:p>
        </w:tc>
        <w:tc>
          <w:tcPr>
            <w:tcW w:w="3760" w:type="pct"/>
          </w:tcPr>
          <w:p w14:paraId="070DB600" w14:textId="77777777" w:rsidR="002252DB" w:rsidRPr="00F56F21" w:rsidRDefault="002252DB">
            <w:pPr>
              <w:pStyle w:val="051Tabletext228pt"/>
              <w:keepNext/>
              <w:rPr>
                <w:lang w:val="en-US"/>
              </w:rPr>
            </w:pPr>
            <w:r w:rsidRPr="00F56F21">
              <w:rPr>
                <w:lang w:val="en-US"/>
              </w:rPr>
              <w:t>10 kHz spinal cord stimulation for treatment of painful diabetic neuropathy-a multicenter randomized controlled trial</w:t>
            </w:r>
          </w:p>
        </w:tc>
      </w:tr>
      <w:tr w:rsidR="002252DB" w:rsidRPr="00F56F21" w14:paraId="6895EAAD" w14:textId="77777777" w:rsidTr="00FE41DA">
        <w:tc>
          <w:tcPr>
            <w:tcW w:w="647" w:type="pct"/>
            <w:tcBorders>
              <w:top w:val="nil"/>
              <w:bottom w:val="nil"/>
            </w:tcBorders>
          </w:tcPr>
          <w:p w14:paraId="428FFC97" w14:textId="77777777" w:rsidR="002252DB" w:rsidRPr="00F56F21" w:rsidRDefault="002252DB">
            <w:pPr>
              <w:pStyle w:val="051Tabletext228pt"/>
              <w:keepNext/>
              <w:rPr>
                <w:lang w:val="en-US"/>
              </w:rPr>
            </w:pPr>
          </w:p>
        </w:tc>
        <w:tc>
          <w:tcPr>
            <w:tcW w:w="593" w:type="pct"/>
          </w:tcPr>
          <w:p w14:paraId="28DA03ED" w14:textId="77777777" w:rsidR="002252DB" w:rsidRPr="00F56F21" w:rsidRDefault="002252DB">
            <w:pPr>
              <w:pStyle w:val="051Tabletext228pt"/>
              <w:keepNext/>
              <w:rPr>
                <w:lang w:val="en-US"/>
              </w:rPr>
            </w:pPr>
            <w:r w:rsidRPr="00F56F21">
              <w:rPr>
                <w:lang w:val="en-US"/>
              </w:rPr>
              <w:t>Petersen 2020</w:t>
            </w:r>
          </w:p>
        </w:tc>
        <w:tc>
          <w:tcPr>
            <w:tcW w:w="3760" w:type="pct"/>
          </w:tcPr>
          <w:p w14:paraId="4ED5511F" w14:textId="77777777" w:rsidR="002252DB" w:rsidRPr="00F56F21" w:rsidRDefault="002252DB">
            <w:pPr>
              <w:pStyle w:val="051Tabletext228pt"/>
              <w:keepNext/>
              <w:rPr>
                <w:lang w:val="en-US"/>
              </w:rPr>
            </w:pPr>
            <w:r w:rsidRPr="00F56F21">
              <w:rPr>
                <w:lang w:val="en-US"/>
              </w:rPr>
              <w:t xml:space="preserve">10 </w:t>
            </w:r>
            <w:proofErr w:type="spellStart"/>
            <w:r w:rsidRPr="00F56F21">
              <w:rPr>
                <w:lang w:val="en-US"/>
              </w:rPr>
              <w:t>khz</w:t>
            </w:r>
            <w:proofErr w:type="spellEnd"/>
            <w:r w:rsidRPr="00F56F21">
              <w:rPr>
                <w:lang w:val="en-US"/>
              </w:rPr>
              <w:t xml:space="preserve"> spinal cord stimulation for treatment of painful diabetic neuropathy-a multicenter randomized controlled trial</w:t>
            </w:r>
          </w:p>
        </w:tc>
      </w:tr>
      <w:tr w:rsidR="002252DB" w:rsidRPr="00F56F21" w14:paraId="570889EA" w14:textId="77777777" w:rsidTr="00FE41DA">
        <w:tc>
          <w:tcPr>
            <w:tcW w:w="647" w:type="pct"/>
            <w:tcBorders>
              <w:top w:val="nil"/>
              <w:bottom w:val="nil"/>
            </w:tcBorders>
          </w:tcPr>
          <w:p w14:paraId="5A58D593" w14:textId="77777777" w:rsidR="002252DB" w:rsidRPr="00F56F21" w:rsidRDefault="002252DB">
            <w:pPr>
              <w:pStyle w:val="051Tabletext228pt"/>
              <w:keepNext/>
              <w:rPr>
                <w:lang w:val="en-US"/>
              </w:rPr>
            </w:pPr>
          </w:p>
        </w:tc>
        <w:tc>
          <w:tcPr>
            <w:tcW w:w="593" w:type="pct"/>
          </w:tcPr>
          <w:p w14:paraId="1D06435E" w14:textId="77777777" w:rsidR="002252DB" w:rsidRPr="00F56F21" w:rsidRDefault="002252DB">
            <w:pPr>
              <w:pStyle w:val="051Tabletext228pt"/>
              <w:keepNext/>
              <w:rPr>
                <w:lang w:val="en-US"/>
              </w:rPr>
            </w:pPr>
            <w:r w:rsidRPr="00F56F21">
              <w:rPr>
                <w:lang w:val="en-US"/>
              </w:rPr>
              <w:t>Petersen 2020</w:t>
            </w:r>
          </w:p>
        </w:tc>
        <w:tc>
          <w:tcPr>
            <w:tcW w:w="3760" w:type="pct"/>
          </w:tcPr>
          <w:p w14:paraId="14533442" w14:textId="77777777" w:rsidR="002252DB" w:rsidRPr="00F56F21" w:rsidRDefault="002252DB">
            <w:pPr>
              <w:pStyle w:val="051Tabletext228pt"/>
              <w:keepNext/>
              <w:rPr>
                <w:lang w:val="en-US"/>
              </w:rPr>
            </w:pPr>
            <w:r w:rsidRPr="00F56F21">
              <w:rPr>
                <w:lang w:val="en-US"/>
              </w:rPr>
              <w:t xml:space="preserve">Neuromodulation for treatment of painful diabetic neuropathy - A multicenter randomized controlled trial comparing 10 </w:t>
            </w:r>
            <w:proofErr w:type="spellStart"/>
            <w:r w:rsidRPr="00F56F21">
              <w:rPr>
                <w:lang w:val="en-US"/>
              </w:rPr>
              <w:t>khz</w:t>
            </w:r>
            <w:proofErr w:type="spellEnd"/>
            <w:r w:rsidRPr="00F56F21">
              <w:rPr>
                <w:lang w:val="en-US"/>
              </w:rPr>
              <w:t xml:space="preserve"> spinal cord stimulation to conventional medical management</w:t>
            </w:r>
          </w:p>
        </w:tc>
      </w:tr>
      <w:tr w:rsidR="002252DB" w:rsidRPr="00F56F21" w14:paraId="1FB4E270" w14:textId="77777777" w:rsidTr="00FE41DA">
        <w:tc>
          <w:tcPr>
            <w:tcW w:w="647" w:type="pct"/>
            <w:tcBorders>
              <w:top w:val="nil"/>
              <w:bottom w:val="nil"/>
            </w:tcBorders>
          </w:tcPr>
          <w:p w14:paraId="7D9FA9D9" w14:textId="77777777" w:rsidR="002252DB" w:rsidRPr="00F56F21" w:rsidRDefault="002252DB">
            <w:pPr>
              <w:pStyle w:val="051Tabletext228pt"/>
              <w:keepNext/>
              <w:rPr>
                <w:lang w:val="en-US"/>
              </w:rPr>
            </w:pPr>
          </w:p>
        </w:tc>
        <w:tc>
          <w:tcPr>
            <w:tcW w:w="593" w:type="pct"/>
          </w:tcPr>
          <w:p w14:paraId="7143F3D9" w14:textId="77777777" w:rsidR="002252DB" w:rsidRPr="00F56F21" w:rsidRDefault="002252DB">
            <w:pPr>
              <w:pStyle w:val="051Tabletext228pt"/>
              <w:keepNext/>
              <w:rPr>
                <w:lang w:val="en-US"/>
              </w:rPr>
            </w:pPr>
            <w:r w:rsidRPr="00F56F21">
              <w:rPr>
                <w:lang w:val="en-US"/>
              </w:rPr>
              <w:t>Petersen 2020</w:t>
            </w:r>
          </w:p>
        </w:tc>
        <w:tc>
          <w:tcPr>
            <w:tcW w:w="3760" w:type="pct"/>
          </w:tcPr>
          <w:p w14:paraId="56EEBC26" w14:textId="77777777" w:rsidR="002252DB" w:rsidRPr="00F56F21" w:rsidRDefault="002252DB">
            <w:pPr>
              <w:pStyle w:val="051Tabletext228pt"/>
              <w:keepNext/>
              <w:rPr>
                <w:lang w:val="en-US"/>
              </w:rPr>
            </w:pPr>
            <w:r w:rsidRPr="00F56F21">
              <w:rPr>
                <w:lang w:val="en-US"/>
              </w:rPr>
              <w:t>10 kHz spinal cord stimulation for treatment of painful diabetic neuropathy: A multicenter randomized controlled trial</w:t>
            </w:r>
          </w:p>
        </w:tc>
      </w:tr>
      <w:tr w:rsidR="002252DB" w:rsidRPr="00F56F21" w14:paraId="3F57C469" w14:textId="77777777" w:rsidTr="00FE41DA">
        <w:tc>
          <w:tcPr>
            <w:tcW w:w="647" w:type="pct"/>
            <w:tcBorders>
              <w:top w:val="nil"/>
              <w:bottom w:val="nil"/>
            </w:tcBorders>
          </w:tcPr>
          <w:p w14:paraId="795F93FD" w14:textId="77777777" w:rsidR="002252DB" w:rsidRPr="00F56F21" w:rsidRDefault="002252DB">
            <w:pPr>
              <w:pStyle w:val="051Tabletext228pt"/>
              <w:keepNext/>
              <w:rPr>
                <w:lang w:val="en-US"/>
              </w:rPr>
            </w:pPr>
          </w:p>
        </w:tc>
        <w:tc>
          <w:tcPr>
            <w:tcW w:w="593" w:type="pct"/>
          </w:tcPr>
          <w:p w14:paraId="62BD3EAE" w14:textId="77777777" w:rsidR="002252DB" w:rsidRPr="00F56F21" w:rsidRDefault="002252DB">
            <w:pPr>
              <w:pStyle w:val="051Tabletext228pt"/>
              <w:keepNext/>
              <w:rPr>
                <w:lang w:val="en-US"/>
              </w:rPr>
            </w:pPr>
            <w:r w:rsidRPr="00F56F21">
              <w:rPr>
                <w:lang w:val="en-US"/>
              </w:rPr>
              <w:t>Petersen 2020</w:t>
            </w:r>
          </w:p>
        </w:tc>
        <w:tc>
          <w:tcPr>
            <w:tcW w:w="3760" w:type="pct"/>
          </w:tcPr>
          <w:p w14:paraId="111A7719" w14:textId="77777777" w:rsidR="002252DB" w:rsidRPr="00F56F21" w:rsidRDefault="002252DB">
            <w:pPr>
              <w:pStyle w:val="051Tabletext228pt"/>
              <w:keepNext/>
              <w:rPr>
                <w:lang w:val="en-US"/>
              </w:rPr>
            </w:pPr>
            <w:r w:rsidRPr="00F56F21">
              <w:rPr>
                <w:lang w:val="en-US"/>
              </w:rPr>
              <w:t>Neuromodulation for treatment of painful diabetic neuropathy: A multicenter randomized controlled trial</w:t>
            </w:r>
          </w:p>
        </w:tc>
      </w:tr>
      <w:tr w:rsidR="002252DB" w:rsidRPr="00F56F21" w14:paraId="64BE2110" w14:textId="77777777" w:rsidTr="00FE41DA">
        <w:tc>
          <w:tcPr>
            <w:tcW w:w="647" w:type="pct"/>
            <w:tcBorders>
              <w:top w:val="nil"/>
              <w:bottom w:val="nil"/>
            </w:tcBorders>
          </w:tcPr>
          <w:p w14:paraId="2516D12E" w14:textId="77777777" w:rsidR="002252DB" w:rsidRPr="00F56F21" w:rsidRDefault="002252DB">
            <w:pPr>
              <w:pStyle w:val="051Tabletext228pt"/>
              <w:keepNext/>
              <w:rPr>
                <w:lang w:val="en-US"/>
              </w:rPr>
            </w:pPr>
          </w:p>
        </w:tc>
        <w:tc>
          <w:tcPr>
            <w:tcW w:w="593" w:type="pct"/>
          </w:tcPr>
          <w:p w14:paraId="77638DCD" w14:textId="77777777" w:rsidR="002252DB" w:rsidRPr="00F56F21" w:rsidRDefault="002252DB">
            <w:pPr>
              <w:pStyle w:val="051Tabletext228pt"/>
              <w:keepNext/>
              <w:rPr>
                <w:lang w:val="en-US"/>
              </w:rPr>
            </w:pPr>
            <w:r w:rsidRPr="00F56F21">
              <w:rPr>
                <w:lang w:val="en-US"/>
              </w:rPr>
              <w:t>Petersen 2020</w:t>
            </w:r>
          </w:p>
        </w:tc>
        <w:tc>
          <w:tcPr>
            <w:tcW w:w="3760" w:type="pct"/>
          </w:tcPr>
          <w:p w14:paraId="4143E53D" w14:textId="77777777" w:rsidR="002252DB" w:rsidRPr="00F56F21" w:rsidRDefault="002252DB">
            <w:pPr>
              <w:pStyle w:val="051Tabletext228pt"/>
              <w:keepNext/>
              <w:rPr>
                <w:lang w:val="en-US"/>
              </w:rPr>
            </w:pPr>
            <w:r w:rsidRPr="00F56F21">
              <w:rPr>
                <w:lang w:val="en-US"/>
              </w:rPr>
              <w:t>10 kHz Spinal Cord Stimulation for Treatment of Painful Diabetic Neuropathy -A Multicenter Randomized Controlled Trial</w:t>
            </w:r>
          </w:p>
        </w:tc>
      </w:tr>
      <w:tr w:rsidR="002252DB" w:rsidRPr="00F56F21" w14:paraId="73A812EF" w14:textId="77777777" w:rsidTr="00FE41DA">
        <w:tc>
          <w:tcPr>
            <w:tcW w:w="647" w:type="pct"/>
            <w:tcBorders>
              <w:top w:val="nil"/>
              <w:bottom w:val="single" w:sz="4" w:space="0" w:color="auto"/>
            </w:tcBorders>
          </w:tcPr>
          <w:p w14:paraId="6D073CB9" w14:textId="77777777" w:rsidR="002252DB" w:rsidRPr="00F56F21" w:rsidRDefault="002252DB">
            <w:pPr>
              <w:pStyle w:val="051Tabletext228pt"/>
              <w:rPr>
                <w:lang w:val="en-US"/>
              </w:rPr>
            </w:pPr>
          </w:p>
        </w:tc>
        <w:tc>
          <w:tcPr>
            <w:tcW w:w="593" w:type="pct"/>
            <w:tcBorders>
              <w:bottom w:val="single" w:sz="4" w:space="0" w:color="auto"/>
            </w:tcBorders>
          </w:tcPr>
          <w:p w14:paraId="49B18436" w14:textId="77777777" w:rsidR="002252DB" w:rsidRPr="00F56F21" w:rsidRDefault="002252DB">
            <w:pPr>
              <w:pStyle w:val="051Tabletext228pt"/>
              <w:rPr>
                <w:lang w:val="en-US"/>
              </w:rPr>
            </w:pPr>
            <w:r w:rsidRPr="00F56F21">
              <w:rPr>
                <w:lang w:val="en-US"/>
              </w:rPr>
              <w:t>Petersen 2021</w:t>
            </w:r>
          </w:p>
        </w:tc>
        <w:tc>
          <w:tcPr>
            <w:tcW w:w="3760" w:type="pct"/>
            <w:tcBorders>
              <w:bottom w:val="single" w:sz="4" w:space="0" w:color="auto"/>
            </w:tcBorders>
          </w:tcPr>
          <w:p w14:paraId="3A29E0F6" w14:textId="77777777" w:rsidR="002252DB" w:rsidRPr="00F56F21" w:rsidRDefault="002252DB">
            <w:pPr>
              <w:pStyle w:val="051Tabletext228pt"/>
              <w:rPr>
                <w:lang w:val="en-US"/>
              </w:rPr>
            </w:pPr>
            <w:r w:rsidRPr="00F56F21">
              <w:rPr>
                <w:lang w:val="en-US"/>
              </w:rPr>
              <w:t>Effect of High-frequency (10-kHz) Spinal Cord Stimulation in Patients With Painful Diabetic Neuropathy: A Randomized Clinical Trial</w:t>
            </w:r>
          </w:p>
        </w:tc>
      </w:tr>
      <w:tr w:rsidR="002252DB" w:rsidRPr="00F56F21" w14:paraId="1B7C09D4" w14:textId="77777777" w:rsidTr="00FE41DA">
        <w:tc>
          <w:tcPr>
            <w:tcW w:w="647" w:type="pct"/>
            <w:tcBorders>
              <w:top w:val="single" w:sz="4" w:space="0" w:color="auto"/>
              <w:bottom w:val="nil"/>
            </w:tcBorders>
          </w:tcPr>
          <w:p w14:paraId="11EB454D" w14:textId="77777777" w:rsidR="002252DB" w:rsidRPr="00AD30A7" w:rsidRDefault="002252DB">
            <w:pPr>
              <w:pStyle w:val="051Tabletext228pt"/>
              <w:keepNext/>
              <w:rPr>
                <w:i/>
                <w:iCs/>
                <w:lang w:val="en-US"/>
              </w:rPr>
            </w:pPr>
            <w:proofErr w:type="spellStart"/>
            <w:r w:rsidRPr="00AD30A7">
              <w:rPr>
                <w:i/>
                <w:iCs/>
                <w:lang w:val="en-US"/>
              </w:rPr>
              <w:t>Slangen</w:t>
            </w:r>
            <w:proofErr w:type="spellEnd"/>
            <w:r w:rsidRPr="00AD30A7">
              <w:rPr>
                <w:i/>
                <w:iCs/>
                <w:lang w:val="en-US"/>
              </w:rPr>
              <w:t xml:space="preserve"> 2014</w:t>
            </w:r>
          </w:p>
        </w:tc>
        <w:tc>
          <w:tcPr>
            <w:tcW w:w="593" w:type="pct"/>
            <w:tcBorders>
              <w:top w:val="single" w:sz="4" w:space="0" w:color="auto"/>
            </w:tcBorders>
          </w:tcPr>
          <w:p w14:paraId="09CE52CC" w14:textId="77777777" w:rsidR="002252DB" w:rsidRPr="00F56F21" w:rsidRDefault="002252DB">
            <w:pPr>
              <w:pStyle w:val="051Tabletext228pt"/>
              <w:keepNext/>
              <w:rPr>
                <w:lang w:val="en-US"/>
              </w:rPr>
            </w:pPr>
            <w:proofErr w:type="spellStart"/>
            <w:r w:rsidRPr="00F56F21">
              <w:rPr>
                <w:lang w:val="en-US"/>
              </w:rPr>
              <w:t>Slangen</w:t>
            </w:r>
            <w:proofErr w:type="spellEnd"/>
            <w:r w:rsidRPr="00F56F21">
              <w:rPr>
                <w:lang w:val="en-US"/>
              </w:rPr>
              <w:t xml:space="preserve"> 2014</w:t>
            </w:r>
          </w:p>
        </w:tc>
        <w:tc>
          <w:tcPr>
            <w:tcW w:w="3760" w:type="pct"/>
            <w:tcBorders>
              <w:top w:val="single" w:sz="4" w:space="0" w:color="auto"/>
            </w:tcBorders>
          </w:tcPr>
          <w:p w14:paraId="4B4B1BF3" w14:textId="77777777" w:rsidR="002252DB" w:rsidRPr="00F56F21" w:rsidRDefault="002252DB">
            <w:pPr>
              <w:pStyle w:val="051Tabletext228pt"/>
              <w:keepNext/>
              <w:rPr>
                <w:lang w:val="en-US"/>
              </w:rPr>
            </w:pPr>
            <w:r w:rsidRPr="00F56F21">
              <w:rPr>
                <w:lang w:val="en-US"/>
              </w:rPr>
              <w:t>Spinal cord stimulation and pain relief in painful diabetic peripheral neuropathy: a prospective two-center randomized controlled trial</w:t>
            </w:r>
          </w:p>
        </w:tc>
      </w:tr>
      <w:tr w:rsidR="002252DB" w:rsidRPr="00F56F21" w14:paraId="0928B5FA" w14:textId="77777777" w:rsidTr="00FE41DA">
        <w:tc>
          <w:tcPr>
            <w:tcW w:w="647" w:type="pct"/>
            <w:tcBorders>
              <w:top w:val="nil"/>
              <w:bottom w:val="single" w:sz="4" w:space="0" w:color="auto"/>
            </w:tcBorders>
          </w:tcPr>
          <w:p w14:paraId="0091C79C" w14:textId="77777777" w:rsidR="002252DB" w:rsidRPr="00F56F21" w:rsidRDefault="002252DB">
            <w:pPr>
              <w:pStyle w:val="051Tabletext228pt"/>
              <w:rPr>
                <w:lang w:val="en-US"/>
              </w:rPr>
            </w:pPr>
          </w:p>
        </w:tc>
        <w:tc>
          <w:tcPr>
            <w:tcW w:w="593" w:type="pct"/>
            <w:tcBorders>
              <w:bottom w:val="single" w:sz="4" w:space="0" w:color="auto"/>
            </w:tcBorders>
          </w:tcPr>
          <w:p w14:paraId="73A36AFC" w14:textId="77777777" w:rsidR="002252DB" w:rsidRPr="00F56F21" w:rsidRDefault="002252DB">
            <w:pPr>
              <w:pStyle w:val="051Tabletext228pt"/>
              <w:rPr>
                <w:lang w:val="en-US"/>
              </w:rPr>
            </w:pPr>
            <w:proofErr w:type="spellStart"/>
            <w:r w:rsidRPr="00F56F21">
              <w:rPr>
                <w:lang w:val="en-US"/>
              </w:rPr>
              <w:t>Slangen</w:t>
            </w:r>
            <w:proofErr w:type="spellEnd"/>
            <w:r w:rsidRPr="00F56F21">
              <w:rPr>
                <w:lang w:val="en-US"/>
              </w:rPr>
              <w:t xml:space="preserve"> 2017</w:t>
            </w:r>
          </w:p>
        </w:tc>
        <w:tc>
          <w:tcPr>
            <w:tcW w:w="3760" w:type="pct"/>
            <w:tcBorders>
              <w:bottom w:val="single" w:sz="4" w:space="0" w:color="auto"/>
            </w:tcBorders>
          </w:tcPr>
          <w:p w14:paraId="5F4C320B" w14:textId="77777777" w:rsidR="002252DB" w:rsidRPr="00F56F21" w:rsidRDefault="002252DB">
            <w:pPr>
              <w:pStyle w:val="051Tabletext228pt"/>
              <w:rPr>
                <w:lang w:val="en-US"/>
              </w:rPr>
            </w:pPr>
            <w:r w:rsidRPr="00F56F21">
              <w:rPr>
                <w:lang w:val="en-US"/>
              </w:rPr>
              <w:t>A Trial-Based Economic Evaluation Comparing Spinal Cord Stimulation With Best Medical Treatment in Painful Diabetic Peripheral Neuropathy</w:t>
            </w:r>
          </w:p>
        </w:tc>
      </w:tr>
      <w:tr w:rsidR="002252DB" w:rsidRPr="00F56F21" w14:paraId="5E673A0E" w14:textId="77777777" w:rsidTr="00FE41DA">
        <w:tc>
          <w:tcPr>
            <w:tcW w:w="647" w:type="pct"/>
            <w:tcBorders>
              <w:top w:val="single" w:sz="4" w:space="0" w:color="auto"/>
              <w:bottom w:val="nil"/>
            </w:tcBorders>
          </w:tcPr>
          <w:p w14:paraId="79D9F376" w14:textId="77777777" w:rsidR="002252DB" w:rsidRPr="00AD30A7" w:rsidRDefault="002252DB">
            <w:pPr>
              <w:pStyle w:val="051Tabletext228pt"/>
              <w:keepNext/>
              <w:rPr>
                <w:i/>
                <w:iCs/>
                <w:lang w:val="en-US"/>
              </w:rPr>
            </w:pPr>
            <w:proofErr w:type="spellStart"/>
            <w:r w:rsidRPr="00AD30A7">
              <w:rPr>
                <w:i/>
                <w:iCs/>
                <w:lang w:val="en-US"/>
              </w:rPr>
              <w:t>Sokal</w:t>
            </w:r>
            <w:proofErr w:type="spellEnd"/>
            <w:r w:rsidRPr="00AD30A7">
              <w:rPr>
                <w:i/>
                <w:iCs/>
                <w:lang w:val="en-US"/>
              </w:rPr>
              <w:t xml:space="preserve"> 2020</w:t>
            </w:r>
          </w:p>
        </w:tc>
        <w:tc>
          <w:tcPr>
            <w:tcW w:w="593" w:type="pct"/>
            <w:tcBorders>
              <w:top w:val="single" w:sz="4" w:space="0" w:color="auto"/>
            </w:tcBorders>
          </w:tcPr>
          <w:p w14:paraId="395DE62F" w14:textId="77777777" w:rsidR="002252DB" w:rsidRPr="00F56F21" w:rsidRDefault="002252DB">
            <w:pPr>
              <w:pStyle w:val="051Tabletext228pt"/>
              <w:keepNext/>
              <w:rPr>
                <w:lang w:val="en-US"/>
              </w:rPr>
            </w:pPr>
            <w:proofErr w:type="spellStart"/>
            <w:r w:rsidRPr="00F56F21">
              <w:rPr>
                <w:lang w:val="en-US"/>
              </w:rPr>
              <w:t>Malukiewicz</w:t>
            </w:r>
            <w:proofErr w:type="spellEnd"/>
            <w:r w:rsidRPr="00F56F21">
              <w:rPr>
                <w:lang w:val="en-US"/>
              </w:rPr>
              <w:t xml:space="preserve"> 2019</w:t>
            </w:r>
          </w:p>
        </w:tc>
        <w:tc>
          <w:tcPr>
            <w:tcW w:w="3760" w:type="pct"/>
            <w:tcBorders>
              <w:top w:val="single" w:sz="4" w:space="0" w:color="auto"/>
            </w:tcBorders>
          </w:tcPr>
          <w:p w14:paraId="62547DB3" w14:textId="77777777" w:rsidR="002252DB" w:rsidRPr="00F56F21" w:rsidRDefault="002252DB">
            <w:pPr>
              <w:pStyle w:val="051Tabletext228pt"/>
              <w:keepNext/>
              <w:rPr>
                <w:lang w:val="en-US"/>
              </w:rPr>
            </w:pPr>
            <w:r w:rsidRPr="00F56F21">
              <w:rPr>
                <w:lang w:val="en-US"/>
              </w:rPr>
              <w:t>Comparison of tonic, burst and high frequency spinal cord stimulation in chronic pain syndromes: A double-blind, randomised, cross-over, placebo controlled trial</w:t>
            </w:r>
          </w:p>
        </w:tc>
      </w:tr>
      <w:tr w:rsidR="002252DB" w:rsidRPr="00F56F21" w14:paraId="287FD22B" w14:textId="77777777" w:rsidTr="00FE41DA">
        <w:tc>
          <w:tcPr>
            <w:tcW w:w="647" w:type="pct"/>
            <w:tcBorders>
              <w:top w:val="nil"/>
              <w:bottom w:val="single" w:sz="4" w:space="0" w:color="auto"/>
            </w:tcBorders>
          </w:tcPr>
          <w:p w14:paraId="392B18DB" w14:textId="77777777" w:rsidR="002252DB" w:rsidRPr="00F56F21" w:rsidRDefault="002252DB">
            <w:pPr>
              <w:pStyle w:val="051Tabletext228pt"/>
              <w:rPr>
                <w:lang w:val="en-US"/>
              </w:rPr>
            </w:pPr>
          </w:p>
        </w:tc>
        <w:tc>
          <w:tcPr>
            <w:tcW w:w="593" w:type="pct"/>
            <w:tcBorders>
              <w:bottom w:val="single" w:sz="4" w:space="0" w:color="auto"/>
            </w:tcBorders>
          </w:tcPr>
          <w:p w14:paraId="4565675E" w14:textId="77777777" w:rsidR="002252DB" w:rsidRPr="00F56F21" w:rsidRDefault="002252DB">
            <w:pPr>
              <w:pStyle w:val="051Tabletext228pt"/>
              <w:rPr>
                <w:lang w:val="en-US"/>
              </w:rPr>
            </w:pPr>
            <w:proofErr w:type="spellStart"/>
            <w:r w:rsidRPr="00F56F21">
              <w:rPr>
                <w:lang w:val="en-US"/>
              </w:rPr>
              <w:t>Sokal</w:t>
            </w:r>
            <w:proofErr w:type="spellEnd"/>
            <w:r w:rsidRPr="00F56F21">
              <w:rPr>
                <w:lang w:val="en-US"/>
              </w:rPr>
              <w:t xml:space="preserve"> 2020</w:t>
            </w:r>
          </w:p>
        </w:tc>
        <w:tc>
          <w:tcPr>
            <w:tcW w:w="3760" w:type="pct"/>
            <w:tcBorders>
              <w:bottom w:val="single" w:sz="4" w:space="0" w:color="auto"/>
            </w:tcBorders>
          </w:tcPr>
          <w:p w14:paraId="5E3B6ADF" w14:textId="77777777" w:rsidR="002252DB" w:rsidRPr="00F56F21" w:rsidRDefault="002252DB">
            <w:pPr>
              <w:pStyle w:val="051Tabletext228pt"/>
              <w:rPr>
                <w:lang w:val="en-US"/>
              </w:rPr>
            </w:pPr>
            <w:r w:rsidRPr="00F56F21">
              <w:rPr>
                <w:lang w:val="en-US"/>
              </w:rPr>
              <w:t>Sub-perception and supra-perception spinal cord stimulation in chronic pain syndrome: A randomized, semi-double-blind, crossover, placebo-controlled trial</w:t>
            </w:r>
          </w:p>
        </w:tc>
      </w:tr>
      <w:tr w:rsidR="002252DB" w:rsidRPr="00F56F21" w14:paraId="682C9BB2" w14:textId="77777777" w:rsidTr="00FE41DA">
        <w:tc>
          <w:tcPr>
            <w:tcW w:w="647" w:type="pct"/>
            <w:tcBorders>
              <w:top w:val="single" w:sz="4" w:space="0" w:color="auto"/>
              <w:bottom w:val="single" w:sz="4" w:space="0" w:color="auto"/>
            </w:tcBorders>
          </w:tcPr>
          <w:p w14:paraId="4AAE7757" w14:textId="77777777" w:rsidR="002252DB" w:rsidRPr="00AD30A7" w:rsidRDefault="002252DB">
            <w:pPr>
              <w:pStyle w:val="051Tabletext228pt"/>
              <w:rPr>
                <w:i/>
                <w:iCs/>
                <w:lang w:val="en-US"/>
              </w:rPr>
            </w:pPr>
            <w:r w:rsidRPr="00AD30A7">
              <w:rPr>
                <w:i/>
                <w:iCs/>
                <w:lang w:val="en-US"/>
              </w:rPr>
              <w:t>Sweet 2016</w:t>
            </w:r>
          </w:p>
          <w:p w14:paraId="22251588" w14:textId="77777777" w:rsidR="002252DB" w:rsidRPr="00F56F21" w:rsidRDefault="002252DB">
            <w:pPr>
              <w:pStyle w:val="051Tabletext228pt"/>
              <w:ind w:left="113"/>
              <w:rPr>
                <w:lang w:val="en-US"/>
              </w:rPr>
            </w:pPr>
            <w:r w:rsidRPr="00F56F21">
              <w:rPr>
                <w:lang w:val="en-US"/>
              </w:rPr>
              <w:t>NCT05283863</w:t>
            </w:r>
          </w:p>
        </w:tc>
        <w:tc>
          <w:tcPr>
            <w:tcW w:w="593" w:type="pct"/>
            <w:tcBorders>
              <w:top w:val="single" w:sz="4" w:space="0" w:color="auto"/>
              <w:bottom w:val="single" w:sz="4" w:space="0" w:color="auto"/>
            </w:tcBorders>
          </w:tcPr>
          <w:p w14:paraId="03B7BC7B" w14:textId="77777777" w:rsidR="002252DB" w:rsidRPr="00F56F21" w:rsidRDefault="002252DB">
            <w:pPr>
              <w:pStyle w:val="051Tabletext228pt"/>
              <w:rPr>
                <w:lang w:val="en-US"/>
              </w:rPr>
            </w:pPr>
            <w:r w:rsidRPr="00F56F21">
              <w:rPr>
                <w:lang w:val="en-US"/>
              </w:rPr>
              <w:t>Sweet 2016</w:t>
            </w:r>
          </w:p>
        </w:tc>
        <w:tc>
          <w:tcPr>
            <w:tcW w:w="3760" w:type="pct"/>
            <w:tcBorders>
              <w:top w:val="single" w:sz="4" w:space="0" w:color="auto"/>
              <w:bottom w:val="single" w:sz="4" w:space="0" w:color="auto"/>
            </w:tcBorders>
          </w:tcPr>
          <w:p w14:paraId="3AC66565" w14:textId="77777777" w:rsidR="002252DB" w:rsidRPr="00F56F21" w:rsidRDefault="002252DB">
            <w:pPr>
              <w:pStyle w:val="051Tabletext228pt"/>
              <w:rPr>
                <w:lang w:val="en-US"/>
              </w:rPr>
            </w:pPr>
            <w:r w:rsidRPr="00F56F21">
              <w:rPr>
                <w:lang w:val="en-US"/>
              </w:rPr>
              <w:t xml:space="preserve">Paresthesia-Free High-Density Spinal Cord Stimulation for </w:t>
            </w:r>
            <w:proofErr w:type="spellStart"/>
            <w:r w:rsidRPr="00F56F21">
              <w:rPr>
                <w:lang w:val="en-US"/>
              </w:rPr>
              <w:t>Postlaminectomy</w:t>
            </w:r>
            <w:proofErr w:type="spellEnd"/>
            <w:r w:rsidRPr="00F56F21">
              <w:rPr>
                <w:lang w:val="en-US"/>
              </w:rPr>
              <w:t xml:space="preserve"> Syndrome in a Prescreened Population: A Prospective Case Series</w:t>
            </w:r>
          </w:p>
        </w:tc>
      </w:tr>
      <w:tr w:rsidR="002252DB" w:rsidRPr="00F56F21" w14:paraId="321778E9" w14:textId="77777777" w:rsidTr="00FE41DA">
        <w:tc>
          <w:tcPr>
            <w:tcW w:w="647" w:type="pct"/>
            <w:tcBorders>
              <w:top w:val="single" w:sz="4" w:space="0" w:color="auto"/>
              <w:bottom w:val="single" w:sz="4" w:space="0" w:color="auto"/>
            </w:tcBorders>
          </w:tcPr>
          <w:p w14:paraId="125DEADC" w14:textId="77777777" w:rsidR="002252DB" w:rsidRPr="00AD30A7" w:rsidRDefault="002252DB">
            <w:pPr>
              <w:pStyle w:val="051Tabletext228pt"/>
              <w:rPr>
                <w:i/>
                <w:iCs/>
                <w:lang w:val="en-US"/>
              </w:rPr>
            </w:pPr>
            <w:proofErr w:type="spellStart"/>
            <w:r w:rsidRPr="00AD30A7">
              <w:rPr>
                <w:i/>
                <w:iCs/>
                <w:lang w:val="en-US"/>
              </w:rPr>
              <w:t>Tjepkema-Cloostermans</w:t>
            </w:r>
            <w:proofErr w:type="spellEnd"/>
            <w:r w:rsidRPr="00AD30A7">
              <w:rPr>
                <w:i/>
                <w:iCs/>
                <w:lang w:val="en-US"/>
              </w:rPr>
              <w:t xml:space="preserve"> 2016</w:t>
            </w:r>
          </w:p>
        </w:tc>
        <w:tc>
          <w:tcPr>
            <w:tcW w:w="593" w:type="pct"/>
            <w:tcBorders>
              <w:top w:val="single" w:sz="4" w:space="0" w:color="auto"/>
              <w:bottom w:val="single" w:sz="4" w:space="0" w:color="auto"/>
            </w:tcBorders>
          </w:tcPr>
          <w:p w14:paraId="3807C2AE" w14:textId="77777777" w:rsidR="002252DB" w:rsidRPr="00F56F21" w:rsidRDefault="002252DB">
            <w:pPr>
              <w:pStyle w:val="051Tabletext228pt"/>
              <w:rPr>
                <w:lang w:val="en-US"/>
              </w:rPr>
            </w:pPr>
            <w:proofErr w:type="spellStart"/>
            <w:r w:rsidRPr="00F56F21">
              <w:rPr>
                <w:lang w:val="en-US"/>
              </w:rPr>
              <w:t>Tjepkema-Cloostermans</w:t>
            </w:r>
            <w:proofErr w:type="spellEnd"/>
            <w:r w:rsidRPr="00F56F21">
              <w:rPr>
                <w:lang w:val="en-US"/>
              </w:rPr>
              <w:t xml:space="preserve"> 2016</w:t>
            </w:r>
          </w:p>
        </w:tc>
        <w:tc>
          <w:tcPr>
            <w:tcW w:w="3760" w:type="pct"/>
            <w:tcBorders>
              <w:top w:val="single" w:sz="4" w:space="0" w:color="auto"/>
              <w:bottom w:val="single" w:sz="4" w:space="0" w:color="auto"/>
            </w:tcBorders>
          </w:tcPr>
          <w:p w14:paraId="1CC44F00" w14:textId="77777777" w:rsidR="002252DB" w:rsidRPr="00F56F21" w:rsidRDefault="002252DB">
            <w:pPr>
              <w:pStyle w:val="051Tabletext228pt"/>
              <w:rPr>
                <w:lang w:val="en-US"/>
              </w:rPr>
            </w:pPr>
            <w:r w:rsidRPr="00F56F21">
              <w:rPr>
                <w:lang w:val="en-US"/>
              </w:rPr>
              <w:t>Effect of Burst Stimulation Evaluated in Patients Familiar With Spinal Cord Stimulation</w:t>
            </w:r>
          </w:p>
        </w:tc>
      </w:tr>
      <w:tr w:rsidR="002252DB" w:rsidRPr="00F56F21" w14:paraId="4A790312" w14:textId="77777777" w:rsidTr="00FE41DA">
        <w:tc>
          <w:tcPr>
            <w:tcW w:w="647" w:type="pct"/>
            <w:tcBorders>
              <w:top w:val="single" w:sz="4" w:space="0" w:color="auto"/>
              <w:bottom w:val="single" w:sz="4" w:space="0" w:color="auto"/>
            </w:tcBorders>
          </w:tcPr>
          <w:p w14:paraId="4986482D" w14:textId="77777777" w:rsidR="002252DB" w:rsidRPr="00AD30A7" w:rsidRDefault="002252DB">
            <w:pPr>
              <w:pStyle w:val="051Tabletext228pt"/>
              <w:rPr>
                <w:i/>
                <w:iCs/>
                <w:lang w:val="en-US"/>
              </w:rPr>
            </w:pPr>
            <w:r w:rsidRPr="00AD30A7">
              <w:rPr>
                <w:i/>
                <w:iCs/>
                <w:lang w:val="en-US"/>
              </w:rPr>
              <w:t>Wolter 2012</w:t>
            </w:r>
          </w:p>
        </w:tc>
        <w:tc>
          <w:tcPr>
            <w:tcW w:w="593" w:type="pct"/>
            <w:tcBorders>
              <w:top w:val="single" w:sz="4" w:space="0" w:color="auto"/>
              <w:bottom w:val="single" w:sz="4" w:space="0" w:color="auto"/>
            </w:tcBorders>
          </w:tcPr>
          <w:p w14:paraId="3F8BD5C4" w14:textId="77777777" w:rsidR="002252DB" w:rsidRPr="00F56F21" w:rsidRDefault="002252DB">
            <w:pPr>
              <w:pStyle w:val="051Tabletext228pt"/>
              <w:rPr>
                <w:lang w:val="en-US"/>
              </w:rPr>
            </w:pPr>
            <w:r>
              <w:rPr>
                <w:lang w:val="en-US"/>
              </w:rPr>
              <w:t>Wolter 2012</w:t>
            </w:r>
          </w:p>
        </w:tc>
        <w:tc>
          <w:tcPr>
            <w:tcW w:w="3760" w:type="pct"/>
            <w:tcBorders>
              <w:top w:val="single" w:sz="4" w:space="0" w:color="auto"/>
              <w:bottom w:val="single" w:sz="4" w:space="0" w:color="auto"/>
            </w:tcBorders>
          </w:tcPr>
          <w:p w14:paraId="72949DDC" w14:textId="77777777" w:rsidR="002252DB" w:rsidRPr="00F56F21" w:rsidRDefault="002252DB">
            <w:pPr>
              <w:pStyle w:val="051Tabletext228pt"/>
              <w:rPr>
                <w:lang w:val="en-US"/>
              </w:rPr>
            </w:pPr>
            <w:r w:rsidRPr="00D046C4">
              <w:rPr>
                <w:lang w:val="en-US"/>
              </w:rPr>
              <w:t>Effects of sub-perception threshold spinal cord stimulation in neuropathic pain: a randomized controlled double-blind crossover study</w:t>
            </w:r>
          </w:p>
        </w:tc>
      </w:tr>
    </w:tbl>
    <w:p w14:paraId="1F77B703" w14:textId="148DE599" w:rsidR="002252DB" w:rsidRDefault="00D23AED" w:rsidP="002252DB">
      <w:pPr>
        <w:pStyle w:val="111Tablefootnoteslast-nostick8pt"/>
      </w:pPr>
      <w:r>
        <w:t xml:space="preserve">Abbreviations: </w:t>
      </w:r>
      <w:r w:rsidR="00A57655">
        <w:t xml:space="preserve">FBSS, failed back surgery syndrome; </w:t>
      </w:r>
      <w:r w:rsidR="00262668">
        <w:t xml:space="preserve">HF-SCS, high frequency spinal cord stimulation; </w:t>
      </w:r>
      <w:r w:rsidR="00FF20CC">
        <w:t xml:space="preserve">Hz, hertz; </w:t>
      </w:r>
      <w:r w:rsidR="00985EA1">
        <w:t>kHz, kilohertz; RCT, randomized controlled trial</w:t>
      </w:r>
      <w:r w:rsidR="00A57655">
        <w:t xml:space="preserve">; </w:t>
      </w:r>
      <w:r w:rsidR="00262668">
        <w:t>SCS, spinal cord stimulation</w:t>
      </w:r>
      <w:r w:rsidR="00AA7A05">
        <w:t xml:space="preserve">; </w:t>
      </w:r>
      <w:r w:rsidR="00A57655">
        <w:t>y, year</w:t>
      </w:r>
    </w:p>
    <w:p w14:paraId="35E030B4" w14:textId="77777777" w:rsidR="002252DB" w:rsidRDefault="002252DB" w:rsidP="002252DB">
      <w:pPr>
        <w:pStyle w:val="BodyText"/>
        <w:rPr>
          <w:lang w:val="en-US"/>
        </w:rPr>
      </w:pPr>
    </w:p>
    <w:p w14:paraId="4EB4B007" w14:textId="77777777" w:rsidR="002252DB" w:rsidRDefault="002252DB" w:rsidP="002252DB">
      <w:pPr>
        <w:pStyle w:val="BodyText"/>
        <w:rPr>
          <w:lang w:val="en-US"/>
        </w:rPr>
        <w:sectPr w:rsidR="002252DB" w:rsidSect="000E0564">
          <w:pgSz w:w="16838" w:h="11906" w:orient="landscape"/>
          <w:pgMar w:top="1134" w:right="1134" w:bottom="1134" w:left="1134" w:header="850" w:footer="709" w:gutter="0"/>
          <w:cols w:space="708"/>
          <w:docGrid w:linePitch="360"/>
        </w:sectPr>
      </w:pPr>
    </w:p>
    <w:p w14:paraId="04D1D064" w14:textId="35EE4588" w:rsidR="002252DB" w:rsidRPr="002A0548" w:rsidRDefault="00B13FD9" w:rsidP="00B13FD9">
      <w:pPr>
        <w:pStyle w:val="Caption"/>
        <w:rPr>
          <w:lang w:val="en-US"/>
        </w:rPr>
      </w:pPr>
      <w:bookmarkStart w:id="179" w:name="_Ref134458586"/>
      <w:r>
        <w:lastRenderedPageBreak/>
        <w:t xml:space="preserve">Table App </w:t>
      </w:r>
      <w:fldSimple w:instr=" SEQ Table_App \* ARABIC ">
        <w:r w:rsidR="00CE6ACA">
          <w:rPr>
            <w:noProof/>
          </w:rPr>
          <w:t>9</w:t>
        </w:r>
      </w:fldSimple>
      <w:bookmarkEnd w:id="179"/>
      <w:r w:rsidR="002252DB">
        <w:tab/>
        <w:t xml:space="preserve">Publications excluded from O’Connell 2021 or Traeger 2023 Cochrane </w:t>
      </w:r>
      <w:r w:rsidR="002E7D2D">
        <w:t>r</w:t>
      </w:r>
      <w:r w:rsidR="002252DB">
        <w:t>eviews</w:t>
      </w:r>
    </w:p>
    <w:tbl>
      <w:tblPr>
        <w:tblStyle w:val="TableGrid"/>
        <w:tblW w:w="5000" w:type="pct"/>
        <w:tblBorders>
          <w:insideH w:val="dotted" w:sz="4" w:space="0" w:color="auto"/>
        </w:tblBorders>
        <w:tblLook w:val="04A0" w:firstRow="1" w:lastRow="0" w:firstColumn="1" w:lastColumn="0" w:noHBand="0" w:noVBand="1"/>
        <w:tblCaption w:val="Publications excluded from O’Connell 2021 or Traeger 2023 Cochrane reviews"/>
        <w:tblDescription w:val="Table showing the publications excluded from O'Connell 2021 or Traeger 2023 Cochrane reviews"/>
      </w:tblPr>
      <w:tblGrid>
        <w:gridCol w:w="1291"/>
        <w:gridCol w:w="5027"/>
        <w:gridCol w:w="1608"/>
        <w:gridCol w:w="987"/>
        <w:gridCol w:w="725"/>
      </w:tblGrid>
      <w:tr w:rsidR="002252DB" w:rsidRPr="00DA3425" w14:paraId="67A51E87" w14:textId="77777777">
        <w:trPr>
          <w:cnfStyle w:val="100000000000" w:firstRow="1" w:lastRow="0" w:firstColumn="0" w:lastColumn="0" w:oddVBand="0" w:evenVBand="0" w:oddHBand="0" w:evenHBand="0" w:firstRowFirstColumn="0" w:firstRowLastColumn="0" w:lastRowFirstColumn="0" w:lastRowLastColumn="0"/>
        </w:trPr>
        <w:tc>
          <w:tcPr>
            <w:tcW w:w="670" w:type="pct"/>
            <w:tcBorders>
              <w:top w:val="single" w:sz="4" w:space="0" w:color="auto"/>
              <w:bottom w:val="dotted" w:sz="4" w:space="0" w:color="auto"/>
            </w:tcBorders>
          </w:tcPr>
          <w:p w14:paraId="003449A0" w14:textId="461A3249" w:rsidR="002252DB" w:rsidRDefault="00984466">
            <w:pPr>
              <w:pStyle w:val="011TableHeading8pt"/>
            </w:pPr>
            <w:r>
              <w:t>Study</w:t>
            </w:r>
            <w:r w:rsidR="002252DB" w:rsidRPr="00DA3425">
              <w:t xml:space="preserve"> ID</w:t>
            </w:r>
          </w:p>
          <w:p w14:paraId="70F92290" w14:textId="77777777" w:rsidR="002252DB" w:rsidRPr="00DA3425" w:rsidRDefault="002252DB">
            <w:pPr>
              <w:pStyle w:val="011TableHeading8pt"/>
            </w:pPr>
            <w:r>
              <w:t>RCT identifier</w:t>
            </w:r>
          </w:p>
        </w:tc>
        <w:tc>
          <w:tcPr>
            <w:tcW w:w="2608" w:type="pct"/>
            <w:tcBorders>
              <w:top w:val="single" w:sz="4" w:space="0" w:color="auto"/>
              <w:bottom w:val="dotted" w:sz="4" w:space="0" w:color="auto"/>
            </w:tcBorders>
          </w:tcPr>
          <w:p w14:paraId="20AFEB4C" w14:textId="77777777" w:rsidR="002252DB" w:rsidRPr="00DA3425" w:rsidRDefault="002252DB">
            <w:pPr>
              <w:pStyle w:val="011TableHeading8pt"/>
            </w:pPr>
            <w:r w:rsidRPr="00DA3425">
              <w:t>Title</w:t>
            </w:r>
          </w:p>
        </w:tc>
        <w:tc>
          <w:tcPr>
            <w:tcW w:w="834" w:type="pct"/>
            <w:tcBorders>
              <w:top w:val="single" w:sz="4" w:space="0" w:color="auto"/>
              <w:bottom w:val="dotted" w:sz="4" w:space="0" w:color="auto"/>
            </w:tcBorders>
          </w:tcPr>
          <w:p w14:paraId="17E28393" w14:textId="5EECF007" w:rsidR="002252DB" w:rsidRDefault="002252DB">
            <w:pPr>
              <w:pStyle w:val="011TableHeading8pt"/>
            </w:pPr>
            <w:r w:rsidRPr="0009501A">
              <w:t>Reason for excl</w:t>
            </w:r>
            <w:r w:rsidR="00984466">
              <w:t>usion</w:t>
            </w:r>
          </w:p>
        </w:tc>
        <w:tc>
          <w:tcPr>
            <w:tcW w:w="512" w:type="pct"/>
            <w:tcBorders>
              <w:top w:val="single" w:sz="4" w:space="0" w:color="auto"/>
              <w:bottom w:val="dotted" w:sz="4" w:space="0" w:color="auto"/>
            </w:tcBorders>
            <w:vAlign w:val="center"/>
          </w:tcPr>
          <w:p w14:paraId="67DE6462" w14:textId="77777777" w:rsidR="002252DB" w:rsidRPr="00DA3425" w:rsidRDefault="002252DB">
            <w:pPr>
              <w:pStyle w:val="011TableHeading8pt"/>
              <w:jc w:val="center"/>
            </w:pPr>
            <w:r>
              <w:t>O’Connell 2021</w:t>
            </w:r>
          </w:p>
        </w:tc>
        <w:tc>
          <w:tcPr>
            <w:tcW w:w="376" w:type="pct"/>
            <w:tcBorders>
              <w:top w:val="single" w:sz="4" w:space="0" w:color="auto"/>
              <w:bottom w:val="dotted" w:sz="4" w:space="0" w:color="auto"/>
            </w:tcBorders>
            <w:vAlign w:val="center"/>
          </w:tcPr>
          <w:p w14:paraId="59BDF677" w14:textId="77777777" w:rsidR="002252DB" w:rsidRPr="00DA3425" w:rsidRDefault="002252DB">
            <w:pPr>
              <w:pStyle w:val="011TableHeading8pt"/>
              <w:jc w:val="center"/>
            </w:pPr>
            <w:r>
              <w:t>Traeger 2023</w:t>
            </w:r>
          </w:p>
        </w:tc>
      </w:tr>
      <w:tr w:rsidR="002252DB" w:rsidRPr="00DA3425" w14:paraId="0DCCD2FF" w14:textId="77777777" w:rsidTr="00B758E1">
        <w:tc>
          <w:tcPr>
            <w:tcW w:w="670" w:type="pct"/>
            <w:tcBorders>
              <w:top w:val="dotted" w:sz="4" w:space="0" w:color="auto"/>
              <w:bottom w:val="nil"/>
            </w:tcBorders>
            <w:shd w:val="clear" w:color="auto" w:fill="D9D9D9" w:themeFill="background1" w:themeFillShade="D9"/>
          </w:tcPr>
          <w:p w14:paraId="4490FF14" w14:textId="77777777" w:rsidR="002252DB" w:rsidRPr="00DA3425" w:rsidRDefault="002252DB">
            <w:pPr>
              <w:pStyle w:val="031Tablesubheading8pt"/>
            </w:pPr>
          </w:p>
        </w:tc>
        <w:tc>
          <w:tcPr>
            <w:tcW w:w="2608" w:type="pct"/>
            <w:tcBorders>
              <w:top w:val="dotted" w:sz="4" w:space="0" w:color="auto"/>
              <w:bottom w:val="nil"/>
            </w:tcBorders>
            <w:shd w:val="clear" w:color="auto" w:fill="D9D9D9" w:themeFill="background1" w:themeFillShade="D9"/>
          </w:tcPr>
          <w:p w14:paraId="09967A89" w14:textId="77777777" w:rsidR="002252DB" w:rsidRPr="00DA3425" w:rsidRDefault="002252DB">
            <w:pPr>
              <w:pStyle w:val="031Tablesubheading8pt"/>
            </w:pPr>
            <w:r>
              <w:t>RCT publications excluded from either Cochrane Review and NOT included in the other Cochrane Review (n=24)</w:t>
            </w:r>
          </w:p>
        </w:tc>
        <w:tc>
          <w:tcPr>
            <w:tcW w:w="834" w:type="pct"/>
            <w:tcBorders>
              <w:top w:val="dotted" w:sz="4" w:space="0" w:color="auto"/>
              <w:bottom w:val="nil"/>
            </w:tcBorders>
            <w:shd w:val="clear" w:color="auto" w:fill="D9D9D9" w:themeFill="background1" w:themeFillShade="D9"/>
          </w:tcPr>
          <w:p w14:paraId="6CE78C32" w14:textId="77777777" w:rsidR="002252DB" w:rsidRPr="00DA3425" w:rsidRDefault="002252DB">
            <w:pPr>
              <w:pStyle w:val="031Tablesubheading8pt"/>
            </w:pPr>
          </w:p>
        </w:tc>
        <w:tc>
          <w:tcPr>
            <w:tcW w:w="512" w:type="pct"/>
            <w:tcBorders>
              <w:top w:val="dotted" w:sz="4" w:space="0" w:color="auto"/>
              <w:bottom w:val="nil"/>
            </w:tcBorders>
            <w:shd w:val="clear" w:color="auto" w:fill="D9D9D9" w:themeFill="background1" w:themeFillShade="D9"/>
            <w:vAlign w:val="center"/>
          </w:tcPr>
          <w:p w14:paraId="09FA3D5F" w14:textId="77777777" w:rsidR="002252DB" w:rsidRPr="00DA3425" w:rsidRDefault="002252DB">
            <w:pPr>
              <w:pStyle w:val="031Tablesubheading8pt"/>
              <w:jc w:val="center"/>
            </w:pPr>
          </w:p>
        </w:tc>
        <w:tc>
          <w:tcPr>
            <w:tcW w:w="376" w:type="pct"/>
            <w:tcBorders>
              <w:top w:val="dotted" w:sz="4" w:space="0" w:color="auto"/>
              <w:bottom w:val="nil"/>
            </w:tcBorders>
            <w:shd w:val="clear" w:color="auto" w:fill="D9D9D9" w:themeFill="background1" w:themeFillShade="D9"/>
            <w:vAlign w:val="center"/>
          </w:tcPr>
          <w:p w14:paraId="60112BDE" w14:textId="77777777" w:rsidR="002252DB" w:rsidRPr="0004540C" w:rsidRDefault="002252DB">
            <w:pPr>
              <w:pStyle w:val="031Tablesubheading8pt"/>
              <w:jc w:val="center"/>
            </w:pPr>
          </w:p>
        </w:tc>
      </w:tr>
      <w:tr w:rsidR="002252DB" w:rsidRPr="00DA3425" w14:paraId="14482898" w14:textId="77777777" w:rsidTr="00B758E1">
        <w:tc>
          <w:tcPr>
            <w:tcW w:w="670" w:type="pct"/>
            <w:tcBorders>
              <w:top w:val="nil"/>
              <w:bottom w:val="single" w:sz="4" w:space="0" w:color="auto"/>
            </w:tcBorders>
          </w:tcPr>
          <w:p w14:paraId="05C730F8" w14:textId="77777777" w:rsidR="002252DB" w:rsidRDefault="002252DB">
            <w:pPr>
              <w:pStyle w:val="051Tabletext228pt"/>
            </w:pPr>
            <w:proofErr w:type="spellStart"/>
            <w:r w:rsidRPr="00DA3425">
              <w:t>Amirdelfan</w:t>
            </w:r>
            <w:proofErr w:type="spellEnd"/>
            <w:r w:rsidRPr="00DA3425">
              <w:t xml:space="preserve"> 2019</w:t>
            </w:r>
          </w:p>
          <w:p w14:paraId="45AE53A3" w14:textId="77777777" w:rsidR="002252DB" w:rsidRPr="003D3168" w:rsidRDefault="002252DB">
            <w:pPr>
              <w:pStyle w:val="061Tabletext628pt"/>
              <w:ind w:left="113"/>
              <w:rPr>
                <w:b/>
                <w:bCs/>
              </w:rPr>
            </w:pPr>
            <w:r w:rsidRPr="003D3168">
              <w:rPr>
                <w:b/>
                <w:bCs/>
              </w:rPr>
              <w:t>NCT03320863</w:t>
            </w:r>
          </w:p>
        </w:tc>
        <w:tc>
          <w:tcPr>
            <w:tcW w:w="2608" w:type="pct"/>
            <w:tcBorders>
              <w:top w:val="nil"/>
              <w:bottom w:val="single" w:sz="4" w:space="0" w:color="auto"/>
            </w:tcBorders>
          </w:tcPr>
          <w:p w14:paraId="4BCB813C" w14:textId="77777777" w:rsidR="002252DB" w:rsidRPr="00DA3425" w:rsidRDefault="002252DB">
            <w:pPr>
              <w:pStyle w:val="051Tabletext228pt"/>
            </w:pPr>
            <w:r w:rsidRPr="00DA3425">
              <w:t xml:space="preserve">Non-invasive high-frequency impulse neuromodulation for treatment of chronic back pain: A </w:t>
            </w:r>
            <w:proofErr w:type="spellStart"/>
            <w:r w:rsidRPr="00DA3425">
              <w:t>multicenter</w:t>
            </w:r>
            <w:proofErr w:type="spellEnd"/>
            <w:r w:rsidRPr="00DA3425">
              <w:t>, randomized, sham-controlled trial</w:t>
            </w:r>
          </w:p>
        </w:tc>
        <w:tc>
          <w:tcPr>
            <w:tcW w:w="834" w:type="pct"/>
            <w:tcBorders>
              <w:top w:val="nil"/>
              <w:bottom w:val="single" w:sz="4" w:space="0" w:color="auto"/>
            </w:tcBorders>
          </w:tcPr>
          <w:p w14:paraId="5929BFA6" w14:textId="77777777" w:rsidR="002252DB" w:rsidRPr="00DA3425" w:rsidRDefault="002252DB">
            <w:pPr>
              <w:pStyle w:val="051Tabletext228pt"/>
            </w:pPr>
            <w:r>
              <w:t>Not SCS</w:t>
            </w:r>
          </w:p>
        </w:tc>
        <w:tc>
          <w:tcPr>
            <w:tcW w:w="512" w:type="pct"/>
            <w:tcBorders>
              <w:top w:val="nil"/>
              <w:bottom w:val="single" w:sz="4" w:space="0" w:color="auto"/>
            </w:tcBorders>
            <w:vAlign w:val="center"/>
          </w:tcPr>
          <w:p w14:paraId="31AA2FE1" w14:textId="77777777" w:rsidR="002252DB" w:rsidRPr="00DA3425" w:rsidRDefault="002252DB">
            <w:pPr>
              <w:pStyle w:val="051Tabletext228pt"/>
              <w:jc w:val="center"/>
            </w:pPr>
          </w:p>
        </w:tc>
        <w:tc>
          <w:tcPr>
            <w:tcW w:w="376" w:type="pct"/>
            <w:tcBorders>
              <w:top w:val="nil"/>
              <w:bottom w:val="single" w:sz="4" w:space="0" w:color="auto"/>
            </w:tcBorders>
            <w:vAlign w:val="center"/>
          </w:tcPr>
          <w:p w14:paraId="68FB85C8" w14:textId="68DF01BE" w:rsidR="002252DB" w:rsidRPr="00DA3425" w:rsidRDefault="002252DB">
            <w:pPr>
              <w:pStyle w:val="051Tabletext228pt"/>
              <w:jc w:val="center"/>
            </w:pPr>
            <w:r w:rsidRPr="0004540C">
              <w:rPr>
                <w:rFonts w:ascii="Wingdings" w:eastAsia="Wingdings" w:hAnsi="Wingdings" w:cs="Wingdings"/>
              </w:rPr>
              <w:t>û</w:t>
            </w:r>
          </w:p>
        </w:tc>
      </w:tr>
      <w:tr w:rsidR="002252DB" w:rsidRPr="00DA3425" w14:paraId="1A33BA27" w14:textId="77777777" w:rsidTr="00B758E1">
        <w:tc>
          <w:tcPr>
            <w:tcW w:w="670" w:type="pct"/>
            <w:tcBorders>
              <w:top w:val="single" w:sz="4" w:space="0" w:color="auto"/>
              <w:bottom w:val="single" w:sz="4" w:space="0" w:color="auto"/>
            </w:tcBorders>
          </w:tcPr>
          <w:p w14:paraId="2F4A0804" w14:textId="77777777" w:rsidR="002252DB" w:rsidRPr="00DA3425" w:rsidRDefault="002252DB">
            <w:pPr>
              <w:pStyle w:val="051Tabletext228pt"/>
            </w:pPr>
            <w:r w:rsidRPr="00DA3425">
              <w:t>Andersen 2009</w:t>
            </w:r>
          </w:p>
        </w:tc>
        <w:tc>
          <w:tcPr>
            <w:tcW w:w="2608" w:type="pct"/>
            <w:tcBorders>
              <w:top w:val="single" w:sz="4" w:space="0" w:color="auto"/>
              <w:bottom w:val="single" w:sz="4" w:space="0" w:color="auto"/>
            </w:tcBorders>
          </w:tcPr>
          <w:p w14:paraId="46224F27" w14:textId="77777777" w:rsidR="002252DB" w:rsidRPr="00DA3425" w:rsidRDefault="002252DB">
            <w:pPr>
              <w:pStyle w:val="051Tabletext228pt"/>
            </w:pPr>
            <w:r w:rsidRPr="00DA3425">
              <w:t>The effect of electrical stimulation on lumbar spinal fusion in older patients: A randomized, controlled, multi-</w:t>
            </w:r>
            <w:proofErr w:type="spellStart"/>
            <w:r w:rsidRPr="00DA3425">
              <w:t>center</w:t>
            </w:r>
            <w:proofErr w:type="spellEnd"/>
            <w:r w:rsidRPr="00DA3425">
              <w:t xml:space="preserve"> trial: Part 2: Fusion rates</w:t>
            </w:r>
          </w:p>
        </w:tc>
        <w:tc>
          <w:tcPr>
            <w:tcW w:w="834" w:type="pct"/>
            <w:tcBorders>
              <w:top w:val="single" w:sz="4" w:space="0" w:color="auto"/>
              <w:bottom w:val="single" w:sz="4" w:space="0" w:color="auto"/>
            </w:tcBorders>
          </w:tcPr>
          <w:p w14:paraId="2D4372DF" w14:textId="77777777" w:rsidR="002252DB" w:rsidRPr="00DA3425" w:rsidRDefault="002252DB">
            <w:pPr>
              <w:pStyle w:val="051Tabletext228pt"/>
            </w:pPr>
            <w:r>
              <w:t>Not SCS</w:t>
            </w:r>
          </w:p>
        </w:tc>
        <w:tc>
          <w:tcPr>
            <w:tcW w:w="512" w:type="pct"/>
            <w:tcBorders>
              <w:top w:val="single" w:sz="4" w:space="0" w:color="auto"/>
              <w:bottom w:val="single" w:sz="4" w:space="0" w:color="auto"/>
            </w:tcBorders>
            <w:vAlign w:val="center"/>
          </w:tcPr>
          <w:p w14:paraId="0F9A977A"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38B1DB38" w14:textId="4E52D45A" w:rsidR="002252DB" w:rsidRPr="00DA3425" w:rsidRDefault="002252DB">
            <w:pPr>
              <w:pStyle w:val="051Tabletext228pt"/>
              <w:jc w:val="center"/>
            </w:pPr>
            <w:r w:rsidRPr="0004540C">
              <w:rPr>
                <w:rFonts w:ascii="Wingdings" w:eastAsia="Wingdings" w:hAnsi="Wingdings" w:cs="Wingdings"/>
              </w:rPr>
              <w:t>û</w:t>
            </w:r>
          </w:p>
        </w:tc>
      </w:tr>
      <w:tr w:rsidR="002252DB" w:rsidRPr="00DA3425" w14:paraId="77E97655" w14:textId="77777777" w:rsidTr="00B758E1">
        <w:tc>
          <w:tcPr>
            <w:tcW w:w="670" w:type="pct"/>
            <w:tcBorders>
              <w:top w:val="single" w:sz="4" w:space="0" w:color="auto"/>
              <w:bottom w:val="single" w:sz="4" w:space="0" w:color="auto"/>
            </w:tcBorders>
          </w:tcPr>
          <w:p w14:paraId="4D793698" w14:textId="77777777" w:rsidR="002252DB" w:rsidRDefault="002252DB">
            <w:pPr>
              <w:pStyle w:val="051Tabletext228pt"/>
            </w:pPr>
            <w:proofErr w:type="spellStart"/>
            <w:r w:rsidRPr="00DA3425">
              <w:t>Billot</w:t>
            </w:r>
            <w:proofErr w:type="spellEnd"/>
            <w:r w:rsidRPr="00DA3425">
              <w:t xml:space="preserve"> 2020</w:t>
            </w:r>
          </w:p>
          <w:p w14:paraId="3E30498C" w14:textId="77777777" w:rsidR="002252DB" w:rsidRPr="00C66EE1" w:rsidRDefault="002252DB">
            <w:pPr>
              <w:pStyle w:val="061Tabletext628pt"/>
              <w:ind w:left="113"/>
              <w:rPr>
                <w:b/>
                <w:bCs/>
              </w:rPr>
            </w:pPr>
            <w:r w:rsidRPr="00C66EE1">
              <w:rPr>
                <w:b/>
                <w:bCs/>
              </w:rPr>
              <w:t>MULTIWAVE</w:t>
            </w:r>
          </w:p>
          <w:p w14:paraId="5D826204" w14:textId="77777777" w:rsidR="002252DB" w:rsidRPr="00DA3425" w:rsidRDefault="002252DB">
            <w:pPr>
              <w:pStyle w:val="051Tabletext228pt"/>
              <w:ind w:left="113"/>
            </w:pPr>
            <w:r w:rsidRPr="00C66EE1">
              <w:rPr>
                <w:b/>
                <w:bCs/>
              </w:rPr>
              <w:t>NCT03014583</w:t>
            </w:r>
          </w:p>
        </w:tc>
        <w:tc>
          <w:tcPr>
            <w:tcW w:w="2608" w:type="pct"/>
            <w:tcBorders>
              <w:top w:val="single" w:sz="4" w:space="0" w:color="auto"/>
              <w:bottom w:val="single" w:sz="4" w:space="0" w:color="auto"/>
            </w:tcBorders>
          </w:tcPr>
          <w:p w14:paraId="6DF70B57" w14:textId="77777777" w:rsidR="002252DB" w:rsidRPr="00DA3425" w:rsidRDefault="002252DB">
            <w:pPr>
              <w:pStyle w:val="051Tabletext228pt"/>
            </w:pPr>
            <w:r w:rsidRPr="00DA3425">
              <w:t>Comparison of conventional, burst and high-frequency spinal cord stimulation on pain relief in refractory failed back surgery syndrome patients: study protocol for a prospective randomized double-blinded cross-over trial (MULTIWAVE study)</w:t>
            </w:r>
          </w:p>
        </w:tc>
        <w:tc>
          <w:tcPr>
            <w:tcW w:w="834" w:type="pct"/>
            <w:tcBorders>
              <w:top w:val="single" w:sz="4" w:space="0" w:color="auto"/>
              <w:bottom w:val="single" w:sz="4" w:space="0" w:color="auto"/>
            </w:tcBorders>
          </w:tcPr>
          <w:p w14:paraId="397B0B48"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406C9A9B"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2173F0CC" w14:textId="5AA963F9" w:rsidR="002252DB" w:rsidRPr="00DA3425" w:rsidRDefault="002252DB">
            <w:pPr>
              <w:pStyle w:val="051Tabletext228pt"/>
              <w:jc w:val="center"/>
            </w:pPr>
            <w:r w:rsidRPr="00D36E55">
              <w:rPr>
                <w:rFonts w:ascii="Wingdings" w:eastAsia="Wingdings" w:hAnsi="Wingdings" w:cs="Wingdings"/>
              </w:rPr>
              <w:t>û</w:t>
            </w:r>
          </w:p>
        </w:tc>
      </w:tr>
      <w:tr w:rsidR="002252DB" w:rsidRPr="00DA3425" w14:paraId="7EE6E56F" w14:textId="77777777" w:rsidTr="00B758E1">
        <w:tc>
          <w:tcPr>
            <w:tcW w:w="670" w:type="pct"/>
            <w:tcBorders>
              <w:top w:val="single" w:sz="4" w:space="0" w:color="auto"/>
              <w:bottom w:val="single" w:sz="4" w:space="0" w:color="auto"/>
            </w:tcBorders>
          </w:tcPr>
          <w:p w14:paraId="526D8BDF" w14:textId="77777777" w:rsidR="002252DB" w:rsidRPr="00DA3425" w:rsidRDefault="002252DB">
            <w:pPr>
              <w:pStyle w:val="051Tabletext228pt"/>
            </w:pPr>
            <w:r w:rsidRPr="00DA3425">
              <w:t>De Andres 2017</w:t>
            </w:r>
          </w:p>
        </w:tc>
        <w:tc>
          <w:tcPr>
            <w:tcW w:w="2608" w:type="pct"/>
            <w:tcBorders>
              <w:top w:val="single" w:sz="4" w:space="0" w:color="auto"/>
              <w:bottom w:val="single" w:sz="4" w:space="0" w:color="auto"/>
            </w:tcBorders>
          </w:tcPr>
          <w:p w14:paraId="4F9BC08E" w14:textId="77777777" w:rsidR="002252DB" w:rsidRPr="00DA3425" w:rsidRDefault="002252DB">
            <w:pPr>
              <w:pStyle w:val="051Tabletext228pt"/>
            </w:pPr>
            <w:r w:rsidRPr="00DA3425">
              <w:t>Prospective, randomized blind effect-on-outcome study of conventional vs high-frequency spinal cord stimulation in patients with pain and disability due to failed back surgery syndrome</w:t>
            </w:r>
          </w:p>
        </w:tc>
        <w:tc>
          <w:tcPr>
            <w:tcW w:w="834" w:type="pct"/>
            <w:tcBorders>
              <w:top w:val="single" w:sz="4" w:space="0" w:color="auto"/>
              <w:bottom w:val="single" w:sz="4" w:space="0" w:color="auto"/>
            </w:tcBorders>
          </w:tcPr>
          <w:p w14:paraId="2536D98F"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444511D9"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28CA95F0" w14:textId="2F6D3B26" w:rsidR="002252DB" w:rsidRPr="00DA3425" w:rsidRDefault="002252DB">
            <w:pPr>
              <w:pStyle w:val="051Tabletext228pt"/>
              <w:jc w:val="center"/>
            </w:pPr>
            <w:r w:rsidRPr="00D36E55">
              <w:rPr>
                <w:rFonts w:ascii="Wingdings" w:eastAsia="Wingdings" w:hAnsi="Wingdings" w:cs="Wingdings"/>
              </w:rPr>
              <w:t>û</w:t>
            </w:r>
          </w:p>
        </w:tc>
      </w:tr>
      <w:tr w:rsidR="002252DB" w:rsidRPr="00DA3425" w14:paraId="7F361314" w14:textId="77777777" w:rsidTr="00B758E1">
        <w:tc>
          <w:tcPr>
            <w:tcW w:w="670" w:type="pct"/>
            <w:tcBorders>
              <w:top w:val="single" w:sz="4" w:space="0" w:color="auto"/>
              <w:bottom w:val="single" w:sz="4" w:space="0" w:color="auto"/>
            </w:tcBorders>
          </w:tcPr>
          <w:p w14:paraId="7AFCDDF0" w14:textId="77777777" w:rsidR="002252DB" w:rsidRDefault="002252DB">
            <w:pPr>
              <w:pStyle w:val="051Tabletext228pt"/>
            </w:pPr>
            <w:r w:rsidRPr="00DA3425">
              <w:t>Deer 2015</w:t>
            </w:r>
          </w:p>
          <w:p w14:paraId="51DB41E3" w14:textId="77777777" w:rsidR="002252DB" w:rsidRPr="00C66EE1" w:rsidRDefault="002252DB">
            <w:pPr>
              <w:pStyle w:val="061Tabletext628pt"/>
              <w:ind w:left="113"/>
              <w:rPr>
                <w:b/>
                <w:bCs/>
              </w:rPr>
            </w:pPr>
            <w:r w:rsidRPr="00C66EE1">
              <w:rPr>
                <w:b/>
                <w:bCs/>
              </w:rPr>
              <w:t>ACCURATE</w:t>
            </w:r>
          </w:p>
        </w:tc>
        <w:tc>
          <w:tcPr>
            <w:tcW w:w="2608" w:type="pct"/>
            <w:tcBorders>
              <w:top w:val="single" w:sz="4" w:space="0" w:color="auto"/>
              <w:bottom w:val="single" w:sz="4" w:space="0" w:color="auto"/>
            </w:tcBorders>
          </w:tcPr>
          <w:p w14:paraId="637B8B7D" w14:textId="77777777" w:rsidR="002252DB" w:rsidRPr="00DA3425" w:rsidRDefault="002252DB">
            <w:pPr>
              <w:pStyle w:val="051Tabletext228pt"/>
            </w:pPr>
            <w:r w:rsidRPr="00DA3425">
              <w:t>A prospective, randomized, multi-</w:t>
            </w:r>
            <w:proofErr w:type="spellStart"/>
            <w:r w:rsidRPr="00DA3425">
              <w:t>center</w:t>
            </w:r>
            <w:proofErr w:type="spellEnd"/>
            <w:r w:rsidRPr="00DA3425">
              <w:t>, controlled clinical trial to assess the safety and efficacy of the spinal modulation Axium® neurostimulation system in the treatment of chronic pain (Accurate Trial): Trial design</w:t>
            </w:r>
          </w:p>
        </w:tc>
        <w:tc>
          <w:tcPr>
            <w:tcW w:w="834" w:type="pct"/>
            <w:tcBorders>
              <w:top w:val="single" w:sz="4" w:space="0" w:color="auto"/>
              <w:bottom w:val="single" w:sz="4" w:space="0" w:color="auto"/>
            </w:tcBorders>
          </w:tcPr>
          <w:p w14:paraId="15A31514"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2C6C4B80"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51993FEC" w14:textId="0C82E5AB" w:rsidR="002252DB" w:rsidRPr="00DA3425" w:rsidRDefault="002252DB">
            <w:pPr>
              <w:pStyle w:val="051Tabletext228pt"/>
              <w:jc w:val="center"/>
            </w:pPr>
            <w:r w:rsidRPr="00D36E55">
              <w:rPr>
                <w:rFonts w:ascii="Wingdings" w:eastAsia="Wingdings" w:hAnsi="Wingdings" w:cs="Wingdings"/>
              </w:rPr>
              <w:t>û</w:t>
            </w:r>
          </w:p>
        </w:tc>
      </w:tr>
      <w:tr w:rsidR="002252DB" w:rsidRPr="00DA3425" w14:paraId="0EC0B20C" w14:textId="77777777" w:rsidTr="00B758E1">
        <w:tc>
          <w:tcPr>
            <w:tcW w:w="670" w:type="pct"/>
            <w:tcBorders>
              <w:top w:val="single" w:sz="4" w:space="0" w:color="auto"/>
              <w:bottom w:val="single" w:sz="4" w:space="0" w:color="auto"/>
            </w:tcBorders>
          </w:tcPr>
          <w:p w14:paraId="5886D801" w14:textId="77777777" w:rsidR="002252DB" w:rsidRDefault="002252DB">
            <w:pPr>
              <w:pStyle w:val="051Tabletext228pt"/>
            </w:pPr>
            <w:r w:rsidRPr="00DA3425">
              <w:t>Deer 2018</w:t>
            </w:r>
          </w:p>
          <w:p w14:paraId="48199460" w14:textId="77777777" w:rsidR="002252DB" w:rsidRPr="00C66EE1" w:rsidRDefault="002252DB">
            <w:pPr>
              <w:pStyle w:val="061Tabletext628pt"/>
              <w:ind w:left="113"/>
              <w:rPr>
                <w:b/>
                <w:bCs/>
              </w:rPr>
            </w:pPr>
            <w:r w:rsidRPr="00C66EE1">
              <w:rPr>
                <w:b/>
                <w:bCs/>
              </w:rPr>
              <w:t>SUNBURST</w:t>
            </w:r>
          </w:p>
        </w:tc>
        <w:tc>
          <w:tcPr>
            <w:tcW w:w="2608" w:type="pct"/>
            <w:tcBorders>
              <w:top w:val="single" w:sz="4" w:space="0" w:color="auto"/>
              <w:bottom w:val="single" w:sz="4" w:space="0" w:color="auto"/>
            </w:tcBorders>
          </w:tcPr>
          <w:p w14:paraId="185E03F0" w14:textId="77777777" w:rsidR="002252DB" w:rsidRPr="00DA3425" w:rsidRDefault="002252DB">
            <w:pPr>
              <w:pStyle w:val="051Tabletext228pt"/>
            </w:pPr>
            <w:r w:rsidRPr="00DA3425">
              <w:t>Success Using Neuromodulation With BURST (SUNBURST) Study: Results From a Prospective, Randomized Controlled Trial Using a Novel Burst Waveform</w:t>
            </w:r>
          </w:p>
        </w:tc>
        <w:tc>
          <w:tcPr>
            <w:tcW w:w="834" w:type="pct"/>
            <w:tcBorders>
              <w:top w:val="single" w:sz="4" w:space="0" w:color="auto"/>
              <w:bottom w:val="single" w:sz="4" w:space="0" w:color="auto"/>
            </w:tcBorders>
          </w:tcPr>
          <w:p w14:paraId="69C9D897"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7F8700DA"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7938AFE4" w14:textId="14B181D4" w:rsidR="002252DB" w:rsidRPr="00DA3425" w:rsidRDefault="002252DB">
            <w:pPr>
              <w:pStyle w:val="051Tabletext228pt"/>
              <w:jc w:val="center"/>
            </w:pPr>
            <w:r>
              <w:rPr>
                <w:rFonts w:ascii="Wingdings" w:eastAsia="Wingdings" w:hAnsi="Wingdings" w:cs="Wingdings"/>
              </w:rPr>
              <w:t>û</w:t>
            </w:r>
          </w:p>
        </w:tc>
      </w:tr>
      <w:tr w:rsidR="002252DB" w:rsidRPr="00DA3425" w14:paraId="67ACE885" w14:textId="77777777" w:rsidTr="00B758E1">
        <w:tc>
          <w:tcPr>
            <w:tcW w:w="670" w:type="pct"/>
            <w:tcBorders>
              <w:top w:val="single" w:sz="4" w:space="0" w:color="auto"/>
              <w:bottom w:val="single" w:sz="4" w:space="0" w:color="auto"/>
            </w:tcBorders>
          </w:tcPr>
          <w:p w14:paraId="117B1F59" w14:textId="77777777" w:rsidR="002252DB" w:rsidRDefault="002252DB">
            <w:pPr>
              <w:pStyle w:val="051Tabletext228pt"/>
            </w:pPr>
            <w:proofErr w:type="spellStart"/>
            <w:r w:rsidRPr="00DA3425">
              <w:t>Eldabe</w:t>
            </w:r>
            <w:proofErr w:type="spellEnd"/>
            <w:r w:rsidRPr="00DA3425">
              <w:t xml:space="preserve"> 2020</w:t>
            </w:r>
          </w:p>
          <w:p w14:paraId="3B6E5A85" w14:textId="77777777" w:rsidR="002252DB" w:rsidRPr="00C66EE1" w:rsidRDefault="002252DB">
            <w:pPr>
              <w:pStyle w:val="061Tabletext628pt"/>
              <w:ind w:left="113"/>
              <w:rPr>
                <w:b/>
                <w:bCs/>
              </w:rPr>
            </w:pPr>
            <w:r w:rsidRPr="00C66EE1">
              <w:rPr>
                <w:b/>
                <w:bCs/>
              </w:rPr>
              <w:t>TRIAL-STIM</w:t>
            </w:r>
          </w:p>
        </w:tc>
        <w:tc>
          <w:tcPr>
            <w:tcW w:w="2608" w:type="pct"/>
            <w:tcBorders>
              <w:top w:val="single" w:sz="4" w:space="0" w:color="auto"/>
              <w:bottom w:val="single" w:sz="4" w:space="0" w:color="auto"/>
            </w:tcBorders>
          </w:tcPr>
          <w:p w14:paraId="13937B35" w14:textId="77777777" w:rsidR="002252DB" w:rsidRPr="00DA3425" w:rsidRDefault="002252DB">
            <w:pPr>
              <w:pStyle w:val="051Tabletext228pt"/>
            </w:pPr>
            <w:r w:rsidRPr="00DA3425">
              <w:t>Does a screening trial for spinal cord stimulation in patients with chronic pain of neuropathic origin have clinical utility and cost-effectiveness (TRIAL-STIM)? A randomised controlled trial</w:t>
            </w:r>
          </w:p>
        </w:tc>
        <w:tc>
          <w:tcPr>
            <w:tcW w:w="834" w:type="pct"/>
            <w:tcBorders>
              <w:top w:val="single" w:sz="4" w:space="0" w:color="auto"/>
              <w:bottom w:val="single" w:sz="4" w:space="0" w:color="auto"/>
            </w:tcBorders>
          </w:tcPr>
          <w:p w14:paraId="1BEA6065"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0980C8C1"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2CA24139" w14:textId="78CE5809" w:rsidR="002252DB" w:rsidRPr="00DA3425" w:rsidRDefault="002252DB">
            <w:pPr>
              <w:pStyle w:val="051Tabletext228pt"/>
              <w:jc w:val="center"/>
            </w:pPr>
            <w:r>
              <w:rPr>
                <w:rFonts w:ascii="Wingdings" w:eastAsia="Wingdings" w:hAnsi="Wingdings" w:cs="Wingdings"/>
              </w:rPr>
              <w:t>û</w:t>
            </w:r>
          </w:p>
        </w:tc>
      </w:tr>
      <w:tr w:rsidR="002252DB" w:rsidRPr="00DA3425" w14:paraId="1735F56D" w14:textId="77777777" w:rsidTr="00B758E1">
        <w:tc>
          <w:tcPr>
            <w:tcW w:w="670" w:type="pct"/>
            <w:tcBorders>
              <w:top w:val="single" w:sz="4" w:space="0" w:color="auto"/>
              <w:bottom w:val="single" w:sz="4" w:space="0" w:color="auto"/>
            </w:tcBorders>
          </w:tcPr>
          <w:p w14:paraId="6F6114B9" w14:textId="77777777" w:rsidR="002252DB" w:rsidRPr="00DA3425" w:rsidRDefault="002252DB">
            <w:pPr>
              <w:pStyle w:val="051Tabletext228pt"/>
            </w:pPr>
            <w:proofErr w:type="spellStart"/>
            <w:r w:rsidRPr="00DA3425">
              <w:t>Falowski</w:t>
            </w:r>
            <w:proofErr w:type="spellEnd"/>
            <w:r w:rsidRPr="00DA3425">
              <w:t xml:space="preserve"> 2019</w:t>
            </w:r>
          </w:p>
        </w:tc>
        <w:tc>
          <w:tcPr>
            <w:tcW w:w="2608" w:type="pct"/>
            <w:tcBorders>
              <w:top w:val="single" w:sz="4" w:space="0" w:color="auto"/>
              <w:bottom w:val="single" w:sz="4" w:space="0" w:color="auto"/>
            </w:tcBorders>
          </w:tcPr>
          <w:p w14:paraId="7A64F850" w14:textId="77777777" w:rsidR="002252DB" w:rsidRPr="00DA3425" w:rsidRDefault="002252DB">
            <w:pPr>
              <w:pStyle w:val="051Tabletext228pt"/>
            </w:pPr>
            <w:r w:rsidRPr="00DA3425">
              <w:t xml:space="preserve">Nonawake vs awake placement of spinal cord stimulators: A prospective, </w:t>
            </w:r>
            <w:proofErr w:type="spellStart"/>
            <w:r w:rsidRPr="00DA3425">
              <w:t>multicenter</w:t>
            </w:r>
            <w:proofErr w:type="spellEnd"/>
            <w:r w:rsidRPr="00DA3425">
              <w:t xml:space="preserve"> study comparing safety and efficacy</w:t>
            </w:r>
          </w:p>
        </w:tc>
        <w:tc>
          <w:tcPr>
            <w:tcW w:w="834" w:type="pct"/>
            <w:tcBorders>
              <w:top w:val="single" w:sz="4" w:space="0" w:color="auto"/>
              <w:bottom w:val="single" w:sz="4" w:space="0" w:color="auto"/>
            </w:tcBorders>
          </w:tcPr>
          <w:p w14:paraId="0E96FFB0" w14:textId="77777777" w:rsidR="002252DB" w:rsidRPr="00035562" w:rsidRDefault="002252DB">
            <w:pPr>
              <w:pStyle w:val="051Tabletext228pt"/>
            </w:pPr>
            <w:r>
              <w:t>Not a comparison of interest [lead placement technique]</w:t>
            </w:r>
          </w:p>
        </w:tc>
        <w:tc>
          <w:tcPr>
            <w:tcW w:w="512" w:type="pct"/>
            <w:tcBorders>
              <w:top w:val="single" w:sz="4" w:space="0" w:color="auto"/>
              <w:bottom w:val="single" w:sz="4" w:space="0" w:color="auto"/>
            </w:tcBorders>
            <w:vAlign w:val="center"/>
          </w:tcPr>
          <w:p w14:paraId="51DBC8B2" w14:textId="1F14500D" w:rsidR="002252DB" w:rsidRPr="00DA3425" w:rsidRDefault="002252DB">
            <w:pPr>
              <w:pStyle w:val="051Tabletext228pt"/>
              <w:jc w:val="center"/>
            </w:pPr>
            <w:r w:rsidRPr="00035562">
              <w:rPr>
                <w:rFonts w:ascii="Wingdings" w:eastAsia="Wingdings" w:hAnsi="Wingdings" w:cs="Wingdings"/>
              </w:rPr>
              <w:t>û</w:t>
            </w:r>
          </w:p>
        </w:tc>
        <w:tc>
          <w:tcPr>
            <w:tcW w:w="376" w:type="pct"/>
            <w:tcBorders>
              <w:top w:val="single" w:sz="4" w:space="0" w:color="auto"/>
              <w:bottom w:val="single" w:sz="4" w:space="0" w:color="auto"/>
            </w:tcBorders>
            <w:vAlign w:val="center"/>
          </w:tcPr>
          <w:p w14:paraId="77AF329F" w14:textId="77777777" w:rsidR="002252DB" w:rsidRPr="00DA3425" w:rsidRDefault="002252DB">
            <w:pPr>
              <w:pStyle w:val="051Tabletext228pt"/>
              <w:jc w:val="center"/>
            </w:pPr>
          </w:p>
        </w:tc>
      </w:tr>
      <w:tr w:rsidR="002252DB" w:rsidRPr="00DA3425" w14:paraId="3AD83CBC" w14:textId="77777777" w:rsidTr="00B758E1">
        <w:tc>
          <w:tcPr>
            <w:tcW w:w="670" w:type="pct"/>
            <w:tcBorders>
              <w:top w:val="single" w:sz="4" w:space="0" w:color="auto"/>
              <w:bottom w:val="single" w:sz="4" w:space="0" w:color="auto"/>
            </w:tcBorders>
          </w:tcPr>
          <w:p w14:paraId="0C150D39" w14:textId="77777777" w:rsidR="002252DB" w:rsidRDefault="002252DB">
            <w:pPr>
              <w:pStyle w:val="051Tabletext228pt"/>
            </w:pPr>
            <w:r w:rsidRPr="00DA3425">
              <w:t>Gilligan 2020</w:t>
            </w:r>
          </w:p>
          <w:p w14:paraId="1EA90725" w14:textId="77777777" w:rsidR="002252DB" w:rsidRPr="00C66EE1" w:rsidRDefault="002252DB">
            <w:pPr>
              <w:pStyle w:val="061Tabletext628pt"/>
              <w:ind w:left="113"/>
              <w:rPr>
                <w:b/>
                <w:bCs/>
              </w:rPr>
            </w:pPr>
            <w:r w:rsidRPr="00C66EE1">
              <w:rPr>
                <w:b/>
                <w:bCs/>
              </w:rPr>
              <w:t>ReActiv8-B</w:t>
            </w:r>
          </w:p>
          <w:p w14:paraId="5583DC33" w14:textId="77777777" w:rsidR="002252DB" w:rsidRPr="00DA3425" w:rsidRDefault="002252DB">
            <w:pPr>
              <w:pStyle w:val="051Tabletext228pt"/>
              <w:ind w:left="113"/>
            </w:pPr>
            <w:r w:rsidRPr="00C66EE1">
              <w:rPr>
                <w:b/>
                <w:bCs/>
              </w:rPr>
              <w:t>NCT02577354</w:t>
            </w:r>
          </w:p>
        </w:tc>
        <w:tc>
          <w:tcPr>
            <w:tcW w:w="2608" w:type="pct"/>
            <w:tcBorders>
              <w:top w:val="single" w:sz="4" w:space="0" w:color="auto"/>
              <w:bottom w:val="single" w:sz="4" w:space="0" w:color="auto"/>
            </w:tcBorders>
          </w:tcPr>
          <w:p w14:paraId="3EA36E7D" w14:textId="011A8AD8" w:rsidR="002252DB" w:rsidRPr="00DA3425" w:rsidRDefault="002252DB">
            <w:pPr>
              <w:pStyle w:val="051Tabletext228pt"/>
            </w:pPr>
            <w:r w:rsidRPr="00DA3425">
              <w:t>Restorative neurostimulation for refractory mechanical chronic low back pain - Results of a randomized active sham</w:t>
            </w:r>
            <w:r w:rsidR="00CF60FE">
              <w:t xml:space="preserve"> </w:t>
            </w:r>
            <w:r w:rsidRPr="00DA3425">
              <w:t>controlled trial</w:t>
            </w:r>
          </w:p>
        </w:tc>
        <w:tc>
          <w:tcPr>
            <w:tcW w:w="834" w:type="pct"/>
            <w:tcBorders>
              <w:top w:val="single" w:sz="4" w:space="0" w:color="auto"/>
              <w:bottom w:val="single" w:sz="4" w:space="0" w:color="auto"/>
            </w:tcBorders>
          </w:tcPr>
          <w:p w14:paraId="1ED282B6" w14:textId="77777777" w:rsidR="002252DB" w:rsidRPr="00035562" w:rsidRDefault="002252DB">
            <w:pPr>
              <w:pStyle w:val="051Tabletext228pt"/>
            </w:pPr>
            <w:r>
              <w:t>Not SCS</w:t>
            </w:r>
          </w:p>
        </w:tc>
        <w:tc>
          <w:tcPr>
            <w:tcW w:w="512" w:type="pct"/>
            <w:tcBorders>
              <w:top w:val="single" w:sz="4" w:space="0" w:color="auto"/>
              <w:bottom w:val="single" w:sz="4" w:space="0" w:color="auto"/>
            </w:tcBorders>
            <w:vAlign w:val="center"/>
          </w:tcPr>
          <w:p w14:paraId="0CED36AB" w14:textId="694FC315" w:rsidR="002252DB" w:rsidRPr="00DA3425" w:rsidRDefault="002252DB">
            <w:pPr>
              <w:pStyle w:val="051Tabletext228pt"/>
              <w:jc w:val="center"/>
            </w:pPr>
            <w:r w:rsidRPr="00035562">
              <w:rPr>
                <w:rFonts w:ascii="Wingdings" w:eastAsia="Wingdings" w:hAnsi="Wingdings" w:cs="Wingdings"/>
              </w:rPr>
              <w:t>û</w:t>
            </w:r>
          </w:p>
        </w:tc>
        <w:tc>
          <w:tcPr>
            <w:tcW w:w="376" w:type="pct"/>
            <w:tcBorders>
              <w:top w:val="single" w:sz="4" w:space="0" w:color="auto"/>
              <w:bottom w:val="single" w:sz="4" w:space="0" w:color="auto"/>
            </w:tcBorders>
            <w:vAlign w:val="center"/>
          </w:tcPr>
          <w:p w14:paraId="0356FA98" w14:textId="77777777" w:rsidR="002252DB" w:rsidRPr="00DA3425" w:rsidRDefault="002252DB">
            <w:pPr>
              <w:pStyle w:val="051Tabletext228pt"/>
              <w:jc w:val="center"/>
            </w:pPr>
          </w:p>
        </w:tc>
      </w:tr>
      <w:tr w:rsidR="002252DB" w:rsidRPr="00DA3425" w14:paraId="544E8563" w14:textId="77777777" w:rsidTr="00B758E1">
        <w:tc>
          <w:tcPr>
            <w:tcW w:w="670" w:type="pct"/>
            <w:tcBorders>
              <w:top w:val="single" w:sz="4" w:space="0" w:color="auto"/>
              <w:bottom w:val="single" w:sz="4" w:space="0" w:color="auto"/>
            </w:tcBorders>
          </w:tcPr>
          <w:p w14:paraId="149ED5E3" w14:textId="77777777" w:rsidR="002252DB" w:rsidRDefault="002252DB">
            <w:pPr>
              <w:pStyle w:val="051Tabletext228pt"/>
            </w:pPr>
            <w:proofErr w:type="spellStart"/>
            <w:r w:rsidRPr="00DA3425">
              <w:t>Kapural</w:t>
            </w:r>
            <w:proofErr w:type="spellEnd"/>
            <w:r w:rsidRPr="00DA3425">
              <w:t xml:space="preserve"> 2015</w:t>
            </w:r>
          </w:p>
          <w:p w14:paraId="2C8013EC" w14:textId="77777777" w:rsidR="002252DB" w:rsidRPr="00C66EE1" w:rsidRDefault="002252DB">
            <w:pPr>
              <w:pStyle w:val="061Tabletext628pt"/>
              <w:ind w:left="113"/>
              <w:rPr>
                <w:b/>
                <w:bCs/>
              </w:rPr>
            </w:pPr>
            <w:r w:rsidRPr="00C66EE1">
              <w:rPr>
                <w:b/>
                <w:bCs/>
              </w:rPr>
              <w:t>SENZA-RCT</w:t>
            </w:r>
          </w:p>
        </w:tc>
        <w:tc>
          <w:tcPr>
            <w:tcW w:w="2608" w:type="pct"/>
            <w:tcBorders>
              <w:top w:val="single" w:sz="4" w:space="0" w:color="auto"/>
              <w:bottom w:val="single" w:sz="4" w:space="0" w:color="auto"/>
            </w:tcBorders>
          </w:tcPr>
          <w:p w14:paraId="48890FE3" w14:textId="77777777" w:rsidR="002252DB" w:rsidRPr="00DA3425" w:rsidRDefault="002252DB">
            <w:pPr>
              <w:pStyle w:val="051Tabletext228pt"/>
            </w:pPr>
            <w:r w:rsidRPr="00DA3425">
              <w:t>Novel 10-kHz High-frequency Therapy (HF10 Therapy) Is Superior to Traditional Low-frequency Spinal Cord Stimulation for the Treatment of Chronic Back and Leg Pain</w:t>
            </w:r>
          </w:p>
        </w:tc>
        <w:tc>
          <w:tcPr>
            <w:tcW w:w="834" w:type="pct"/>
            <w:tcBorders>
              <w:top w:val="single" w:sz="4" w:space="0" w:color="auto"/>
              <w:bottom w:val="single" w:sz="4" w:space="0" w:color="auto"/>
            </w:tcBorders>
          </w:tcPr>
          <w:p w14:paraId="4D33586C"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45D402B9"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717944BA" w14:textId="33FBFDF5" w:rsidR="002252DB" w:rsidRPr="00DA3425" w:rsidRDefault="002252DB">
            <w:pPr>
              <w:pStyle w:val="051Tabletext228pt"/>
              <w:jc w:val="center"/>
            </w:pPr>
            <w:r>
              <w:rPr>
                <w:rFonts w:ascii="Wingdings" w:eastAsia="Wingdings" w:hAnsi="Wingdings" w:cs="Wingdings"/>
              </w:rPr>
              <w:t>û</w:t>
            </w:r>
          </w:p>
        </w:tc>
      </w:tr>
      <w:tr w:rsidR="002252DB" w:rsidRPr="00DA3425" w14:paraId="348AE5B9" w14:textId="77777777" w:rsidTr="00B758E1">
        <w:tc>
          <w:tcPr>
            <w:tcW w:w="670" w:type="pct"/>
            <w:tcBorders>
              <w:top w:val="single" w:sz="4" w:space="0" w:color="auto"/>
              <w:bottom w:val="single" w:sz="4" w:space="0" w:color="auto"/>
            </w:tcBorders>
          </w:tcPr>
          <w:p w14:paraId="635FFD81" w14:textId="77777777" w:rsidR="002252DB" w:rsidRPr="00DA3425" w:rsidRDefault="002252DB">
            <w:pPr>
              <w:pStyle w:val="051Tabletext228pt"/>
            </w:pPr>
            <w:proofErr w:type="spellStart"/>
            <w:r w:rsidRPr="00DA3425">
              <w:t>Kemler</w:t>
            </w:r>
            <w:proofErr w:type="spellEnd"/>
            <w:r w:rsidRPr="00DA3425">
              <w:t xml:space="preserve"> 2001</w:t>
            </w:r>
          </w:p>
        </w:tc>
        <w:tc>
          <w:tcPr>
            <w:tcW w:w="2608" w:type="pct"/>
            <w:tcBorders>
              <w:top w:val="single" w:sz="4" w:space="0" w:color="auto"/>
              <w:bottom w:val="single" w:sz="4" w:space="0" w:color="auto"/>
            </w:tcBorders>
          </w:tcPr>
          <w:p w14:paraId="748D3632" w14:textId="77777777" w:rsidR="002252DB" w:rsidRPr="00DA3425" w:rsidRDefault="002252DB">
            <w:pPr>
              <w:pStyle w:val="051Tabletext228pt"/>
            </w:pPr>
            <w:r w:rsidRPr="00DA3425">
              <w:t>Impact of spinal cord stimulation on sensory characteristics in complex regional pain syndrome type I: A randomized trial</w:t>
            </w:r>
          </w:p>
        </w:tc>
        <w:tc>
          <w:tcPr>
            <w:tcW w:w="834" w:type="pct"/>
            <w:tcBorders>
              <w:top w:val="single" w:sz="4" w:space="0" w:color="auto"/>
              <w:bottom w:val="single" w:sz="4" w:space="0" w:color="auto"/>
            </w:tcBorders>
          </w:tcPr>
          <w:p w14:paraId="6865116D" w14:textId="77777777" w:rsidR="002252DB" w:rsidRPr="002E5F57" w:rsidRDefault="002252DB">
            <w:pPr>
              <w:pStyle w:val="051Tabletext228pt"/>
            </w:pPr>
            <w:r>
              <w:t>Wrong outcomes</w:t>
            </w:r>
          </w:p>
        </w:tc>
        <w:tc>
          <w:tcPr>
            <w:tcW w:w="512" w:type="pct"/>
            <w:tcBorders>
              <w:top w:val="single" w:sz="4" w:space="0" w:color="auto"/>
              <w:bottom w:val="single" w:sz="4" w:space="0" w:color="auto"/>
            </w:tcBorders>
            <w:vAlign w:val="center"/>
          </w:tcPr>
          <w:p w14:paraId="085A66C8" w14:textId="654A671C" w:rsidR="002252DB" w:rsidRPr="00DA3425" w:rsidRDefault="002252DB">
            <w:pPr>
              <w:pStyle w:val="051Tabletext228pt"/>
              <w:jc w:val="center"/>
            </w:pPr>
            <w:r w:rsidRPr="002E5F57">
              <w:rPr>
                <w:rFonts w:ascii="Wingdings" w:eastAsia="Wingdings" w:hAnsi="Wingdings" w:cs="Wingdings"/>
              </w:rPr>
              <w:t>û</w:t>
            </w:r>
          </w:p>
        </w:tc>
        <w:tc>
          <w:tcPr>
            <w:tcW w:w="376" w:type="pct"/>
            <w:tcBorders>
              <w:top w:val="single" w:sz="4" w:space="0" w:color="auto"/>
              <w:bottom w:val="single" w:sz="4" w:space="0" w:color="auto"/>
            </w:tcBorders>
            <w:vAlign w:val="center"/>
          </w:tcPr>
          <w:p w14:paraId="0F25B484" w14:textId="77777777" w:rsidR="002252DB" w:rsidRPr="00DA3425" w:rsidRDefault="002252DB">
            <w:pPr>
              <w:pStyle w:val="051Tabletext228pt"/>
              <w:jc w:val="center"/>
            </w:pPr>
          </w:p>
        </w:tc>
      </w:tr>
      <w:tr w:rsidR="002252DB" w:rsidRPr="00DA3425" w14:paraId="41E146F6" w14:textId="77777777" w:rsidTr="00B758E1">
        <w:tc>
          <w:tcPr>
            <w:tcW w:w="670" w:type="pct"/>
            <w:tcBorders>
              <w:top w:val="single" w:sz="4" w:space="0" w:color="auto"/>
              <w:bottom w:val="single" w:sz="4" w:space="0" w:color="auto"/>
            </w:tcBorders>
          </w:tcPr>
          <w:p w14:paraId="4F9BC5C5" w14:textId="77777777" w:rsidR="002252DB" w:rsidRPr="00DA3425" w:rsidRDefault="002252DB">
            <w:pPr>
              <w:pStyle w:val="051Tabletext228pt"/>
            </w:pPr>
            <w:proofErr w:type="spellStart"/>
            <w:r w:rsidRPr="00DA3425">
              <w:t>Kufakwaro</w:t>
            </w:r>
            <w:proofErr w:type="spellEnd"/>
            <w:r w:rsidRPr="00DA3425">
              <w:t xml:space="preserve"> 2012</w:t>
            </w:r>
          </w:p>
        </w:tc>
        <w:tc>
          <w:tcPr>
            <w:tcW w:w="2608" w:type="pct"/>
            <w:tcBorders>
              <w:top w:val="single" w:sz="4" w:space="0" w:color="auto"/>
              <w:bottom w:val="single" w:sz="4" w:space="0" w:color="auto"/>
            </w:tcBorders>
          </w:tcPr>
          <w:p w14:paraId="25FEEF0F" w14:textId="77777777" w:rsidR="002252DB" w:rsidRPr="00DA3425" w:rsidRDefault="002252DB">
            <w:pPr>
              <w:pStyle w:val="051Tabletext228pt"/>
            </w:pPr>
            <w:r w:rsidRPr="00DA3425">
              <w:t>Neuromodulation of dorsal root ganglion: A comparative study to assess efficacy of pulsed-radiofrequency and neurostimulation in treatment of neuropathic pain</w:t>
            </w:r>
          </w:p>
        </w:tc>
        <w:tc>
          <w:tcPr>
            <w:tcW w:w="834" w:type="pct"/>
            <w:tcBorders>
              <w:top w:val="single" w:sz="4" w:space="0" w:color="auto"/>
              <w:bottom w:val="single" w:sz="4" w:space="0" w:color="auto"/>
            </w:tcBorders>
          </w:tcPr>
          <w:p w14:paraId="4025D9C8" w14:textId="2834EF43" w:rsidR="002252DB" w:rsidRPr="002E5F57" w:rsidRDefault="002252DB">
            <w:pPr>
              <w:pStyle w:val="051Tabletext228pt"/>
            </w:pPr>
            <w:r>
              <w:t xml:space="preserve">Wrong intervention: DRGS [in scope for this </w:t>
            </w:r>
            <w:r w:rsidR="00762D78">
              <w:t>r</w:t>
            </w:r>
            <w:r>
              <w:t>eport]</w:t>
            </w:r>
          </w:p>
        </w:tc>
        <w:tc>
          <w:tcPr>
            <w:tcW w:w="512" w:type="pct"/>
            <w:tcBorders>
              <w:top w:val="single" w:sz="4" w:space="0" w:color="auto"/>
              <w:bottom w:val="single" w:sz="4" w:space="0" w:color="auto"/>
            </w:tcBorders>
            <w:vAlign w:val="center"/>
          </w:tcPr>
          <w:p w14:paraId="0720A480" w14:textId="72628578" w:rsidR="002252DB" w:rsidRPr="00DA3425" w:rsidRDefault="002252DB">
            <w:pPr>
              <w:pStyle w:val="051Tabletext228pt"/>
              <w:jc w:val="center"/>
            </w:pPr>
            <w:r w:rsidRPr="002E5F57">
              <w:rPr>
                <w:rFonts w:ascii="Wingdings" w:eastAsia="Wingdings" w:hAnsi="Wingdings" w:cs="Wingdings"/>
              </w:rPr>
              <w:t>û</w:t>
            </w:r>
          </w:p>
        </w:tc>
        <w:tc>
          <w:tcPr>
            <w:tcW w:w="376" w:type="pct"/>
            <w:tcBorders>
              <w:top w:val="single" w:sz="4" w:space="0" w:color="auto"/>
              <w:bottom w:val="single" w:sz="4" w:space="0" w:color="auto"/>
            </w:tcBorders>
            <w:vAlign w:val="center"/>
          </w:tcPr>
          <w:p w14:paraId="0A5389FC" w14:textId="77777777" w:rsidR="002252DB" w:rsidRPr="00DA3425" w:rsidRDefault="002252DB">
            <w:pPr>
              <w:pStyle w:val="051Tabletext228pt"/>
              <w:jc w:val="center"/>
            </w:pPr>
          </w:p>
        </w:tc>
      </w:tr>
      <w:tr w:rsidR="002252DB" w:rsidRPr="00DA3425" w14:paraId="47D6AB96" w14:textId="77777777" w:rsidTr="00B758E1">
        <w:tc>
          <w:tcPr>
            <w:tcW w:w="670" w:type="pct"/>
            <w:tcBorders>
              <w:top w:val="single" w:sz="4" w:space="0" w:color="auto"/>
              <w:bottom w:val="single" w:sz="4" w:space="0" w:color="auto"/>
            </w:tcBorders>
          </w:tcPr>
          <w:p w14:paraId="7A6C30F7" w14:textId="77777777" w:rsidR="002252DB" w:rsidRPr="00DA3425" w:rsidRDefault="002252DB">
            <w:pPr>
              <w:pStyle w:val="051Tabletext228pt"/>
            </w:pPr>
            <w:r w:rsidRPr="00DA3425">
              <w:t>Liu 2020</w:t>
            </w:r>
          </w:p>
        </w:tc>
        <w:tc>
          <w:tcPr>
            <w:tcW w:w="2608" w:type="pct"/>
            <w:tcBorders>
              <w:top w:val="single" w:sz="4" w:space="0" w:color="auto"/>
              <w:bottom w:val="single" w:sz="4" w:space="0" w:color="auto"/>
            </w:tcBorders>
          </w:tcPr>
          <w:p w14:paraId="239F7FA0" w14:textId="77777777" w:rsidR="002252DB" w:rsidRPr="00DA3425" w:rsidRDefault="002252DB">
            <w:pPr>
              <w:pStyle w:val="051Tabletext228pt"/>
            </w:pPr>
            <w:r w:rsidRPr="00DA3425">
              <w:t>Clinical study of spinal cord stimulation and pulsed radiofrequency for management of herpes zoster-related pain persisting beyond acute phase in elderly patients</w:t>
            </w:r>
          </w:p>
        </w:tc>
        <w:tc>
          <w:tcPr>
            <w:tcW w:w="834" w:type="pct"/>
            <w:tcBorders>
              <w:top w:val="single" w:sz="4" w:space="0" w:color="auto"/>
              <w:bottom w:val="single" w:sz="4" w:space="0" w:color="auto"/>
            </w:tcBorders>
          </w:tcPr>
          <w:p w14:paraId="38EFD566" w14:textId="77777777" w:rsidR="002252DB" w:rsidRPr="002E5F57" w:rsidRDefault="002252DB">
            <w:pPr>
              <w:pStyle w:val="051Tabletext228pt"/>
            </w:pPr>
            <w:r>
              <w:t>Wrong comparator (</w:t>
            </w:r>
            <w:r w:rsidRPr="001B66E5">
              <w:t>pulsed radiofrequency</w:t>
            </w:r>
            <w:r>
              <w:t>)</w:t>
            </w:r>
          </w:p>
        </w:tc>
        <w:tc>
          <w:tcPr>
            <w:tcW w:w="512" w:type="pct"/>
            <w:tcBorders>
              <w:top w:val="single" w:sz="4" w:space="0" w:color="auto"/>
              <w:bottom w:val="single" w:sz="4" w:space="0" w:color="auto"/>
            </w:tcBorders>
            <w:vAlign w:val="center"/>
          </w:tcPr>
          <w:p w14:paraId="63DA6D57" w14:textId="48A746CD" w:rsidR="002252DB" w:rsidRPr="00DA3425" w:rsidRDefault="002252DB">
            <w:pPr>
              <w:pStyle w:val="051Tabletext228pt"/>
              <w:jc w:val="center"/>
            </w:pPr>
            <w:r w:rsidRPr="002E5F57">
              <w:rPr>
                <w:rFonts w:ascii="Wingdings" w:eastAsia="Wingdings" w:hAnsi="Wingdings" w:cs="Wingdings"/>
              </w:rPr>
              <w:t>û</w:t>
            </w:r>
          </w:p>
        </w:tc>
        <w:tc>
          <w:tcPr>
            <w:tcW w:w="376" w:type="pct"/>
            <w:tcBorders>
              <w:top w:val="single" w:sz="4" w:space="0" w:color="auto"/>
              <w:bottom w:val="single" w:sz="4" w:space="0" w:color="auto"/>
            </w:tcBorders>
            <w:vAlign w:val="center"/>
          </w:tcPr>
          <w:p w14:paraId="4DA180CA" w14:textId="77777777" w:rsidR="002252DB" w:rsidRPr="00DA3425" w:rsidRDefault="002252DB">
            <w:pPr>
              <w:pStyle w:val="051Tabletext228pt"/>
              <w:jc w:val="center"/>
            </w:pPr>
          </w:p>
        </w:tc>
      </w:tr>
      <w:tr w:rsidR="002252DB" w:rsidRPr="00DA3425" w14:paraId="0A23BE4D" w14:textId="77777777" w:rsidTr="00B758E1">
        <w:tc>
          <w:tcPr>
            <w:tcW w:w="670" w:type="pct"/>
            <w:tcBorders>
              <w:top w:val="single" w:sz="4" w:space="0" w:color="auto"/>
              <w:bottom w:val="single" w:sz="4" w:space="0" w:color="auto"/>
            </w:tcBorders>
          </w:tcPr>
          <w:p w14:paraId="11816A0B" w14:textId="77777777" w:rsidR="002252DB" w:rsidRPr="00DA3425" w:rsidRDefault="002252DB">
            <w:pPr>
              <w:pStyle w:val="051Tabletext228pt"/>
            </w:pPr>
            <w:r w:rsidRPr="00DA3425">
              <w:t>Liu 2021</w:t>
            </w:r>
          </w:p>
        </w:tc>
        <w:tc>
          <w:tcPr>
            <w:tcW w:w="2608" w:type="pct"/>
            <w:tcBorders>
              <w:top w:val="single" w:sz="4" w:space="0" w:color="auto"/>
              <w:bottom w:val="single" w:sz="4" w:space="0" w:color="auto"/>
            </w:tcBorders>
          </w:tcPr>
          <w:p w14:paraId="2CCDE597" w14:textId="77777777" w:rsidR="002252DB" w:rsidRPr="00DA3425" w:rsidRDefault="002252DB">
            <w:pPr>
              <w:pStyle w:val="051Tabletext228pt"/>
            </w:pPr>
            <w:r w:rsidRPr="00DA3425">
              <w:t>The effect of short-term spinal cord electrical stimulation on patients with postherpetic neuralgia and its effect on sleep quality</w:t>
            </w:r>
          </w:p>
        </w:tc>
        <w:tc>
          <w:tcPr>
            <w:tcW w:w="834" w:type="pct"/>
            <w:tcBorders>
              <w:top w:val="single" w:sz="4" w:space="0" w:color="auto"/>
              <w:bottom w:val="single" w:sz="4" w:space="0" w:color="auto"/>
            </w:tcBorders>
          </w:tcPr>
          <w:p w14:paraId="71ED912B" w14:textId="77777777" w:rsidR="002252DB" w:rsidRPr="002E5F57" w:rsidRDefault="002252DB">
            <w:pPr>
              <w:pStyle w:val="051Tabletext228pt"/>
            </w:pPr>
            <w:r>
              <w:t>Wrong comparator (nerve block)</w:t>
            </w:r>
          </w:p>
        </w:tc>
        <w:tc>
          <w:tcPr>
            <w:tcW w:w="512" w:type="pct"/>
            <w:tcBorders>
              <w:top w:val="single" w:sz="4" w:space="0" w:color="auto"/>
              <w:bottom w:val="single" w:sz="4" w:space="0" w:color="auto"/>
            </w:tcBorders>
            <w:vAlign w:val="center"/>
          </w:tcPr>
          <w:p w14:paraId="41E70B1E" w14:textId="54540A34" w:rsidR="002252DB" w:rsidRPr="00DA3425" w:rsidRDefault="002252DB">
            <w:pPr>
              <w:pStyle w:val="051Tabletext228pt"/>
              <w:jc w:val="center"/>
            </w:pPr>
            <w:r w:rsidRPr="002E5F57">
              <w:rPr>
                <w:rFonts w:ascii="Wingdings" w:eastAsia="Wingdings" w:hAnsi="Wingdings" w:cs="Wingdings"/>
              </w:rPr>
              <w:t>û</w:t>
            </w:r>
          </w:p>
        </w:tc>
        <w:tc>
          <w:tcPr>
            <w:tcW w:w="376" w:type="pct"/>
            <w:tcBorders>
              <w:top w:val="single" w:sz="4" w:space="0" w:color="auto"/>
              <w:bottom w:val="single" w:sz="4" w:space="0" w:color="auto"/>
            </w:tcBorders>
            <w:vAlign w:val="center"/>
          </w:tcPr>
          <w:p w14:paraId="57A25856" w14:textId="77777777" w:rsidR="002252DB" w:rsidRPr="00DA3425" w:rsidRDefault="002252DB">
            <w:pPr>
              <w:pStyle w:val="051Tabletext228pt"/>
              <w:jc w:val="center"/>
            </w:pPr>
          </w:p>
        </w:tc>
      </w:tr>
      <w:tr w:rsidR="002252DB" w:rsidRPr="00DA3425" w14:paraId="1F521A4C" w14:textId="77777777" w:rsidTr="00B758E1">
        <w:tc>
          <w:tcPr>
            <w:tcW w:w="670" w:type="pct"/>
            <w:tcBorders>
              <w:top w:val="single" w:sz="4" w:space="0" w:color="auto"/>
              <w:bottom w:val="single" w:sz="4" w:space="0" w:color="auto"/>
            </w:tcBorders>
          </w:tcPr>
          <w:p w14:paraId="18484865" w14:textId="77777777" w:rsidR="002252DB" w:rsidRPr="00DA3425" w:rsidRDefault="002252DB">
            <w:pPr>
              <w:pStyle w:val="051Tabletext228pt"/>
            </w:pPr>
            <w:r w:rsidRPr="00DA3425">
              <w:t>Meier 2015</w:t>
            </w:r>
          </w:p>
        </w:tc>
        <w:tc>
          <w:tcPr>
            <w:tcW w:w="2608" w:type="pct"/>
            <w:tcBorders>
              <w:top w:val="single" w:sz="4" w:space="0" w:color="auto"/>
              <w:bottom w:val="single" w:sz="4" w:space="0" w:color="auto"/>
            </w:tcBorders>
          </w:tcPr>
          <w:p w14:paraId="280E1BEA" w14:textId="77777777" w:rsidR="002252DB" w:rsidRPr="00DA3425" w:rsidRDefault="002252DB">
            <w:pPr>
              <w:pStyle w:val="051Tabletext228pt"/>
            </w:pPr>
            <w:r w:rsidRPr="00DA3425">
              <w:t>Effect of spinal cord stimulation on sensory characteristics: A randomized, blinded crossover study</w:t>
            </w:r>
          </w:p>
        </w:tc>
        <w:tc>
          <w:tcPr>
            <w:tcW w:w="834" w:type="pct"/>
            <w:tcBorders>
              <w:top w:val="single" w:sz="4" w:space="0" w:color="auto"/>
              <w:bottom w:val="single" w:sz="4" w:space="0" w:color="auto"/>
            </w:tcBorders>
          </w:tcPr>
          <w:p w14:paraId="4051B5F3" w14:textId="652E0E96" w:rsidR="002252DB" w:rsidRPr="00FD317B" w:rsidRDefault="000949A7">
            <w:pPr>
              <w:pStyle w:val="051Tabletext228pt"/>
            </w:pPr>
            <w:r>
              <w:t>Treatment</w:t>
            </w:r>
            <w:r w:rsidR="002252DB" w:rsidRPr="002A70E1">
              <w:t xml:space="preserve"> period not clinically applicable</w:t>
            </w:r>
            <w:r w:rsidR="002252DB">
              <w:t xml:space="preserve"> (O’Connell) Wrong population (Traeger)</w:t>
            </w:r>
          </w:p>
        </w:tc>
        <w:tc>
          <w:tcPr>
            <w:tcW w:w="512" w:type="pct"/>
            <w:tcBorders>
              <w:top w:val="single" w:sz="4" w:space="0" w:color="auto"/>
              <w:bottom w:val="single" w:sz="4" w:space="0" w:color="auto"/>
            </w:tcBorders>
            <w:vAlign w:val="center"/>
          </w:tcPr>
          <w:p w14:paraId="19BE123B" w14:textId="37183DAA" w:rsidR="002252DB" w:rsidRPr="00DA3425" w:rsidRDefault="002252DB">
            <w:pPr>
              <w:pStyle w:val="051Tabletext228pt"/>
              <w:jc w:val="center"/>
            </w:pPr>
            <w:r w:rsidRPr="00FD317B">
              <w:rPr>
                <w:rFonts w:ascii="Wingdings" w:eastAsia="Wingdings" w:hAnsi="Wingdings" w:cs="Wingdings"/>
              </w:rPr>
              <w:t>û</w:t>
            </w:r>
          </w:p>
        </w:tc>
        <w:tc>
          <w:tcPr>
            <w:tcW w:w="376" w:type="pct"/>
            <w:tcBorders>
              <w:top w:val="single" w:sz="4" w:space="0" w:color="auto"/>
              <w:bottom w:val="single" w:sz="4" w:space="0" w:color="auto"/>
            </w:tcBorders>
            <w:vAlign w:val="center"/>
          </w:tcPr>
          <w:p w14:paraId="2BCE2AF1" w14:textId="38027541" w:rsidR="002252DB" w:rsidRPr="00DA3425" w:rsidRDefault="002252DB">
            <w:pPr>
              <w:pStyle w:val="051Tabletext228pt"/>
              <w:jc w:val="center"/>
            </w:pPr>
            <w:r w:rsidRPr="00F12E59">
              <w:rPr>
                <w:rFonts w:ascii="Wingdings" w:eastAsia="Wingdings" w:hAnsi="Wingdings" w:cs="Wingdings"/>
              </w:rPr>
              <w:t>û</w:t>
            </w:r>
          </w:p>
        </w:tc>
      </w:tr>
      <w:tr w:rsidR="002252DB" w:rsidRPr="00DA3425" w14:paraId="03CC62EA" w14:textId="77777777" w:rsidTr="00B758E1">
        <w:tc>
          <w:tcPr>
            <w:tcW w:w="670" w:type="pct"/>
            <w:tcBorders>
              <w:top w:val="single" w:sz="4" w:space="0" w:color="auto"/>
              <w:bottom w:val="single" w:sz="4" w:space="0" w:color="auto"/>
            </w:tcBorders>
          </w:tcPr>
          <w:p w14:paraId="2BC798AC" w14:textId="77777777" w:rsidR="002252DB" w:rsidRPr="00DA3425" w:rsidRDefault="002252DB">
            <w:pPr>
              <w:pStyle w:val="051Tabletext228pt"/>
            </w:pPr>
            <w:proofErr w:type="spellStart"/>
            <w:r w:rsidRPr="00DA3425">
              <w:t>Mekhail</w:t>
            </w:r>
            <w:proofErr w:type="spellEnd"/>
            <w:r w:rsidRPr="00DA3425">
              <w:t xml:space="preserve"> 2020</w:t>
            </w:r>
          </w:p>
        </w:tc>
        <w:tc>
          <w:tcPr>
            <w:tcW w:w="2608" w:type="pct"/>
            <w:tcBorders>
              <w:top w:val="single" w:sz="4" w:space="0" w:color="auto"/>
              <w:bottom w:val="single" w:sz="4" w:space="0" w:color="auto"/>
            </w:tcBorders>
          </w:tcPr>
          <w:p w14:paraId="2338C7C4" w14:textId="77777777" w:rsidR="002252DB" w:rsidRPr="00DA3425" w:rsidRDefault="002252DB">
            <w:pPr>
              <w:pStyle w:val="051Tabletext228pt"/>
            </w:pPr>
            <w:r w:rsidRPr="00DA3425">
              <w:t>Long-term safety and efficacy of closed-loop spinal cord stimulation to treat chronic back and leg pain (Evoke): a double-blind, randomised, controlled trial</w:t>
            </w:r>
          </w:p>
        </w:tc>
        <w:tc>
          <w:tcPr>
            <w:tcW w:w="834" w:type="pct"/>
            <w:tcBorders>
              <w:top w:val="single" w:sz="4" w:space="0" w:color="auto"/>
              <w:bottom w:val="single" w:sz="4" w:space="0" w:color="auto"/>
            </w:tcBorders>
          </w:tcPr>
          <w:p w14:paraId="54547667" w14:textId="30FF3CC3" w:rsidR="002252DB" w:rsidRPr="00DA3425" w:rsidRDefault="002252DB">
            <w:pPr>
              <w:pStyle w:val="051Tabletext228pt"/>
            </w:pPr>
            <w:r>
              <w:t xml:space="preserve">Wrong </w:t>
            </w:r>
            <w:r w:rsidR="00843081">
              <w:t>comparator</w:t>
            </w:r>
            <w:r w:rsidR="003E54C3">
              <w:t xml:space="preserve"> (closed loop SCS)</w:t>
            </w:r>
            <w:r>
              <w:t xml:space="preserve"> (Traeger)</w:t>
            </w:r>
          </w:p>
        </w:tc>
        <w:tc>
          <w:tcPr>
            <w:tcW w:w="512" w:type="pct"/>
            <w:tcBorders>
              <w:top w:val="single" w:sz="4" w:space="0" w:color="auto"/>
              <w:bottom w:val="single" w:sz="4" w:space="0" w:color="auto"/>
            </w:tcBorders>
            <w:vAlign w:val="center"/>
          </w:tcPr>
          <w:p w14:paraId="474F4335"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46D21069" w14:textId="515917ED" w:rsidR="002252DB" w:rsidRPr="00DA3425" w:rsidRDefault="002252DB">
            <w:pPr>
              <w:pStyle w:val="051Tabletext228pt"/>
              <w:jc w:val="center"/>
            </w:pPr>
            <w:r w:rsidRPr="00F12E59">
              <w:rPr>
                <w:rFonts w:ascii="Wingdings" w:eastAsia="Wingdings" w:hAnsi="Wingdings" w:cs="Wingdings"/>
              </w:rPr>
              <w:t>û</w:t>
            </w:r>
          </w:p>
        </w:tc>
      </w:tr>
      <w:tr w:rsidR="002252DB" w:rsidRPr="00DA3425" w14:paraId="3344B744" w14:textId="77777777" w:rsidTr="00B758E1">
        <w:tc>
          <w:tcPr>
            <w:tcW w:w="670" w:type="pct"/>
            <w:tcBorders>
              <w:top w:val="single" w:sz="4" w:space="0" w:color="auto"/>
              <w:bottom w:val="single" w:sz="4" w:space="0" w:color="auto"/>
            </w:tcBorders>
          </w:tcPr>
          <w:p w14:paraId="52FB6B85" w14:textId="77777777" w:rsidR="002252DB" w:rsidRPr="00DA3425" w:rsidRDefault="002252DB">
            <w:pPr>
              <w:pStyle w:val="051Tabletext228pt"/>
            </w:pPr>
            <w:r w:rsidRPr="00DA3425">
              <w:t>North 1994</w:t>
            </w:r>
          </w:p>
        </w:tc>
        <w:tc>
          <w:tcPr>
            <w:tcW w:w="2608" w:type="pct"/>
            <w:tcBorders>
              <w:top w:val="single" w:sz="4" w:space="0" w:color="auto"/>
              <w:bottom w:val="single" w:sz="4" w:space="0" w:color="auto"/>
            </w:tcBorders>
          </w:tcPr>
          <w:p w14:paraId="1258B638" w14:textId="77777777" w:rsidR="002252DB" w:rsidRPr="00DA3425" w:rsidRDefault="002252DB">
            <w:pPr>
              <w:pStyle w:val="051Tabletext228pt"/>
            </w:pPr>
            <w:r w:rsidRPr="00DA3425">
              <w:t>A prospective, randomized study of spinal cord stimulation versus reoperation for failed back surgery syndrome: Initial results</w:t>
            </w:r>
          </w:p>
        </w:tc>
        <w:tc>
          <w:tcPr>
            <w:tcW w:w="834" w:type="pct"/>
            <w:tcBorders>
              <w:top w:val="single" w:sz="4" w:space="0" w:color="auto"/>
              <w:bottom w:val="single" w:sz="4" w:space="0" w:color="auto"/>
            </w:tcBorders>
          </w:tcPr>
          <w:p w14:paraId="70534135" w14:textId="77777777" w:rsidR="002252DB" w:rsidRPr="00DA3425" w:rsidRDefault="002252DB">
            <w:pPr>
              <w:pStyle w:val="051Tabletext228pt"/>
            </w:pPr>
            <w:r>
              <w:t>Comparator = surgery</w:t>
            </w:r>
          </w:p>
        </w:tc>
        <w:tc>
          <w:tcPr>
            <w:tcW w:w="512" w:type="pct"/>
            <w:tcBorders>
              <w:top w:val="single" w:sz="4" w:space="0" w:color="auto"/>
              <w:bottom w:val="single" w:sz="4" w:space="0" w:color="auto"/>
            </w:tcBorders>
            <w:vAlign w:val="center"/>
          </w:tcPr>
          <w:p w14:paraId="44F9774E"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3162B84A" w14:textId="61F7CCB7" w:rsidR="002252DB" w:rsidRPr="00DA3425" w:rsidRDefault="002252DB">
            <w:pPr>
              <w:pStyle w:val="051Tabletext228pt"/>
              <w:jc w:val="center"/>
            </w:pPr>
            <w:r w:rsidRPr="00F12E59">
              <w:rPr>
                <w:rFonts w:ascii="Wingdings" w:eastAsia="Wingdings" w:hAnsi="Wingdings" w:cs="Wingdings"/>
              </w:rPr>
              <w:t>û</w:t>
            </w:r>
          </w:p>
        </w:tc>
      </w:tr>
      <w:tr w:rsidR="002252DB" w:rsidRPr="00DA3425" w14:paraId="3EDB0E66" w14:textId="77777777" w:rsidTr="00B758E1">
        <w:tc>
          <w:tcPr>
            <w:tcW w:w="670" w:type="pct"/>
            <w:tcBorders>
              <w:top w:val="single" w:sz="4" w:space="0" w:color="auto"/>
              <w:bottom w:val="single" w:sz="4" w:space="0" w:color="auto"/>
            </w:tcBorders>
          </w:tcPr>
          <w:p w14:paraId="6E377102" w14:textId="77777777" w:rsidR="002252DB" w:rsidRPr="00DA3425" w:rsidRDefault="002252DB">
            <w:pPr>
              <w:pStyle w:val="051Tabletext228pt"/>
            </w:pPr>
            <w:r w:rsidRPr="00DA3425">
              <w:t>North 2005</w:t>
            </w:r>
          </w:p>
        </w:tc>
        <w:tc>
          <w:tcPr>
            <w:tcW w:w="2608" w:type="pct"/>
            <w:tcBorders>
              <w:top w:val="single" w:sz="4" w:space="0" w:color="auto"/>
              <w:bottom w:val="single" w:sz="4" w:space="0" w:color="auto"/>
            </w:tcBorders>
          </w:tcPr>
          <w:p w14:paraId="5FF75A9A" w14:textId="77777777" w:rsidR="002252DB" w:rsidRPr="00DA3425" w:rsidRDefault="002252DB">
            <w:pPr>
              <w:pStyle w:val="051Tabletext228pt"/>
            </w:pPr>
            <w:r w:rsidRPr="00DA3425">
              <w:t>Spinal cord stimulation versus repeated lumbosacral spine surgery for chronic pain: A randomized, controlled trial</w:t>
            </w:r>
          </w:p>
        </w:tc>
        <w:tc>
          <w:tcPr>
            <w:tcW w:w="834" w:type="pct"/>
            <w:tcBorders>
              <w:top w:val="single" w:sz="4" w:space="0" w:color="auto"/>
              <w:bottom w:val="single" w:sz="4" w:space="0" w:color="auto"/>
            </w:tcBorders>
          </w:tcPr>
          <w:p w14:paraId="2F5BAFF8" w14:textId="77777777" w:rsidR="002252DB" w:rsidRPr="00DA3425" w:rsidRDefault="002252DB">
            <w:pPr>
              <w:pStyle w:val="051Tabletext228pt"/>
            </w:pPr>
            <w:r>
              <w:t>Comparator = surgery</w:t>
            </w:r>
          </w:p>
        </w:tc>
        <w:tc>
          <w:tcPr>
            <w:tcW w:w="512" w:type="pct"/>
            <w:tcBorders>
              <w:top w:val="single" w:sz="4" w:space="0" w:color="auto"/>
              <w:bottom w:val="single" w:sz="4" w:space="0" w:color="auto"/>
            </w:tcBorders>
            <w:vAlign w:val="center"/>
          </w:tcPr>
          <w:p w14:paraId="6B7A97C1"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591CBF13" w14:textId="7A757EB7" w:rsidR="002252DB" w:rsidRPr="00DA3425" w:rsidRDefault="002252DB">
            <w:pPr>
              <w:pStyle w:val="051Tabletext228pt"/>
              <w:jc w:val="center"/>
            </w:pPr>
            <w:r w:rsidRPr="00F12E59">
              <w:rPr>
                <w:rFonts w:ascii="Wingdings" w:eastAsia="Wingdings" w:hAnsi="Wingdings" w:cs="Wingdings"/>
              </w:rPr>
              <w:t>û</w:t>
            </w:r>
          </w:p>
        </w:tc>
      </w:tr>
      <w:tr w:rsidR="002252DB" w:rsidRPr="00DA3425" w14:paraId="44567587" w14:textId="77777777" w:rsidTr="00B758E1">
        <w:tc>
          <w:tcPr>
            <w:tcW w:w="670" w:type="pct"/>
            <w:tcBorders>
              <w:top w:val="single" w:sz="4" w:space="0" w:color="auto"/>
              <w:bottom w:val="single" w:sz="4" w:space="0" w:color="auto"/>
            </w:tcBorders>
          </w:tcPr>
          <w:p w14:paraId="74C4385E" w14:textId="77777777" w:rsidR="002252DB" w:rsidRDefault="002252DB">
            <w:pPr>
              <w:pStyle w:val="051Tabletext228pt"/>
            </w:pPr>
            <w:r w:rsidRPr="00DA3425">
              <w:lastRenderedPageBreak/>
              <w:t>North 2020</w:t>
            </w:r>
          </w:p>
          <w:p w14:paraId="26B35BC5" w14:textId="77777777" w:rsidR="002252DB" w:rsidRPr="00C66EE1" w:rsidRDefault="002252DB">
            <w:pPr>
              <w:pStyle w:val="061Tabletext628pt"/>
              <w:ind w:left="113"/>
              <w:rPr>
                <w:b/>
                <w:bCs/>
              </w:rPr>
            </w:pPr>
            <w:r w:rsidRPr="00C66EE1">
              <w:rPr>
                <w:b/>
                <w:bCs/>
              </w:rPr>
              <w:t>WHISPER</w:t>
            </w:r>
          </w:p>
          <w:p w14:paraId="49D46484" w14:textId="77777777" w:rsidR="002252DB" w:rsidRPr="00DA3425" w:rsidRDefault="002252DB">
            <w:pPr>
              <w:pStyle w:val="051Tabletext228pt"/>
              <w:ind w:left="113"/>
            </w:pPr>
            <w:r w:rsidRPr="00C66EE1">
              <w:rPr>
                <w:b/>
                <w:bCs/>
              </w:rPr>
              <w:t>NCT02314000</w:t>
            </w:r>
          </w:p>
        </w:tc>
        <w:tc>
          <w:tcPr>
            <w:tcW w:w="2608" w:type="pct"/>
            <w:tcBorders>
              <w:top w:val="single" w:sz="4" w:space="0" w:color="auto"/>
              <w:bottom w:val="single" w:sz="4" w:space="0" w:color="auto"/>
            </w:tcBorders>
          </w:tcPr>
          <w:p w14:paraId="7420EE85" w14:textId="77777777" w:rsidR="002252DB" w:rsidRPr="00DA3425" w:rsidRDefault="002252DB">
            <w:pPr>
              <w:pStyle w:val="051Tabletext228pt"/>
            </w:pPr>
            <w:r w:rsidRPr="00DA3425">
              <w:t xml:space="preserve">Outcomes of a </w:t>
            </w:r>
            <w:proofErr w:type="spellStart"/>
            <w:r w:rsidRPr="00DA3425">
              <w:t>Multicenter</w:t>
            </w:r>
            <w:proofErr w:type="spellEnd"/>
            <w:r w:rsidRPr="00DA3425">
              <w:t xml:space="preserve">, Prospective, Crossover, Randomized Controlled Trial Evaluating </w:t>
            </w:r>
            <w:proofErr w:type="spellStart"/>
            <w:r w:rsidRPr="00DA3425">
              <w:t>Subperception</w:t>
            </w:r>
            <w:proofErr w:type="spellEnd"/>
            <w:r w:rsidRPr="00DA3425">
              <w:t xml:space="preserve"> Spinal Cord Stimulation at ≤1.2 kHz in Previously Implanted Subjects</w:t>
            </w:r>
          </w:p>
        </w:tc>
        <w:tc>
          <w:tcPr>
            <w:tcW w:w="834" w:type="pct"/>
            <w:tcBorders>
              <w:top w:val="single" w:sz="4" w:space="0" w:color="auto"/>
              <w:bottom w:val="single" w:sz="4" w:space="0" w:color="auto"/>
            </w:tcBorders>
          </w:tcPr>
          <w:p w14:paraId="2E6B6AF7"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69F348F0"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35421CC5" w14:textId="088B2473" w:rsidR="002252DB" w:rsidRPr="00DA3425" w:rsidRDefault="002252DB">
            <w:pPr>
              <w:pStyle w:val="051Tabletext228pt"/>
              <w:jc w:val="center"/>
            </w:pPr>
            <w:r w:rsidRPr="00F12E59">
              <w:rPr>
                <w:rFonts w:ascii="Wingdings" w:eastAsia="Wingdings" w:hAnsi="Wingdings" w:cs="Wingdings"/>
              </w:rPr>
              <w:t>û</w:t>
            </w:r>
          </w:p>
        </w:tc>
      </w:tr>
      <w:tr w:rsidR="002252DB" w:rsidRPr="00DA3425" w14:paraId="334A13DE" w14:textId="77777777" w:rsidTr="00B758E1">
        <w:tc>
          <w:tcPr>
            <w:tcW w:w="670" w:type="pct"/>
            <w:tcBorders>
              <w:top w:val="single" w:sz="4" w:space="0" w:color="auto"/>
              <w:bottom w:val="single" w:sz="4" w:space="0" w:color="auto"/>
            </w:tcBorders>
          </w:tcPr>
          <w:p w14:paraId="43E78C37" w14:textId="77777777" w:rsidR="002252DB" w:rsidRDefault="002252DB">
            <w:pPr>
              <w:pStyle w:val="051Tabletext228pt"/>
            </w:pPr>
            <w:proofErr w:type="spellStart"/>
            <w:r w:rsidRPr="00DA3425">
              <w:t>Roulaud</w:t>
            </w:r>
            <w:proofErr w:type="spellEnd"/>
            <w:r w:rsidRPr="00DA3425">
              <w:t xml:space="preserve"> 2015</w:t>
            </w:r>
          </w:p>
          <w:p w14:paraId="24FB0175" w14:textId="77777777" w:rsidR="002252DB" w:rsidRPr="00C66EE1" w:rsidRDefault="002252DB">
            <w:pPr>
              <w:pStyle w:val="061Tabletext628pt"/>
              <w:ind w:left="113"/>
              <w:rPr>
                <w:b/>
                <w:bCs/>
              </w:rPr>
            </w:pPr>
            <w:r w:rsidRPr="00C66EE1">
              <w:rPr>
                <w:b/>
                <w:bCs/>
              </w:rPr>
              <w:t>ESTIMET</w:t>
            </w:r>
          </w:p>
          <w:p w14:paraId="4C73B96C" w14:textId="77777777" w:rsidR="002252DB" w:rsidRPr="00DA3425" w:rsidRDefault="002252DB">
            <w:pPr>
              <w:pStyle w:val="051Tabletext228pt"/>
              <w:ind w:left="113"/>
            </w:pPr>
            <w:r w:rsidRPr="00C66EE1">
              <w:rPr>
                <w:b/>
                <w:bCs/>
              </w:rPr>
              <w:t>NCT01628237</w:t>
            </w:r>
          </w:p>
        </w:tc>
        <w:tc>
          <w:tcPr>
            <w:tcW w:w="2608" w:type="pct"/>
            <w:tcBorders>
              <w:top w:val="single" w:sz="4" w:space="0" w:color="auto"/>
              <w:bottom w:val="single" w:sz="4" w:space="0" w:color="auto"/>
            </w:tcBorders>
          </w:tcPr>
          <w:p w14:paraId="0E9D4EDC" w14:textId="77777777" w:rsidR="002252DB" w:rsidRPr="00DA3425" w:rsidRDefault="002252DB">
            <w:pPr>
              <w:pStyle w:val="051Tabletext228pt"/>
            </w:pPr>
            <w:r w:rsidRPr="00DA3425">
              <w:t>Multicolumn spinal cord stimulation for significant low back pain in failed back surgery syndrome: Design of a national, multicentre, randomized, controlled health economics trial (ESTIMET Study)</w:t>
            </w:r>
          </w:p>
        </w:tc>
        <w:tc>
          <w:tcPr>
            <w:tcW w:w="834" w:type="pct"/>
            <w:tcBorders>
              <w:top w:val="single" w:sz="4" w:space="0" w:color="auto"/>
              <w:bottom w:val="single" w:sz="4" w:space="0" w:color="auto"/>
            </w:tcBorders>
          </w:tcPr>
          <w:p w14:paraId="43E7139B"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12E7F84E"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682D7764" w14:textId="5D020DE4" w:rsidR="002252DB" w:rsidRPr="00DA3425" w:rsidRDefault="002252DB">
            <w:pPr>
              <w:pStyle w:val="051Tabletext228pt"/>
              <w:jc w:val="center"/>
            </w:pPr>
            <w:r>
              <w:rPr>
                <w:rFonts w:ascii="Wingdings" w:eastAsia="Wingdings" w:hAnsi="Wingdings" w:cs="Wingdings"/>
              </w:rPr>
              <w:t>û</w:t>
            </w:r>
          </w:p>
        </w:tc>
      </w:tr>
      <w:tr w:rsidR="002252DB" w:rsidRPr="00DA3425" w14:paraId="7109EBE8" w14:textId="77777777" w:rsidTr="00B758E1">
        <w:tc>
          <w:tcPr>
            <w:tcW w:w="670" w:type="pct"/>
            <w:tcBorders>
              <w:top w:val="single" w:sz="4" w:space="0" w:color="auto"/>
              <w:bottom w:val="single" w:sz="4" w:space="0" w:color="auto"/>
            </w:tcBorders>
          </w:tcPr>
          <w:p w14:paraId="3BE8EBA3" w14:textId="77777777" w:rsidR="002252DB" w:rsidRDefault="002252DB">
            <w:pPr>
              <w:pStyle w:val="051Tabletext228pt"/>
            </w:pPr>
            <w:r w:rsidRPr="00DA3425">
              <w:t>Thomson 2018</w:t>
            </w:r>
          </w:p>
          <w:p w14:paraId="71A4AAB2" w14:textId="77777777" w:rsidR="002252DB" w:rsidRPr="00C66EE1" w:rsidRDefault="002252DB">
            <w:pPr>
              <w:pStyle w:val="061Tabletext628pt"/>
              <w:ind w:left="113"/>
              <w:rPr>
                <w:b/>
                <w:bCs/>
              </w:rPr>
            </w:pPr>
            <w:r w:rsidRPr="00C66EE1">
              <w:rPr>
                <w:b/>
                <w:bCs/>
              </w:rPr>
              <w:t>PROCO</w:t>
            </w:r>
          </w:p>
        </w:tc>
        <w:tc>
          <w:tcPr>
            <w:tcW w:w="2608" w:type="pct"/>
            <w:tcBorders>
              <w:top w:val="single" w:sz="4" w:space="0" w:color="auto"/>
              <w:bottom w:val="single" w:sz="4" w:space="0" w:color="auto"/>
            </w:tcBorders>
          </w:tcPr>
          <w:p w14:paraId="553570BD" w14:textId="77777777" w:rsidR="002252DB" w:rsidRPr="00DA3425" w:rsidRDefault="002252DB">
            <w:pPr>
              <w:pStyle w:val="051Tabletext228pt"/>
            </w:pPr>
            <w:r w:rsidRPr="00DA3425">
              <w:t>Effects of Rate on Analgesia in Kilohertz Frequency Spinal Cord Stimulation: Results of the PROCO Randomized Controlled Trial</w:t>
            </w:r>
          </w:p>
        </w:tc>
        <w:tc>
          <w:tcPr>
            <w:tcW w:w="834" w:type="pct"/>
            <w:tcBorders>
              <w:top w:val="single" w:sz="4" w:space="0" w:color="auto"/>
              <w:bottom w:val="single" w:sz="4" w:space="0" w:color="auto"/>
            </w:tcBorders>
          </w:tcPr>
          <w:p w14:paraId="7E32E915" w14:textId="77777777" w:rsidR="002252DB" w:rsidRPr="00DA3425" w:rsidRDefault="002252DB">
            <w:pPr>
              <w:pStyle w:val="051Tabletext228pt"/>
            </w:pPr>
            <w:r>
              <w:t>No placebo, sham or CMM comparator</w:t>
            </w:r>
          </w:p>
        </w:tc>
        <w:tc>
          <w:tcPr>
            <w:tcW w:w="512" w:type="pct"/>
            <w:tcBorders>
              <w:top w:val="single" w:sz="4" w:space="0" w:color="auto"/>
              <w:bottom w:val="single" w:sz="4" w:space="0" w:color="auto"/>
            </w:tcBorders>
            <w:vAlign w:val="center"/>
          </w:tcPr>
          <w:p w14:paraId="0224D673"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5A43AB27" w14:textId="32DBD3EC" w:rsidR="002252DB" w:rsidRPr="00DA3425" w:rsidRDefault="002252DB">
            <w:pPr>
              <w:pStyle w:val="051Tabletext228pt"/>
              <w:jc w:val="center"/>
            </w:pPr>
            <w:r>
              <w:rPr>
                <w:rFonts w:ascii="Wingdings" w:eastAsia="Wingdings" w:hAnsi="Wingdings" w:cs="Wingdings"/>
              </w:rPr>
              <w:t>û</w:t>
            </w:r>
          </w:p>
        </w:tc>
      </w:tr>
      <w:tr w:rsidR="002252DB" w:rsidRPr="00DA3425" w14:paraId="26EF78E6" w14:textId="77777777" w:rsidTr="00B758E1">
        <w:tc>
          <w:tcPr>
            <w:tcW w:w="670" w:type="pct"/>
            <w:tcBorders>
              <w:top w:val="single" w:sz="4" w:space="0" w:color="auto"/>
              <w:bottom w:val="single" w:sz="4" w:space="0" w:color="auto"/>
            </w:tcBorders>
          </w:tcPr>
          <w:p w14:paraId="24AC13FA" w14:textId="77777777" w:rsidR="002252DB" w:rsidRPr="00DA3425" w:rsidRDefault="002252DB">
            <w:pPr>
              <w:pStyle w:val="051Tabletext228pt"/>
            </w:pPr>
            <w:r w:rsidRPr="00DA3425">
              <w:t>Vesper 2017</w:t>
            </w:r>
          </w:p>
        </w:tc>
        <w:tc>
          <w:tcPr>
            <w:tcW w:w="2608" w:type="pct"/>
            <w:tcBorders>
              <w:top w:val="single" w:sz="4" w:space="0" w:color="auto"/>
              <w:bottom w:val="single" w:sz="4" w:space="0" w:color="auto"/>
            </w:tcBorders>
          </w:tcPr>
          <w:p w14:paraId="7887187C" w14:textId="77777777" w:rsidR="002252DB" w:rsidRPr="00DA3425" w:rsidRDefault="002252DB">
            <w:pPr>
              <w:pStyle w:val="051Tabletext228pt"/>
            </w:pPr>
            <w:r w:rsidRPr="00DA3425">
              <w:t xml:space="preserve">Therapeutic efficacy of </w:t>
            </w:r>
            <w:proofErr w:type="spellStart"/>
            <w:r w:rsidRPr="00DA3425">
              <w:t>burstdr</w:t>
            </w:r>
            <w:r w:rsidRPr="00860B97">
              <w:rPr>
                <w:vertAlign w:val="superscript"/>
              </w:rPr>
              <w:t>TM</w:t>
            </w:r>
            <w:proofErr w:type="spellEnd"/>
            <w:r w:rsidRPr="00DA3425">
              <w:t xml:space="preserve"> </w:t>
            </w:r>
            <w:proofErr w:type="spellStart"/>
            <w:r w:rsidRPr="00DA3425">
              <w:t>microdosing</w:t>
            </w:r>
            <w:proofErr w:type="spellEnd"/>
            <w:r w:rsidRPr="00DA3425">
              <w:t xml:space="preserve"> in treatment of chronic pain</w:t>
            </w:r>
          </w:p>
        </w:tc>
        <w:tc>
          <w:tcPr>
            <w:tcW w:w="834" w:type="pct"/>
            <w:tcBorders>
              <w:top w:val="single" w:sz="4" w:space="0" w:color="auto"/>
              <w:bottom w:val="single" w:sz="4" w:space="0" w:color="auto"/>
            </w:tcBorders>
          </w:tcPr>
          <w:p w14:paraId="71C355DD" w14:textId="14959AF4" w:rsidR="002252DB" w:rsidRPr="00DA3425" w:rsidRDefault="002252DB">
            <w:pPr>
              <w:pStyle w:val="051Tabletext228pt"/>
            </w:pPr>
            <w:r>
              <w:t xml:space="preserve">No placebo, sham or CMM </w:t>
            </w:r>
            <w:proofErr w:type="spellStart"/>
            <w:r>
              <w:t>comparator</w:t>
            </w:r>
            <w:r w:rsidR="00522A22">
              <w:rPr>
                <w:vertAlign w:val="superscript"/>
              </w:rPr>
              <w:t>a</w:t>
            </w:r>
            <w:proofErr w:type="spellEnd"/>
          </w:p>
        </w:tc>
        <w:tc>
          <w:tcPr>
            <w:tcW w:w="512" w:type="pct"/>
            <w:tcBorders>
              <w:top w:val="single" w:sz="4" w:space="0" w:color="auto"/>
              <w:bottom w:val="single" w:sz="4" w:space="0" w:color="auto"/>
            </w:tcBorders>
            <w:vAlign w:val="center"/>
          </w:tcPr>
          <w:p w14:paraId="6DC1F332"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449BC55E" w14:textId="365DD462" w:rsidR="002252DB" w:rsidRPr="00DA3425" w:rsidRDefault="002252DB">
            <w:pPr>
              <w:pStyle w:val="051Tabletext228pt"/>
              <w:jc w:val="center"/>
            </w:pPr>
            <w:r w:rsidRPr="00210EE4">
              <w:rPr>
                <w:rFonts w:ascii="Wingdings" w:eastAsia="Wingdings" w:hAnsi="Wingdings" w:cs="Wingdings"/>
              </w:rPr>
              <w:t>û</w:t>
            </w:r>
          </w:p>
        </w:tc>
      </w:tr>
      <w:tr w:rsidR="002252DB" w:rsidRPr="00DA3425" w14:paraId="44B70024" w14:textId="77777777" w:rsidTr="00B758E1">
        <w:tc>
          <w:tcPr>
            <w:tcW w:w="670" w:type="pct"/>
            <w:tcBorders>
              <w:top w:val="single" w:sz="4" w:space="0" w:color="auto"/>
              <w:bottom w:val="single" w:sz="4" w:space="0" w:color="auto"/>
            </w:tcBorders>
          </w:tcPr>
          <w:p w14:paraId="4BFDC98C" w14:textId="77777777" w:rsidR="002252DB" w:rsidRPr="00DA3425" w:rsidRDefault="002252DB">
            <w:pPr>
              <w:pStyle w:val="051Tabletext228pt"/>
            </w:pPr>
            <w:r w:rsidRPr="00DA3425">
              <w:t>Vesper 2019</w:t>
            </w:r>
          </w:p>
        </w:tc>
        <w:tc>
          <w:tcPr>
            <w:tcW w:w="2608" w:type="pct"/>
            <w:tcBorders>
              <w:top w:val="single" w:sz="4" w:space="0" w:color="auto"/>
              <w:bottom w:val="single" w:sz="4" w:space="0" w:color="auto"/>
            </w:tcBorders>
          </w:tcPr>
          <w:p w14:paraId="6229F053" w14:textId="77777777" w:rsidR="002252DB" w:rsidRPr="00DA3425" w:rsidRDefault="002252DB">
            <w:pPr>
              <w:pStyle w:val="051Tabletext228pt"/>
            </w:pPr>
            <w:r w:rsidRPr="00DA3425">
              <w:t xml:space="preserve">Burst SCS </w:t>
            </w:r>
            <w:proofErr w:type="spellStart"/>
            <w:r w:rsidRPr="00DA3425">
              <w:t>Microdosing</w:t>
            </w:r>
            <w:proofErr w:type="spellEnd"/>
            <w:r w:rsidRPr="00DA3425">
              <w:t xml:space="preserve"> Is as Efficacious as Standard Burst SCS in Treating Chronic Back and Leg Pain: Results From a Randomized Controlled Trial</w:t>
            </w:r>
          </w:p>
        </w:tc>
        <w:tc>
          <w:tcPr>
            <w:tcW w:w="834" w:type="pct"/>
            <w:tcBorders>
              <w:top w:val="single" w:sz="4" w:space="0" w:color="auto"/>
              <w:bottom w:val="single" w:sz="4" w:space="0" w:color="auto"/>
            </w:tcBorders>
          </w:tcPr>
          <w:p w14:paraId="7DF592A4" w14:textId="57EB0A3C" w:rsidR="002252DB" w:rsidRPr="00DA3425" w:rsidRDefault="002252DB">
            <w:pPr>
              <w:pStyle w:val="051Tabletext228pt"/>
            </w:pPr>
            <w:r>
              <w:t xml:space="preserve">No placebo, sham or CMM </w:t>
            </w:r>
            <w:proofErr w:type="spellStart"/>
            <w:r>
              <w:t>comparator</w:t>
            </w:r>
            <w:r w:rsidR="00522A22">
              <w:rPr>
                <w:rStyle w:val="FootnoteReference"/>
              </w:rPr>
              <w:t>a</w:t>
            </w:r>
            <w:proofErr w:type="spellEnd"/>
          </w:p>
        </w:tc>
        <w:tc>
          <w:tcPr>
            <w:tcW w:w="512" w:type="pct"/>
            <w:tcBorders>
              <w:top w:val="single" w:sz="4" w:space="0" w:color="auto"/>
              <w:bottom w:val="single" w:sz="4" w:space="0" w:color="auto"/>
            </w:tcBorders>
            <w:vAlign w:val="center"/>
          </w:tcPr>
          <w:p w14:paraId="51078C65"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29A1F169" w14:textId="48A990AA" w:rsidR="002252DB" w:rsidRPr="00DA3425" w:rsidRDefault="002252DB">
            <w:pPr>
              <w:pStyle w:val="051Tabletext228pt"/>
              <w:jc w:val="center"/>
            </w:pPr>
            <w:r w:rsidRPr="00210EE4">
              <w:rPr>
                <w:rFonts w:ascii="Wingdings" w:eastAsia="Wingdings" w:hAnsi="Wingdings" w:cs="Wingdings"/>
              </w:rPr>
              <w:t>û</w:t>
            </w:r>
          </w:p>
        </w:tc>
      </w:tr>
      <w:tr w:rsidR="002252DB" w:rsidRPr="00DA3425" w14:paraId="1A5D2B09" w14:textId="77777777" w:rsidTr="00B758E1">
        <w:tc>
          <w:tcPr>
            <w:tcW w:w="670" w:type="pct"/>
            <w:tcBorders>
              <w:top w:val="single" w:sz="4" w:space="0" w:color="auto"/>
              <w:bottom w:val="single" w:sz="4" w:space="0" w:color="auto"/>
            </w:tcBorders>
            <w:shd w:val="clear" w:color="auto" w:fill="D9D9D9" w:themeFill="background1" w:themeFillShade="D9"/>
          </w:tcPr>
          <w:p w14:paraId="3B8D4B5B" w14:textId="77777777" w:rsidR="002252DB" w:rsidRPr="00DA3425" w:rsidRDefault="002252DB">
            <w:pPr>
              <w:pStyle w:val="031Tablesubheading8pt"/>
            </w:pPr>
          </w:p>
        </w:tc>
        <w:tc>
          <w:tcPr>
            <w:tcW w:w="2608" w:type="pct"/>
            <w:tcBorders>
              <w:top w:val="single" w:sz="4" w:space="0" w:color="auto"/>
              <w:bottom w:val="single" w:sz="4" w:space="0" w:color="auto"/>
            </w:tcBorders>
            <w:shd w:val="clear" w:color="auto" w:fill="D9D9D9" w:themeFill="background1" w:themeFillShade="D9"/>
          </w:tcPr>
          <w:p w14:paraId="3690B993" w14:textId="11CBAF04" w:rsidR="002252DB" w:rsidRPr="00DA3425" w:rsidRDefault="002252DB">
            <w:pPr>
              <w:pStyle w:val="031Tablesubheading8pt"/>
            </w:pPr>
            <w:r>
              <w:t xml:space="preserve">Other publication types excluded from the Cochrane </w:t>
            </w:r>
            <w:r w:rsidR="002E7D2D">
              <w:t>r</w:t>
            </w:r>
            <w:r>
              <w:t>eviews (n=14)</w:t>
            </w:r>
          </w:p>
        </w:tc>
        <w:tc>
          <w:tcPr>
            <w:tcW w:w="834" w:type="pct"/>
            <w:tcBorders>
              <w:top w:val="single" w:sz="4" w:space="0" w:color="auto"/>
              <w:bottom w:val="single" w:sz="4" w:space="0" w:color="auto"/>
            </w:tcBorders>
            <w:shd w:val="clear" w:color="auto" w:fill="D9D9D9" w:themeFill="background1" w:themeFillShade="D9"/>
          </w:tcPr>
          <w:p w14:paraId="692C1C3C" w14:textId="77777777" w:rsidR="002252DB" w:rsidRPr="00DA3425" w:rsidRDefault="002252DB">
            <w:pPr>
              <w:pStyle w:val="031Tablesubheading8pt"/>
            </w:pPr>
          </w:p>
        </w:tc>
        <w:tc>
          <w:tcPr>
            <w:tcW w:w="512" w:type="pct"/>
            <w:tcBorders>
              <w:top w:val="single" w:sz="4" w:space="0" w:color="auto"/>
              <w:bottom w:val="single" w:sz="4" w:space="0" w:color="auto"/>
            </w:tcBorders>
            <w:shd w:val="clear" w:color="auto" w:fill="D9D9D9" w:themeFill="background1" w:themeFillShade="D9"/>
            <w:vAlign w:val="center"/>
          </w:tcPr>
          <w:p w14:paraId="5C440FD9" w14:textId="77777777" w:rsidR="002252DB" w:rsidRPr="00DA3425" w:rsidRDefault="002252DB">
            <w:pPr>
              <w:pStyle w:val="031Tablesubheading8pt"/>
              <w:jc w:val="center"/>
            </w:pPr>
          </w:p>
        </w:tc>
        <w:tc>
          <w:tcPr>
            <w:tcW w:w="376" w:type="pct"/>
            <w:tcBorders>
              <w:top w:val="single" w:sz="4" w:space="0" w:color="auto"/>
              <w:bottom w:val="single" w:sz="4" w:space="0" w:color="auto"/>
            </w:tcBorders>
            <w:shd w:val="clear" w:color="auto" w:fill="D9D9D9" w:themeFill="background1" w:themeFillShade="D9"/>
            <w:vAlign w:val="center"/>
          </w:tcPr>
          <w:p w14:paraId="3A20E0CF" w14:textId="77777777" w:rsidR="002252DB" w:rsidRPr="0004540C" w:rsidRDefault="002252DB">
            <w:pPr>
              <w:pStyle w:val="031Tablesubheading8pt"/>
              <w:jc w:val="center"/>
            </w:pPr>
          </w:p>
        </w:tc>
      </w:tr>
      <w:tr w:rsidR="002252DB" w:rsidRPr="00DA3425" w14:paraId="1A24E36B" w14:textId="77777777" w:rsidTr="00B758E1">
        <w:tc>
          <w:tcPr>
            <w:tcW w:w="670" w:type="pct"/>
            <w:tcBorders>
              <w:top w:val="single" w:sz="4" w:space="0" w:color="auto"/>
              <w:bottom w:val="single" w:sz="4" w:space="0" w:color="auto"/>
            </w:tcBorders>
          </w:tcPr>
          <w:p w14:paraId="0348B6D7" w14:textId="77777777" w:rsidR="002252DB" w:rsidRPr="00F556B3" w:rsidRDefault="002252DB">
            <w:pPr>
              <w:pStyle w:val="051Tabletext228pt"/>
            </w:pPr>
            <w:proofErr w:type="spellStart"/>
            <w:r w:rsidRPr="00F556B3">
              <w:t>Alo</w:t>
            </w:r>
            <w:proofErr w:type="spellEnd"/>
            <w:r w:rsidRPr="00F556B3">
              <w:t xml:space="preserve"> 2016</w:t>
            </w:r>
          </w:p>
        </w:tc>
        <w:tc>
          <w:tcPr>
            <w:tcW w:w="2608" w:type="pct"/>
            <w:tcBorders>
              <w:top w:val="single" w:sz="4" w:space="0" w:color="auto"/>
              <w:bottom w:val="single" w:sz="4" w:space="0" w:color="auto"/>
            </w:tcBorders>
          </w:tcPr>
          <w:p w14:paraId="179AFCEC" w14:textId="77777777" w:rsidR="002252DB" w:rsidRPr="00F556B3" w:rsidRDefault="002252DB">
            <w:pPr>
              <w:pStyle w:val="051Tabletext228pt"/>
            </w:pPr>
            <w:proofErr w:type="spellStart"/>
            <w:r>
              <w:t>Commens</w:t>
            </w:r>
            <w:proofErr w:type="spellEnd"/>
            <w:r>
              <w:t xml:space="preserve"> [on Deer </w:t>
            </w:r>
            <w:r w:rsidRPr="00F556B3">
              <w:t xml:space="preserve">Prospective, </w:t>
            </w:r>
            <w:proofErr w:type="spellStart"/>
            <w:r w:rsidRPr="00F556B3">
              <w:t>multicenter</w:t>
            </w:r>
            <w:proofErr w:type="spellEnd"/>
            <w:r w:rsidRPr="00F556B3">
              <w:t>, randomized, double-blinded, partial crossover study to assess the safety and efficacy of the novel neuromodulation system in the treatment of patients with chronic pain of peripheral nerve origin</w:t>
            </w:r>
          </w:p>
        </w:tc>
        <w:tc>
          <w:tcPr>
            <w:tcW w:w="834" w:type="pct"/>
            <w:tcBorders>
              <w:top w:val="single" w:sz="4" w:space="0" w:color="auto"/>
              <w:bottom w:val="single" w:sz="4" w:space="0" w:color="auto"/>
            </w:tcBorders>
          </w:tcPr>
          <w:p w14:paraId="2FE5A0A9" w14:textId="14AB1C15" w:rsidR="002252DB" w:rsidRPr="00F556B3" w:rsidRDefault="002252DB">
            <w:pPr>
              <w:pStyle w:val="051Tabletext228pt"/>
            </w:pPr>
            <w:proofErr w:type="spellStart"/>
            <w:r w:rsidRPr="00F556B3">
              <w:t>Commentary</w:t>
            </w:r>
            <w:r w:rsidR="00522A22">
              <w:rPr>
                <w:rStyle w:val="FootnoteReference"/>
              </w:rPr>
              <w:t>b</w:t>
            </w:r>
            <w:proofErr w:type="spellEnd"/>
          </w:p>
        </w:tc>
        <w:tc>
          <w:tcPr>
            <w:tcW w:w="512" w:type="pct"/>
            <w:tcBorders>
              <w:top w:val="single" w:sz="4" w:space="0" w:color="auto"/>
              <w:bottom w:val="single" w:sz="4" w:space="0" w:color="auto"/>
            </w:tcBorders>
            <w:vAlign w:val="center"/>
          </w:tcPr>
          <w:p w14:paraId="17514359" w14:textId="2C1F942A" w:rsidR="002252DB" w:rsidRPr="00DA3425" w:rsidRDefault="002252DB">
            <w:pPr>
              <w:pStyle w:val="051Tabletext228pt"/>
              <w:jc w:val="center"/>
            </w:pPr>
            <w:r w:rsidRPr="00F556B3">
              <w:rPr>
                <w:rFonts w:ascii="Wingdings" w:eastAsia="Wingdings" w:hAnsi="Wingdings" w:cs="Wingdings"/>
              </w:rPr>
              <w:t>û</w:t>
            </w:r>
          </w:p>
        </w:tc>
        <w:tc>
          <w:tcPr>
            <w:tcW w:w="376" w:type="pct"/>
            <w:tcBorders>
              <w:top w:val="single" w:sz="4" w:space="0" w:color="auto"/>
              <w:bottom w:val="single" w:sz="4" w:space="0" w:color="auto"/>
            </w:tcBorders>
            <w:vAlign w:val="center"/>
          </w:tcPr>
          <w:p w14:paraId="2391598B" w14:textId="77777777" w:rsidR="002252DB" w:rsidRPr="00DA3425" w:rsidRDefault="002252DB">
            <w:pPr>
              <w:pStyle w:val="051Tabletext228pt"/>
              <w:jc w:val="center"/>
            </w:pPr>
          </w:p>
        </w:tc>
      </w:tr>
      <w:tr w:rsidR="002252DB" w:rsidRPr="00DA3425" w14:paraId="3F4C79D8" w14:textId="77777777" w:rsidTr="00B758E1">
        <w:tc>
          <w:tcPr>
            <w:tcW w:w="670" w:type="pct"/>
            <w:tcBorders>
              <w:top w:val="single" w:sz="4" w:space="0" w:color="auto"/>
              <w:bottom w:val="single" w:sz="4" w:space="0" w:color="auto"/>
            </w:tcBorders>
          </w:tcPr>
          <w:p w14:paraId="14354303" w14:textId="77777777" w:rsidR="002252DB" w:rsidRPr="00DA3425" w:rsidRDefault="002252DB">
            <w:pPr>
              <w:pStyle w:val="051Tabletext228pt"/>
            </w:pPr>
            <w:proofErr w:type="spellStart"/>
            <w:r w:rsidRPr="00DA3425">
              <w:t>Annemans</w:t>
            </w:r>
            <w:proofErr w:type="spellEnd"/>
            <w:r w:rsidRPr="00DA3425">
              <w:t xml:space="preserve"> 2014</w:t>
            </w:r>
          </w:p>
        </w:tc>
        <w:tc>
          <w:tcPr>
            <w:tcW w:w="2608" w:type="pct"/>
            <w:tcBorders>
              <w:top w:val="single" w:sz="4" w:space="0" w:color="auto"/>
              <w:bottom w:val="single" w:sz="4" w:space="0" w:color="auto"/>
            </w:tcBorders>
          </w:tcPr>
          <w:p w14:paraId="5A5873F9" w14:textId="77777777" w:rsidR="002252DB" w:rsidRPr="00DA3425" w:rsidRDefault="002252DB">
            <w:pPr>
              <w:pStyle w:val="051Tabletext228pt"/>
            </w:pPr>
            <w:r w:rsidRPr="00DA3425">
              <w:t xml:space="preserve">Cost effectiveness of a novel 10 </w:t>
            </w:r>
            <w:proofErr w:type="spellStart"/>
            <w:r w:rsidRPr="00DA3425">
              <w:t>khz</w:t>
            </w:r>
            <w:proofErr w:type="spellEnd"/>
            <w:r w:rsidRPr="00DA3425">
              <w:t xml:space="preserve"> high-frequency spinal cord stimulation system in patients with failed back surgery syndrome (FBSS)</w:t>
            </w:r>
          </w:p>
        </w:tc>
        <w:tc>
          <w:tcPr>
            <w:tcW w:w="834" w:type="pct"/>
            <w:tcBorders>
              <w:top w:val="single" w:sz="4" w:space="0" w:color="auto"/>
              <w:bottom w:val="single" w:sz="4" w:space="0" w:color="auto"/>
            </w:tcBorders>
          </w:tcPr>
          <w:p w14:paraId="0E6605E8" w14:textId="77777777" w:rsidR="002252DB" w:rsidRDefault="002252DB">
            <w:pPr>
              <w:pStyle w:val="051Tabletext228pt"/>
            </w:pPr>
            <w:r w:rsidRPr="00C8414B">
              <w:t>Economic analysis performed post hoc and independent of RCT</w:t>
            </w:r>
          </w:p>
        </w:tc>
        <w:tc>
          <w:tcPr>
            <w:tcW w:w="512" w:type="pct"/>
            <w:tcBorders>
              <w:top w:val="single" w:sz="4" w:space="0" w:color="auto"/>
              <w:bottom w:val="single" w:sz="4" w:space="0" w:color="auto"/>
            </w:tcBorders>
            <w:vAlign w:val="center"/>
          </w:tcPr>
          <w:p w14:paraId="7AFD3EB7" w14:textId="5283D0E5" w:rsidR="002252DB" w:rsidRPr="00DA3425" w:rsidRDefault="002252DB">
            <w:pPr>
              <w:pStyle w:val="051Tabletext228pt"/>
              <w:jc w:val="center"/>
            </w:pPr>
            <w:r>
              <w:rPr>
                <w:rFonts w:ascii="Wingdings" w:eastAsia="Wingdings" w:hAnsi="Wingdings" w:cs="Wingdings"/>
              </w:rPr>
              <w:t>û</w:t>
            </w:r>
          </w:p>
        </w:tc>
        <w:tc>
          <w:tcPr>
            <w:tcW w:w="376" w:type="pct"/>
            <w:tcBorders>
              <w:top w:val="single" w:sz="4" w:space="0" w:color="auto"/>
              <w:bottom w:val="single" w:sz="4" w:space="0" w:color="auto"/>
            </w:tcBorders>
            <w:vAlign w:val="center"/>
          </w:tcPr>
          <w:p w14:paraId="605BDD7A" w14:textId="77777777" w:rsidR="002252DB" w:rsidRPr="00210EE4" w:rsidRDefault="002252DB">
            <w:pPr>
              <w:pStyle w:val="051Tabletext228pt"/>
              <w:jc w:val="center"/>
            </w:pPr>
          </w:p>
        </w:tc>
      </w:tr>
      <w:tr w:rsidR="002252DB" w:rsidRPr="00DA3425" w14:paraId="08D73DCE" w14:textId="77777777" w:rsidTr="00B758E1">
        <w:tc>
          <w:tcPr>
            <w:tcW w:w="670" w:type="pct"/>
            <w:tcBorders>
              <w:top w:val="single" w:sz="4" w:space="0" w:color="auto"/>
              <w:bottom w:val="single" w:sz="4" w:space="0" w:color="auto"/>
            </w:tcBorders>
          </w:tcPr>
          <w:p w14:paraId="73EB3C37" w14:textId="77777777" w:rsidR="002252DB" w:rsidRPr="00DA3425" w:rsidRDefault="002252DB">
            <w:pPr>
              <w:pStyle w:val="051Tabletext228pt"/>
            </w:pPr>
            <w:proofErr w:type="spellStart"/>
            <w:r w:rsidRPr="00DA3425">
              <w:t>Baranidharan</w:t>
            </w:r>
            <w:proofErr w:type="spellEnd"/>
            <w:r w:rsidRPr="00DA3425">
              <w:t xml:space="preserve"> 2021</w:t>
            </w:r>
          </w:p>
        </w:tc>
        <w:tc>
          <w:tcPr>
            <w:tcW w:w="2608" w:type="pct"/>
            <w:tcBorders>
              <w:top w:val="single" w:sz="4" w:space="0" w:color="auto"/>
              <w:bottom w:val="single" w:sz="4" w:space="0" w:color="auto"/>
            </w:tcBorders>
          </w:tcPr>
          <w:p w14:paraId="227207A3" w14:textId="77777777" w:rsidR="002252DB" w:rsidRPr="00DA3425" w:rsidRDefault="002252DB">
            <w:pPr>
              <w:pStyle w:val="051Tabletext228pt"/>
            </w:pPr>
            <w:r w:rsidRPr="00DA3425">
              <w:t xml:space="preserve">One-Year Results of Prospective Research Study Using 10 kHz Spinal Cord Stimulation in Persistent </w:t>
            </w:r>
            <w:proofErr w:type="spellStart"/>
            <w:r w:rsidRPr="00DA3425">
              <w:t>Nonoperated</w:t>
            </w:r>
            <w:proofErr w:type="spellEnd"/>
            <w:r w:rsidRPr="00DA3425">
              <w:t xml:space="preserve"> Low Back Pain of Neuropathic Origin: Maiden Back Study</w:t>
            </w:r>
          </w:p>
        </w:tc>
        <w:tc>
          <w:tcPr>
            <w:tcW w:w="834" w:type="pct"/>
            <w:tcBorders>
              <w:top w:val="single" w:sz="4" w:space="0" w:color="auto"/>
              <w:bottom w:val="single" w:sz="4" w:space="0" w:color="auto"/>
            </w:tcBorders>
          </w:tcPr>
          <w:p w14:paraId="0B9BC339" w14:textId="77777777" w:rsidR="002252DB" w:rsidRPr="00DA3425" w:rsidRDefault="002252DB">
            <w:pPr>
              <w:pStyle w:val="051Tabletext228pt"/>
            </w:pPr>
            <w:r>
              <w:t>Non-comparative cohort study</w:t>
            </w:r>
          </w:p>
        </w:tc>
        <w:tc>
          <w:tcPr>
            <w:tcW w:w="512" w:type="pct"/>
            <w:tcBorders>
              <w:top w:val="single" w:sz="4" w:space="0" w:color="auto"/>
              <w:bottom w:val="single" w:sz="4" w:space="0" w:color="auto"/>
            </w:tcBorders>
            <w:vAlign w:val="center"/>
          </w:tcPr>
          <w:p w14:paraId="719D0E5D"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313CE984" w14:textId="25F1BF87" w:rsidR="002252DB" w:rsidRPr="00210EE4" w:rsidRDefault="002252DB">
            <w:pPr>
              <w:pStyle w:val="051Tabletext228pt"/>
              <w:jc w:val="center"/>
            </w:pPr>
            <w:r w:rsidRPr="00D36E55">
              <w:rPr>
                <w:rFonts w:ascii="Wingdings" w:eastAsia="Wingdings" w:hAnsi="Wingdings" w:cs="Wingdings"/>
              </w:rPr>
              <w:t>û</w:t>
            </w:r>
          </w:p>
        </w:tc>
      </w:tr>
      <w:tr w:rsidR="002252DB" w:rsidRPr="00DA3425" w14:paraId="4C1AE68A" w14:textId="77777777" w:rsidTr="00B758E1">
        <w:tc>
          <w:tcPr>
            <w:tcW w:w="670" w:type="pct"/>
            <w:tcBorders>
              <w:top w:val="single" w:sz="4" w:space="0" w:color="auto"/>
              <w:bottom w:val="single" w:sz="4" w:space="0" w:color="auto"/>
            </w:tcBorders>
          </w:tcPr>
          <w:p w14:paraId="446ABAF0" w14:textId="77777777" w:rsidR="002252DB" w:rsidRPr="00DA3425" w:rsidRDefault="002252DB">
            <w:pPr>
              <w:pStyle w:val="051Tabletext228pt"/>
            </w:pPr>
            <w:proofErr w:type="spellStart"/>
            <w:r w:rsidRPr="00DA3425">
              <w:t>Dones</w:t>
            </w:r>
            <w:proofErr w:type="spellEnd"/>
            <w:r w:rsidRPr="00DA3425">
              <w:t xml:space="preserve"> 2008</w:t>
            </w:r>
          </w:p>
        </w:tc>
        <w:tc>
          <w:tcPr>
            <w:tcW w:w="2608" w:type="pct"/>
            <w:tcBorders>
              <w:top w:val="single" w:sz="4" w:space="0" w:color="auto"/>
              <w:bottom w:val="single" w:sz="4" w:space="0" w:color="auto"/>
            </w:tcBorders>
          </w:tcPr>
          <w:p w14:paraId="4D925E61" w14:textId="77777777" w:rsidR="002252DB" w:rsidRPr="00DA3425" w:rsidRDefault="002252DB">
            <w:pPr>
              <w:pStyle w:val="051Tabletext228pt"/>
            </w:pPr>
            <w:r w:rsidRPr="00DA3425">
              <w:t xml:space="preserve">The effects of spinal cord stimulation in neuropathic pain are sustained: A 24-month follow-up of the prospective randomized controlled </w:t>
            </w:r>
            <w:proofErr w:type="spellStart"/>
            <w:r w:rsidRPr="00DA3425">
              <w:t>multicenter</w:t>
            </w:r>
            <w:proofErr w:type="spellEnd"/>
            <w:r w:rsidRPr="00DA3425">
              <w:t xml:space="preserve"> trial of the effectiveness of spinal cord stimulation: Commentary</w:t>
            </w:r>
          </w:p>
        </w:tc>
        <w:tc>
          <w:tcPr>
            <w:tcW w:w="834" w:type="pct"/>
            <w:tcBorders>
              <w:top w:val="single" w:sz="4" w:space="0" w:color="auto"/>
              <w:bottom w:val="single" w:sz="4" w:space="0" w:color="auto"/>
            </w:tcBorders>
          </w:tcPr>
          <w:p w14:paraId="033B9D3D" w14:textId="77777777" w:rsidR="002252DB" w:rsidRDefault="002252DB">
            <w:pPr>
              <w:pStyle w:val="051Tabletext228pt"/>
            </w:pPr>
            <w:r w:rsidRPr="00966BAB">
              <w:t>Commentary</w:t>
            </w:r>
          </w:p>
        </w:tc>
        <w:tc>
          <w:tcPr>
            <w:tcW w:w="512" w:type="pct"/>
            <w:tcBorders>
              <w:top w:val="single" w:sz="4" w:space="0" w:color="auto"/>
              <w:bottom w:val="single" w:sz="4" w:space="0" w:color="auto"/>
            </w:tcBorders>
            <w:vAlign w:val="center"/>
          </w:tcPr>
          <w:p w14:paraId="210BD327" w14:textId="464D6BD2" w:rsidR="002252DB" w:rsidRPr="00DA3425" w:rsidRDefault="002252DB">
            <w:pPr>
              <w:pStyle w:val="051Tabletext228pt"/>
              <w:jc w:val="center"/>
            </w:pPr>
            <w:r>
              <w:rPr>
                <w:rFonts w:ascii="Wingdings" w:eastAsia="Wingdings" w:hAnsi="Wingdings" w:cs="Wingdings"/>
              </w:rPr>
              <w:t>û</w:t>
            </w:r>
          </w:p>
        </w:tc>
        <w:tc>
          <w:tcPr>
            <w:tcW w:w="376" w:type="pct"/>
            <w:tcBorders>
              <w:top w:val="single" w:sz="4" w:space="0" w:color="auto"/>
              <w:bottom w:val="single" w:sz="4" w:space="0" w:color="auto"/>
            </w:tcBorders>
            <w:vAlign w:val="center"/>
          </w:tcPr>
          <w:p w14:paraId="5DB0362B" w14:textId="77777777" w:rsidR="002252DB" w:rsidRPr="00210EE4" w:rsidRDefault="002252DB">
            <w:pPr>
              <w:pStyle w:val="051Tabletext228pt"/>
              <w:jc w:val="center"/>
            </w:pPr>
          </w:p>
        </w:tc>
      </w:tr>
      <w:tr w:rsidR="002252DB" w:rsidRPr="00DA3425" w14:paraId="0A486EC0" w14:textId="77777777" w:rsidTr="00B758E1">
        <w:tc>
          <w:tcPr>
            <w:tcW w:w="670" w:type="pct"/>
            <w:tcBorders>
              <w:top w:val="single" w:sz="4" w:space="0" w:color="auto"/>
              <w:bottom w:val="single" w:sz="4" w:space="0" w:color="auto"/>
            </w:tcBorders>
          </w:tcPr>
          <w:p w14:paraId="3F0B0A95" w14:textId="77777777" w:rsidR="002252DB" w:rsidRPr="00DA3425" w:rsidRDefault="002252DB">
            <w:pPr>
              <w:pStyle w:val="051Tabletext228pt"/>
            </w:pPr>
            <w:proofErr w:type="spellStart"/>
            <w:r w:rsidRPr="00DA3425">
              <w:t>Kemler</w:t>
            </w:r>
            <w:proofErr w:type="spellEnd"/>
            <w:r w:rsidRPr="00DA3425">
              <w:t xml:space="preserve"> 2010</w:t>
            </w:r>
          </w:p>
        </w:tc>
        <w:tc>
          <w:tcPr>
            <w:tcW w:w="2608" w:type="pct"/>
            <w:tcBorders>
              <w:top w:val="single" w:sz="4" w:space="0" w:color="auto"/>
              <w:bottom w:val="single" w:sz="4" w:space="0" w:color="auto"/>
            </w:tcBorders>
          </w:tcPr>
          <w:p w14:paraId="25A1D6CA" w14:textId="77777777" w:rsidR="002252DB" w:rsidRPr="00DA3425" w:rsidRDefault="002252DB">
            <w:pPr>
              <w:pStyle w:val="051Tabletext228pt"/>
            </w:pPr>
            <w:r w:rsidRPr="00DA3425">
              <w:t>The cost-effectiveness of spinal cord stimulation for complex regional pain syndrome</w:t>
            </w:r>
          </w:p>
        </w:tc>
        <w:tc>
          <w:tcPr>
            <w:tcW w:w="834" w:type="pct"/>
            <w:tcBorders>
              <w:top w:val="single" w:sz="4" w:space="0" w:color="auto"/>
              <w:bottom w:val="single" w:sz="4" w:space="0" w:color="auto"/>
            </w:tcBorders>
          </w:tcPr>
          <w:p w14:paraId="4CB9C2FF" w14:textId="77777777" w:rsidR="002252DB" w:rsidRPr="002E5F57" w:rsidRDefault="002252DB">
            <w:pPr>
              <w:pStyle w:val="051Tabletext228pt"/>
            </w:pPr>
            <w:r w:rsidRPr="00031B7B">
              <w:t>Economic analysis performed post hoc and independent of original RCT</w:t>
            </w:r>
          </w:p>
        </w:tc>
        <w:tc>
          <w:tcPr>
            <w:tcW w:w="512" w:type="pct"/>
            <w:tcBorders>
              <w:top w:val="single" w:sz="4" w:space="0" w:color="auto"/>
              <w:bottom w:val="single" w:sz="4" w:space="0" w:color="auto"/>
            </w:tcBorders>
            <w:vAlign w:val="center"/>
          </w:tcPr>
          <w:p w14:paraId="0D7A92A5" w14:textId="232E1F99" w:rsidR="002252DB" w:rsidRPr="00DA3425" w:rsidRDefault="002252DB">
            <w:pPr>
              <w:pStyle w:val="051Tabletext228pt"/>
              <w:jc w:val="center"/>
            </w:pPr>
            <w:r w:rsidRPr="002E5F57">
              <w:rPr>
                <w:rFonts w:ascii="Wingdings" w:eastAsia="Wingdings" w:hAnsi="Wingdings" w:cs="Wingdings"/>
              </w:rPr>
              <w:t>û</w:t>
            </w:r>
          </w:p>
        </w:tc>
        <w:tc>
          <w:tcPr>
            <w:tcW w:w="376" w:type="pct"/>
            <w:tcBorders>
              <w:top w:val="single" w:sz="4" w:space="0" w:color="auto"/>
              <w:bottom w:val="single" w:sz="4" w:space="0" w:color="auto"/>
            </w:tcBorders>
            <w:vAlign w:val="center"/>
          </w:tcPr>
          <w:p w14:paraId="32588DE6" w14:textId="77777777" w:rsidR="002252DB" w:rsidRPr="00210EE4" w:rsidRDefault="002252DB">
            <w:pPr>
              <w:pStyle w:val="051Tabletext228pt"/>
              <w:jc w:val="center"/>
            </w:pPr>
          </w:p>
        </w:tc>
      </w:tr>
      <w:tr w:rsidR="002252DB" w:rsidRPr="00DA3425" w14:paraId="16EAA31E" w14:textId="77777777" w:rsidTr="00B758E1">
        <w:tc>
          <w:tcPr>
            <w:tcW w:w="670" w:type="pct"/>
            <w:tcBorders>
              <w:top w:val="single" w:sz="4" w:space="0" w:color="auto"/>
              <w:bottom w:val="single" w:sz="4" w:space="0" w:color="auto"/>
            </w:tcBorders>
          </w:tcPr>
          <w:p w14:paraId="17CD6616" w14:textId="77777777" w:rsidR="002252DB" w:rsidRPr="00DA3425" w:rsidRDefault="002252DB">
            <w:pPr>
              <w:pStyle w:val="051Tabletext228pt"/>
            </w:pPr>
            <w:proofErr w:type="spellStart"/>
            <w:r w:rsidRPr="00DA3425">
              <w:t>Liem</w:t>
            </w:r>
            <w:proofErr w:type="spellEnd"/>
            <w:r w:rsidRPr="00DA3425">
              <w:t xml:space="preserve"> 2013</w:t>
            </w:r>
          </w:p>
        </w:tc>
        <w:tc>
          <w:tcPr>
            <w:tcW w:w="2608" w:type="pct"/>
            <w:tcBorders>
              <w:top w:val="single" w:sz="4" w:space="0" w:color="auto"/>
              <w:bottom w:val="single" w:sz="4" w:space="0" w:color="auto"/>
            </w:tcBorders>
          </w:tcPr>
          <w:p w14:paraId="3DD22585" w14:textId="77777777" w:rsidR="002252DB" w:rsidRPr="00DA3425" w:rsidRDefault="002252DB">
            <w:pPr>
              <w:pStyle w:val="051Tabletext228pt"/>
            </w:pPr>
            <w:r w:rsidRPr="00DA3425">
              <w:t xml:space="preserve">A </w:t>
            </w:r>
            <w:proofErr w:type="spellStart"/>
            <w:r w:rsidRPr="00DA3425">
              <w:t>multicenter</w:t>
            </w:r>
            <w:proofErr w:type="spellEnd"/>
            <w:r w:rsidRPr="00DA3425">
              <w:t>, prospective trial to assess the safety and performance of the spinal modulation dorsal root ganglion neurostimulator system in the treatment of chronic pain</w:t>
            </w:r>
          </w:p>
        </w:tc>
        <w:tc>
          <w:tcPr>
            <w:tcW w:w="834" w:type="pct"/>
            <w:tcBorders>
              <w:top w:val="single" w:sz="4" w:space="0" w:color="auto"/>
              <w:bottom w:val="single" w:sz="4" w:space="0" w:color="auto"/>
            </w:tcBorders>
          </w:tcPr>
          <w:p w14:paraId="41F63CC1" w14:textId="77777777" w:rsidR="002252DB" w:rsidRPr="002E5F57" w:rsidRDefault="002252DB">
            <w:pPr>
              <w:pStyle w:val="051Tabletext228pt"/>
            </w:pPr>
            <w:r>
              <w:t>Non-comparative on/off study</w:t>
            </w:r>
          </w:p>
        </w:tc>
        <w:tc>
          <w:tcPr>
            <w:tcW w:w="512" w:type="pct"/>
            <w:tcBorders>
              <w:top w:val="single" w:sz="4" w:space="0" w:color="auto"/>
              <w:bottom w:val="single" w:sz="4" w:space="0" w:color="auto"/>
            </w:tcBorders>
            <w:vAlign w:val="center"/>
          </w:tcPr>
          <w:p w14:paraId="1E857EFF" w14:textId="3B7EEEEC" w:rsidR="002252DB" w:rsidRPr="00DA3425" w:rsidRDefault="002252DB">
            <w:pPr>
              <w:pStyle w:val="051Tabletext228pt"/>
              <w:jc w:val="center"/>
            </w:pPr>
            <w:r w:rsidRPr="002E5F57">
              <w:rPr>
                <w:rFonts w:ascii="Wingdings" w:eastAsia="Wingdings" w:hAnsi="Wingdings" w:cs="Wingdings"/>
              </w:rPr>
              <w:t>û</w:t>
            </w:r>
          </w:p>
        </w:tc>
        <w:tc>
          <w:tcPr>
            <w:tcW w:w="376" w:type="pct"/>
            <w:tcBorders>
              <w:top w:val="single" w:sz="4" w:space="0" w:color="auto"/>
              <w:bottom w:val="single" w:sz="4" w:space="0" w:color="auto"/>
            </w:tcBorders>
            <w:vAlign w:val="center"/>
          </w:tcPr>
          <w:p w14:paraId="0265D009" w14:textId="77777777" w:rsidR="002252DB" w:rsidRPr="00210EE4" w:rsidRDefault="002252DB">
            <w:pPr>
              <w:pStyle w:val="051Tabletext228pt"/>
              <w:jc w:val="center"/>
            </w:pPr>
          </w:p>
        </w:tc>
      </w:tr>
      <w:tr w:rsidR="002252DB" w:rsidRPr="00DA3425" w14:paraId="7C189A4E" w14:textId="77777777" w:rsidTr="00B758E1">
        <w:tc>
          <w:tcPr>
            <w:tcW w:w="670" w:type="pct"/>
            <w:tcBorders>
              <w:top w:val="single" w:sz="4" w:space="0" w:color="auto"/>
              <w:bottom w:val="single" w:sz="4" w:space="0" w:color="auto"/>
            </w:tcBorders>
          </w:tcPr>
          <w:p w14:paraId="42807212" w14:textId="77777777" w:rsidR="002252DB" w:rsidRPr="00DA3425" w:rsidRDefault="002252DB">
            <w:pPr>
              <w:pStyle w:val="051Tabletext228pt"/>
            </w:pPr>
            <w:proofErr w:type="spellStart"/>
            <w:r w:rsidRPr="00DA3425">
              <w:t>Maclver</w:t>
            </w:r>
            <w:proofErr w:type="spellEnd"/>
            <w:r w:rsidRPr="00DA3425">
              <w:t xml:space="preserve"> 2010</w:t>
            </w:r>
          </w:p>
        </w:tc>
        <w:tc>
          <w:tcPr>
            <w:tcW w:w="2608" w:type="pct"/>
            <w:tcBorders>
              <w:top w:val="single" w:sz="4" w:space="0" w:color="auto"/>
              <w:bottom w:val="single" w:sz="4" w:space="0" w:color="auto"/>
            </w:tcBorders>
          </w:tcPr>
          <w:p w14:paraId="54A4E18C" w14:textId="77777777" w:rsidR="002252DB" w:rsidRPr="00DA3425" w:rsidRDefault="002252DB">
            <w:pPr>
              <w:pStyle w:val="051Tabletext228pt"/>
            </w:pPr>
            <w:r w:rsidRPr="00DA3425">
              <w:t>The effect of spinal cord stimulation (SCS) on sensory changes in neuropathic pain</w:t>
            </w:r>
          </w:p>
        </w:tc>
        <w:tc>
          <w:tcPr>
            <w:tcW w:w="834" w:type="pct"/>
            <w:tcBorders>
              <w:top w:val="single" w:sz="4" w:space="0" w:color="auto"/>
              <w:bottom w:val="single" w:sz="4" w:space="0" w:color="auto"/>
            </w:tcBorders>
          </w:tcPr>
          <w:p w14:paraId="546D9CDD" w14:textId="77777777" w:rsidR="002252DB" w:rsidRPr="00DA3425" w:rsidRDefault="002252DB">
            <w:pPr>
              <w:pStyle w:val="051Tabletext228pt"/>
            </w:pPr>
            <w:r>
              <w:t>Not an RCT</w:t>
            </w:r>
          </w:p>
        </w:tc>
        <w:tc>
          <w:tcPr>
            <w:tcW w:w="512" w:type="pct"/>
            <w:tcBorders>
              <w:top w:val="single" w:sz="4" w:space="0" w:color="auto"/>
              <w:bottom w:val="single" w:sz="4" w:space="0" w:color="auto"/>
            </w:tcBorders>
            <w:vAlign w:val="center"/>
          </w:tcPr>
          <w:p w14:paraId="0C279E6F"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66F5BB20" w14:textId="0FA0B25F" w:rsidR="002252DB" w:rsidRPr="00210EE4" w:rsidRDefault="002252DB">
            <w:pPr>
              <w:pStyle w:val="051Tabletext228pt"/>
              <w:jc w:val="center"/>
            </w:pPr>
            <w:r>
              <w:rPr>
                <w:rFonts w:ascii="Wingdings" w:eastAsia="Wingdings" w:hAnsi="Wingdings" w:cs="Wingdings"/>
              </w:rPr>
              <w:t>û</w:t>
            </w:r>
          </w:p>
        </w:tc>
      </w:tr>
      <w:tr w:rsidR="002252DB" w:rsidRPr="00DA3425" w14:paraId="38FFC3EA" w14:textId="77777777" w:rsidTr="00B758E1">
        <w:tc>
          <w:tcPr>
            <w:tcW w:w="670" w:type="pct"/>
            <w:tcBorders>
              <w:top w:val="single" w:sz="4" w:space="0" w:color="auto"/>
              <w:bottom w:val="single" w:sz="4" w:space="0" w:color="auto"/>
            </w:tcBorders>
          </w:tcPr>
          <w:p w14:paraId="56E4A0D0" w14:textId="77777777" w:rsidR="002252DB" w:rsidRPr="00DA3425" w:rsidRDefault="002252DB">
            <w:pPr>
              <w:pStyle w:val="051Tabletext228pt"/>
            </w:pPr>
            <w:r w:rsidRPr="00DA3425">
              <w:t>Marchand 1991</w:t>
            </w:r>
          </w:p>
        </w:tc>
        <w:tc>
          <w:tcPr>
            <w:tcW w:w="2608" w:type="pct"/>
            <w:tcBorders>
              <w:top w:val="single" w:sz="4" w:space="0" w:color="auto"/>
              <w:bottom w:val="single" w:sz="4" w:space="0" w:color="auto"/>
            </w:tcBorders>
          </w:tcPr>
          <w:p w14:paraId="1BFA3CC8" w14:textId="77777777" w:rsidR="002252DB" w:rsidRPr="00DA3425" w:rsidRDefault="002252DB">
            <w:pPr>
              <w:pStyle w:val="051Tabletext228pt"/>
            </w:pPr>
            <w:r w:rsidRPr="00DA3425">
              <w:t>The effects of dorsal column stimulation on measures of clinical and experimental pain in man</w:t>
            </w:r>
          </w:p>
        </w:tc>
        <w:tc>
          <w:tcPr>
            <w:tcW w:w="834" w:type="pct"/>
            <w:tcBorders>
              <w:top w:val="single" w:sz="4" w:space="0" w:color="auto"/>
              <w:bottom w:val="single" w:sz="4" w:space="0" w:color="auto"/>
            </w:tcBorders>
          </w:tcPr>
          <w:p w14:paraId="69FA89BD" w14:textId="77777777" w:rsidR="002252DB" w:rsidRPr="00FD317B" w:rsidRDefault="002252DB">
            <w:pPr>
              <w:pStyle w:val="051Tabletext228pt"/>
            </w:pPr>
            <w:r>
              <w:t>Non-randomised study</w:t>
            </w:r>
          </w:p>
        </w:tc>
        <w:tc>
          <w:tcPr>
            <w:tcW w:w="512" w:type="pct"/>
            <w:tcBorders>
              <w:top w:val="single" w:sz="4" w:space="0" w:color="auto"/>
              <w:bottom w:val="single" w:sz="4" w:space="0" w:color="auto"/>
            </w:tcBorders>
            <w:vAlign w:val="center"/>
          </w:tcPr>
          <w:p w14:paraId="4B8303A2" w14:textId="22E7A9CD" w:rsidR="002252DB" w:rsidRPr="00DA3425" w:rsidRDefault="002252DB">
            <w:pPr>
              <w:pStyle w:val="051Tabletext228pt"/>
              <w:jc w:val="center"/>
            </w:pPr>
            <w:r w:rsidRPr="00FD317B">
              <w:rPr>
                <w:rFonts w:ascii="Wingdings" w:eastAsia="Wingdings" w:hAnsi="Wingdings" w:cs="Wingdings"/>
              </w:rPr>
              <w:t>û</w:t>
            </w:r>
          </w:p>
        </w:tc>
        <w:tc>
          <w:tcPr>
            <w:tcW w:w="376" w:type="pct"/>
            <w:tcBorders>
              <w:top w:val="single" w:sz="4" w:space="0" w:color="auto"/>
              <w:bottom w:val="single" w:sz="4" w:space="0" w:color="auto"/>
            </w:tcBorders>
            <w:vAlign w:val="center"/>
          </w:tcPr>
          <w:p w14:paraId="7C2F2DDF" w14:textId="77777777" w:rsidR="002252DB" w:rsidRPr="00210EE4" w:rsidRDefault="002252DB">
            <w:pPr>
              <w:pStyle w:val="051Tabletext228pt"/>
              <w:jc w:val="center"/>
            </w:pPr>
          </w:p>
        </w:tc>
      </w:tr>
      <w:tr w:rsidR="002252DB" w:rsidRPr="00DA3425" w14:paraId="2CE023E8" w14:textId="77777777" w:rsidTr="00B758E1">
        <w:tc>
          <w:tcPr>
            <w:tcW w:w="670" w:type="pct"/>
            <w:tcBorders>
              <w:top w:val="single" w:sz="4" w:space="0" w:color="auto"/>
              <w:bottom w:val="single" w:sz="4" w:space="0" w:color="auto"/>
            </w:tcBorders>
          </w:tcPr>
          <w:p w14:paraId="470BC43F" w14:textId="77777777" w:rsidR="002252DB" w:rsidRPr="00DA3425" w:rsidRDefault="002252DB">
            <w:pPr>
              <w:pStyle w:val="051Tabletext228pt"/>
            </w:pPr>
            <w:proofErr w:type="spellStart"/>
            <w:r w:rsidRPr="00DA3425">
              <w:t>Rigoard</w:t>
            </w:r>
            <w:proofErr w:type="spellEnd"/>
            <w:r w:rsidRPr="00DA3425">
              <w:t xml:space="preserve"> 2013</w:t>
            </w:r>
          </w:p>
        </w:tc>
        <w:tc>
          <w:tcPr>
            <w:tcW w:w="2608" w:type="pct"/>
            <w:tcBorders>
              <w:top w:val="single" w:sz="4" w:space="0" w:color="auto"/>
              <w:bottom w:val="single" w:sz="4" w:space="0" w:color="auto"/>
            </w:tcBorders>
          </w:tcPr>
          <w:p w14:paraId="29746F5E" w14:textId="77777777" w:rsidR="002252DB" w:rsidRPr="00DA3425" w:rsidRDefault="002252DB">
            <w:pPr>
              <w:pStyle w:val="051Tabletext228pt"/>
            </w:pPr>
            <w:r w:rsidRPr="00DA3425">
              <w:t>Treatment of the back pain component of failed back surgery syndrome (FBSS) by multi-column spinal cord stimulation: A multicentre prospective study</w:t>
            </w:r>
          </w:p>
        </w:tc>
        <w:tc>
          <w:tcPr>
            <w:tcW w:w="834" w:type="pct"/>
            <w:tcBorders>
              <w:top w:val="single" w:sz="4" w:space="0" w:color="auto"/>
              <w:bottom w:val="single" w:sz="4" w:space="0" w:color="auto"/>
            </w:tcBorders>
          </w:tcPr>
          <w:p w14:paraId="72E131C0" w14:textId="77777777" w:rsidR="002252DB" w:rsidRDefault="002252DB">
            <w:pPr>
              <w:pStyle w:val="051Tabletext228pt"/>
            </w:pPr>
            <w:r>
              <w:t>Non-comparative cohort study</w:t>
            </w:r>
          </w:p>
        </w:tc>
        <w:tc>
          <w:tcPr>
            <w:tcW w:w="512" w:type="pct"/>
            <w:tcBorders>
              <w:top w:val="single" w:sz="4" w:space="0" w:color="auto"/>
              <w:bottom w:val="single" w:sz="4" w:space="0" w:color="auto"/>
            </w:tcBorders>
            <w:vAlign w:val="center"/>
          </w:tcPr>
          <w:p w14:paraId="443E9354" w14:textId="2C69D54C" w:rsidR="002252DB" w:rsidRPr="00DA3425" w:rsidRDefault="002252DB">
            <w:pPr>
              <w:pStyle w:val="051Tabletext228pt"/>
              <w:jc w:val="center"/>
            </w:pPr>
            <w:r>
              <w:rPr>
                <w:rFonts w:ascii="Wingdings" w:eastAsia="Wingdings" w:hAnsi="Wingdings" w:cs="Wingdings"/>
              </w:rPr>
              <w:t>û</w:t>
            </w:r>
          </w:p>
        </w:tc>
        <w:tc>
          <w:tcPr>
            <w:tcW w:w="376" w:type="pct"/>
            <w:tcBorders>
              <w:top w:val="single" w:sz="4" w:space="0" w:color="auto"/>
              <w:bottom w:val="single" w:sz="4" w:space="0" w:color="auto"/>
            </w:tcBorders>
            <w:vAlign w:val="center"/>
          </w:tcPr>
          <w:p w14:paraId="2FA6CBAB" w14:textId="77777777" w:rsidR="002252DB" w:rsidRPr="00210EE4" w:rsidRDefault="002252DB">
            <w:pPr>
              <w:pStyle w:val="051Tabletext228pt"/>
              <w:jc w:val="center"/>
            </w:pPr>
          </w:p>
        </w:tc>
      </w:tr>
      <w:tr w:rsidR="002252DB" w:rsidRPr="00DA3425" w14:paraId="42078CDE" w14:textId="77777777" w:rsidTr="00B758E1">
        <w:tc>
          <w:tcPr>
            <w:tcW w:w="670" w:type="pct"/>
            <w:tcBorders>
              <w:top w:val="single" w:sz="4" w:space="0" w:color="auto"/>
              <w:bottom w:val="single" w:sz="4" w:space="0" w:color="auto"/>
            </w:tcBorders>
          </w:tcPr>
          <w:p w14:paraId="2DCE4B62" w14:textId="77777777" w:rsidR="002252DB" w:rsidRPr="00DA3425" w:rsidRDefault="002252DB">
            <w:pPr>
              <w:pStyle w:val="051Tabletext228pt"/>
            </w:pPr>
            <w:proofErr w:type="spellStart"/>
            <w:r w:rsidRPr="00DA3425">
              <w:t>Sagher</w:t>
            </w:r>
            <w:proofErr w:type="spellEnd"/>
            <w:r w:rsidRPr="00DA3425">
              <w:t xml:space="preserve"> 2008</w:t>
            </w:r>
          </w:p>
        </w:tc>
        <w:tc>
          <w:tcPr>
            <w:tcW w:w="2608" w:type="pct"/>
            <w:tcBorders>
              <w:top w:val="single" w:sz="4" w:space="0" w:color="auto"/>
              <w:bottom w:val="single" w:sz="4" w:space="0" w:color="auto"/>
            </w:tcBorders>
          </w:tcPr>
          <w:p w14:paraId="5E2EA8BF" w14:textId="77777777" w:rsidR="002252DB" w:rsidRPr="00DA3425" w:rsidRDefault="002252DB">
            <w:pPr>
              <w:pStyle w:val="051Tabletext228pt"/>
            </w:pPr>
            <w:r w:rsidRPr="00DA3425">
              <w:t xml:space="preserve">The effects of spinal cord stimulation in neuropathic pain are sustained: A 24-month follow-up of the prospective randomized controlled </w:t>
            </w:r>
            <w:proofErr w:type="spellStart"/>
            <w:r w:rsidRPr="00DA3425">
              <w:t>multicenter</w:t>
            </w:r>
            <w:proofErr w:type="spellEnd"/>
            <w:r w:rsidRPr="00DA3425">
              <w:t xml:space="preserve"> trial of the effectiveness of spinal cord stimulation: Commentary</w:t>
            </w:r>
          </w:p>
        </w:tc>
        <w:tc>
          <w:tcPr>
            <w:tcW w:w="834" w:type="pct"/>
            <w:tcBorders>
              <w:top w:val="single" w:sz="4" w:space="0" w:color="auto"/>
              <w:bottom w:val="single" w:sz="4" w:space="0" w:color="auto"/>
            </w:tcBorders>
          </w:tcPr>
          <w:p w14:paraId="3F0C7F6E" w14:textId="77777777" w:rsidR="002252DB" w:rsidRPr="00D56077" w:rsidRDefault="002252DB">
            <w:pPr>
              <w:pStyle w:val="051Tabletext228pt"/>
            </w:pPr>
            <w:r>
              <w:t>Commentary</w:t>
            </w:r>
          </w:p>
        </w:tc>
        <w:tc>
          <w:tcPr>
            <w:tcW w:w="512" w:type="pct"/>
            <w:tcBorders>
              <w:top w:val="single" w:sz="4" w:space="0" w:color="auto"/>
              <w:bottom w:val="single" w:sz="4" w:space="0" w:color="auto"/>
            </w:tcBorders>
            <w:vAlign w:val="center"/>
          </w:tcPr>
          <w:p w14:paraId="5D8162D8" w14:textId="73288472" w:rsidR="002252DB" w:rsidRPr="00DA3425" w:rsidRDefault="002252DB">
            <w:pPr>
              <w:pStyle w:val="051Tabletext228pt"/>
              <w:jc w:val="center"/>
            </w:pPr>
            <w:r w:rsidRPr="00D56077">
              <w:rPr>
                <w:rFonts w:ascii="Wingdings" w:eastAsia="Wingdings" w:hAnsi="Wingdings" w:cs="Wingdings"/>
              </w:rPr>
              <w:t>û</w:t>
            </w:r>
          </w:p>
        </w:tc>
        <w:tc>
          <w:tcPr>
            <w:tcW w:w="376" w:type="pct"/>
            <w:tcBorders>
              <w:top w:val="single" w:sz="4" w:space="0" w:color="auto"/>
              <w:bottom w:val="single" w:sz="4" w:space="0" w:color="auto"/>
            </w:tcBorders>
            <w:vAlign w:val="center"/>
          </w:tcPr>
          <w:p w14:paraId="47B9E809" w14:textId="77777777" w:rsidR="002252DB" w:rsidRPr="00210EE4" w:rsidRDefault="002252DB">
            <w:pPr>
              <w:pStyle w:val="051Tabletext228pt"/>
              <w:jc w:val="center"/>
            </w:pPr>
          </w:p>
        </w:tc>
      </w:tr>
      <w:tr w:rsidR="002252DB" w:rsidRPr="00DA3425" w14:paraId="6A56B296" w14:textId="77777777" w:rsidTr="00B758E1">
        <w:tc>
          <w:tcPr>
            <w:tcW w:w="670" w:type="pct"/>
            <w:tcBorders>
              <w:top w:val="single" w:sz="4" w:space="0" w:color="auto"/>
              <w:bottom w:val="single" w:sz="4" w:space="0" w:color="auto"/>
            </w:tcBorders>
          </w:tcPr>
          <w:p w14:paraId="36B3F432" w14:textId="77777777" w:rsidR="002252DB" w:rsidRPr="00DA3425" w:rsidRDefault="002252DB">
            <w:pPr>
              <w:pStyle w:val="051Tabletext228pt"/>
            </w:pPr>
            <w:r w:rsidRPr="00DA3425">
              <w:t>Steinbach 2017</w:t>
            </w:r>
          </w:p>
        </w:tc>
        <w:tc>
          <w:tcPr>
            <w:tcW w:w="2608" w:type="pct"/>
            <w:tcBorders>
              <w:top w:val="single" w:sz="4" w:space="0" w:color="auto"/>
              <w:bottom w:val="single" w:sz="4" w:space="0" w:color="auto"/>
            </w:tcBorders>
          </w:tcPr>
          <w:p w14:paraId="30ABE9F2" w14:textId="77777777" w:rsidR="002252DB" w:rsidRPr="00DA3425" w:rsidRDefault="002252DB">
            <w:pPr>
              <w:pStyle w:val="051Tabletext228pt"/>
            </w:pPr>
            <w:r w:rsidRPr="00DA3425">
              <w:t>High-frequency spinal cord stimulation at 10 kHz for the treatment of chronic neuropathic pain after a II-III degree burn</w:t>
            </w:r>
          </w:p>
        </w:tc>
        <w:tc>
          <w:tcPr>
            <w:tcW w:w="834" w:type="pct"/>
            <w:tcBorders>
              <w:top w:val="single" w:sz="4" w:space="0" w:color="auto"/>
              <w:bottom w:val="single" w:sz="4" w:space="0" w:color="auto"/>
            </w:tcBorders>
          </w:tcPr>
          <w:p w14:paraId="4E3AC334" w14:textId="77777777" w:rsidR="002252DB" w:rsidRPr="00D56077" w:rsidRDefault="002252DB">
            <w:pPr>
              <w:pStyle w:val="051Tabletext228pt"/>
            </w:pPr>
            <w:r>
              <w:t>Single case report</w:t>
            </w:r>
          </w:p>
        </w:tc>
        <w:tc>
          <w:tcPr>
            <w:tcW w:w="512" w:type="pct"/>
            <w:tcBorders>
              <w:top w:val="single" w:sz="4" w:space="0" w:color="auto"/>
              <w:bottom w:val="single" w:sz="4" w:space="0" w:color="auto"/>
            </w:tcBorders>
            <w:vAlign w:val="center"/>
          </w:tcPr>
          <w:p w14:paraId="3F5F7702" w14:textId="746E0053" w:rsidR="002252DB" w:rsidRPr="00DA3425" w:rsidRDefault="002252DB">
            <w:pPr>
              <w:pStyle w:val="051Tabletext228pt"/>
              <w:jc w:val="center"/>
            </w:pPr>
            <w:r w:rsidRPr="00D56077">
              <w:rPr>
                <w:rFonts w:ascii="Wingdings" w:eastAsia="Wingdings" w:hAnsi="Wingdings" w:cs="Wingdings"/>
              </w:rPr>
              <w:t>û</w:t>
            </w:r>
          </w:p>
        </w:tc>
        <w:tc>
          <w:tcPr>
            <w:tcW w:w="376" w:type="pct"/>
            <w:tcBorders>
              <w:top w:val="single" w:sz="4" w:space="0" w:color="auto"/>
              <w:bottom w:val="single" w:sz="4" w:space="0" w:color="auto"/>
            </w:tcBorders>
            <w:vAlign w:val="center"/>
          </w:tcPr>
          <w:p w14:paraId="4C656EC1" w14:textId="77777777" w:rsidR="002252DB" w:rsidRPr="00210EE4" w:rsidRDefault="002252DB">
            <w:pPr>
              <w:pStyle w:val="051Tabletext228pt"/>
              <w:jc w:val="center"/>
            </w:pPr>
          </w:p>
        </w:tc>
      </w:tr>
      <w:tr w:rsidR="002252DB" w:rsidRPr="00DA3425" w14:paraId="03A3CFD8" w14:textId="77777777" w:rsidTr="00B758E1">
        <w:tc>
          <w:tcPr>
            <w:tcW w:w="670" w:type="pct"/>
            <w:tcBorders>
              <w:top w:val="single" w:sz="4" w:space="0" w:color="auto"/>
              <w:bottom w:val="single" w:sz="4" w:space="0" w:color="auto"/>
            </w:tcBorders>
          </w:tcPr>
          <w:p w14:paraId="1B0E017B" w14:textId="77777777" w:rsidR="002252DB" w:rsidRPr="00DA3425" w:rsidRDefault="002252DB">
            <w:pPr>
              <w:pStyle w:val="051Tabletext228pt"/>
            </w:pPr>
            <w:r w:rsidRPr="00DA3425">
              <w:t>Taylor 2005</w:t>
            </w:r>
          </w:p>
        </w:tc>
        <w:tc>
          <w:tcPr>
            <w:tcW w:w="2608" w:type="pct"/>
            <w:tcBorders>
              <w:top w:val="single" w:sz="4" w:space="0" w:color="auto"/>
              <w:bottom w:val="single" w:sz="4" w:space="0" w:color="auto"/>
            </w:tcBorders>
          </w:tcPr>
          <w:p w14:paraId="035B8F20" w14:textId="77777777" w:rsidR="002252DB" w:rsidRPr="00DA3425" w:rsidRDefault="002252DB">
            <w:pPr>
              <w:pStyle w:val="051Tabletext228pt"/>
            </w:pPr>
            <w:r w:rsidRPr="00DA3425">
              <w:t>Spinal cord stimulation for failed back surgery syndrome: A decision-analytic model and cost-effectiveness analysis</w:t>
            </w:r>
          </w:p>
        </w:tc>
        <w:tc>
          <w:tcPr>
            <w:tcW w:w="834" w:type="pct"/>
            <w:tcBorders>
              <w:top w:val="single" w:sz="4" w:space="0" w:color="auto"/>
              <w:bottom w:val="single" w:sz="4" w:space="0" w:color="auto"/>
            </w:tcBorders>
          </w:tcPr>
          <w:p w14:paraId="6A8E5E05" w14:textId="77777777" w:rsidR="002252DB" w:rsidRPr="00D56077" w:rsidRDefault="002252DB">
            <w:pPr>
              <w:pStyle w:val="051Tabletext228pt"/>
            </w:pPr>
            <w:r w:rsidRPr="00ED113F">
              <w:t>Economic analysis developed independent of RCT</w:t>
            </w:r>
          </w:p>
        </w:tc>
        <w:tc>
          <w:tcPr>
            <w:tcW w:w="512" w:type="pct"/>
            <w:tcBorders>
              <w:top w:val="single" w:sz="4" w:space="0" w:color="auto"/>
              <w:bottom w:val="single" w:sz="4" w:space="0" w:color="auto"/>
            </w:tcBorders>
            <w:vAlign w:val="center"/>
          </w:tcPr>
          <w:p w14:paraId="72B9C3C6" w14:textId="3B0F542F" w:rsidR="002252DB" w:rsidRPr="00DA3425" w:rsidRDefault="002252DB">
            <w:pPr>
              <w:pStyle w:val="051Tabletext228pt"/>
              <w:jc w:val="center"/>
            </w:pPr>
            <w:r w:rsidRPr="00D56077">
              <w:rPr>
                <w:rFonts w:ascii="Wingdings" w:eastAsia="Wingdings" w:hAnsi="Wingdings" w:cs="Wingdings"/>
              </w:rPr>
              <w:t>û</w:t>
            </w:r>
          </w:p>
        </w:tc>
        <w:tc>
          <w:tcPr>
            <w:tcW w:w="376" w:type="pct"/>
            <w:tcBorders>
              <w:top w:val="single" w:sz="4" w:space="0" w:color="auto"/>
              <w:bottom w:val="single" w:sz="4" w:space="0" w:color="auto"/>
            </w:tcBorders>
            <w:vAlign w:val="center"/>
          </w:tcPr>
          <w:p w14:paraId="5B987A97" w14:textId="77777777" w:rsidR="002252DB" w:rsidRPr="00210EE4" w:rsidRDefault="002252DB">
            <w:pPr>
              <w:pStyle w:val="051Tabletext228pt"/>
              <w:jc w:val="center"/>
            </w:pPr>
          </w:p>
        </w:tc>
      </w:tr>
      <w:tr w:rsidR="002252DB" w:rsidRPr="00DA3425" w14:paraId="7F070BFC" w14:textId="77777777" w:rsidTr="00643A5D">
        <w:tc>
          <w:tcPr>
            <w:tcW w:w="670" w:type="pct"/>
            <w:tcBorders>
              <w:top w:val="single" w:sz="4" w:space="0" w:color="auto"/>
              <w:bottom w:val="single" w:sz="4" w:space="0" w:color="auto"/>
            </w:tcBorders>
          </w:tcPr>
          <w:p w14:paraId="3E6954E8" w14:textId="77777777" w:rsidR="002252DB" w:rsidRPr="00DA3425" w:rsidRDefault="002252DB">
            <w:pPr>
              <w:pStyle w:val="051Tabletext228pt"/>
            </w:pPr>
            <w:r w:rsidRPr="00DA3425">
              <w:t>Van Beek 2015</w:t>
            </w:r>
          </w:p>
        </w:tc>
        <w:tc>
          <w:tcPr>
            <w:tcW w:w="2608" w:type="pct"/>
            <w:tcBorders>
              <w:top w:val="single" w:sz="4" w:space="0" w:color="auto"/>
              <w:bottom w:val="single" w:sz="4" w:space="0" w:color="auto"/>
            </w:tcBorders>
          </w:tcPr>
          <w:p w14:paraId="69EB0E0A" w14:textId="77777777" w:rsidR="002252DB" w:rsidRPr="00DA3425" w:rsidRDefault="002252DB">
            <w:pPr>
              <w:pStyle w:val="051Tabletext228pt"/>
            </w:pPr>
            <w:r w:rsidRPr="00DA3425">
              <w:t>Sustained treatment effect of spinal cord stimulation in painful diabetic peripheral Neuropathy: 24-Month Follow-up of a prospective Two-</w:t>
            </w:r>
            <w:proofErr w:type="spellStart"/>
            <w:r w:rsidRPr="00DA3425">
              <w:t>Center</w:t>
            </w:r>
            <w:proofErr w:type="spellEnd"/>
            <w:r w:rsidRPr="00DA3425">
              <w:t xml:space="preserve"> randomized controlled trial</w:t>
            </w:r>
          </w:p>
        </w:tc>
        <w:tc>
          <w:tcPr>
            <w:tcW w:w="834" w:type="pct"/>
            <w:tcBorders>
              <w:top w:val="single" w:sz="4" w:space="0" w:color="auto"/>
              <w:bottom w:val="single" w:sz="4" w:space="0" w:color="auto"/>
            </w:tcBorders>
          </w:tcPr>
          <w:p w14:paraId="79867397" w14:textId="31602A74" w:rsidR="002252DB" w:rsidRDefault="002252DB">
            <w:pPr>
              <w:pStyle w:val="051Tabletext228pt"/>
            </w:pPr>
            <w:r>
              <w:t xml:space="preserve">Non-comparative cohort from </w:t>
            </w:r>
            <w:proofErr w:type="spellStart"/>
            <w:r>
              <w:t>RCT</w:t>
            </w:r>
            <w:r w:rsidR="00522A22">
              <w:rPr>
                <w:rStyle w:val="FootnoteReference"/>
              </w:rPr>
              <w:t>c</w:t>
            </w:r>
            <w:proofErr w:type="spellEnd"/>
          </w:p>
        </w:tc>
        <w:tc>
          <w:tcPr>
            <w:tcW w:w="512" w:type="pct"/>
            <w:tcBorders>
              <w:top w:val="single" w:sz="4" w:space="0" w:color="auto"/>
              <w:bottom w:val="single" w:sz="4" w:space="0" w:color="auto"/>
            </w:tcBorders>
            <w:vAlign w:val="center"/>
          </w:tcPr>
          <w:p w14:paraId="360D5F84" w14:textId="561D556E" w:rsidR="002252DB" w:rsidRPr="00DA3425" w:rsidRDefault="002252DB">
            <w:pPr>
              <w:pStyle w:val="051Tabletext228pt"/>
              <w:jc w:val="center"/>
            </w:pPr>
            <w:r>
              <w:rPr>
                <w:rFonts w:ascii="Wingdings" w:eastAsia="Wingdings" w:hAnsi="Wingdings" w:cs="Wingdings"/>
              </w:rPr>
              <w:t>û</w:t>
            </w:r>
          </w:p>
        </w:tc>
        <w:tc>
          <w:tcPr>
            <w:tcW w:w="376" w:type="pct"/>
            <w:tcBorders>
              <w:top w:val="single" w:sz="4" w:space="0" w:color="auto"/>
              <w:bottom w:val="single" w:sz="4" w:space="0" w:color="auto"/>
            </w:tcBorders>
            <w:vAlign w:val="center"/>
          </w:tcPr>
          <w:p w14:paraId="3A1627F1" w14:textId="77777777" w:rsidR="002252DB" w:rsidRPr="00210EE4" w:rsidRDefault="002252DB">
            <w:pPr>
              <w:pStyle w:val="051Tabletext228pt"/>
              <w:jc w:val="center"/>
            </w:pPr>
          </w:p>
        </w:tc>
      </w:tr>
      <w:tr w:rsidR="002252DB" w:rsidRPr="00DA3425" w14:paraId="32CF0D33" w14:textId="77777777" w:rsidTr="00643A5D">
        <w:tc>
          <w:tcPr>
            <w:tcW w:w="670" w:type="pct"/>
            <w:tcBorders>
              <w:top w:val="single" w:sz="4" w:space="0" w:color="auto"/>
              <w:bottom w:val="single" w:sz="4" w:space="0" w:color="auto"/>
            </w:tcBorders>
          </w:tcPr>
          <w:p w14:paraId="4C63AEAB" w14:textId="3BF2FEE1" w:rsidR="002252DB" w:rsidRPr="00DA3425" w:rsidRDefault="002252DB">
            <w:pPr>
              <w:pStyle w:val="051Tabletext228pt"/>
            </w:pPr>
            <w:proofErr w:type="spellStart"/>
            <w:r w:rsidRPr="00351D5E">
              <w:t>Veizi</w:t>
            </w:r>
            <w:proofErr w:type="spellEnd"/>
            <w:r w:rsidRPr="00351D5E">
              <w:t xml:space="preserve"> 2017</w:t>
            </w:r>
            <w:r w:rsidR="000F6721">
              <w:rPr>
                <w:rStyle w:val="FootnoteReference"/>
              </w:rPr>
              <w:t>d</w:t>
            </w:r>
          </w:p>
        </w:tc>
        <w:tc>
          <w:tcPr>
            <w:tcW w:w="2608" w:type="pct"/>
            <w:tcBorders>
              <w:top w:val="single" w:sz="4" w:space="0" w:color="auto"/>
              <w:bottom w:val="single" w:sz="4" w:space="0" w:color="auto"/>
            </w:tcBorders>
          </w:tcPr>
          <w:p w14:paraId="2730B428" w14:textId="77777777" w:rsidR="002252DB" w:rsidRPr="00DA3425" w:rsidRDefault="002252DB">
            <w:pPr>
              <w:pStyle w:val="051Tabletext228pt"/>
            </w:pPr>
            <w:r w:rsidRPr="00351D5E">
              <w:t>Spinal Cord Stimulation (SCS) with Anatomically Guided (3D) Neural Targeting Shows Superior Chronic Axial Low Back Pain Relief Compared to Traditional SCS-LUMINA Study</w:t>
            </w:r>
          </w:p>
        </w:tc>
        <w:tc>
          <w:tcPr>
            <w:tcW w:w="834" w:type="pct"/>
            <w:tcBorders>
              <w:top w:val="single" w:sz="4" w:space="0" w:color="auto"/>
              <w:bottom w:val="single" w:sz="4" w:space="0" w:color="auto"/>
            </w:tcBorders>
          </w:tcPr>
          <w:p w14:paraId="127C3ACD" w14:textId="77777777" w:rsidR="002252DB" w:rsidRPr="00DA3425" w:rsidRDefault="002252DB">
            <w:pPr>
              <w:pStyle w:val="051Tabletext228pt"/>
            </w:pPr>
            <w:r>
              <w:t>Non-randomised comparative cohort study</w:t>
            </w:r>
          </w:p>
        </w:tc>
        <w:tc>
          <w:tcPr>
            <w:tcW w:w="512" w:type="pct"/>
            <w:tcBorders>
              <w:top w:val="single" w:sz="4" w:space="0" w:color="auto"/>
              <w:bottom w:val="single" w:sz="4" w:space="0" w:color="auto"/>
            </w:tcBorders>
            <w:vAlign w:val="center"/>
          </w:tcPr>
          <w:p w14:paraId="42E87CE6" w14:textId="77777777" w:rsidR="002252DB" w:rsidRPr="00DA3425" w:rsidRDefault="002252DB">
            <w:pPr>
              <w:pStyle w:val="051Tabletext228pt"/>
              <w:jc w:val="center"/>
            </w:pPr>
          </w:p>
        </w:tc>
        <w:tc>
          <w:tcPr>
            <w:tcW w:w="376" w:type="pct"/>
            <w:tcBorders>
              <w:top w:val="single" w:sz="4" w:space="0" w:color="auto"/>
              <w:bottom w:val="single" w:sz="4" w:space="0" w:color="auto"/>
            </w:tcBorders>
            <w:vAlign w:val="center"/>
          </w:tcPr>
          <w:p w14:paraId="6C0C66C2" w14:textId="3E634C4E" w:rsidR="002252DB" w:rsidRPr="00210EE4" w:rsidRDefault="002252DB">
            <w:pPr>
              <w:pStyle w:val="051Tabletext228pt"/>
              <w:jc w:val="center"/>
            </w:pPr>
            <w:r>
              <w:rPr>
                <w:rFonts w:ascii="Wingdings" w:eastAsia="Wingdings" w:hAnsi="Wingdings" w:cs="Wingdings"/>
              </w:rPr>
              <w:t>û</w:t>
            </w:r>
          </w:p>
        </w:tc>
      </w:tr>
      <w:tr w:rsidR="002252DB" w:rsidRPr="00DA3425" w14:paraId="449A1DE0" w14:textId="77777777" w:rsidTr="00643A5D">
        <w:tc>
          <w:tcPr>
            <w:tcW w:w="670" w:type="pct"/>
            <w:tcBorders>
              <w:top w:val="single" w:sz="4" w:space="0" w:color="auto"/>
              <w:bottom w:val="single" w:sz="4" w:space="0" w:color="auto"/>
            </w:tcBorders>
          </w:tcPr>
          <w:p w14:paraId="4C3A2695" w14:textId="77777777" w:rsidR="002252DB" w:rsidRPr="00DA3425" w:rsidRDefault="002252DB">
            <w:pPr>
              <w:pStyle w:val="051Tabletext228pt"/>
            </w:pPr>
            <w:r w:rsidRPr="00DA3425">
              <w:t>Winfree 2005</w:t>
            </w:r>
          </w:p>
        </w:tc>
        <w:tc>
          <w:tcPr>
            <w:tcW w:w="2608" w:type="pct"/>
            <w:tcBorders>
              <w:top w:val="single" w:sz="4" w:space="0" w:color="auto"/>
              <w:bottom w:val="single" w:sz="4" w:space="0" w:color="auto"/>
            </w:tcBorders>
          </w:tcPr>
          <w:p w14:paraId="6DE6FFC9" w14:textId="77777777" w:rsidR="002252DB" w:rsidRPr="00DA3425" w:rsidRDefault="002252DB">
            <w:pPr>
              <w:pStyle w:val="051Tabletext228pt"/>
            </w:pPr>
            <w:r w:rsidRPr="00DA3425">
              <w:t>Spinal cord stimulation for the relief of chronic pain</w:t>
            </w:r>
          </w:p>
        </w:tc>
        <w:tc>
          <w:tcPr>
            <w:tcW w:w="834" w:type="pct"/>
            <w:tcBorders>
              <w:top w:val="single" w:sz="4" w:space="0" w:color="auto"/>
              <w:bottom w:val="single" w:sz="4" w:space="0" w:color="auto"/>
            </w:tcBorders>
          </w:tcPr>
          <w:p w14:paraId="51EFC42B" w14:textId="77777777" w:rsidR="002252DB" w:rsidRPr="006F62C9" w:rsidRDefault="002252DB">
            <w:pPr>
              <w:pStyle w:val="051Tabletext228pt"/>
            </w:pPr>
            <w:r>
              <w:t>Commentary</w:t>
            </w:r>
          </w:p>
        </w:tc>
        <w:tc>
          <w:tcPr>
            <w:tcW w:w="512" w:type="pct"/>
            <w:tcBorders>
              <w:top w:val="single" w:sz="4" w:space="0" w:color="auto"/>
              <w:bottom w:val="single" w:sz="4" w:space="0" w:color="auto"/>
            </w:tcBorders>
            <w:vAlign w:val="center"/>
          </w:tcPr>
          <w:p w14:paraId="76459317" w14:textId="02732308" w:rsidR="002252DB" w:rsidRPr="00DA3425" w:rsidRDefault="002252DB">
            <w:pPr>
              <w:pStyle w:val="051Tabletext228pt"/>
              <w:jc w:val="center"/>
            </w:pPr>
            <w:r w:rsidRPr="006F62C9">
              <w:rPr>
                <w:rFonts w:ascii="Wingdings" w:eastAsia="Wingdings" w:hAnsi="Wingdings" w:cs="Wingdings"/>
              </w:rPr>
              <w:t>û</w:t>
            </w:r>
          </w:p>
        </w:tc>
        <w:tc>
          <w:tcPr>
            <w:tcW w:w="376" w:type="pct"/>
            <w:tcBorders>
              <w:top w:val="single" w:sz="4" w:space="0" w:color="auto"/>
              <w:bottom w:val="single" w:sz="4" w:space="0" w:color="auto"/>
            </w:tcBorders>
            <w:vAlign w:val="center"/>
          </w:tcPr>
          <w:p w14:paraId="6628C1A7" w14:textId="77777777" w:rsidR="002252DB" w:rsidRPr="00210EE4" w:rsidRDefault="002252DB">
            <w:pPr>
              <w:pStyle w:val="051Tabletext228pt"/>
              <w:jc w:val="center"/>
            </w:pPr>
          </w:p>
        </w:tc>
      </w:tr>
    </w:tbl>
    <w:p w14:paraId="54882E48" w14:textId="11AF9966" w:rsidR="00D405CF" w:rsidRDefault="00D405CF" w:rsidP="00D405CF">
      <w:pPr>
        <w:pStyle w:val="111Tablefootnoteslast-nostick8pt"/>
      </w:pPr>
      <w:bookmarkStart w:id="180" w:name="_Ref134440393"/>
      <w:r>
        <w:lastRenderedPageBreak/>
        <w:t xml:space="preserve">Abbreviations: </w:t>
      </w:r>
      <w:r w:rsidR="00886E42">
        <w:t xml:space="preserve">CMM, conventional medical management; </w:t>
      </w:r>
      <w:r w:rsidR="00960A3A">
        <w:t xml:space="preserve">DRGS, dorsal root ganglion stimulation; </w:t>
      </w:r>
      <w:r w:rsidR="00F0493C">
        <w:t>kHz, kilohertz;</w:t>
      </w:r>
      <w:r w:rsidR="00960A3A">
        <w:t xml:space="preserve"> </w:t>
      </w:r>
      <w:r w:rsidR="00213914">
        <w:t xml:space="preserve">HF, high frequency; </w:t>
      </w:r>
      <w:r w:rsidR="00433310">
        <w:t>RCT, randomi</w:t>
      </w:r>
      <w:r w:rsidR="00DB18C9">
        <w:t>s</w:t>
      </w:r>
      <w:r w:rsidR="00433310">
        <w:t xml:space="preserve">ed controlled trial; SCS, spinal cord stimulation; </w:t>
      </w:r>
      <w:r w:rsidR="00213914">
        <w:t>v, versus</w:t>
      </w:r>
      <w:r w:rsidR="00C75CCC">
        <w:br/>
      </w:r>
      <w:r w:rsidR="00C75CCC">
        <w:rPr>
          <w:b/>
          <w:bCs/>
        </w:rPr>
        <w:t>a</w:t>
      </w:r>
      <w:r w:rsidR="00C75CCC">
        <w:t xml:space="preserve"> This study is actually an on/off study; there is no concurrent comparator group and randomisation was restricted to order of active/inactive intervention phases. Therefore this is a non-comparative study</w:t>
      </w:r>
      <w:r w:rsidR="000E25D6">
        <w:t>.</w:t>
      </w:r>
      <w:r w:rsidR="00C75CCC">
        <w:br/>
      </w:r>
      <w:r w:rsidR="00C75CCC">
        <w:rPr>
          <w:b/>
          <w:bCs/>
        </w:rPr>
        <w:t>b</w:t>
      </w:r>
      <w:r w:rsidR="00C75CCC">
        <w:rPr>
          <w:b/>
        </w:rPr>
        <w:t xml:space="preserve"> </w:t>
      </w:r>
      <w:r w:rsidR="00B776EA">
        <w:t xml:space="preserve">Commentary on RCT publication not listed in Cochrane </w:t>
      </w:r>
      <w:r w:rsidR="002E7D2D">
        <w:t>r</w:t>
      </w:r>
      <w:r w:rsidR="00B776EA">
        <w:t xml:space="preserve">eviews nor in stakeholder submissions: </w:t>
      </w:r>
      <w:r w:rsidR="00B776EA" w:rsidRPr="00D776F5">
        <w:t xml:space="preserve">Deer, T., Pope, J., Benyamin, R., </w:t>
      </w:r>
      <w:r w:rsidR="00B776EA">
        <w:t>et al</w:t>
      </w:r>
      <w:r w:rsidR="00B776EA" w:rsidRPr="00D776F5">
        <w:t xml:space="preserve">. (2016). Prospective, multicenter, randomized, double-blinded, partial crossover study to assess the safety and efficacy of the novel neuromodulation system in the treatment of patients with chronic pain of peripheral nerve origin. Neuromodulation. </w:t>
      </w:r>
      <w:r w:rsidR="00EF0AB4" w:rsidRPr="00D776F5">
        <w:t>19(1):91-100.</w:t>
      </w:r>
      <w:r w:rsidR="00EF0AB4">
        <w:br/>
      </w:r>
      <w:r w:rsidR="00EF0AB4">
        <w:rPr>
          <w:b/>
          <w:bCs/>
        </w:rPr>
        <w:t>c</w:t>
      </w:r>
      <w:r w:rsidR="00EF0AB4">
        <w:t xml:space="preserve"> </w:t>
      </w:r>
      <w:r w:rsidR="007265DC">
        <w:t xml:space="preserve">Original RCT randomised 36 patients, with 22 receiving SCS </w:t>
      </w:r>
      <w:r w:rsidR="007265DC">
        <w:softHyphen/>
        <w:t>– this is effectively a</w:t>
      </w:r>
      <w:r w:rsidR="007265DC" w:rsidRPr="009B52AB">
        <w:t xml:space="preserve"> </w:t>
      </w:r>
      <w:r w:rsidR="007265DC">
        <w:t>single cohort study with long-term follow</w:t>
      </w:r>
      <w:r w:rsidR="00340CE3">
        <w:t>-</w:t>
      </w:r>
      <w:r w:rsidR="007265DC">
        <w:t>up of patients who received SCS.</w:t>
      </w:r>
      <w:r w:rsidR="000F6721">
        <w:br/>
      </w:r>
      <w:r w:rsidR="000F6721">
        <w:rPr>
          <w:b/>
          <w:bCs/>
        </w:rPr>
        <w:t>d</w:t>
      </w:r>
      <w:r w:rsidR="000F6721">
        <w:t xml:space="preserve"> Comparative study with historical controls.</w:t>
      </w:r>
    </w:p>
    <w:p w14:paraId="6778FE07" w14:textId="50EA5DF2" w:rsidR="002252DB" w:rsidRPr="00FF49F3" w:rsidRDefault="00B13FD9" w:rsidP="00B13FD9">
      <w:pPr>
        <w:pStyle w:val="Caption"/>
        <w:rPr>
          <w:lang w:val="en-US"/>
        </w:rPr>
      </w:pPr>
      <w:bookmarkStart w:id="181" w:name="_Ref134533403"/>
      <w:r>
        <w:t xml:space="preserve">Table App </w:t>
      </w:r>
      <w:fldSimple w:instr=" SEQ Table_App \* ARABIC ">
        <w:r w:rsidR="00CE6ACA">
          <w:rPr>
            <w:noProof/>
          </w:rPr>
          <w:t>10</w:t>
        </w:r>
      </w:fldSimple>
      <w:bookmarkEnd w:id="180"/>
      <w:bookmarkEnd w:id="181"/>
      <w:r w:rsidR="002252DB">
        <w:tab/>
        <w:t>Additional RCT publications</w:t>
      </w:r>
      <w:r w:rsidR="002252DB">
        <w:rPr>
          <w:lang w:val="en-US"/>
        </w:rPr>
        <w:t xml:space="preserve"> </w:t>
      </w:r>
      <w:r w:rsidR="002252DB">
        <w:t>from stakeholder submissions</w:t>
      </w:r>
      <w:r w:rsidR="002252DB" w:rsidRPr="0054260A">
        <w:rPr>
          <w:lang w:val="en-US"/>
        </w:rPr>
        <w:t xml:space="preserve"> </w:t>
      </w:r>
      <w:r w:rsidR="002252DB">
        <w:rPr>
          <w:lang w:val="en-US"/>
        </w:rPr>
        <w:t>for RCTs included in either of the</w:t>
      </w:r>
      <w:r w:rsidR="002252DB" w:rsidRPr="0054260A">
        <w:rPr>
          <w:lang w:val="en-US"/>
        </w:rPr>
        <w:t xml:space="preserve"> Cochrane </w:t>
      </w:r>
      <w:r w:rsidR="002E7D2D">
        <w:rPr>
          <w:lang w:val="en-US"/>
        </w:rPr>
        <w:t>r</w:t>
      </w:r>
      <w:r w:rsidR="002252DB">
        <w:rPr>
          <w:lang w:val="en-US"/>
        </w:rPr>
        <w:t>eviews</w:t>
      </w:r>
    </w:p>
    <w:tbl>
      <w:tblPr>
        <w:tblStyle w:val="TableGrid"/>
        <w:tblW w:w="9592" w:type="dxa"/>
        <w:tblBorders>
          <w:insideH w:val="dotted" w:sz="4" w:space="0" w:color="auto"/>
        </w:tblBorders>
        <w:tblLayout w:type="fixed"/>
        <w:tblLook w:val="04A0" w:firstRow="1" w:lastRow="0" w:firstColumn="1" w:lastColumn="0" w:noHBand="0" w:noVBand="1"/>
        <w:tblCaption w:val="Additional RCT publications from stakeholder submissions for RCTs included in either of the Cochrane reviews"/>
        <w:tblDescription w:val="Table showing the additional RCT publications from stakeholder submissions for RCTs included in either of the Cochrane reviews."/>
      </w:tblPr>
      <w:tblGrid>
        <w:gridCol w:w="1228"/>
        <w:gridCol w:w="1228"/>
        <w:gridCol w:w="7136"/>
      </w:tblGrid>
      <w:tr w:rsidR="002252DB" w:rsidRPr="00340EBB" w14:paraId="730405F0" w14:textId="77777777" w:rsidTr="00643A5D">
        <w:trPr>
          <w:cnfStyle w:val="100000000000" w:firstRow="1" w:lastRow="0" w:firstColumn="0" w:lastColumn="0" w:oddVBand="0" w:evenVBand="0" w:oddHBand="0" w:evenHBand="0" w:firstRowFirstColumn="0" w:firstRowLastColumn="0" w:lastRowFirstColumn="0" w:lastRowLastColumn="0"/>
        </w:trPr>
        <w:tc>
          <w:tcPr>
            <w:tcW w:w="1228" w:type="dxa"/>
            <w:tcBorders>
              <w:top w:val="single" w:sz="4" w:space="0" w:color="auto"/>
              <w:bottom w:val="single" w:sz="4" w:space="0" w:color="auto"/>
            </w:tcBorders>
          </w:tcPr>
          <w:p w14:paraId="27B642B6" w14:textId="77777777" w:rsidR="002252DB" w:rsidRPr="00340EBB" w:rsidRDefault="002252DB">
            <w:pPr>
              <w:pStyle w:val="011TableHeading8pt"/>
              <w:rPr>
                <w:lang w:val="en-US"/>
              </w:rPr>
            </w:pPr>
            <w:r>
              <w:rPr>
                <w:lang w:val="en-US"/>
              </w:rPr>
              <w:t>RCT identifier</w:t>
            </w:r>
          </w:p>
        </w:tc>
        <w:tc>
          <w:tcPr>
            <w:tcW w:w="1228" w:type="dxa"/>
            <w:tcBorders>
              <w:top w:val="single" w:sz="4" w:space="0" w:color="auto"/>
              <w:bottom w:val="single" w:sz="4" w:space="0" w:color="auto"/>
            </w:tcBorders>
          </w:tcPr>
          <w:p w14:paraId="162A16BD" w14:textId="4555DE9A" w:rsidR="002252DB" w:rsidRPr="00340EBB" w:rsidRDefault="00984466">
            <w:pPr>
              <w:pStyle w:val="011TableHeading8pt"/>
              <w:rPr>
                <w:lang w:val="en-US"/>
              </w:rPr>
            </w:pPr>
            <w:r>
              <w:rPr>
                <w:lang w:val="en-US"/>
              </w:rPr>
              <w:t>Study</w:t>
            </w:r>
            <w:r w:rsidR="002252DB" w:rsidRPr="00340EBB">
              <w:rPr>
                <w:lang w:val="en-US"/>
              </w:rPr>
              <w:t xml:space="preserve"> ID</w:t>
            </w:r>
          </w:p>
        </w:tc>
        <w:tc>
          <w:tcPr>
            <w:tcW w:w="7136" w:type="dxa"/>
            <w:tcBorders>
              <w:top w:val="single" w:sz="4" w:space="0" w:color="auto"/>
              <w:bottom w:val="single" w:sz="4" w:space="0" w:color="auto"/>
            </w:tcBorders>
          </w:tcPr>
          <w:p w14:paraId="67B7033C" w14:textId="77777777" w:rsidR="002252DB" w:rsidRPr="00340EBB" w:rsidRDefault="002252DB">
            <w:pPr>
              <w:pStyle w:val="011TableHeading8pt"/>
              <w:rPr>
                <w:lang w:val="en-US"/>
              </w:rPr>
            </w:pPr>
            <w:r w:rsidRPr="00340EBB">
              <w:rPr>
                <w:lang w:val="en-US"/>
              </w:rPr>
              <w:t>Title</w:t>
            </w:r>
          </w:p>
        </w:tc>
      </w:tr>
      <w:tr w:rsidR="002252DB" w:rsidRPr="00340EBB" w14:paraId="051CA44C" w14:textId="77777777" w:rsidTr="00643A5D">
        <w:tc>
          <w:tcPr>
            <w:tcW w:w="1228" w:type="dxa"/>
            <w:tcBorders>
              <w:top w:val="single" w:sz="4" w:space="0" w:color="auto"/>
              <w:bottom w:val="single" w:sz="4" w:space="0" w:color="auto"/>
            </w:tcBorders>
          </w:tcPr>
          <w:p w14:paraId="7C64ACAA" w14:textId="77777777" w:rsidR="002252DB" w:rsidRPr="00D177E5" w:rsidRDefault="002252DB">
            <w:pPr>
              <w:pStyle w:val="051Tabletext228pt"/>
              <w:rPr>
                <w:b/>
                <w:bCs/>
                <w:lang w:val="en-US"/>
              </w:rPr>
            </w:pPr>
            <w:r w:rsidRPr="00D177E5">
              <w:rPr>
                <w:b/>
                <w:bCs/>
                <w:lang w:val="en-US"/>
              </w:rPr>
              <w:t>NSRBP-RCT</w:t>
            </w:r>
          </w:p>
        </w:tc>
        <w:tc>
          <w:tcPr>
            <w:tcW w:w="1228" w:type="dxa"/>
            <w:tcBorders>
              <w:top w:val="single" w:sz="4" w:space="0" w:color="auto"/>
              <w:bottom w:val="single" w:sz="4" w:space="0" w:color="auto"/>
            </w:tcBorders>
          </w:tcPr>
          <w:p w14:paraId="3D40E5ED" w14:textId="77777777" w:rsidR="002252DB" w:rsidRPr="00340EBB" w:rsidRDefault="002252DB">
            <w:pPr>
              <w:pStyle w:val="051Tabletext228pt"/>
              <w:rPr>
                <w:lang w:val="en-US"/>
              </w:rPr>
            </w:pPr>
            <w:proofErr w:type="spellStart"/>
            <w:r w:rsidRPr="00340EBB">
              <w:rPr>
                <w:lang w:val="en-US"/>
              </w:rPr>
              <w:t>Kallewaard</w:t>
            </w:r>
            <w:proofErr w:type="spellEnd"/>
            <w:r w:rsidRPr="00340EBB">
              <w:rPr>
                <w:lang w:val="en-US"/>
              </w:rPr>
              <w:t xml:space="preserve"> 2022</w:t>
            </w:r>
          </w:p>
        </w:tc>
        <w:tc>
          <w:tcPr>
            <w:tcW w:w="7136" w:type="dxa"/>
            <w:tcBorders>
              <w:top w:val="single" w:sz="4" w:space="0" w:color="auto"/>
              <w:bottom w:val="single" w:sz="4" w:space="0" w:color="auto"/>
            </w:tcBorders>
          </w:tcPr>
          <w:p w14:paraId="7DC18BC9" w14:textId="77777777" w:rsidR="002252DB" w:rsidRPr="00340EBB" w:rsidRDefault="002252DB">
            <w:pPr>
              <w:pStyle w:val="051Tabletext228pt"/>
              <w:rPr>
                <w:lang w:val="en-US"/>
              </w:rPr>
            </w:pPr>
            <w:r w:rsidRPr="00340EBB">
              <w:rPr>
                <w:lang w:val="en-US"/>
              </w:rPr>
              <w:t>/ #684 EUROPEAN RANDOMIZED CONTROLLED TRIAL TO STUDY THE EFFECTS OF DIFFERENTIAL TARGET MULTIPLEXED SCS IN TREATING INTRACTABLE CHRONIC BACK PAIN WITHOUT PREVIOUS LUMBAR SPINE SURGERY: TRACK 3: NEUROSTIMULATION FOR BACK AND LEG PAIN</w:t>
            </w:r>
          </w:p>
        </w:tc>
      </w:tr>
      <w:tr w:rsidR="002252DB" w:rsidRPr="00340EBB" w14:paraId="24DE8F20" w14:textId="77777777" w:rsidTr="00643A5D">
        <w:tc>
          <w:tcPr>
            <w:tcW w:w="1228" w:type="dxa"/>
            <w:tcBorders>
              <w:top w:val="single" w:sz="4" w:space="0" w:color="auto"/>
              <w:bottom w:val="single" w:sz="4" w:space="0" w:color="auto"/>
            </w:tcBorders>
          </w:tcPr>
          <w:p w14:paraId="36D797E8" w14:textId="77777777" w:rsidR="002252DB" w:rsidRPr="00D177E5" w:rsidRDefault="002252DB">
            <w:pPr>
              <w:pStyle w:val="051Tabletext228pt"/>
              <w:rPr>
                <w:b/>
                <w:bCs/>
                <w:lang w:val="en-US"/>
              </w:rPr>
            </w:pPr>
            <w:r w:rsidRPr="00D177E5">
              <w:rPr>
                <w:b/>
                <w:bCs/>
                <w:lang w:val="en-US"/>
              </w:rPr>
              <w:t>PROCESS</w:t>
            </w:r>
          </w:p>
        </w:tc>
        <w:tc>
          <w:tcPr>
            <w:tcW w:w="1228" w:type="dxa"/>
            <w:tcBorders>
              <w:top w:val="single" w:sz="4" w:space="0" w:color="auto"/>
              <w:bottom w:val="single" w:sz="4" w:space="0" w:color="auto"/>
            </w:tcBorders>
          </w:tcPr>
          <w:p w14:paraId="07EB5DC6" w14:textId="77777777" w:rsidR="002252DB" w:rsidRPr="00340EBB" w:rsidRDefault="002252DB">
            <w:pPr>
              <w:pStyle w:val="051Tabletext228pt"/>
              <w:rPr>
                <w:lang w:val="en-US"/>
              </w:rPr>
            </w:pPr>
            <w:r w:rsidRPr="00340EBB">
              <w:rPr>
                <w:lang w:val="en-US"/>
              </w:rPr>
              <w:t>Kumar 2007</w:t>
            </w:r>
          </w:p>
        </w:tc>
        <w:tc>
          <w:tcPr>
            <w:tcW w:w="7136" w:type="dxa"/>
            <w:tcBorders>
              <w:top w:val="single" w:sz="4" w:space="0" w:color="auto"/>
              <w:bottom w:val="single" w:sz="4" w:space="0" w:color="auto"/>
            </w:tcBorders>
          </w:tcPr>
          <w:p w14:paraId="6B793B23" w14:textId="77777777" w:rsidR="002252DB" w:rsidRPr="00340EBB" w:rsidRDefault="002252DB">
            <w:pPr>
              <w:pStyle w:val="051Tabletext228pt"/>
              <w:rPr>
                <w:lang w:val="en-US"/>
              </w:rPr>
            </w:pPr>
            <w:r w:rsidRPr="00340EBB">
              <w:rPr>
                <w:lang w:val="en-US"/>
              </w:rPr>
              <w:t>Factors affecting spinal cord stimulation outcome in chronic benign pain with suggestions to improve success rate</w:t>
            </w:r>
          </w:p>
        </w:tc>
      </w:tr>
      <w:tr w:rsidR="002252DB" w:rsidRPr="00340EBB" w14:paraId="68C013F8" w14:textId="77777777" w:rsidTr="00643A5D">
        <w:tc>
          <w:tcPr>
            <w:tcW w:w="1228" w:type="dxa"/>
            <w:tcBorders>
              <w:top w:val="single" w:sz="4" w:space="0" w:color="auto"/>
              <w:bottom w:val="single" w:sz="4" w:space="0" w:color="auto"/>
            </w:tcBorders>
          </w:tcPr>
          <w:p w14:paraId="09257733" w14:textId="77777777" w:rsidR="002252DB" w:rsidRPr="00D177E5" w:rsidRDefault="002252DB">
            <w:pPr>
              <w:pStyle w:val="051Tabletext228pt"/>
              <w:rPr>
                <w:b/>
                <w:bCs/>
                <w:lang w:val="en-US"/>
              </w:rPr>
            </w:pPr>
            <w:r w:rsidRPr="00D177E5">
              <w:rPr>
                <w:b/>
                <w:bCs/>
              </w:rPr>
              <w:t>SENZA-PDN</w:t>
            </w:r>
          </w:p>
        </w:tc>
        <w:tc>
          <w:tcPr>
            <w:tcW w:w="1228" w:type="dxa"/>
            <w:tcBorders>
              <w:top w:val="single" w:sz="4" w:space="0" w:color="auto"/>
              <w:bottom w:val="single" w:sz="4" w:space="0" w:color="auto"/>
            </w:tcBorders>
          </w:tcPr>
          <w:p w14:paraId="7D5A9852" w14:textId="77777777" w:rsidR="002252DB" w:rsidRPr="00340EBB" w:rsidRDefault="002252DB">
            <w:pPr>
              <w:pStyle w:val="051Tabletext228pt"/>
              <w:rPr>
                <w:lang w:val="en-US"/>
              </w:rPr>
            </w:pPr>
            <w:r w:rsidRPr="00340EBB">
              <w:rPr>
                <w:lang w:val="en-US"/>
              </w:rPr>
              <w:t>Petersen 2022</w:t>
            </w:r>
          </w:p>
        </w:tc>
        <w:tc>
          <w:tcPr>
            <w:tcW w:w="7136" w:type="dxa"/>
            <w:tcBorders>
              <w:top w:val="single" w:sz="4" w:space="0" w:color="auto"/>
              <w:bottom w:val="single" w:sz="4" w:space="0" w:color="auto"/>
            </w:tcBorders>
          </w:tcPr>
          <w:p w14:paraId="179275DB" w14:textId="77777777" w:rsidR="002252DB" w:rsidRPr="00340EBB" w:rsidRDefault="002252DB">
            <w:pPr>
              <w:pStyle w:val="051Tabletext228pt"/>
              <w:rPr>
                <w:lang w:val="en-US"/>
              </w:rPr>
            </w:pPr>
            <w:r w:rsidRPr="00340EBB">
              <w:rPr>
                <w:lang w:val="en-US"/>
              </w:rPr>
              <w:t>High-Frequency 10-kHz Spinal Cord Stimulation Improves Health-Related Quality of Life in Patients With Refractory Painful Diabetic Neuropathy: 12-Month Results From a Randomized Controlled Trial</w:t>
            </w:r>
          </w:p>
        </w:tc>
      </w:tr>
      <w:tr w:rsidR="002252DB" w:rsidRPr="00340EBB" w14:paraId="560355AD" w14:textId="77777777" w:rsidTr="00643A5D">
        <w:tc>
          <w:tcPr>
            <w:tcW w:w="1228" w:type="dxa"/>
            <w:tcBorders>
              <w:top w:val="single" w:sz="4" w:space="0" w:color="auto"/>
              <w:bottom w:val="single" w:sz="4" w:space="0" w:color="auto"/>
            </w:tcBorders>
          </w:tcPr>
          <w:p w14:paraId="2BCB00E3" w14:textId="77777777" w:rsidR="002252DB" w:rsidRPr="00340EBB" w:rsidRDefault="002252DB">
            <w:pPr>
              <w:pStyle w:val="051Tabletext228pt"/>
              <w:rPr>
                <w:lang w:val="en-US"/>
              </w:rPr>
            </w:pPr>
          </w:p>
        </w:tc>
        <w:tc>
          <w:tcPr>
            <w:tcW w:w="1228" w:type="dxa"/>
            <w:tcBorders>
              <w:top w:val="single" w:sz="4" w:space="0" w:color="auto"/>
              <w:bottom w:val="single" w:sz="4" w:space="0" w:color="auto"/>
            </w:tcBorders>
          </w:tcPr>
          <w:p w14:paraId="25EDDE9B" w14:textId="77777777" w:rsidR="002252DB" w:rsidRPr="00340EBB" w:rsidRDefault="002252DB">
            <w:pPr>
              <w:pStyle w:val="051Tabletext228pt"/>
              <w:rPr>
                <w:lang w:val="en-US"/>
              </w:rPr>
            </w:pPr>
            <w:r w:rsidRPr="00340EBB">
              <w:rPr>
                <w:lang w:val="en-US"/>
              </w:rPr>
              <w:t>Petersen 2022</w:t>
            </w:r>
          </w:p>
        </w:tc>
        <w:tc>
          <w:tcPr>
            <w:tcW w:w="7136" w:type="dxa"/>
            <w:tcBorders>
              <w:top w:val="single" w:sz="4" w:space="0" w:color="auto"/>
              <w:bottom w:val="single" w:sz="4" w:space="0" w:color="auto"/>
            </w:tcBorders>
          </w:tcPr>
          <w:p w14:paraId="3181A77E" w14:textId="77777777" w:rsidR="002252DB" w:rsidRPr="00340EBB" w:rsidRDefault="002252DB">
            <w:pPr>
              <w:pStyle w:val="051Tabletext228pt"/>
              <w:rPr>
                <w:lang w:val="en-US"/>
              </w:rPr>
            </w:pPr>
            <w:r w:rsidRPr="00340EBB">
              <w:rPr>
                <w:lang w:val="en-US"/>
              </w:rPr>
              <w:t>Durability of High-Frequency 10-kHz Spinal Cord Stimulation for Patients With Painful Diabetic Neuropathy Refractory to Conventional Treatments: 12-Month Results From a Randomized Controlled Trial</w:t>
            </w:r>
          </w:p>
        </w:tc>
      </w:tr>
    </w:tbl>
    <w:p w14:paraId="58FAC3EF" w14:textId="03EB06E1" w:rsidR="002252DB" w:rsidRDefault="008C5A48" w:rsidP="002252DB">
      <w:pPr>
        <w:pStyle w:val="111Tablefootnoteslast-nostick8pt"/>
      </w:pPr>
      <w:r>
        <w:t xml:space="preserve">Abbreviations: </w:t>
      </w:r>
      <w:r w:rsidR="009500C2">
        <w:t xml:space="preserve">kHz, kilohertz; </w:t>
      </w:r>
      <w:r>
        <w:t>RCT, randomi</w:t>
      </w:r>
      <w:r w:rsidR="00DB18C9">
        <w:t>s</w:t>
      </w:r>
      <w:r>
        <w:t>ed controlled trial; SCS, spinal cord stimulation</w:t>
      </w:r>
    </w:p>
    <w:p w14:paraId="273B8BDB" w14:textId="0A493DF4" w:rsidR="002252DB" w:rsidRDefault="00B13FD9" w:rsidP="00B13FD9">
      <w:pPr>
        <w:pStyle w:val="Caption"/>
        <w:rPr>
          <w:lang w:val="en-US"/>
        </w:rPr>
      </w:pPr>
      <w:bookmarkStart w:id="182" w:name="_Ref134458614"/>
      <w:r>
        <w:t xml:space="preserve">Table App </w:t>
      </w:r>
      <w:fldSimple w:instr=" SEQ Table_App \* ARABIC ">
        <w:r w:rsidR="00CE6ACA">
          <w:rPr>
            <w:noProof/>
          </w:rPr>
          <w:t>11</w:t>
        </w:r>
      </w:fldSimple>
      <w:bookmarkEnd w:id="182"/>
      <w:r w:rsidR="002252DB">
        <w:tab/>
        <w:t>Additional RCT publications</w:t>
      </w:r>
      <w:r w:rsidR="002252DB">
        <w:rPr>
          <w:lang w:val="en-US"/>
        </w:rPr>
        <w:t xml:space="preserve"> </w:t>
      </w:r>
      <w:r w:rsidR="002252DB">
        <w:t>from stakeholder submissions</w:t>
      </w:r>
      <w:r w:rsidR="002252DB" w:rsidRPr="0054260A">
        <w:rPr>
          <w:lang w:val="en-US"/>
        </w:rPr>
        <w:t xml:space="preserve"> </w:t>
      </w:r>
      <w:r w:rsidR="002252DB">
        <w:rPr>
          <w:lang w:val="en-US"/>
        </w:rPr>
        <w:t>for RCTs excluded from either of the</w:t>
      </w:r>
      <w:r w:rsidR="002252DB" w:rsidRPr="0054260A">
        <w:rPr>
          <w:lang w:val="en-US"/>
        </w:rPr>
        <w:t xml:space="preserve"> Cochrane </w:t>
      </w:r>
      <w:r w:rsidR="002E7D2D">
        <w:rPr>
          <w:lang w:val="en-US"/>
        </w:rPr>
        <w:t>r</w:t>
      </w:r>
      <w:r w:rsidR="002252DB">
        <w:rPr>
          <w:lang w:val="en-US"/>
        </w:rPr>
        <w:t>eviews</w:t>
      </w:r>
    </w:p>
    <w:tbl>
      <w:tblPr>
        <w:tblStyle w:val="TableGrid"/>
        <w:tblW w:w="9592" w:type="dxa"/>
        <w:tblBorders>
          <w:insideH w:val="dotted" w:sz="4" w:space="0" w:color="auto"/>
        </w:tblBorders>
        <w:tblLayout w:type="fixed"/>
        <w:tblLook w:val="04A0" w:firstRow="1" w:lastRow="0" w:firstColumn="1" w:lastColumn="0" w:noHBand="0" w:noVBand="1"/>
        <w:tblCaption w:val="Additional RCT publications from stakeholder submissions for RCTs excluded from either of the Cochrane reviews"/>
        <w:tblDescription w:val="Table showing the additional RCT publications from stakeholder submissions for RCTs excluded from either of the Cochrane reviews."/>
      </w:tblPr>
      <w:tblGrid>
        <w:gridCol w:w="1418"/>
        <w:gridCol w:w="1134"/>
        <w:gridCol w:w="7040"/>
      </w:tblGrid>
      <w:tr w:rsidR="002252DB" w:rsidRPr="00340EBB" w14:paraId="18C6FAAC" w14:textId="77777777" w:rsidTr="00643A5D">
        <w:trPr>
          <w:cnfStyle w:val="100000000000" w:firstRow="1" w:lastRow="0" w:firstColumn="0" w:lastColumn="0" w:oddVBand="0" w:evenVBand="0" w:oddHBand="0" w:evenHBand="0" w:firstRowFirstColumn="0" w:firstRowLastColumn="0" w:lastRowFirstColumn="0" w:lastRowLastColumn="0"/>
        </w:trPr>
        <w:tc>
          <w:tcPr>
            <w:tcW w:w="1418" w:type="dxa"/>
            <w:tcBorders>
              <w:top w:val="single" w:sz="4" w:space="0" w:color="auto"/>
              <w:bottom w:val="single" w:sz="4" w:space="0" w:color="auto"/>
            </w:tcBorders>
          </w:tcPr>
          <w:p w14:paraId="327116D8" w14:textId="77777777" w:rsidR="002252DB" w:rsidRPr="00340EBB" w:rsidRDefault="002252DB">
            <w:pPr>
              <w:pStyle w:val="011TableHeading8pt"/>
              <w:rPr>
                <w:lang w:val="en-US"/>
              </w:rPr>
            </w:pPr>
            <w:r>
              <w:rPr>
                <w:lang w:val="en-US"/>
              </w:rPr>
              <w:t>RCT identifier</w:t>
            </w:r>
          </w:p>
        </w:tc>
        <w:tc>
          <w:tcPr>
            <w:tcW w:w="1134" w:type="dxa"/>
            <w:tcBorders>
              <w:top w:val="single" w:sz="4" w:space="0" w:color="auto"/>
              <w:bottom w:val="single" w:sz="4" w:space="0" w:color="auto"/>
            </w:tcBorders>
          </w:tcPr>
          <w:p w14:paraId="37861E7B" w14:textId="638E56C8" w:rsidR="002252DB" w:rsidRPr="00340EBB" w:rsidRDefault="000F4B8A">
            <w:pPr>
              <w:pStyle w:val="011TableHeading8pt"/>
              <w:rPr>
                <w:lang w:val="en-US"/>
              </w:rPr>
            </w:pPr>
            <w:r>
              <w:rPr>
                <w:lang w:val="en-US"/>
              </w:rPr>
              <w:t>Study</w:t>
            </w:r>
            <w:r w:rsidR="002252DB" w:rsidRPr="00340EBB">
              <w:rPr>
                <w:lang w:val="en-US"/>
              </w:rPr>
              <w:t xml:space="preserve"> ID</w:t>
            </w:r>
          </w:p>
        </w:tc>
        <w:tc>
          <w:tcPr>
            <w:tcW w:w="7040" w:type="dxa"/>
            <w:tcBorders>
              <w:top w:val="single" w:sz="4" w:space="0" w:color="auto"/>
              <w:bottom w:val="single" w:sz="4" w:space="0" w:color="auto"/>
            </w:tcBorders>
          </w:tcPr>
          <w:p w14:paraId="2F4C2F7F" w14:textId="77777777" w:rsidR="002252DB" w:rsidRPr="00340EBB" w:rsidRDefault="002252DB">
            <w:pPr>
              <w:pStyle w:val="011TableHeading8pt"/>
              <w:rPr>
                <w:lang w:val="en-US"/>
              </w:rPr>
            </w:pPr>
            <w:r w:rsidRPr="00340EBB">
              <w:rPr>
                <w:lang w:val="en-US"/>
              </w:rPr>
              <w:t>Title</w:t>
            </w:r>
          </w:p>
        </w:tc>
      </w:tr>
      <w:tr w:rsidR="002252DB" w:rsidRPr="00340EBB" w14:paraId="6B52D4D7" w14:textId="77777777" w:rsidTr="00643A5D">
        <w:tc>
          <w:tcPr>
            <w:tcW w:w="1418" w:type="dxa"/>
            <w:tcBorders>
              <w:top w:val="single" w:sz="4" w:space="0" w:color="auto"/>
              <w:bottom w:val="single" w:sz="4" w:space="0" w:color="auto"/>
            </w:tcBorders>
          </w:tcPr>
          <w:p w14:paraId="248B62AA" w14:textId="77777777" w:rsidR="002252DB" w:rsidRPr="00D177E5" w:rsidRDefault="002252DB">
            <w:pPr>
              <w:pStyle w:val="051Tabletext228pt"/>
              <w:rPr>
                <w:b/>
                <w:bCs/>
                <w:lang w:val="en-US"/>
              </w:rPr>
            </w:pPr>
            <w:r w:rsidRPr="00D177E5">
              <w:rPr>
                <w:b/>
                <w:bCs/>
              </w:rPr>
              <w:t xml:space="preserve">ESTIMET </w:t>
            </w:r>
          </w:p>
        </w:tc>
        <w:tc>
          <w:tcPr>
            <w:tcW w:w="1134" w:type="dxa"/>
            <w:tcBorders>
              <w:top w:val="single" w:sz="4" w:space="0" w:color="auto"/>
              <w:bottom w:val="single" w:sz="4" w:space="0" w:color="auto"/>
            </w:tcBorders>
          </w:tcPr>
          <w:p w14:paraId="1254E6DB" w14:textId="77777777" w:rsidR="002252DB" w:rsidRPr="00340EBB" w:rsidRDefault="002252DB">
            <w:pPr>
              <w:pStyle w:val="051Tabletext228pt"/>
              <w:rPr>
                <w:lang w:val="en-US"/>
              </w:rPr>
            </w:pPr>
            <w:proofErr w:type="spellStart"/>
            <w:r w:rsidRPr="00340EBB">
              <w:rPr>
                <w:lang w:val="en-US"/>
              </w:rPr>
              <w:t>Rigoard</w:t>
            </w:r>
            <w:proofErr w:type="spellEnd"/>
            <w:r w:rsidRPr="00340EBB">
              <w:rPr>
                <w:lang w:val="en-US"/>
              </w:rPr>
              <w:t xml:space="preserve"> 2021</w:t>
            </w:r>
          </w:p>
        </w:tc>
        <w:tc>
          <w:tcPr>
            <w:tcW w:w="7040" w:type="dxa"/>
            <w:tcBorders>
              <w:top w:val="single" w:sz="4" w:space="0" w:color="auto"/>
              <w:bottom w:val="single" w:sz="4" w:space="0" w:color="auto"/>
            </w:tcBorders>
          </w:tcPr>
          <w:p w14:paraId="5E2923E4" w14:textId="77777777" w:rsidR="002252DB" w:rsidRPr="00340EBB" w:rsidRDefault="002252DB">
            <w:pPr>
              <w:pStyle w:val="051Tabletext228pt"/>
              <w:rPr>
                <w:lang w:val="en-US"/>
              </w:rPr>
            </w:pPr>
            <w:r w:rsidRPr="00340EBB">
              <w:rPr>
                <w:lang w:val="en-US"/>
              </w:rPr>
              <w:t>How Should we Use Multicolumn Spinal Cord Stimulation to Optimize Back Pain Spatial Neural Targeting? A Prospective, Multicenter, Randomized, Double-Blind, Controlled Trial (ESTIMET Study)</w:t>
            </w:r>
          </w:p>
        </w:tc>
      </w:tr>
      <w:tr w:rsidR="002252DB" w:rsidRPr="00340EBB" w14:paraId="6AE8D211" w14:textId="77777777" w:rsidTr="00643A5D">
        <w:tc>
          <w:tcPr>
            <w:tcW w:w="1418" w:type="dxa"/>
            <w:tcBorders>
              <w:top w:val="single" w:sz="4" w:space="0" w:color="auto"/>
              <w:bottom w:val="single" w:sz="4" w:space="0" w:color="auto"/>
            </w:tcBorders>
          </w:tcPr>
          <w:p w14:paraId="63BC3556" w14:textId="77777777" w:rsidR="002252DB" w:rsidRPr="00D177E5" w:rsidRDefault="002252DB">
            <w:pPr>
              <w:pStyle w:val="051Tabletext228pt"/>
              <w:rPr>
                <w:b/>
                <w:bCs/>
                <w:lang w:val="en-US"/>
              </w:rPr>
            </w:pPr>
            <w:r w:rsidRPr="00D177E5">
              <w:rPr>
                <w:b/>
                <w:bCs/>
              </w:rPr>
              <w:t>EVOKE</w:t>
            </w:r>
          </w:p>
        </w:tc>
        <w:tc>
          <w:tcPr>
            <w:tcW w:w="1134" w:type="dxa"/>
            <w:tcBorders>
              <w:top w:val="single" w:sz="4" w:space="0" w:color="auto"/>
              <w:bottom w:val="single" w:sz="4" w:space="0" w:color="auto"/>
            </w:tcBorders>
          </w:tcPr>
          <w:p w14:paraId="4657208C" w14:textId="77777777" w:rsidR="002252DB" w:rsidRPr="00340EBB" w:rsidRDefault="002252DB">
            <w:pPr>
              <w:pStyle w:val="051Tabletext228pt"/>
              <w:rPr>
                <w:lang w:val="en-US"/>
              </w:rPr>
            </w:pPr>
            <w:proofErr w:type="spellStart"/>
            <w:r w:rsidRPr="00340EBB">
              <w:rPr>
                <w:lang w:val="en-US"/>
              </w:rPr>
              <w:t>Mekhail</w:t>
            </w:r>
            <w:proofErr w:type="spellEnd"/>
            <w:r w:rsidRPr="00340EBB">
              <w:rPr>
                <w:lang w:val="en-US"/>
              </w:rPr>
              <w:t xml:space="preserve"> 2022</w:t>
            </w:r>
          </w:p>
        </w:tc>
        <w:tc>
          <w:tcPr>
            <w:tcW w:w="7040" w:type="dxa"/>
            <w:tcBorders>
              <w:top w:val="single" w:sz="4" w:space="0" w:color="auto"/>
              <w:bottom w:val="single" w:sz="4" w:space="0" w:color="auto"/>
            </w:tcBorders>
          </w:tcPr>
          <w:p w14:paraId="178881D0" w14:textId="77777777" w:rsidR="002252DB" w:rsidRPr="00340EBB" w:rsidRDefault="002252DB">
            <w:pPr>
              <w:pStyle w:val="051Tabletext228pt"/>
              <w:rPr>
                <w:lang w:val="en-US"/>
              </w:rPr>
            </w:pPr>
            <w:r w:rsidRPr="00340EBB">
              <w:rPr>
                <w:lang w:val="en-US"/>
              </w:rPr>
              <w:t>Durability of Clinical and Quality-of-Life Outcomes of Closed-Loop Spinal Cord Stimulation for Chronic Back and Leg Pain: A Secondary Analysis of the Evoke Randomized Clinical Trial</w:t>
            </w:r>
          </w:p>
        </w:tc>
      </w:tr>
      <w:tr w:rsidR="002252DB" w:rsidRPr="00340EBB" w14:paraId="40DE051F" w14:textId="77777777" w:rsidTr="00643A5D">
        <w:tc>
          <w:tcPr>
            <w:tcW w:w="1418" w:type="dxa"/>
            <w:tcBorders>
              <w:top w:val="single" w:sz="4" w:space="0" w:color="auto"/>
              <w:bottom w:val="single" w:sz="4" w:space="0" w:color="auto"/>
            </w:tcBorders>
          </w:tcPr>
          <w:p w14:paraId="00CFB749" w14:textId="77777777" w:rsidR="002252DB" w:rsidRDefault="002252DB">
            <w:pPr>
              <w:pStyle w:val="051Tabletext228pt"/>
              <w:rPr>
                <w:b/>
                <w:bCs/>
                <w:lang w:val="en-US"/>
              </w:rPr>
            </w:pPr>
            <w:r w:rsidRPr="00426D5F">
              <w:rPr>
                <w:b/>
                <w:bCs/>
                <w:lang w:val="en-US"/>
              </w:rPr>
              <w:t>ReActiv8-B</w:t>
            </w:r>
          </w:p>
          <w:p w14:paraId="3BB72E95" w14:textId="77777777" w:rsidR="002252DB" w:rsidRPr="00D177E5" w:rsidRDefault="002252DB">
            <w:pPr>
              <w:pStyle w:val="051Tabletext228pt"/>
              <w:ind w:left="113"/>
              <w:rPr>
                <w:b/>
                <w:bCs/>
              </w:rPr>
            </w:pPr>
            <w:r w:rsidRPr="0071141C">
              <w:rPr>
                <w:lang w:val="en-US"/>
              </w:rPr>
              <w:t>NCT02577354</w:t>
            </w:r>
          </w:p>
        </w:tc>
        <w:tc>
          <w:tcPr>
            <w:tcW w:w="1134" w:type="dxa"/>
            <w:tcBorders>
              <w:top w:val="single" w:sz="4" w:space="0" w:color="auto"/>
              <w:bottom w:val="single" w:sz="4" w:space="0" w:color="auto"/>
            </w:tcBorders>
          </w:tcPr>
          <w:p w14:paraId="7D82D368" w14:textId="77777777" w:rsidR="002252DB" w:rsidRPr="00340EBB" w:rsidRDefault="002252DB">
            <w:pPr>
              <w:pStyle w:val="051Tabletext228pt"/>
              <w:rPr>
                <w:lang w:val="en-US"/>
              </w:rPr>
            </w:pPr>
            <w:r w:rsidRPr="00340EBB">
              <w:rPr>
                <w:lang w:val="en-US"/>
              </w:rPr>
              <w:t>Gilligan 2023</w:t>
            </w:r>
          </w:p>
        </w:tc>
        <w:tc>
          <w:tcPr>
            <w:tcW w:w="7040" w:type="dxa"/>
            <w:tcBorders>
              <w:top w:val="single" w:sz="4" w:space="0" w:color="auto"/>
              <w:bottom w:val="single" w:sz="4" w:space="0" w:color="auto"/>
            </w:tcBorders>
          </w:tcPr>
          <w:p w14:paraId="1EF53AD0" w14:textId="77777777" w:rsidR="002252DB" w:rsidRPr="00340EBB" w:rsidRDefault="002252DB">
            <w:pPr>
              <w:pStyle w:val="051Tabletext228pt"/>
              <w:rPr>
                <w:lang w:val="en-US"/>
              </w:rPr>
            </w:pPr>
            <w:r w:rsidRPr="00340EBB">
              <w:rPr>
                <w:lang w:val="en-US"/>
              </w:rPr>
              <w:t>Long-Term Outcomes of Restorative Neurostimulation in Patients With Refractory Chronic Low Back Pain Secondary to Multifidus Dysfunction: Two-Year Results of the ReActiv8-B Pivotal Trial</w:t>
            </w:r>
          </w:p>
        </w:tc>
      </w:tr>
      <w:tr w:rsidR="002252DB" w:rsidRPr="00340EBB" w14:paraId="682294C0" w14:textId="77777777" w:rsidTr="00643A5D">
        <w:tc>
          <w:tcPr>
            <w:tcW w:w="1418" w:type="dxa"/>
            <w:tcBorders>
              <w:top w:val="single" w:sz="4" w:space="0" w:color="auto"/>
              <w:bottom w:val="single" w:sz="4" w:space="0" w:color="auto"/>
            </w:tcBorders>
          </w:tcPr>
          <w:p w14:paraId="20773BA6" w14:textId="77777777" w:rsidR="002252DB" w:rsidRPr="00D177E5" w:rsidRDefault="002252DB">
            <w:pPr>
              <w:pStyle w:val="051Tabletext228pt"/>
              <w:rPr>
                <w:b/>
                <w:bCs/>
                <w:lang w:val="en-US"/>
              </w:rPr>
            </w:pPr>
            <w:r w:rsidRPr="00D177E5">
              <w:rPr>
                <w:b/>
                <w:bCs/>
                <w:lang w:val="en-US"/>
              </w:rPr>
              <w:t>SENZA-RCT</w:t>
            </w:r>
          </w:p>
        </w:tc>
        <w:tc>
          <w:tcPr>
            <w:tcW w:w="1134" w:type="dxa"/>
            <w:tcBorders>
              <w:top w:val="single" w:sz="4" w:space="0" w:color="auto"/>
              <w:bottom w:val="single" w:sz="4" w:space="0" w:color="auto"/>
            </w:tcBorders>
          </w:tcPr>
          <w:p w14:paraId="19380A6D" w14:textId="77777777" w:rsidR="002252DB" w:rsidRPr="00340EBB" w:rsidRDefault="002252DB">
            <w:pPr>
              <w:pStyle w:val="051Tabletext228pt"/>
              <w:rPr>
                <w:lang w:val="en-US"/>
              </w:rPr>
            </w:pPr>
            <w:proofErr w:type="spellStart"/>
            <w:r w:rsidRPr="00340EBB">
              <w:rPr>
                <w:lang w:val="en-US"/>
              </w:rPr>
              <w:t>Kapural</w:t>
            </w:r>
            <w:proofErr w:type="spellEnd"/>
            <w:r w:rsidRPr="00340EBB">
              <w:rPr>
                <w:lang w:val="en-US"/>
              </w:rPr>
              <w:t xml:space="preserve"> 2016</w:t>
            </w:r>
          </w:p>
        </w:tc>
        <w:tc>
          <w:tcPr>
            <w:tcW w:w="7040" w:type="dxa"/>
            <w:tcBorders>
              <w:top w:val="single" w:sz="4" w:space="0" w:color="auto"/>
              <w:bottom w:val="single" w:sz="4" w:space="0" w:color="auto"/>
            </w:tcBorders>
          </w:tcPr>
          <w:p w14:paraId="15F4B724" w14:textId="77777777" w:rsidR="002252DB" w:rsidRPr="00340EBB" w:rsidRDefault="002252DB">
            <w:pPr>
              <w:pStyle w:val="051Tabletext228pt"/>
              <w:rPr>
                <w:lang w:val="en-US"/>
              </w:rPr>
            </w:pPr>
            <w:r w:rsidRPr="00340EBB">
              <w:rPr>
                <w:lang w:val="en-US"/>
              </w:rPr>
              <w:t>Comparison of 10-kHz High-Frequency and Traditional Low-Frequency Spinal Cord Stimulation for the Treatment of Chronic Back and Leg Pain: 24-Month Results from a Multicenter, Randomized, Controlled Pivotal Trial</w:t>
            </w:r>
          </w:p>
        </w:tc>
      </w:tr>
      <w:tr w:rsidR="002252DB" w:rsidRPr="00340EBB" w14:paraId="00BA5D89" w14:textId="77777777" w:rsidTr="00643A5D">
        <w:tc>
          <w:tcPr>
            <w:tcW w:w="1418" w:type="dxa"/>
            <w:tcBorders>
              <w:top w:val="single" w:sz="4" w:space="0" w:color="auto"/>
              <w:bottom w:val="single" w:sz="4" w:space="0" w:color="auto"/>
            </w:tcBorders>
          </w:tcPr>
          <w:p w14:paraId="11B17E31" w14:textId="77777777" w:rsidR="002252DB" w:rsidRPr="00D177E5" w:rsidRDefault="002252DB">
            <w:pPr>
              <w:pStyle w:val="051Tabletext228pt"/>
              <w:rPr>
                <w:b/>
                <w:bCs/>
                <w:lang w:val="en-US"/>
              </w:rPr>
            </w:pPr>
          </w:p>
        </w:tc>
        <w:tc>
          <w:tcPr>
            <w:tcW w:w="1134" w:type="dxa"/>
            <w:tcBorders>
              <w:top w:val="single" w:sz="4" w:space="0" w:color="auto"/>
              <w:bottom w:val="single" w:sz="4" w:space="0" w:color="auto"/>
            </w:tcBorders>
          </w:tcPr>
          <w:p w14:paraId="6142DB9D" w14:textId="77777777" w:rsidR="002252DB" w:rsidRPr="00340EBB" w:rsidRDefault="002252DB">
            <w:pPr>
              <w:pStyle w:val="051Tabletext228pt"/>
              <w:rPr>
                <w:lang w:val="en-US"/>
              </w:rPr>
            </w:pPr>
            <w:proofErr w:type="spellStart"/>
            <w:r w:rsidRPr="00340EBB">
              <w:rPr>
                <w:lang w:val="en-US"/>
              </w:rPr>
              <w:t>Amirdelfan</w:t>
            </w:r>
            <w:proofErr w:type="spellEnd"/>
            <w:r w:rsidRPr="00340EBB">
              <w:rPr>
                <w:lang w:val="en-US"/>
              </w:rPr>
              <w:t xml:space="preserve"> 2018</w:t>
            </w:r>
          </w:p>
        </w:tc>
        <w:tc>
          <w:tcPr>
            <w:tcW w:w="7040" w:type="dxa"/>
            <w:tcBorders>
              <w:top w:val="single" w:sz="4" w:space="0" w:color="auto"/>
              <w:bottom w:val="single" w:sz="4" w:space="0" w:color="auto"/>
            </w:tcBorders>
          </w:tcPr>
          <w:p w14:paraId="5CF0109E" w14:textId="77777777" w:rsidR="002252DB" w:rsidRPr="00340EBB" w:rsidRDefault="002252DB">
            <w:pPr>
              <w:pStyle w:val="051Tabletext228pt"/>
              <w:rPr>
                <w:lang w:val="en-US"/>
              </w:rPr>
            </w:pPr>
            <w:r w:rsidRPr="00340EBB">
              <w:rPr>
                <w:lang w:val="en-US"/>
              </w:rPr>
              <w:t>Long-term quality of life improvement for chronic intractable back and leg pain patients using spinal cord stimulation: 12-month results from the SENZA-RCT</w:t>
            </w:r>
          </w:p>
        </w:tc>
      </w:tr>
      <w:tr w:rsidR="002252DB" w:rsidRPr="00340EBB" w14:paraId="1E2EF9AF" w14:textId="77777777" w:rsidTr="00643A5D">
        <w:tc>
          <w:tcPr>
            <w:tcW w:w="1418" w:type="dxa"/>
            <w:tcBorders>
              <w:top w:val="single" w:sz="4" w:space="0" w:color="auto"/>
              <w:bottom w:val="single" w:sz="4" w:space="0" w:color="auto"/>
            </w:tcBorders>
          </w:tcPr>
          <w:p w14:paraId="08A305F9" w14:textId="77777777" w:rsidR="002252DB" w:rsidRPr="00D177E5" w:rsidRDefault="002252DB">
            <w:pPr>
              <w:pStyle w:val="051Tabletext228pt"/>
              <w:rPr>
                <w:b/>
                <w:bCs/>
                <w:lang w:val="en-US"/>
              </w:rPr>
            </w:pPr>
            <w:r w:rsidRPr="00D177E5">
              <w:rPr>
                <w:b/>
                <w:bCs/>
                <w:lang w:val="en-US"/>
              </w:rPr>
              <w:t>SUNBURST</w:t>
            </w:r>
          </w:p>
        </w:tc>
        <w:tc>
          <w:tcPr>
            <w:tcW w:w="1134" w:type="dxa"/>
            <w:tcBorders>
              <w:top w:val="single" w:sz="4" w:space="0" w:color="auto"/>
              <w:bottom w:val="single" w:sz="4" w:space="0" w:color="auto"/>
            </w:tcBorders>
          </w:tcPr>
          <w:p w14:paraId="7128D395" w14:textId="77777777" w:rsidR="002252DB" w:rsidRPr="00340EBB" w:rsidRDefault="002252DB">
            <w:pPr>
              <w:pStyle w:val="051Tabletext228pt"/>
              <w:rPr>
                <w:lang w:val="en-US"/>
              </w:rPr>
            </w:pPr>
            <w:r w:rsidRPr="00340EBB">
              <w:rPr>
                <w:lang w:val="en-US"/>
              </w:rPr>
              <w:t>D'Souza 2021</w:t>
            </w:r>
          </w:p>
        </w:tc>
        <w:tc>
          <w:tcPr>
            <w:tcW w:w="7040" w:type="dxa"/>
            <w:tcBorders>
              <w:top w:val="single" w:sz="4" w:space="0" w:color="auto"/>
              <w:bottom w:val="single" w:sz="4" w:space="0" w:color="auto"/>
            </w:tcBorders>
          </w:tcPr>
          <w:p w14:paraId="4649F453" w14:textId="77777777" w:rsidR="002252DB" w:rsidRPr="00340EBB" w:rsidRDefault="002252DB">
            <w:pPr>
              <w:pStyle w:val="051Tabletext228pt"/>
              <w:rPr>
                <w:lang w:val="en-US"/>
              </w:rPr>
            </w:pPr>
            <w:r w:rsidRPr="00340EBB">
              <w:rPr>
                <w:lang w:val="en-US"/>
              </w:rPr>
              <w:t>Neuromodulation With Burst and Tonic Stimulation Decreases Opioid Consumption: A Post Hoc Analysis of the Success Using Neuromodulation With BURST (SUNBURST) Randomized Controlled Trial</w:t>
            </w:r>
          </w:p>
        </w:tc>
      </w:tr>
      <w:tr w:rsidR="002252DB" w:rsidRPr="00340EBB" w14:paraId="3F290AA1" w14:textId="77777777" w:rsidTr="00643A5D">
        <w:tc>
          <w:tcPr>
            <w:tcW w:w="1418" w:type="dxa"/>
            <w:tcBorders>
              <w:top w:val="single" w:sz="4" w:space="0" w:color="auto"/>
              <w:bottom w:val="single" w:sz="4" w:space="0" w:color="auto"/>
            </w:tcBorders>
          </w:tcPr>
          <w:p w14:paraId="0B2D66C6" w14:textId="77777777" w:rsidR="002252DB" w:rsidRPr="00340EBB" w:rsidRDefault="002252DB">
            <w:pPr>
              <w:pStyle w:val="051Tabletext228pt"/>
              <w:rPr>
                <w:lang w:val="en-US"/>
              </w:rPr>
            </w:pPr>
          </w:p>
        </w:tc>
        <w:tc>
          <w:tcPr>
            <w:tcW w:w="1134" w:type="dxa"/>
            <w:tcBorders>
              <w:top w:val="single" w:sz="4" w:space="0" w:color="auto"/>
              <w:bottom w:val="single" w:sz="4" w:space="0" w:color="auto"/>
            </w:tcBorders>
          </w:tcPr>
          <w:p w14:paraId="67CC763F" w14:textId="77777777" w:rsidR="002252DB" w:rsidRPr="00340EBB" w:rsidRDefault="002252DB">
            <w:pPr>
              <w:pStyle w:val="051Tabletext228pt"/>
              <w:rPr>
                <w:lang w:val="en-US"/>
              </w:rPr>
            </w:pPr>
            <w:r w:rsidRPr="00340EBB">
              <w:rPr>
                <w:lang w:val="en-US"/>
              </w:rPr>
              <w:t>Leong 2021</w:t>
            </w:r>
          </w:p>
        </w:tc>
        <w:tc>
          <w:tcPr>
            <w:tcW w:w="7040" w:type="dxa"/>
            <w:tcBorders>
              <w:top w:val="single" w:sz="4" w:space="0" w:color="auto"/>
              <w:bottom w:val="single" w:sz="4" w:space="0" w:color="auto"/>
            </w:tcBorders>
          </w:tcPr>
          <w:p w14:paraId="29E13132" w14:textId="77777777" w:rsidR="002252DB" w:rsidRPr="00340EBB" w:rsidRDefault="002252DB">
            <w:pPr>
              <w:pStyle w:val="051Tabletext228pt"/>
              <w:rPr>
                <w:lang w:val="en-US"/>
              </w:rPr>
            </w:pPr>
            <w:r w:rsidRPr="00340EBB">
              <w:rPr>
                <w:lang w:val="en-US"/>
              </w:rPr>
              <w:t>Potential Therapeutic Effect of Low Amplitude Burst Spinal Cord Stimulation on Pain</w:t>
            </w:r>
          </w:p>
        </w:tc>
      </w:tr>
    </w:tbl>
    <w:p w14:paraId="2489968F" w14:textId="25E9AE3A" w:rsidR="002252DB" w:rsidRDefault="00433937" w:rsidP="002252DB">
      <w:pPr>
        <w:pStyle w:val="111Tablefootnoteslast-nostick8pt"/>
      </w:pPr>
      <w:r>
        <w:t xml:space="preserve">Abbreviations: </w:t>
      </w:r>
      <w:r w:rsidR="00AF5D7F">
        <w:t xml:space="preserve">kHz, kilohertz; </w:t>
      </w:r>
      <w:r>
        <w:t>RCT, randomi</w:t>
      </w:r>
      <w:r w:rsidR="00DB18C9">
        <w:t>s</w:t>
      </w:r>
      <w:r>
        <w:t>ed controlled trial</w:t>
      </w:r>
    </w:p>
    <w:p w14:paraId="39C8753F" w14:textId="755EA082" w:rsidR="002252DB" w:rsidRDefault="00B13FD9" w:rsidP="00B13FD9">
      <w:pPr>
        <w:pStyle w:val="Caption"/>
      </w:pPr>
      <w:bookmarkStart w:id="183" w:name="_Ref134458638"/>
      <w:r>
        <w:t xml:space="preserve">Table App </w:t>
      </w:r>
      <w:fldSimple w:instr=" SEQ Table_App \* ARABIC ">
        <w:r w:rsidR="00CE6ACA">
          <w:rPr>
            <w:noProof/>
          </w:rPr>
          <w:t>12</w:t>
        </w:r>
      </w:fldSimple>
      <w:bookmarkEnd w:id="183"/>
      <w:r w:rsidR="002252DB">
        <w:tab/>
        <w:t>Publications</w:t>
      </w:r>
      <w:r w:rsidR="002252DB">
        <w:rPr>
          <w:lang w:val="en-US"/>
        </w:rPr>
        <w:t xml:space="preserve"> </w:t>
      </w:r>
      <w:r w:rsidR="002252DB">
        <w:t>from stakeholder submissions</w:t>
      </w:r>
      <w:r w:rsidR="002252DB" w:rsidRPr="0054260A">
        <w:rPr>
          <w:lang w:val="en-US"/>
        </w:rPr>
        <w:t xml:space="preserve"> </w:t>
      </w:r>
      <w:r w:rsidR="002252DB">
        <w:rPr>
          <w:lang w:val="en-US"/>
        </w:rPr>
        <w:t>for RCTs not listed in either Cochrane Review</w:t>
      </w:r>
    </w:p>
    <w:tbl>
      <w:tblPr>
        <w:tblStyle w:val="TableGrid"/>
        <w:tblW w:w="9592" w:type="dxa"/>
        <w:tblBorders>
          <w:insideH w:val="dotted" w:sz="4" w:space="0" w:color="auto"/>
        </w:tblBorders>
        <w:tblLayout w:type="fixed"/>
        <w:tblLook w:val="04A0" w:firstRow="1" w:lastRow="0" w:firstColumn="1" w:lastColumn="0" w:noHBand="0" w:noVBand="1"/>
        <w:tblCaption w:val="Publications from stakeholder submissions for RCTs not listed in either Cochrane Review"/>
        <w:tblDescription w:val="Table showing the publications from stakeholder submissions for RCTs not listed in either Cochrane review."/>
      </w:tblPr>
      <w:tblGrid>
        <w:gridCol w:w="1228"/>
        <w:gridCol w:w="1228"/>
        <w:gridCol w:w="7136"/>
      </w:tblGrid>
      <w:tr w:rsidR="002252DB" w:rsidRPr="00340EBB" w14:paraId="2EADC08F" w14:textId="77777777" w:rsidTr="00643A5D">
        <w:trPr>
          <w:cnfStyle w:val="100000000000" w:firstRow="1" w:lastRow="0" w:firstColumn="0" w:lastColumn="0" w:oddVBand="0" w:evenVBand="0" w:oddHBand="0" w:evenHBand="0" w:firstRowFirstColumn="0" w:firstRowLastColumn="0" w:lastRowFirstColumn="0" w:lastRowLastColumn="0"/>
        </w:trPr>
        <w:tc>
          <w:tcPr>
            <w:tcW w:w="1228" w:type="dxa"/>
            <w:tcBorders>
              <w:top w:val="single" w:sz="4" w:space="0" w:color="auto"/>
              <w:bottom w:val="single" w:sz="4" w:space="0" w:color="auto"/>
            </w:tcBorders>
          </w:tcPr>
          <w:p w14:paraId="5A46C9A0" w14:textId="77777777" w:rsidR="002252DB" w:rsidRPr="00340EBB" w:rsidRDefault="002252DB">
            <w:pPr>
              <w:pStyle w:val="011TableHeading8pt"/>
              <w:rPr>
                <w:lang w:val="en-US"/>
              </w:rPr>
            </w:pPr>
            <w:r>
              <w:rPr>
                <w:lang w:val="en-US"/>
              </w:rPr>
              <w:t>RCT identifier</w:t>
            </w:r>
          </w:p>
        </w:tc>
        <w:tc>
          <w:tcPr>
            <w:tcW w:w="1228" w:type="dxa"/>
            <w:tcBorders>
              <w:top w:val="single" w:sz="4" w:space="0" w:color="auto"/>
              <w:bottom w:val="single" w:sz="4" w:space="0" w:color="auto"/>
            </w:tcBorders>
          </w:tcPr>
          <w:p w14:paraId="68B1F3DC" w14:textId="32DC9DAA" w:rsidR="002252DB" w:rsidRPr="00340EBB" w:rsidRDefault="00A7556F">
            <w:pPr>
              <w:pStyle w:val="011TableHeading8pt"/>
              <w:rPr>
                <w:lang w:val="en-US"/>
              </w:rPr>
            </w:pPr>
            <w:r>
              <w:rPr>
                <w:lang w:val="en-US"/>
              </w:rPr>
              <w:t>Study</w:t>
            </w:r>
            <w:r w:rsidR="002252DB" w:rsidRPr="00340EBB">
              <w:rPr>
                <w:lang w:val="en-US"/>
              </w:rPr>
              <w:t xml:space="preserve"> ID</w:t>
            </w:r>
          </w:p>
        </w:tc>
        <w:tc>
          <w:tcPr>
            <w:tcW w:w="7136" w:type="dxa"/>
            <w:tcBorders>
              <w:top w:val="single" w:sz="4" w:space="0" w:color="auto"/>
              <w:bottom w:val="single" w:sz="4" w:space="0" w:color="auto"/>
            </w:tcBorders>
          </w:tcPr>
          <w:p w14:paraId="0DE53EFA" w14:textId="77777777" w:rsidR="002252DB" w:rsidRPr="00340EBB" w:rsidRDefault="002252DB">
            <w:pPr>
              <w:pStyle w:val="011TableHeading8pt"/>
              <w:rPr>
                <w:lang w:val="en-US"/>
              </w:rPr>
            </w:pPr>
            <w:r w:rsidRPr="00340EBB">
              <w:rPr>
                <w:lang w:val="en-US"/>
              </w:rPr>
              <w:t>Title</w:t>
            </w:r>
          </w:p>
        </w:tc>
      </w:tr>
      <w:tr w:rsidR="002252DB" w:rsidRPr="00340EBB" w14:paraId="0BE65FD2" w14:textId="77777777" w:rsidTr="00643A5D">
        <w:tc>
          <w:tcPr>
            <w:tcW w:w="1228" w:type="dxa"/>
            <w:tcBorders>
              <w:top w:val="single" w:sz="4" w:space="0" w:color="auto"/>
              <w:bottom w:val="single" w:sz="4" w:space="0" w:color="auto"/>
            </w:tcBorders>
          </w:tcPr>
          <w:p w14:paraId="5AC0E937" w14:textId="77777777" w:rsidR="002252DB" w:rsidRPr="00426D5F" w:rsidRDefault="002252DB">
            <w:pPr>
              <w:pStyle w:val="051Tabletext228pt"/>
              <w:rPr>
                <w:b/>
                <w:bCs/>
                <w:lang w:val="en-US"/>
              </w:rPr>
            </w:pPr>
            <w:r w:rsidRPr="00426D5F">
              <w:rPr>
                <w:b/>
                <w:bCs/>
                <w:lang w:val="en-US"/>
              </w:rPr>
              <w:t>ACCURATE</w:t>
            </w:r>
          </w:p>
        </w:tc>
        <w:tc>
          <w:tcPr>
            <w:tcW w:w="1228" w:type="dxa"/>
            <w:tcBorders>
              <w:top w:val="single" w:sz="4" w:space="0" w:color="auto"/>
              <w:bottom w:val="single" w:sz="4" w:space="0" w:color="auto"/>
            </w:tcBorders>
          </w:tcPr>
          <w:p w14:paraId="35BFD6D2" w14:textId="77777777" w:rsidR="002252DB" w:rsidRPr="00340EBB" w:rsidRDefault="002252DB">
            <w:pPr>
              <w:pStyle w:val="051Tabletext228pt"/>
              <w:rPr>
                <w:lang w:val="en-US"/>
              </w:rPr>
            </w:pPr>
            <w:r w:rsidRPr="00340EBB">
              <w:rPr>
                <w:lang w:val="en-US"/>
              </w:rPr>
              <w:t>Deer 2017</w:t>
            </w:r>
          </w:p>
        </w:tc>
        <w:tc>
          <w:tcPr>
            <w:tcW w:w="7136" w:type="dxa"/>
            <w:tcBorders>
              <w:top w:val="single" w:sz="4" w:space="0" w:color="auto"/>
              <w:bottom w:val="single" w:sz="4" w:space="0" w:color="auto"/>
            </w:tcBorders>
          </w:tcPr>
          <w:p w14:paraId="1BA10916" w14:textId="77777777" w:rsidR="002252DB" w:rsidRPr="00340EBB" w:rsidRDefault="002252DB">
            <w:pPr>
              <w:pStyle w:val="051Tabletext228pt"/>
              <w:rPr>
                <w:lang w:val="en-US"/>
              </w:rPr>
            </w:pPr>
            <w:r w:rsidRPr="00340EBB">
              <w:rPr>
                <w:lang w:val="en-US"/>
              </w:rPr>
              <w:t>Dorsal root ganglion stimulation yielded higher treatment success rate for complex regional pain syndrome and causalgia at 3 and 12 months: A randomized comparative trial</w:t>
            </w:r>
          </w:p>
        </w:tc>
      </w:tr>
      <w:tr w:rsidR="002252DB" w:rsidRPr="00340EBB" w14:paraId="7B318E59" w14:textId="77777777" w:rsidTr="00643A5D">
        <w:tc>
          <w:tcPr>
            <w:tcW w:w="1228" w:type="dxa"/>
            <w:tcBorders>
              <w:top w:val="single" w:sz="4" w:space="0" w:color="auto"/>
              <w:bottom w:val="single" w:sz="4" w:space="0" w:color="auto"/>
            </w:tcBorders>
          </w:tcPr>
          <w:p w14:paraId="1FF6B210" w14:textId="77777777" w:rsidR="002252DB" w:rsidRPr="00426D5F" w:rsidRDefault="002252DB">
            <w:pPr>
              <w:pStyle w:val="051Tabletext228pt"/>
              <w:rPr>
                <w:b/>
                <w:bCs/>
                <w:lang w:val="en-US"/>
              </w:rPr>
            </w:pPr>
          </w:p>
        </w:tc>
        <w:tc>
          <w:tcPr>
            <w:tcW w:w="1228" w:type="dxa"/>
            <w:tcBorders>
              <w:top w:val="single" w:sz="4" w:space="0" w:color="auto"/>
              <w:bottom w:val="single" w:sz="4" w:space="0" w:color="auto"/>
            </w:tcBorders>
            <w:shd w:val="clear" w:color="auto" w:fill="auto"/>
          </w:tcPr>
          <w:p w14:paraId="5619E12F" w14:textId="77777777" w:rsidR="002252DB" w:rsidRPr="00340EBB" w:rsidRDefault="002252DB">
            <w:pPr>
              <w:pStyle w:val="051Tabletext228pt"/>
              <w:rPr>
                <w:lang w:val="en-US"/>
              </w:rPr>
            </w:pPr>
            <w:r w:rsidRPr="00340EBB">
              <w:rPr>
                <w:lang w:val="en-US"/>
              </w:rPr>
              <w:t>Deer 2019</w:t>
            </w:r>
          </w:p>
        </w:tc>
        <w:tc>
          <w:tcPr>
            <w:tcW w:w="7136" w:type="dxa"/>
            <w:tcBorders>
              <w:top w:val="single" w:sz="4" w:space="0" w:color="auto"/>
              <w:bottom w:val="single" w:sz="4" w:space="0" w:color="auto"/>
            </w:tcBorders>
            <w:shd w:val="clear" w:color="auto" w:fill="auto"/>
          </w:tcPr>
          <w:p w14:paraId="39E0ABF4" w14:textId="77777777" w:rsidR="002252DB" w:rsidRPr="00340EBB" w:rsidRDefault="002252DB">
            <w:pPr>
              <w:pStyle w:val="051Tabletext228pt"/>
              <w:rPr>
                <w:lang w:val="en-US"/>
              </w:rPr>
            </w:pPr>
            <w:r w:rsidRPr="00340EBB">
              <w:rPr>
                <w:lang w:val="en-US"/>
              </w:rPr>
              <w:t>Comparison of Paresthesia Coverage of Patient's Pain: Dorsal Root Ganglion vs. Spinal Cord Stimulation. An ACCURATE Study Sub-Analysis</w:t>
            </w:r>
          </w:p>
        </w:tc>
      </w:tr>
      <w:tr w:rsidR="002252DB" w:rsidRPr="00340EBB" w14:paraId="341321FE" w14:textId="77777777" w:rsidTr="00643A5D">
        <w:tc>
          <w:tcPr>
            <w:tcW w:w="1228" w:type="dxa"/>
            <w:tcBorders>
              <w:top w:val="single" w:sz="4" w:space="0" w:color="auto"/>
              <w:bottom w:val="single" w:sz="4" w:space="0" w:color="auto"/>
            </w:tcBorders>
          </w:tcPr>
          <w:p w14:paraId="372EDCF3" w14:textId="77777777" w:rsidR="002252DB" w:rsidRPr="00426D5F" w:rsidRDefault="002252DB">
            <w:pPr>
              <w:pStyle w:val="051Tabletext228pt"/>
              <w:rPr>
                <w:b/>
                <w:bCs/>
                <w:lang w:val="en-US"/>
              </w:rPr>
            </w:pPr>
          </w:p>
        </w:tc>
        <w:tc>
          <w:tcPr>
            <w:tcW w:w="1228" w:type="dxa"/>
            <w:tcBorders>
              <w:top w:val="single" w:sz="4" w:space="0" w:color="auto"/>
              <w:bottom w:val="single" w:sz="4" w:space="0" w:color="auto"/>
            </w:tcBorders>
          </w:tcPr>
          <w:p w14:paraId="1BDF306B" w14:textId="77777777" w:rsidR="002252DB" w:rsidRPr="00340EBB" w:rsidRDefault="002252DB">
            <w:pPr>
              <w:pStyle w:val="051Tabletext228pt"/>
              <w:rPr>
                <w:lang w:val="en-US"/>
              </w:rPr>
            </w:pPr>
            <w:r w:rsidRPr="00340EBB">
              <w:rPr>
                <w:lang w:val="en-US"/>
              </w:rPr>
              <w:t>Levy 2020</w:t>
            </w:r>
          </w:p>
        </w:tc>
        <w:tc>
          <w:tcPr>
            <w:tcW w:w="7136" w:type="dxa"/>
            <w:tcBorders>
              <w:top w:val="single" w:sz="4" w:space="0" w:color="auto"/>
              <w:bottom w:val="single" w:sz="4" w:space="0" w:color="auto"/>
            </w:tcBorders>
          </w:tcPr>
          <w:p w14:paraId="5C51400D" w14:textId="77777777" w:rsidR="002252DB" w:rsidRPr="00340EBB" w:rsidRDefault="002252DB">
            <w:pPr>
              <w:pStyle w:val="051Tabletext228pt"/>
              <w:rPr>
                <w:lang w:val="en-US"/>
              </w:rPr>
            </w:pPr>
            <w:r w:rsidRPr="00340EBB">
              <w:rPr>
                <w:lang w:val="en-US"/>
              </w:rPr>
              <w:t>Therapy Habituation at 12 Months: Spinal Cord Stimulation Versus Dorsal Root Ganglion Stimulation for Complex Regional Pain Syndrome Type I and II</w:t>
            </w:r>
          </w:p>
        </w:tc>
      </w:tr>
      <w:tr w:rsidR="002252DB" w:rsidRPr="00340EBB" w14:paraId="0FA01BCC" w14:textId="77777777" w:rsidTr="00643A5D">
        <w:tc>
          <w:tcPr>
            <w:tcW w:w="1228" w:type="dxa"/>
            <w:tcBorders>
              <w:top w:val="single" w:sz="4" w:space="0" w:color="auto"/>
              <w:bottom w:val="single" w:sz="4" w:space="0" w:color="auto"/>
            </w:tcBorders>
          </w:tcPr>
          <w:p w14:paraId="5D0BDCFF" w14:textId="77777777" w:rsidR="002252DB" w:rsidRPr="00426D5F" w:rsidRDefault="002252DB">
            <w:pPr>
              <w:pStyle w:val="051Tabletext228pt"/>
              <w:rPr>
                <w:b/>
                <w:bCs/>
                <w:lang w:val="en-US"/>
              </w:rPr>
            </w:pPr>
            <w:r w:rsidRPr="00426D5F">
              <w:rPr>
                <w:b/>
                <w:bCs/>
              </w:rPr>
              <w:t>COMBO</w:t>
            </w:r>
          </w:p>
        </w:tc>
        <w:tc>
          <w:tcPr>
            <w:tcW w:w="1228" w:type="dxa"/>
            <w:tcBorders>
              <w:top w:val="single" w:sz="4" w:space="0" w:color="auto"/>
              <w:bottom w:val="single" w:sz="4" w:space="0" w:color="auto"/>
            </w:tcBorders>
          </w:tcPr>
          <w:p w14:paraId="2B2A06AB" w14:textId="77777777" w:rsidR="002252DB" w:rsidRPr="00340EBB" w:rsidRDefault="002252DB">
            <w:pPr>
              <w:pStyle w:val="051Tabletext228pt"/>
              <w:rPr>
                <w:lang w:val="en-US"/>
              </w:rPr>
            </w:pPr>
            <w:r w:rsidRPr="00340EBB">
              <w:rPr>
                <w:lang w:val="en-US"/>
              </w:rPr>
              <w:t>Wallace 2022</w:t>
            </w:r>
          </w:p>
        </w:tc>
        <w:tc>
          <w:tcPr>
            <w:tcW w:w="7136" w:type="dxa"/>
            <w:tcBorders>
              <w:top w:val="single" w:sz="4" w:space="0" w:color="auto"/>
              <w:bottom w:val="single" w:sz="4" w:space="0" w:color="auto"/>
            </w:tcBorders>
          </w:tcPr>
          <w:p w14:paraId="064E9468" w14:textId="77777777" w:rsidR="002252DB" w:rsidRPr="00340EBB" w:rsidRDefault="002252DB">
            <w:pPr>
              <w:pStyle w:val="051Tabletext228pt"/>
              <w:rPr>
                <w:lang w:val="en-US"/>
              </w:rPr>
            </w:pPr>
            <w:r w:rsidRPr="00340EBB">
              <w:rPr>
                <w:lang w:val="en-US"/>
              </w:rPr>
              <w:t>ID:16146 Two-Year Outcomes of an SCS System Capable of Multiple Neurostimulation Modalities: A Randomized Controlled Trial</w:t>
            </w:r>
          </w:p>
        </w:tc>
      </w:tr>
      <w:tr w:rsidR="002252DB" w:rsidRPr="00340EBB" w14:paraId="4677E52A" w14:textId="77777777" w:rsidTr="00643A5D">
        <w:tc>
          <w:tcPr>
            <w:tcW w:w="1228" w:type="dxa"/>
            <w:tcBorders>
              <w:top w:val="single" w:sz="4" w:space="0" w:color="auto"/>
              <w:bottom w:val="single" w:sz="4" w:space="0" w:color="auto"/>
            </w:tcBorders>
          </w:tcPr>
          <w:p w14:paraId="0C571590" w14:textId="77777777" w:rsidR="002252DB" w:rsidRPr="00426D5F" w:rsidRDefault="002252DB">
            <w:pPr>
              <w:pStyle w:val="051Tabletext228pt"/>
              <w:rPr>
                <w:b/>
                <w:bCs/>
                <w:lang w:val="en-US"/>
              </w:rPr>
            </w:pPr>
          </w:p>
        </w:tc>
        <w:tc>
          <w:tcPr>
            <w:tcW w:w="1228" w:type="dxa"/>
            <w:tcBorders>
              <w:top w:val="single" w:sz="4" w:space="0" w:color="auto"/>
              <w:bottom w:val="single" w:sz="4" w:space="0" w:color="auto"/>
            </w:tcBorders>
          </w:tcPr>
          <w:p w14:paraId="03E2EE7D" w14:textId="77777777" w:rsidR="002252DB" w:rsidRPr="00340EBB" w:rsidRDefault="002252DB">
            <w:pPr>
              <w:pStyle w:val="051Tabletext228pt"/>
              <w:rPr>
                <w:lang w:val="en-US"/>
              </w:rPr>
            </w:pPr>
            <w:r w:rsidRPr="00340EBB">
              <w:rPr>
                <w:lang w:val="en-US"/>
              </w:rPr>
              <w:t>Wallace 2023</w:t>
            </w:r>
          </w:p>
        </w:tc>
        <w:tc>
          <w:tcPr>
            <w:tcW w:w="7136" w:type="dxa"/>
            <w:tcBorders>
              <w:top w:val="single" w:sz="4" w:space="0" w:color="auto"/>
              <w:bottom w:val="single" w:sz="4" w:space="0" w:color="auto"/>
            </w:tcBorders>
          </w:tcPr>
          <w:p w14:paraId="33E3D53A" w14:textId="77777777" w:rsidR="002252DB" w:rsidRPr="00340EBB" w:rsidRDefault="002252DB">
            <w:pPr>
              <w:pStyle w:val="051Tabletext228pt"/>
              <w:rPr>
                <w:lang w:val="en-US"/>
              </w:rPr>
            </w:pPr>
            <w:r w:rsidRPr="00340EBB">
              <w:rPr>
                <w:lang w:val="en-US"/>
              </w:rPr>
              <w:t>Combination therapy with simultaneous delivery of spinal cord stimulation modalities: COMBO randomized controlled trial</w:t>
            </w:r>
          </w:p>
        </w:tc>
      </w:tr>
      <w:tr w:rsidR="002252DB" w:rsidRPr="00340EBB" w14:paraId="5D3AFB40" w14:textId="77777777" w:rsidTr="00643A5D">
        <w:tc>
          <w:tcPr>
            <w:tcW w:w="1228" w:type="dxa"/>
            <w:tcBorders>
              <w:top w:val="single" w:sz="4" w:space="0" w:color="auto"/>
              <w:bottom w:val="single" w:sz="4" w:space="0" w:color="auto"/>
            </w:tcBorders>
          </w:tcPr>
          <w:p w14:paraId="009F66F6" w14:textId="77777777" w:rsidR="002252DB" w:rsidRPr="00426D5F" w:rsidRDefault="002252DB">
            <w:pPr>
              <w:pStyle w:val="051Tabletext228pt"/>
              <w:rPr>
                <w:b/>
                <w:bCs/>
                <w:lang w:val="en-US"/>
              </w:rPr>
            </w:pPr>
            <w:r w:rsidRPr="00426D5F">
              <w:rPr>
                <w:b/>
                <w:bCs/>
                <w:lang w:val="en-US"/>
              </w:rPr>
              <w:t>HALO RCT</w:t>
            </w:r>
          </w:p>
        </w:tc>
        <w:tc>
          <w:tcPr>
            <w:tcW w:w="1228" w:type="dxa"/>
            <w:tcBorders>
              <w:top w:val="single" w:sz="4" w:space="0" w:color="auto"/>
              <w:bottom w:val="single" w:sz="4" w:space="0" w:color="auto"/>
            </w:tcBorders>
          </w:tcPr>
          <w:p w14:paraId="7E3D91A7" w14:textId="77777777" w:rsidR="002252DB" w:rsidRPr="00340EBB" w:rsidRDefault="002252DB">
            <w:pPr>
              <w:pStyle w:val="051Tabletext228pt"/>
              <w:rPr>
                <w:lang w:val="en-US"/>
              </w:rPr>
            </w:pPr>
            <w:proofErr w:type="spellStart"/>
            <w:r w:rsidRPr="00340EBB">
              <w:rPr>
                <w:lang w:val="en-US"/>
              </w:rPr>
              <w:t>Breel</w:t>
            </w:r>
            <w:proofErr w:type="spellEnd"/>
            <w:r w:rsidRPr="00340EBB">
              <w:rPr>
                <w:lang w:val="en-US"/>
              </w:rPr>
              <w:t xml:space="preserve"> 2021</w:t>
            </w:r>
          </w:p>
        </w:tc>
        <w:tc>
          <w:tcPr>
            <w:tcW w:w="7136" w:type="dxa"/>
            <w:tcBorders>
              <w:top w:val="single" w:sz="4" w:space="0" w:color="auto"/>
              <w:bottom w:val="single" w:sz="4" w:space="0" w:color="auto"/>
            </w:tcBorders>
          </w:tcPr>
          <w:p w14:paraId="1B09ACE8" w14:textId="77777777" w:rsidR="002252DB" w:rsidRPr="00340EBB" w:rsidRDefault="002252DB">
            <w:pPr>
              <w:pStyle w:val="051Tabletext228pt"/>
              <w:rPr>
                <w:lang w:val="en-US"/>
              </w:rPr>
            </w:pPr>
            <w:r w:rsidRPr="00340EBB">
              <w:rPr>
                <w:lang w:val="en-US"/>
              </w:rPr>
              <w:t>A Comparison of 1000 Hz to 30 Hz Spinal Cord Stimulation Strategies in Patients with Unilateral Neuropathic Leg Pain Due to Failed Back Surgery Syndrome: A Multicenter, Randomized, Double-Blinded, Crossover Clinical Study (HALO)</w:t>
            </w:r>
          </w:p>
        </w:tc>
      </w:tr>
      <w:tr w:rsidR="002252DB" w:rsidRPr="00340EBB" w14:paraId="159C7EFC" w14:textId="77777777" w:rsidTr="00643A5D">
        <w:tc>
          <w:tcPr>
            <w:tcW w:w="1228" w:type="dxa"/>
            <w:tcBorders>
              <w:top w:val="single" w:sz="4" w:space="0" w:color="auto"/>
              <w:bottom w:val="single" w:sz="4" w:space="0" w:color="auto"/>
            </w:tcBorders>
          </w:tcPr>
          <w:p w14:paraId="3AC59E37" w14:textId="77777777" w:rsidR="002252DB" w:rsidRPr="00426D5F" w:rsidRDefault="002252DB">
            <w:pPr>
              <w:pStyle w:val="051Tabletext228pt"/>
              <w:rPr>
                <w:b/>
                <w:bCs/>
                <w:lang w:val="en-US"/>
              </w:rPr>
            </w:pPr>
            <w:proofErr w:type="spellStart"/>
            <w:r w:rsidRPr="00426D5F">
              <w:rPr>
                <w:b/>
                <w:bCs/>
              </w:rPr>
              <w:lastRenderedPageBreak/>
              <w:t>RestoreSensor</w:t>
            </w:r>
            <w:proofErr w:type="spellEnd"/>
          </w:p>
        </w:tc>
        <w:tc>
          <w:tcPr>
            <w:tcW w:w="1228" w:type="dxa"/>
            <w:tcBorders>
              <w:top w:val="single" w:sz="4" w:space="0" w:color="auto"/>
              <w:bottom w:val="single" w:sz="4" w:space="0" w:color="auto"/>
            </w:tcBorders>
          </w:tcPr>
          <w:p w14:paraId="4A538743" w14:textId="77777777" w:rsidR="002252DB" w:rsidRPr="00340EBB" w:rsidRDefault="002252DB">
            <w:pPr>
              <w:pStyle w:val="051Tabletext228pt"/>
              <w:rPr>
                <w:lang w:val="en-US"/>
              </w:rPr>
            </w:pPr>
            <w:r w:rsidRPr="00340EBB">
              <w:rPr>
                <w:lang w:val="en-US"/>
              </w:rPr>
              <w:t>Schultz 2012</w:t>
            </w:r>
          </w:p>
        </w:tc>
        <w:tc>
          <w:tcPr>
            <w:tcW w:w="7136" w:type="dxa"/>
            <w:tcBorders>
              <w:top w:val="single" w:sz="4" w:space="0" w:color="auto"/>
              <w:bottom w:val="single" w:sz="4" w:space="0" w:color="auto"/>
            </w:tcBorders>
          </w:tcPr>
          <w:p w14:paraId="0178E2AC" w14:textId="77777777" w:rsidR="002252DB" w:rsidRPr="00340EBB" w:rsidRDefault="002252DB">
            <w:pPr>
              <w:pStyle w:val="051Tabletext228pt"/>
              <w:rPr>
                <w:lang w:val="en-US"/>
              </w:rPr>
            </w:pPr>
            <w:r w:rsidRPr="00340EBB">
              <w:rPr>
                <w:lang w:val="en-US"/>
              </w:rPr>
              <w:t>Sensor-driven position-adaptive spinal cord stimulation for chronic pain</w:t>
            </w:r>
          </w:p>
        </w:tc>
      </w:tr>
      <w:tr w:rsidR="002252DB" w:rsidRPr="00340EBB" w14:paraId="2DBE0378" w14:textId="77777777" w:rsidTr="00643A5D">
        <w:tc>
          <w:tcPr>
            <w:tcW w:w="1228" w:type="dxa"/>
            <w:tcBorders>
              <w:top w:val="single" w:sz="4" w:space="0" w:color="auto"/>
              <w:bottom w:val="single" w:sz="4" w:space="0" w:color="auto"/>
            </w:tcBorders>
          </w:tcPr>
          <w:p w14:paraId="2FC03A41" w14:textId="77777777" w:rsidR="002252DB" w:rsidRPr="00340EBB" w:rsidRDefault="002252DB">
            <w:pPr>
              <w:pStyle w:val="051Tabletext228pt"/>
              <w:rPr>
                <w:lang w:val="en-US"/>
              </w:rPr>
            </w:pPr>
            <w:r>
              <w:t>PFNS a</w:t>
            </w:r>
            <w:r w:rsidRPr="00553493">
              <w:t>dd-on</w:t>
            </w:r>
            <w:r>
              <w:t xml:space="preserve"> trial</w:t>
            </w:r>
          </w:p>
        </w:tc>
        <w:tc>
          <w:tcPr>
            <w:tcW w:w="1228" w:type="dxa"/>
            <w:tcBorders>
              <w:top w:val="single" w:sz="4" w:space="0" w:color="auto"/>
              <w:bottom w:val="single" w:sz="4" w:space="0" w:color="auto"/>
            </w:tcBorders>
          </w:tcPr>
          <w:p w14:paraId="7C879122" w14:textId="77777777" w:rsidR="002252DB" w:rsidRPr="00340EBB" w:rsidRDefault="002252DB">
            <w:pPr>
              <w:pStyle w:val="051Tabletext228pt"/>
              <w:rPr>
                <w:lang w:val="en-US"/>
              </w:rPr>
            </w:pPr>
            <w:r w:rsidRPr="00340EBB">
              <w:rPr>
                <w:lang w:val="en-US"/>
              </w:rPr>
              <w:t>van Gorp 2019</w:t>
            </w:r>
          </w:p>
        </w:tc>
        <w:tc>
          <w:tcPr>
            <w:tcW w:w="7136" w:type="dxa"/>
            <w:tcBorders>
              <w:top w:val="single" w:sz="4" w:space="0" w:color="auto"/>
              <w:bottom w:val="single" w:sz="4" w:space="0" w:color="auto"/>
            </w:tcBorders>
          </w:tcPr>
          <w:p w14:paraId="77D7D2C7" w14:textId="77777777" w:rsidR="002252DB" w:rsidRPr="00340EBB" w:rsidRDefault="002252DB">
            <w:pPr>
              <w:pStyle w:val="051Tabletext228pt"/>
              <w:rPr>
                <w:lang w:val="en-US"/>
              </w:rPr>
            </w:pPr>
            <w:r w:rsidRPr="00340EBB">
              <w:rPr>
                <w:lang w:val="en-US"/>
              </w:rPr>
              <w:t>Long-Term Effect of Peripheral Nerve Field Stimulation as Add-On Therapy to Spinal Cord Stimulation to Treat Low Back Pain in Failed Back Surgery Syndrome Patients: A 12-Month Follow-Up of a Randomized Controlled Study</w:t>
            </w:r>
          </w:p>
        </w:tc>
      </w:tr>
      <w:tr w:rsidR="002252DB" w:rsidRPr="00340EBB" w14:paraId="0AD3FE6B" w14:textId="77777777" w:rsidTr="00643A5D">
        <w:tc>
          <w:tcPr>
            <w:tcW w:w="1228" w:type="dxa"/>
            <w:tcBorders>
              <w:top w:val="single" w:sz="4" w:space="0" w:color="auto"/>
              <w:bottom w:val="single" w:sz="4" w:space="0" w:color="auto"/>
            </w:tcBorders>
          </w:tcPr>
          <w:p w14:paraId="6D97F113" w14:textId="77777777" w:rsidR="002252DB" w:rsidRPr="00340EBB" w:rsidRDefault="002252DB">
            <w:pPr>
              <w:pStyle w:val="051Tabletext228pt"/>
              <w:rPr>
                <w:lang w:val="en-US"/>
              </w:rPr>
            </w:pPr>
          </w:p>
        </w:tc>
        <w:tc>
          <w:tcPr>
            <w:tcW w:w="1228" w:type="dxa"/>
            <w:tcBorders>
              <w:top w:val="single" w:sz="4" w:space="0" w:color="auto"/>
              <w:bottom w:val="single" w:sz="4" w:space="0" w:color="auto"/>
            </w:tcBorders>
          </w:tcPr>
          <w:p w14:paraId="790867FA" w14:textId="77777777" w:rsidR="002252DB" w:rsidRPr="00340EBB" w:rsidRDefault="002252DB">
            <w:pPr>
              <w:pStyle w:val="051Tabletext228pt"/>
              <w:rPr>
                <w:lang w:val="en-US"/>
              </w:rPr>
            </w:pPr>
            <w:r w:rsidRPr="00340EBB">
              <w:rPr>
                <w:lang w:val="en-US"/>
              </w:rPr>
              <w:t xml:space="preserve">Van </w:t>
            </w:r>
            <w:proofErr w:type="spellStart"/>
            <w:r w:rsidRPr="00340EBB">
              <w:rPr>
                <w:lang w:val="en-US"/>
              </w:rPr>
              <w:t>Heteren</w:t>
            </w:r>
            <w:proofErr w:type="spellEnd"/>
            <w:r w:rsidRPr="00340EBB">
              <w:rPr>
                <w:lang w:val="en-US"/>
              </w:rPr>
              <w:t xml:space="preserve"> 2022</w:t>
            </w:r>
          </w:p>
        </w:tc>
        <w:tc>
          <w:tcPr>
            <w:tcW w:w="7136" w:type="dxa"/>
            <w:tcBorders>
              <w:top w:val="single" w:sz="4" w:space="0" w:color="auto"/>
              <w:bottom w:val="single" w:sz="4" w:space="0" w:color="auto"/>
            </w:tcBorders>
          </w:tcPr>
          <w:p w14:paraId="5289C83F" w14:textId="77777777" w:rsidR="002252DB" w:rsidRPr="00340EBB" w:rsidRDefault="002252DB">
            <w:pPr>
              <w:pStyle w:val="051Tabletext228pt"/>
              <w:rPr>
                <w:lang w:val="en-US"/>
              </w:rPr>
            </w:pPr>
            <w:r w:rsidRPr="00340EBB">
              <w:rPr>
                <w:lang w:val="en-US"/>
              </w:rPr>
              <w:t>SPINAL CORD STIMULATION WITH ADDITIONAL PERIPHERAL NERVE FIELD STIMULATION VERSUS SPINAL CORD STIMULATION ALONE ON BACK PAIN AND QUALITY OF LIFE IN PATIENTS WITH FAILED BACK SURGERY SYNDROME</w:t>
            </w:r>
          </w:p>
        </w:tc>
      </w:tr>
      <w:tr w:rsidR="002252DB" w:rsidRPr="00340EBB" w14:paraId="6C49A31D" w14:textId="77777777" w:rsidTr="00643A5D">
        <w:tc>
          <w:tcPr>
            <w:tcW w:w="1228" w:type="dxa"/>
            <w:tcBorders>
              <w:top w:val="single" w:sz="4" w:space="0" w:color="auto"/>
              <w:bottom w:val="single" w:sz="4" w:space="0" w:color="auto"/>
            </w:tcBorders>
          </w:tcPr>
          <w:p w14:paraId="01D40712" w14:textId="77777777" w:rsidR="002252DB" w:rsidRPr="00340EBB" w:rsidRDefault="002252DB">
            <w:pPr>
              <w:pStyle w:val="051Tabletext228pt"/>
              <w:rPr>
                <w:lang w:val="en-US"/>
              </w:rPr>
            </w:pPr>
          </w:p>
        </w:tc>
        <w:tc>
          <w:tcPr>
            <w:tcW w:w="1228" w:type="dxa"/>
            <w:tcBorders>
              <w:top w:val="single" w:sz="4" w:space="0" w:color="auto"/>
              <w:bottom w:val="single" w:sz="4" w:space="0" w:color="auto"/>
            </w:tcBorders>
          </w:tcPr>
          <w:p w14:paraId="3E1FF9DB" w14:textId="77777777" w:rsidR="002252DB" w:rsidRPr="00340EBB" w:rsidRDefault="002252DB">
            <w:pPr>
              <w:pStyle w:val="051Tabletext228pt"/>
              <w:rPr>
                <w:lang w:val="en-US"/>
              </w:rPr>
            </w:pPr>
            <w:r w:rsidRPr="00340EBB">
              <w:rPr>
                <w:lang w:val="en-US"/>
              </w:rPr>
              <w:t>van Roosendaal 2023</w:t>
            </w:r>
          </w:p>
        </w:tc>
        <w:tc>
          <w:tcPr>
            <w:tcW w:w="7136" w:type="dxa"/>
            <w:tcBorders>
              <w:top w:val="single" w:sz="4" w:space="0" w:color="auto"/>
              <w:bottom w:val="single" w:sz="4" w:space="0" w:color="auto"/>
            </w:tcBorders>
          </w:tcPr>
          <w:p w14:paraId="6BC128DD" w14:textId="77777777" w:rsidR="002252DB" w:rsidRPr="00340EBB" w:rsidRDefault="002252DB">
            <w:pPr>
              <w:pStyle w:val="051Tabletext228pt"/>
              <w:rPr>
                <w:lang w:val="en-US"/>
              </w:rPr>
            </w:pPr>
            <w:r w:rsidRPr="00340EBB">
              <w:rPr>
                <w:lang w:val="en-US"/>
              </w:rPr>
              <w:t>Subcutaneous Stimulation as Add-on Therapy to Spinal Cord Stimulation in Patients With Persistent Spinal Pain Syndrome Significantly Increases the Total Electrical Charge per Second: Aspects on Stimulation Parameters and Energy Requirements of the Implanted Neurostimulators</w:t>
            </w:r>
          </w:p>
        </w:tc>
      </w:tr>
      <w:tr w:rsidR="002252DB" w:rsidRPr="00340EBB" w14:paraId="3B2AB471" w14:textId="77777777" w:rsidTr="00643A5D">
        <w:tc>
          <w:tcPr>
            <w:tcW w:w="1228" w:type="dxa"/>
            <w:tcBorders>
              <w:top w:val="single" w:sz="4" w:space="0" w:color="auto"/>
              <w:bottom w:val="single" w:sz="4" w:space="0" w:color="auto"/>
            </w:tcBorders>
          </w:tcPr>
          <w:p w14:paraId="6003810D" w14:textId="02C6E2B7" w:rsidR="002252DB" w:rsidRPr="00CE3143" w:rsidRDefault="00CE3143">
            <w:pPr>
              <w:pStyle w:val="051Tabletext228pt"/>
              <w:rPr>
                <w:b/>
                <w:lang w:val="en-US"/>
              </w:rPr>
            </w:pPr>
            <w:r w:rsidRPr="00CE3143">
              <w:rPr>
                <w:b/>
                <w:bCs/>
                <w:lang w:val="en-US"/>
              </w:rPr>
              <w:t>SUFR</w:t>
            </w:r>
          </w:p>
        </w:tc>
        <w:tc>
          <w:tcPr>
            <w:tcW w:w="1228" w:type="dxa"/>
            <w:tcBorders>
              <w:top w:val="single" w:sz="4" w:space="0" w:color="auto"/>
              <w:bottom w:val="single" w:sz="4" w:space="0" w:color="auto"/>
            </w:tcBorders>
          </w:tcPr>
          <w:p w14:paraId="017AB0C2" w14:textId="77777777" w:rsidR="002252DB" w:rsidRPr="00340EBB" w:rsidRDefault="002252DB">
            <w:pPr>
              <w:pStyle w:val="051Tabletext228pt"/>
              <w:rPr>
                <w:lang w:val="en-US"/>
              </w:rPr>
            </w:pPr>
            <w:proofErr w:type="spellStart"/>
            <w:r w:rsidRPr="00340EBB">
              <w:rPr>
                <w:lang w:val="en-US"/>
              </w:rPr>
              <w:t>Bolash</w:t>
            </w:r>
            <w:proofErr w:type="spellEnd"/>
            <w:r w:rsidRPr="00340EBB">
              <w:rPr>
                <w:lang w:val="en-US"/>
              </w:rPr>
              <w:t xml:space="preserve"> 2019</w:t>
            </w:r>
          </w:p>
        </w:tc>
        <w:tc>
          <w:tcPr>
            <w:tcW w:w="7136" w:type="dxa"/>
            <w:tcBorders>
              <w:top w:val="single" w:sz="4" w:space="0" w:color="auto"/>
              <w:bottom w:val="single" w:sz="4" w:space="0" w:color="auto"/>
            </w:tcBorders>
          </w:tcPr>
          <w:p w14:paraId="5ADBBE91" w14:textId="77777777" w:rsidR="002252DB" w:rsidRPr="00340EBB" w:rsidRDefault="002252DB">
            <w:pPr>
              <w:pStyle w:val="051Tabletext228pt"/>
              <w:rPr>
                <w:lang w:val="en-US"/>
              </w:rPr>
            </w:pPr>
            <w:r w:rsidRPr="00340EBB">
              <w:rPr>
                <w:lang w:val="en-US"/>
              </w:rPr>
              <w:t xml:space="preserve">Wireless High-Frequency Spinal Cord Stimulation (10 kHz) Compared with </w:t>
            </w:r>
            <w:proofErr w:type="spellStart"/>
            <w:r w:rsidRPr="00340EBB">
              <w:rPr>
                <w:lang w:val="en-US"/>
              </w:rPr>
              <w:t>Multiwaveform</w:t>
            </w:r>
            <w:proofErr w:type="spellEnd"/>
            <w:r w:rsidRPr="00340EBB">
              <w:rPr>
                <w:lang w:val="en-US"/>
              </w:rPr>
              <w:t xml:space="preserve"> Low-Frequency Spinal Cord Stimulation in the Management of Chronic Pain in Failed Back Surgery Syndrome Subjects: Preliminary Results of a Multicenter, Prospective Randomized Controlled Study</w:t>
            </w:r>
          </w:p>
        </w:tc>
      </w:tr>
      <w:tr w:rsidR="002252DB" w:rsidRPr="00340EBB" w14:paraId="72C69528" w14:textId="77777777" w:rsidTr="00643A5D">
        <w:tc>
          <w:tcPr>
            <w:tcW w:w="1228" w:type="dxa"/>
            <w:tcBorders>
              <w:top w:val="single" w:sz="4" w:space="0" w:color="auto"/>
              <w:bottom w:val="single" w:sz="4" w:space="0" w:color="auto"/>
            </w:tcBorders>
          </w:tcPr>
          <w:p w14:paraId="70592A57" w14:textId="77777777" w:rsidR="002252DB" w:rsidRPr="00340EBB" w:rsidRDefault="002252DB">
            <w:pPr>
              <w:pStyle w:val="051Tabletext228pt"/>
              <w:rPr>
                <w:lang w:val="en-US"/>
              </w:rPr>
            </w:pPr>
            <w:r>
              <w:rPr>
                <w:lang w:val="en-US"/>
              </w:rPr>
              <w:t>–</w:t>
            </w:r>
          </w:p>
        </w:tc>
        <w:tc>
          <w:tcPr>
            <w:tcW w:w="1228" w:type="dxa"/>
            <w:tcBorders>
              <w:top w:val="single" w:sz="4" w:space="0" w:color="auto"/>
              <w:bottom w:val="single" w:sz="4" w:space="0" w:color="auto"/>
            </w:tcBorders>
          </w:tcPr>
          <w:p w14:paraId="27BA3CE6" w14:textId="77777777" w:rsidR="002252DB" w:rsidRPr="00340EBB" w:rsidRDefault="002252DB">
            <w:pPr>
              <w:pStyle w:val="051Tabletext228pt"/>
              <w:rPr>
                <w:lang w:val="en-US"/>
              </w:rPr>
            </w:pPr>
            <w:proofErr w:type="spellStart"/>
            <w:r w:rsidRPr="00340EBB">
              <w:rPr>
                <w:lang w:val="en-US"/>
              </w:rPr>
              <w:t>Canós-Verdecho</w:t>
            </w:r>
            <w:proofErr w:type="spellEnd"/>
            <w:r w:rsidRPr="00340EBB">
              <w:rPr>
                <w:lang w:val="en-US"/>
              </w:rPr>
              <w:t xml:space="preserve"> 2021</w:t>
            </w:r>
          </w:p>
        </w:tc>
        <w:tc>
          <w:tcPr>
            <w:tcW w:w="7136" w:type="dxa"/>
            <w:tcBorders>
              <w:top w:val="single" w:sz="4" w:space="0" w:color="auto"/>
              <w:bottom w:val="single" w:sz="4" w:space="0" w:color="auto"/>
            </w:tcBorders>
          </w:tcPr>
          <w:p w14:paraId="2EBF0F9C" w14:textId="77777777" w:rsidR="002252DB" w:rsidRPr="00340EBB" w:rsidRDefault="002252DB">
            <w:pPr>
              <w:pStyle w:val="051Tabletext228pt"/>
              <w:rPr>
                <w:lang w:val="en-US"/>
              </w:rPr>
            </w:pPr>
            <w:r w:rsidRPr="00340EBB">
              <w:rPr>
                <w:lang w:val="en-US"/>
              </w:rPr>
              <w:t>Randomized Prospective Study in Patients With Complex Regional Pain Syndrome of the Upper Limb With High-Frequency Spinal Cord Stimulation (10-kHz) and Low-Frequency Spinal Cord Stimulation</w:t>
            </w:r>
          </w:p>
        </w:tc>
      </w:tr>
      <w:tr w:rsidR="002252DB" w:rsidRPr="00340EBB" w14:paraId="024CAA9E" w14:textId="77777777" w:rsidTr="00643A5D">
        <w:tc>
          <w:tcPr>
            <w:tcW w:w="1228" w:type="dxa"/>
            <w:tcBorders>
              <w:top w:val="single" w:sz="4" w:space="0" w:color="auto"/>
              <w:bottom w:val="single" w:sz="4" w:space="0" w:color="auto"/>
            </w:tcBorders>
          </w:tcPr>
          <w:p w14:paraId="4755164B" w14:textId="77777777" w:rsidR="002252DB" w:rsidRPr="00340EBB" w:rsidRDefault="002252DB">
            <w:pPr>
              <w:pStyle w:val="051Tabletext228pt"/>
              <w:rPr>
                <w:lang w:val="en-US"/>
              </w:rPr>
            </w:pPr>
            <w:r>
              <w:rPr>
                <w:lang w:val="en-US"/>
              </w:rPr>
              <w:softHyphen/>
              <w:t>–</w:t>
            </w:r>
          </w:p>
        </w:tc>
        <w:tc>
          <w:tcPr>
            <w:tcW w:w="1228" w:type="dxa"/>
            <w:tcBorders>
              <w:top w:val="single" w:sz="4" w:space="0" w:color="auto"/>
              <w:bottom w:val="single" w:sz="4" w:space="0" w:color="auto"/>
            </w:tcBorders>
          </w:tcPr>
          <w:p w14:paraId="26451157" w14:textId="77777777" w:rsidR="002252DB" w:rsidRPr="00340EBB" w:rsidRDefault="002252DB">
            <w:pPr>
              <w:pStyle w:val="051Tabletext228pt"/>
              <w:rPr>
                <w:lang w:val="en-US"/>
              </w:rPr>
            </w:pPr>
            <w:r w:rsidRPr="00340EBB">
              <w:rPr>
                <w:lang w:val="en-US"/>
              </w:rPr>
              <w:t>Fishman 2021</w:t>
            </w:r>
          </w:p>
        </w:tc>
        <w:tc>
          <w:tcPr>
            <w:tcW w:w="7136" w:type="dxa"/>
            <w:tcBorders>
              <w:top w:val="single" w:sz="4" w:space="0" w:color="auto"/>
              <w:bottom w:val="single" w:sz="4" w:space="0" w:color="auto"/>
            </w:tcBorders>
          </w:tcPr>
          <w:p w14:paraId="42B70521" w14:textId="77777777" w:rsidR="002252DB" w:rsidRPr="00340EBB" w:rsidRDefault="002252DB">
            <w:pPr>
              <w:pStyle w:val="051Tabletext228pt"/>
              <w:rPr>
                <w:lang w:val="en-US"/>
              </w:rPr>
            </w:pPr>
            <w:r w:rsidRPr="00340EBB">
              <w:rPr>
                <w:lang w:val="en-US"/>
              </w:rPr>
              <w:t>Twelve-Month results from multicenter, open-label, randomized controlled clinical trial comparing differential target multiplexed spinal cord stimulation and traditional spinal cord stimulation in subjects with chronic intractable back pain and leg pain</w:t>
            </w:r>
          </w:p>
        </w:tc>
      </w:tr>
    </w:tbl>
    <w:p w14:paraId="523A2AE4" w14:textId="6557AB96" w:rsidR="002252DB" w:rsidRDefault="00395058" w:rsidP="002252DB">
      <w:pPr>
        <w:pStyle w:val="111Tablefootnoteslast-nostick8pt"/>
      </w:pPr>
      <w:r>
        <w:t xml:space="preserve">Abbreviations: </w:t>
      </w:r>
      <w:r w:rsidR="00D66AAF">
        <w:t xml:space="preserve">Hz, hertz; </w:t>
      </w:r>
      <w:r w:rsidR="00DC4287">
        <w:t xml:space="preserve">kHz, kilohertz; </w:t>
      </w:r>
      <w:r w:rsidR="00D66AAF">
        <w:t>RCT, randomi</w:t>
      </w:r>
      <w:r w:rsidR="00375593">
        <w:t>s</w:t>
      </w:r>
      <w:r w:rsidR="00D66AAF">
        <w:t>ed controlled trial</w:t>
      </w:r>
    </w:p>
    <w:p w14:paraId="1C8C4F37" w14:textId="64A16046" w:rsidR="002252DB" w:rsidRDefault="00B13FD9" w:rsidP="00B13FD9">
      <w:pPr>
        <w:pStyle w:val="Caption"/>
        <w:rPr>
          <w:lang w:val="en-US"/>
        </w:rPr>
      </w:pPr>
      <w:bookmarkStart w:id="184" w:name="_Ref134458846"/>
      <w:r>
        <w:t xml:space="preserve">Table App </w:t>
      </w:r>
      <w:fldSimple w:instr=" SEQ Table_App \* ARABIC ">
        <w:r w:rsidR="00CE6ACA">
          <w:rPr>
            <w:noProof/>
          </w:rPr>
          <w:t>13</w:t>
        </w:r>
      </w:fldSimple>
      <w:bookmarkEnd w:id="184"/>
      <w:r w:rsidR="002252DB">
        <w:tab/>
        <w:t>Non-comparative studies from stakeholder submissions (incl. on/off and before/after studies)</w:t>
      </w:r>
    </w:p>
    <w:tbl>
      <w:tblPr>
        <w:tblStyle w:val="TableGrid"/>
        <w:tblW w:w="0" w:type="auto"/>
        <w:tblBorders>
          <w:insideH w:val="dotted" w:sz="4" w:space="0" w:color="auto"/>
        </w:tblBorders>
        <w:tblLook w:val="04A0" w:firstRow="1" w:lastRow="0" w:firstColumn="1" w:lastColumn="0" w:noHBand="0" w:noVBand="1"/>
        <w:tblCaption w:val="Non-comparative studies from stakeholder submissions (incl. on/off and before/after studies)"/>
        <w:tblDescription w:val="Table showing non-comparative studies from stakeholder submissions (including on/off and before/after studies)."/>
      </w:tblPr>
      <w:tblGrid>
        <w:gridCol w:w="1120"/>
        <w:gridCol w:w="8518"/>
      </w:tblGrid>
      <w:tr w:rsidR="002252DB" w:rsidRPr="00D5537F" w14:paraId="757DE87C" w14:textId="77777777" w:rsidTr="00643A5D">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tcPr>
          <w:p w14:paraId="4DC7A80D" w14:textId="64A88B64" w:rsidR="002252DB" w:rsidRPr="00D5537F" w:rsidRDefault="00DC4287">
            <w:pPr>
              <w:pStyle w:val="011TableHeading8pt"/>
              <w:rPr>
                <w:lang w:val="en-US"/>
              </w:rPr>
            </w:pPr>
            <w:r>
              <w:rPr>
                <w:lang w:val="en-US"/>
              </w:rPr>
              <w:t>Study</w:t>
            </w:r>
            <w:r w:rsidR="002252DB" w:rsidRPr="00D5537F">
              <w:rPr>
                <w:lang w:val="en-US"/>
              </w:rPr>
              <w:t xml:space="preserve"> ID</w:t>
            </w:r>
          </w:p>
        </w:tc>
        <w:tc>
          <w:tcPr>
            <w:tcW w:w="0" w:type="auto"/>
            <w:tcBorders>
              <w:bottom w:val="single" w:sz="4" w:space="0" w:color="auto"/>
            </w:tcBorders>
          </w:tcPr>
          <w:p w14:paraId="7F86E7F7" w14:textId="77777777" w:rsidR="002252DB" w:rsidRPr="00D5537F" w:rsidRDefault="002252DB">
            <w:pPr>
              <w:pStyle w:val="011TableHeading8pt"/>
              <w:rPr>
                <w:lang w:val="en-US"/>
              </w:rPr>
            </w:pPr>
            <w:r w:rsidRPr="00D5537F">
              <w:rPr>
                <w:lang w:val="en-US"/>
              </w:rPr>
              <w:t>Title</w:t>
            </w:r>
          </w:p>
        </w:tc>
      </w:tr>
      <w:tr w:rsidR="002252DB" w:rsidRPr="00D5537F" w14:paraId="79F0F6AA" w14:textId="77777777" w:rsidTr="00643A5D">
        <w:tc>
          <w:tcPr>
            <w:tcW w:w="0" w:type="auto"/>
            <w:tcBorders>
              <w:top w:val="single" w:sz="4" w:space="0" w:color="auto"/>
              <w:bottom w:val="single" w:sz="4" w:space="0" w:color="auto"/>
            </w:tcBorders>
          </w:tcPr>
          <w:p w14:paraId="7A4CE3B1" w14:textId="77777777" w:rsidR="002252DB" w:rsidRPr="00D5537F" w:rsidRDefault="002252DB">
            <w:pPr>
              <w:pStyle w:val="041Tabletext008pt"/>
              <w:rPr>
                <w:lang w:val="en-US"/>
              </w:rPr>
            </w:pPr>
            <w:r w:rsidRPr="00D5537F">
              <w:rPr>
                <w:lang w:val="en-US"/>
              </w:rPr>
              <w:t>Al-</w:t>
            </w:r>
            <w:proofErr w:type="spellStart"/>
            <w:r w:rsidRPr="00D5537F">
              <w:rPr>
                <w:lang w:val="en-US"/>
              </w:rPr>
              <w:t>Kaisy</w:t>
            </w:r>
            <w:proofErr w:type="spellEnd"/>
            <w:r w:rsidRPr="00D5537F">
              <w:rPr>
                <w:lang w:val="en-US"/>
              </w:rPr>
              <w:t xml:space="preserve"> 2014</w:t>
            </w:r>
          </w:p>
        </w:tc>
        <w:tc>
          <w:tcPr>
            <w:tcW w:w="0" w:type="auto"/>
            <w:tcBorders>
              <w:top w:val="single" w:sz="4" w:space="0" w:color="auto"/>
              <w:bottom w:val="single" w:sz="4" w:space="0" w:color="auto"/>
            </w:tcBorders>
          </w:tcPr>
          <w:p w14:paraId="72C7E6DF" w14:textId="77777777" w:rsidR="002252DB" w:rsidRPr="00D5537F" w:rsidRDefault="002252DB">
            <w:pPr>
              <w:pStyle w:val="041Tabletext008pt"/>
              <w:rPr>
                <w:lang w:val="en-US"/>
              </w:rPr>
            </w:pPr>
            <w:r w:rsidRPr="00D5537F">
              <w:rPr>
                <w:lang w:val="en-US"/>
              </w:rPr>
              <w:t>Sustained effectiveness of 10 kHz high-frequency spinal cord stimulation for patients with chronic, low back pain: 24-month results of a prospective multicenter study</w:t>
            </w:r>
          </w:p>
        </w:tc>
      </w:tr>
      <w:tr w:rsidR="002252DB" w:rsidRPr="00D5537F" w14:paraId="7510B48A" w14:textId="77777777" w:rsidTr="00643A5D">
        <w:tc>
          <w:tcPr>
            <w:tcW w:w="0" w:type="auto"/>
            <w:tcBorders>
              <w:top w:val="single" w:sz="4" w:space="0" w:color="auto"/>
              <w:bottom w:val="single" w:sz="4" w:space="0" w:color="auto"/>
            </w:tcBorders>
          </w:tcPr>
          <w:p w14:paraId="2C33C920" w14:textId="77777777" w:rsidR="002252DB" w:rsidRPr="00D5537F" w:rsidRDefault="002252DB">
            <w:pPr>
              <w:pStyle w:val="041Tabletext008pt"/>
              <w:rPr>
                <w:lang w:val="en-US"/>
              </w:rPr>
            </w:pPr>
            <w:r w:rsidRPr="00D5537F">
              <w:rPr>
                <w:lang w:val="en-US"/>
              </w:rPr>
              <w:t>Al-</w:t>
            </w:r>
            <w:proofErr w:type="spellStart"/>
            <w:r w:rsidRPr="00D5537F">
              <w:rPr>
                <w:lang w:val="en-US"/>
              </w:rPr>
              <w:t>Kaisy</w:t>
            </w:r>
            <w:proofErr w:type="spellEnd"/>
            <w:r w:rsidRPr="00D5537F">
              <w:rPr>
                <w:lang w:val="en-US"/>
              </w:rPr>
              <w:t xml:space="preserve"> 2018</w:t>
            </w:r>
          </w:p>
        </w:tc>
        <w:tc>
          <w:tcPr>
            <w:tcW w:w="0" w:type="auto"/>
            <w:tcBorders>
              <w:top w:val="single" w:sz="4" w:space="0" w:color="auto"/>
              <w:bottom w:val="single" w:sz="4" w:space="0" w:color="auto"/>
            </w:tcBorders>
          </w:tcPr>
          <w:p w14:paraId="59B7A3B8" w14:textId="77777777" w:rsidR="002252DB" w:rsidRPr="00D5537F" w:rsidRDefault="002252DB">
            <w:pPr>
              <w:pStyle w:val="041Tabletext008pt"/>
              <w:rPr>
                <w:lang w:val="en-US"/>
              </w:rPr>
            </w:pPr>
            <w:r w:rsidRPr="00D5537F">
              <w:rPr>
                <w:lang w:val="en-US"/>
              </w:rPr>
              <w:t>Long-term improvements in chronic axial low back pain patients without previous spinal surgery: A cohort analysis of 10-kHz high-frequency spinal cord stimulation over 36 months</w:t>
            </w:r>
          </w:p>
        </w:tc>
      </w:tr>
      <w:tr w:rsidR="002252DB" w:rsidRPr="00D5537F" w14:paraId="22B38383" w14:textId="77777777" w:rsidTr="00643A5D">
        <w:tc>
          <w:tcPr>
            <w:tcW w:w="0" w:type="auto"/>
            <w:tcBorders>
              <w:top w:val="single" w:sz="4" w:space="0" w:color="auto"/>
              <w:bottom w:val="single" w:sz="4" w:space="0" w:color="auto"/>
            </w:tcBorders>
          </w:tcPr>
          <w:p w14:paraId="1CEB0526" w14:textId="77777777" w:rsidR="002252DB" w:rsidRPr="00D5537F" w:rsidRDefault="002252DB">
            <w:pPr>
              <w:pStyle w:val="041Tabletext008pt"/>
              <w:rPr>
                <w:lang w:val="en-US"/>
              </w:rPr>
            </w:pPr>
            <w:r w:rsidRPr="00D5537F">
              <w:rPr>
                <w:lang w:val="en-US"/>
              </w:rPr>
              <w:t>Al-</w:t>
            </w:r>
            <w:proofErr w:type="spellStart"/>
            <w:r w:rsidRPr="00D5537F">
              <w:rPr>
                <w:lang w:val="en-US"/>
              </w:rPr>
              <w:t>Kaisy</w:t>
            </w:r>
            <w:proofErr w:type="spellEnd"/>
            <w:r w:rsidRPr="00D5537F">
              <w:rPr>
                <w:lang w:val="en-US"/>
              </w:rPr>
              <w:t xml:space="preserve"> 2020</w:t>
            </w:r>
          </w:p>
        </w:tc>
        <w:tc>
          <w:tcPr>
            <w:tcW w:w="0" w:type="auto"/>
            <w:tcBorders>
              <w:top w:val="single" w:sz="4" w:space="0" w:color="auto"/>
              <w:bottom w:val="single" w:sz="4" w:space="0" w:color="auto"/>
            </w:tcBorders>
          </w:tcPr>
          <w:p w14:paraId="7F3155BF" w14:textId="77777777" w:rsidR="002252DB" w:rsidRPr="00D5537F" w:rsidRDefault="002252DB">
            <w:pPr>
              <w:pStyle w:val="041Tabletext008pt"/>
              <w:rPr>
                <w:lang w:val="en-US"/>
              </w:rPr>
            </w:pPr>
            <w:r w:rsidRPr="00D5537F">
              <w:rPr>
                <w:lang w:val="en-US"/>
              </w:rPr>
              <w:t>Explant rates of electrical neuromodulation devices in 1177 patients in a single center over an 11-year period</w:t>
            </w:r>
          </w:p>
        </w:tc>
      </w:tr>
      <w:tr w:rsidR="002252DB" w:rsidRPr="00D5537F" w14:paraId="2DC6C23D" w14:textId="77777777" w:rsidTr="00643A5D">
        <w:tc>
          <w:tcPr>
            <w:tcW w:w="0" w:type="auto"/>
            <w:tcBorders>
              <w:top w:val="single" w:sz="4" w:space="0" w:color="auto"/>
              <w:bottom w:val="single" w:sz="4" w:space="0" w:color="auto"/>
            </w:tcBorders>
          </w:tcPr>
          <w:p w14:paraId="5BC90DA2" w14:textId="77777777" w:rsidR="002252DB" w:rsidRPr="00D5537F" w:rsidRDefault="002252DB">
            <w:pPr>
              <w:pStyle w:val="041Tabletext008pt"/>
              <w:rPr>
                <w:lang w:val="en-US"/>
              </w:rPr>
            </w:pPr>
            <w:r w:rsidRPr="00D5537F">
              <w:rPr>
                <w:lang w:val="en-US"/>
              </w:rPr>
              <w:t>Al-</w:t>
            </w:r>
            <w:proofErr w:type="spellStart"/>
            <w:r w:rsidRPr="00D5537F">
              <w:rPr>
                <w:lang w:val="en-US"/>
              </w:rPr>
              <w:t>Kaisy</w:t>
            </w:r>
            <w:proofErr w:type="spellEnd"/>
            <w:r w:rsidRPr="00D5537F">
              <w:rPr>
                <w:lang w:val="en-US"/>
              </w:rPr>
              <w:t xml:space="preserve"> 2020</w:t>
            </w:r>
          </w:p>
        </w:tc>
        <w:tc>
          <w:tcPr>
            <w:tcW w:w="0" w:type="auto"/>
            <w:tcBorders>
              <w:top w:val="single" w:sz="4" w:space="0" w:color="auto"/>
              <w:bottom w:val="single" w:sz="4" w:space="0" w:color="auto"/>
            </w:tcBorders>
          </w:tcPr>
          <w:p w14:paraId="4B1CDFE9" w14:textId="77777777" w:rsidR="002252DB" w:rsidRPr="00D5537F" w:rsidRDefault="002252DB">
            <w:pPr>
              <w:pStyle w:val="041Tabletext008pt"/>
              <w:rPr>
                <w:lang w:val="en-US"/>
              </w:rPr>
            </w:pPr>
            <w:r w:rsidRPr="00D5537F">
              <w:rPr>
                <w:lang w:val="en-US"/>
              </w:rPr>
              <w:t xml:space="preserve">10 kHz spinal cord stimulation for the treatment of non-surgical refractory back pain: </w:t>
            </w:r>
            <w:proofErr w:type="spellStart"/>
            <w:r w:rsidRPr="00D5537F">
              <w:rPr>
                <w:lang w:val="en-US"/>
              </w:rPr>
              <w:t>subanalysis</w:t>
            </w:r>
            <w:proofErr w:type="spellEnd"/>
            <w:r w:rsidRPr="00D5537F">
              <w:rPr>
                <w:lang w:val="en-US"/>
              </w:rPr>
              <w:t xml:space="preserve"> of pooled data from two prospective studies</w:t>
            </w:r>
          </w:p>
        </w:tc>
      </w:tr>
      <w:tr w:rsidR="002252DB" w:rsidRPr="00D5537F" w14:paraId="5B3E12D4" w14:textId="77777777" w:rsidTr="00643A5D">
        <w:tc>
          <w:tcPr>
            <w:tcW w:w="0" w:type="auto"/>
            <w:tcBorders>
              <w:top w:val="single" w:sz="4" w:space="0" w:color="auto"/>
              <w:bottom w:val="single" w:sz="4" w:space="0" w:color="auto"/>
            </w:tcBorders>
          </w:tcPr>
          <w:p w14:paraId="3D167AC6" w14:textId="77777777" w:rsidR="002252DB" w:rsidRPr="00D5537F" w:rsidRDefault="002252DB">
            <w:pPr>
              <w:pStyle w:val="041Tabletext008pt"/>
              <w:rPr>
                <w:lang w:val="en-US"/>
              </w:rPr>
            </w:pPr>
            <w:proofErr w:type="spellStart"/>
            <w:r w:rsidRPr="00D5537F">
              <w:rPr>
                <w:lang w:val="en-US"/>
              </w:rPr>
              <w:t>Amirdelfan</w:t>
            </w:r>
            <w:proofErr w:type="spellEnd"/>
            <w:r w:rsidRPr="00D5537F">
              <w:rPr>
                <w:lang w:val="en-US"/>
              </w:rPr>
              <w:t xml:space="preserve"> 2020</w:t>
            </w:r>
          </w:p>
        </w:tc>
        <w:tc>
          <w:tcPr>
            <w:tcW w:w="0" w:type="auto"/>
            <w:tcBorders>
              <w:top w:val="single" w:sz="4" w:space="0" w:color="auto"/>
              <w:bottom w:val="single" w:sz="4" w:space="0" w:color="auto"/>
            </w:tcBorders>
          </w:tcPr>
          <w:p w14:paraId="2270C4E4" w14:textId="77777777" w:rsidR="002252DB" w:rsidRPr="00D5537F" w:rsidRDefault="002252DB">
            <w:pPr>
              <w:pStyle w:val="041Tabletext008pt"/>
              <w:rPr>
                <w:lang w:val="en-US"/>
              </w:rPr>
            </w:pPr>
            <w:r w:rsidRPr="00D5537F">
              <w:rPr>
                <w:lang w:val="en-US"/>
              </w:rPr>
              <w:t>High-Frequency spinal cord stimulation at 10 kHz for the treatment of combined neck and arm pain: Results from a prospective multicenter study</w:t>
            </w:r>
          </w:p>
        </w:tc>
      </w:tr>
      <w:tr w:rsidR="002252DB" w:rsidRPr="00D5537F" w14:paraId="7210B88A" w14:textId="77777777" w:rsidTr="00643A5D">
        <w:tc>
          <w:tcPr>
            <w:tcW w:w="0" w:type="auto"/>
            <w:tcBorders>
              <w:top w:val="single" w:sz="4" w:space="0" w:color="auto"/>
              <w:bottom w:val="single" w:sz="4" w:space="0" w:color="auto"/>
            </w:tcBorders>
          </w:tcPr>
          <w:p w14:paraId="77652B19" w14:textId="77777777" w:rsidR="002252DB" w:rsidRPr="00D5537F" w:rsidRDefault="002252DB">
            <w:pPr>
              <w:pStyle w:val="041Tabletext008pt"/>
              <w:rPr>
                <w:lang w:val="en-US"/>
              </w:rPr>
            </w:pPr>
            <w:r w:rsidRPr="00D5537F">
              <w:rPr>
                <w:lang w:val="en-US"/>
              </w:rPr>
              <w:t>Benyamin 2020</w:t>
            </w:r>
          </w:p>
        </w:tc>
        <w:tc>
          <w:tcPr>
            <w:tcW w:w="0" w:type="auto"/>
            <w:tcBorders>
              <w:top w:val="single" w:sz="4" w:space="0" w:color="auto"/>
              <w:bottom w:val="single" w:sz="4" w:space="0" w:color="auto"/>
            </w:tcBorders>
          </w:tcPr>
          <w:p w14:paraId="7F336759" w14:textId="77777777" w:rsidR="002252DB" w:rsidRPr="00D5537F" w:rsidRDefault="002252DB">
            <w:pPr>
              <w:pStyle w:val="041Tabletext008pt"/>
              <w:rPr>
                <w:lang w:val="en-US"/>
              </w:rPr>
            </w:pPr>
            <w:r w:rsidRPr="00D5537F">
              <w:rPr>
                <w:lang w:val="en-US"/>
              </w:rPr>
              <w:t>Options: A prospective, open-label study of high-dose spinal cord stimulation in patients with chronic back and leg pain</w:t>
            </w:r>
          </w:p>
        </w:tc>
      </w:tr>
      <w:tr w:rsidR="002252DB" w:rsidRPr="00D5537F" w14:paraId="7A22BCB4" w14:textId="77777777" w:rsidTr="00643A5D">
        <w:tc>
          <w:tcPr>
            <w:tcW w:w="0" w:type="auto"/>
            <w:tcBorders>
              <w:top w:val="single" w:sz="4" w:space="0" w:color="auto"/>
              <w:bottom w:val="single" w:sz="4" w:space="0" w:color="auto"/>
            </w:tcBorders>
          </w:tcPr>
          <w:p w14:paraId="0684860A" w14:textId="77777777" w:rsidR="002252DB" w:rsidRPr="00D5537F" w:rsidRDefault="002252DB">
            <w:pPr>
              <w:pStyle w:val="041Tabletext008pt"/>
              <w:rPr>
                <w:lang w:val="en-US"/>
              </w:rPr>
            </w:pPr>
            <w:proofErr w:type="spellStart"/>
            <w:r w:rsidRPr="00D5537F">
              <w:rPr>
                <w:lang w:val="en-US"/>
              </w:rPr>
              <w:t>Brinzeu</w:t>
            </w:r>
            <w:proofErr w:type="spellEnd"/>
            <w:r w:rsidRPr="00D5537F">
              <w:rPr>
                <w:lang w:val="en-US"/>
              </w:rPr>
              <w:t xml:space="preserve"> 2019</w:t>
            </w:r>
          </w:p>
        </w:tc>
        <w:tc>
          <w:tcPr>
            <w:tcW w:w="0" w:type="auto"/>
            <w:tcBorders>
              <w:top w:val="single" w:sz="4" w:space="0" w:color="auto"/>
              <w:bottom w:val="single" w:sz="4" w:space="0" w:color="auto"/>
            </w:tcBorders>
          </w:tcPr>
          <w:p w14:paraId="2516E382" w14:textId="77777777" w:rsidR="002252DB" w:rsidRPr="00D5537F" w:rsidRDefault="002252DB">
            <w:pPr>
              <w:pStyle w:val="041Tabletext008pt"/>
              <w:rPr>
                <w:lang w:val="en-US"/>
              </w:rPr>
            </w:pPr>
            <w:r w:rsidRPr="00D5537F">
              <w:rPr>
                <w:lang w:val="en-US"/>
              </w:rPr>
              <w:t xml:space="preserve">Spinal cord stimulation for chronic refractory pain: Long-term effectiveness and safety data from a </w:t>
            </w:r>
            <w:proofErr w:type="spellStart"/>
            <w:r w:rsidRPr="00D5537F">
              <w:rPr>
                <w:lang w:val="en-US"/>
              </w:rPr>
              <w:t>multicentre</w:t>
            </w:r>
            <w:proofErr w:type="spellEnd"/>
            <w:r w:rsidRPr="00D5537F">
              <w:rPr>
                <w:lang w:val="en-US"/>
              </w:rPr>
              <w:t xml:space="preserve"> registry</w:t>
            </w:r>
          </w:p>
        </w:tc>
      </w:tr>
      <w:tr w:rsidR="002252DB" w:rsidRPr="00D5537F" w14:paraId="4232263C" w14:textId="77777777" w:rsidTr="00643A5D">
        <w:tc>
          <w:tcPr>
            <w:tcW w:w="0" w:type="auto"/>
            <w:tcBorders>
              <w:top w:val="single" w:sz="4" w:space="0" w:color="auto"/>
              <w:bottom w:val="single" w:sz="4" w:space="0" w:color="auto"/>
            </w:tcBorders>
          </w:tcPr>
          <w:p w14:paraId="21AE345D" w14:textId="77777777" w:rsidR="002252DB" w:rsidRPr="00D5537F" w:rsidRDefault="002252DB">
            <w:pPr>
              <w:pStyle w:val="041Tabletext008pt"/>
              <w:rPr>
                <w:lang w:val="en-US"/>
              </w:rPr>
            </w:pPr>
            <w:r w:rsidRPr="00D5537F">
              <w:rPr>
                <w:lang w:val="en-US"/>
              </w:rPr>
              <w:t>Brooker 2021</w:t>
            </w:r>
          </w:p>
        </w:tc>
        <w:tc>
          <w:tcPr>
            <w:tcW w:w="0" w:type="auto"/>
            <w:tcBorders>
              <w:top w:val="single" w:sz="4" w:space="0" w:color="auto"/>
              <w:bottom w:val="single" w:sz="4" w:space="0" w:color="auto"/>
            </w:tcBorders>
          </w:tcPr>
          <w:p w14:paraId="331B87B6" w14:textId="77777777" w:rsidR="002252DB" w:rsidRPr="00D5537F" w:rsidRDefault="002252DB">
            <w:pPr>
              <w:pStyle w:val="041Tabletext008pt"/>
              <w:rPr>
                <w:lang w:val="en-US"/>
              </w:rPr>
            </w:pPr>
            <w:r w:rsidRPr="00D5537F">
              <w:rPr>
                <w:lang w:val="en-US"/>
              </w:rPr>
              <w:t>ECAP-Controlled Closed-Loop Spinal Cord Stimulation Efficacy and Opioid Reduction Over 24-Months: Final Results of the Prospective, Multicenter, Open-Label Avalon Study</w:t>
            </w:r>
          </w:p>
        </w:tc>
      </w:tr>
      <w:tr w:rsidR="002252DB" w:rsidRPr="00D5537F" w14:paraId="66DEBD9C" w14:textId="77777777" w:rsidTr="00643A5D">
        <w:tc>
          <w:tcPr>
            <w:tcW w:w="0" w:type="auto"/>
            <w:tcBorders>
              <w:top w:val="single" w:sz="4" w:space="0" w:color="auto"/>
              <w:bottom w:val="single" w:sz="4" w:space="0" w:color="auto"/>
            </w:tcBorders>
          </w:tcPr>
          <w:p w14:paraId="18F1B2D3" w14:textId="77777777" w:rsidR="002252DB" w:rsidRPr="00D5537F" w:rsidRDefault="002252DB">
            <w:pPr>
              <w:pStyle w:val="041Tabletext008pt"/>
              <w:rPr>
                <w:lang w:val="en-US"/>
              </w:rPr>
            </w:pPr>
            <w:r w:rsidRPr="00D5537F">
              <w:rPr>
                <w:lang w:val="en-US"/>
              </w:rPr>
              <w:t>Burgher 2020</w:t>
            </w:r>
          </w:p>
        </w:tc>
        <w:tc>
          <w:tcPr>
            <w:tcW w:w="0" w:type="auto"/>
            <w:tcBorders>
              <w:top w:val="single" w:sz="4" w:space="0" w:color="auto"/>
              <w:bottom w:val="single" w:sz="4" w:space="0" w:color="auto"/>
            </w:tcBorders>
          </w:tcPr>
          <w:p w14:paraId="0B661921" w14:textId="77777777" w:rsidR="002252DB" w:rsidRPr="00D5537F" w:rsidRDefault="002252DB">
            <w:pPr>
              <w:pStyle w:val="041Tabletext008pt"/>
              <w:rPr>
                <w:lang w:val="en-US"/>
              </w:rPr>
            </w:pPr>
            <w:r w:rsidRPr="00D5537F">
              <w:rPr>
                <w:lang w:val="en-US"/>
              </w:rPr>
              <w:t>Ten kilohertz SCS for treatment of chronic upper extremity pain (UEP): Results from prospective observational study</w:t>
            </w:r>
          </w:p>
        </w:tc>
      </w:tr>
      <w:tr w:rsidR="002252DB" w:rsidRPr="00D5537F" w14:paraId="28CE0071" w14:textId="77777777" w:rsidTr="00643A5D">
        <w:tc>
          <w:tcPr>
            <w:tcW w:w="0" w:type="auto"/>
            <w:tcBorders>
              <w:top w:val="single" w:sz="4" w:space="0" w:color="auto"/>
              <w:bottom w:val="single" w:sz="4" w:space="0" w:color="auto"/>
            </w:tcBorders>
          </w:tcPr>
          <w:p w14:paraId="0A1CF379" w14:textId="77777777" w:rsidR="002252DB" w:rsidRPr="00D5537F" w:rsidRDefault="002252DB">
            <w:pPr>
              <w:pStyle w:val="041Tabletext008pt"/>
              <w:rPr>
                <w:lang w:val="en-US"/>
              </w:rPr>
            </w:pPr>
            <w:r w:rsidRPr="00D5537F">
              <w:rPr>
                <w:lang w:val="en-US"/>
              </w:rPr>
              <w:t>Chen 2022</w:t>
            </w:r>
          </w:p>
        </w:tc>
        <w:tc>
          <w:tcPr>
            <w:tcW w:w="0" w:type="auto"/>
            <w:tcBorders>
              <w:top w:val="single" w:sz="4" w:space="0" w:color="auto"/>
              <w:bottom w:val="single" w:sz="4" w:space="0" w:color="auto"/>
            </w:tcBorders>
          </w:tcPr>
          <w:p w14:paraId="13B52EB8" w14:textId="77777777" w:rsidR="002252DB" w:rsidRPr="00D5537F" w:rsidRDefault="002252DB">
            <w:pPr>
              <w:pStyle w:val="041Tabletext008pt"/>
              <w:rPr>
                <w:lang w:val="en-US"/>
              </w:rPr>
            </w:pPr>
            <w:r w:rsidRPr="00D5537F">
              <w:rPr>
                <w:lang w:val="en-US"/>
              </w:rPr>
              <w:t>A Real-World Analysis of High-Frequency 10 kHz Spinal Cord Stimulation for the Treatment of Painful Diabetic Peripheral Neuropathy</w:t>
            </w:r>
          </w:p>
        </w:tc>
      </w:tr>
      <w:tr w:rsidR="002252DB" w:rsidRPr="00D5537F" w14:paraId="144E745C" w14:textId="77777777" w:rsidTr="00643A5D">
        <w:tc>
          <w:tcPr>
            <w:tcW w:w="0" w:type="auto"/>
            <w:tcBorders>
              <w:top w:val="single" w:sz="4" w:space="0" w:color="auto"/>
              <w:bottom w:val="single" w:sz="4" w:space="0" w:color="auto"/>
            </w:tcBorders>
          </w:tcPr>
          <w:p w14:paraId="01F3C05A" w14:textId="77777777" w:rsidR="002252DB" w:rsidRPr="00D5537F" w:rsidRDefault="002252DB">
            <w:pPr>
              <w:pStyle w:val="041Tabletext008pt"/>
              <w:rPr>
                <w:lang w:val="en-US"/>
              </w:rPr>
            </w:pPr>
            <w:r w:rsidRPr="00D5537F">
              <w:rPr>
                <w:lang w:val="en-US"/>
              </w:rPr>
              <w:t>Courtney 2015</w:t>
            </w:r>
          </w:p>
        </w:tc>
        <w:tc>
          <w:tcPr>
            <w:tcW w:w="0" w:type="auto"/>
            <w:tcBorders>
              <w:top w:val="single" w:sz="4" w:space="0" w:color="auto"/>
              <w:bottom w:val="single" w:sz="4" w:space="0" w:color="auto"/>
            </w:tcBorders>
          </w:tcPr>
          <w:p w14:paraId="7F26F33D" w14:textId="77777777" w:rsidR="002252DB" w:rsidRPr="00D5537F" w:rsidRDefault="002252DB">
            <w:pPr>
              <w:pStyle w:val="041Tabletext008pt"/>
              <w:rPr>
                <w:lang w:val="en-US"/>
              </w:rPr>
            </w:pPr>
            <w:r w:rsidRPr="00D5537F">
              <w:rPr>
                <w:lang w:val="en-US"/>
              </w:rPr>
              <w:t>Improved pain relief with burst spinal cord stimulation for two weeks in patients using tonic stimulation: Results from a small clinical study</w:t>
            </w:r>
          </w:p>
        </w:tc>
      </w:tr>
      <w:tr w:rsidR="002252DB" w:rsidRPr="00D5537F" w14:paraId="2373912F" w14:textId="77777777" w:rsidTr="00643A5D">
        <w:tc>
          <w:tcPr>
            <w:tcW w:w="0" w:type="auto"/>
            <w:tcBorders>
              <w:top w:val="single" w:sz="4" w:space="0" w:color="auto"/>
              <w:bottom w:val="single" w:sz="4" w:space="0" w:color="auto"/>
            </w:tcBorders>
          </w:tcPr>
          <w:p w14:paraId="20D2A7F1" w14:textId="77777777" w:rsidR="002252DB" w:rsidRPr="00D5537F" w:rsidRDefault="002252DB">
            <w:pPr>
              <w:pStyle w:val="041Tabletext008pt"/>
              <w:rPr>
                <w:lang w:val="en-US"/>
              </w:rPr>
            </w:pPr>
            <w:r w:rsidRPr="00D5537F">
              <w:rPr>
                <w:lang w:val="en-US"/>
              </w:rPr>
              <w:t>De Jaeger 2020</w:t>
            </w:r>
          </w:p>
        </w:tc>
        <w:tc>
          <w:tcPr>
            <w:tcW w:w="0" w:type="auto"/>
            <w:tcBorders>
              <w:top w:val="single" w:sz="4" w:space="0" w:color="auto"/>
              <w:bottom w:val="single" w:sz="4" w:space="0" w:color="auto"/>
            </w:tcBorders>
          </w:tcPr>
          <w:p w14:paraId="4C819D12" w14:textId="77777777" w:rsidR="002252DB" w:rsidRPr="00D5537F" w:rsidRDefault="002252DB">
            <w:pPr>
              <w:pStyle w:val="041Tabletext008pt"/>
              <w:rPr>
                <w:lang w:val="en-US"/>
              </w:rPr>
            </w:pPr>
            <w:r w:rsidRPr="00D5537F">
              <w:rPr>
                <w:lang w:val="en-US"/>
              </w:rPr>
              <w:t>The added value of high dose spinal cord stimulation in patients with failed back surgery syndrome after conversion from standard spinal cord stimulation</w:t>
            </w:r>
          </w:p>
        </w:tc>
      </w:tr>
      <w:tr w:rsidR="002252DB" w:rsidRPr="00D5537F" w14:paraId="46646324" w14:textId="77777777" w:rsidTr="00643A5D">
        <w:tc>
          <w:tcPr>
            <w:tcW w:w="0" w:type="auto"/>
            <w:tcBorders>
              <w:top w:val="single" w:sz="4" w:space="0" w:color="auto"/>
              <w:bottom w:val="single" w:sz="4" w:space="0" w:color="auto"/>
            </w:tcBorders>
          </w:tcPr>
          <w:p w14:paraId="23958328" w14:textId="77777777" w:rsidR="002252DB" w:rsidRPr="00D5537F" w:rsidRDefault="002252DB">
            <w:pPr>
              <w:pStyle w:val="041Tabletext008pt"/>
              <w:rPr>
                <w:lang w:val="en-US"/>
              </w:rPr>
            </w:pPr>
            <w:r w:rsidRPr="00D5537F">
              <w:rPr>
                <w:lang w:val="en-US"/>
              </w:rPr>
              <w:t>De Jaeger 2021</w:t>
            </w:r>
          </w:p>
        </w:tc>
        <w:tc>
          <w:tcPr>
            <w:tcW w:w="0" w:type="auto"/>
            <w:tcBorders>
              <w:top w:val="single" w:sz="4" w:space="0" w:color="auto"/>
              <w:bottom w:val="single" w:sz="4" w:space="0" w:color="auto"/>
            </w:tcBorders>
          </w:tcPr>
          <w:p w14:paraId="39D54928" w14:textId="77777777" w:rsidR="002252DB" w:rsidRPr="00D5537F" w:rsidRDefault="002252DB">
            <w:pPr>
              <w:pStyle w:val="041Tabletext008pt"/>
              <w:rPr>
                <w:lang w:val="en-US"/>
              </w:rPr>
            </w:pPr>
            <w:r w:rsidRPr="00D5537F">
              <w:rPr>
                <w:lang w:val="en-US"/>
              </w:rPr>
              <w:t>The Long-Term Response to High-Dose Spinal Cord Stimulation in Patients With Failed Back Surgery Syndrome After Conversion From Standard Spinal Cord Stimulation: An Effectiveness and Prediction Study</w:t>
            </w:r>
          </w:p>
        </w:tc>
      </w:tr>
      <w:tr w:rsidR="002252DB" w:rsidRPr="00D5537F" w14:paraId="06566613" w14:textId="77777777" w:rsidTr="00643A5D">
        <w:tc>
          <w:tcPr>
            <w:tcW w:w="0" w:type="auto"/>
            <w:tcBorders>
              <w:top w:val="single" w:sz="4" w:space="0" w:color="auto"/>
              <w:bottom w:val="single" w:sz="4" w:space="0" w:color="auto"/>
            </w:tcBorders>
          </w:tcPr>
          <w:p w14:paraId="143C2D3A" w14:textId="77777777" w:rsidR="002252DB" w:rsidRPr="00D5537F" w:rsidRDefault="002252DB">
            <w:pPr>
              <w:pStyle w:val="041Tabletext008pt"/>
              <w:rPr>
                <w:lang w:val="en-US"/>
              </w:rPr>
            </w:pPr>
            <w:r w:rsidRPr="00D5537F">
              <w:rPr>
                <w:lang w:val="en-US"/>
              </w:rPr>
              <w:t>De Ridder 2010</w:t>
            </w:r>
          </w:p>
        </w:tc>
        <w:tc>
          <w:tcPr>
            <w:tcW w:w="0" w:type="auto"/>
            <w:tcBorders>
              <w:top w:val="single" w:sz="4" w:space="0" w:color="auto"/>
              <w:bottom w:val="single" w:sz="4" w:space="0" w:color="auto"/>
            </w:tcBorders>
          </w:tcPr>
          <w:p w14:paraId="639FD90B" w14:textId="77777777" w:rsidR="002252DB" w:rsidRPr="00D5537F" w:rsidRDefault="002252DB">
            <w:pPr>
              <w:pStyle w:val="041Tabletext008pt"/>
              <w:rPr>
                <w:lang w:val="en-US"/>
              </w:rPr>
            </w:pPr>
            <w:r w:rsidRPr="00D5537F">
              <w:rPr>
                <w:lang w:val="en-US"/>
              </w:rPr>
              <w:t>Burst spinal cord stimulation: Toward paresthesia-free pain suppression</w:t>
            </w:r>
          </w:p>
        </w:tc>
      </w:tr>
      <w:tr w:rsidR="002252DB" w:rsidRPr="00D5537F" w14:paraId="5316226A" w14:textId="77777777" w:rsidTr="00643A5D">
        <w:tc>
          <w:tcPr>
            <w:tcW w:w="0" w:type="auto"/>
            <w:tcBorders>
              <w:top w:val="single" w:sz="4" w:space="0" w:color="auto"/>
              <w:bottom w:val="single" w:sz="4" w:space="0" w:color="auto"/>
            </w:tcBorders>
          </w:tcPr>
          <w:p w14:paraId="3B9689AB" w14:textId="77777777" w:rsidR="002252DB" w:rsidRPr="00D5537F" w:rsidRDefault="002252DB">
            <w:pPr>
              <w:pStyle w:val="041Tabletext008pt"/>
              <w:rPr>
                <w:lang w:val="en-US"/>
              </w:rPr>
            </w:pPr>
            <w:r w:rsidRPr="00D5537F">
              <w:rPr>
                <w:lang w:val="en-US"/>
              </w:rPr>
              <w:t>De Vos 2014</w:t>
            </w:r>
          </w:p>
        </w:tc>
        <w:tc>
          <w:tcPr>
            <w:tcW w:w="0" w:type="auto"/>
            <w:tcBorders>
              <w:top w:val="single" w:sz="4" w:space="0" w:color="auto"/>
              <w:bottom w:val="single" w:sz="4" w:space="0" w:color="auto"/>
            </w:tcBorders>
          </w:tcPr>
          <w:p w14:paraId="192C49C1" w14:textId="77777777" w:rsidR="002252DB" w:rsidRPr="00D5537F" w:rsidRDefault="002252DB">
            <w:pPr>
              <w:pStyle w:val="041Tabletext008pt"/>
              <w:rPr>
                <w:lang w:val="en-US"/>
              </w:rPr>
            </w:pPr>
            <w:r w:rsidRPr="00D5537F">
              <w:rPr>
                <w:lang w:val="en-US"/>
              </w:rPr>
              <w:t>Burst spinal cord stimulation evaluated in patients with failed back surgery syndrome and painful diabetic neuropathy</w:t>
            </w:r>
          </w:p>
        </w:tc>
      </w:tr>
      <w:tr w:rsidR="002252DB" w:rsidRPr="00D5537F" w14:paraId="1F01D4AC" w14:textId="77777777" w:rsidTr="00643A5D">
        <w:tc>
          <w:tcPr>
            <w:tcW w:w="0" w:type="auto"/>
            <w:tcBorders>
              <w:top w:val="single" w:sz="4" w:space="0" w:color="auto"/>
              <w:bottom w:val="single" w:sz="4" w:space="0" w:color="auto"/>
            </w:tcBorders>
          </w:tcPr>
          <w:p w14:paraId="13332A48" w14:textId="77777777" w:rsidR="002252DB" w:rsidRPr="00D5537F" w:rsidRDefault="002252DB">
            <w:pPr>
              <w:pStyle w:val="041Tabletext008pt"/>
              <w:rPr>
                <w:lang w:val="en-US"/>
              </w:rPr>
            </w:pPr>
            <w:r w:rsidRPr="00D5537F">
              <w:rPr>
                <w:lang w:val="en-US"/>
              </w:rPr>
              <w:t>Deer 2016</w:t>
            </w:r>
          </w:p>
        </w:tc>
        <w:tc>
          <w:tcPr>
            <w:tcW w:w="0" w:type="auto"/>
            <w:tcBorders>
              <w:top w:val="single" w:sz="4" w:space="0" w:color="auto"/>
              <w:bottom w:val="single" w:sz="4" w:space="0" w:color="auto"/>
            </w:tcBorders>
          </w:tcPr>
          <w:p w14:paraId="2CE9C39B" w14:textId="77777777" w:rsidR="002252DB" w:rsidRPr="00D5537F" w:rsidRDefault="002252DB">
            <w:pPr>
              <w:pStyle w:val="041Tabletext008pt"/>
              <w:rPr>
                <w:lang w:val="en-US"/>
              </w:rPr>
            </w:pPr>
            <w:r w:rsidRPr="00D5537F">
              <w:rPr>
                <w:lang w:val="en-US"/>
              </w:rPr>
              <w:t>Results from the Partnership for Advancement in Neuromodulation Registry: A 24-Month Follow-Up</w:t>
            </w:r>
          </w:p>
        </w:tc>
      </w:tr>
      <w:tr w:rsidR="002252DB" w:rsidRPr="00D5537F" w14:paraId="2BD08684" w14:textId="77777777" w:rsidTr="00643A5D">
        <w:tc>
          <w:tcPr>
            <w:tcW w:w="0" w:type="auto"/>
            <w:tcBorders>
              <w:top w:val="single" w:sz="4" w:space="0" w:color="auto"/>
              <w:bottom w:val="single" w:sz="4" w:space="0" w:color="auto"/>
            </w:tcBorders>
          </w:tcPr>
          <w:p w14:paraId="24488947" w14:textId="77777777" w:rsidR="002252DB" w:rsidRPr="00D5537F" w:rsidRDefault="002252DB">
            <w:pPr>
              <w:pStyle w:val="041Tabletext008pt"/>
              <w:rPr>
                <w:lang w:val="en-US"/>
              </w:rPr>
            </w:pPr>
            <w:r w:rsidRPr="00D5537F">
              <w:rPr>
                <w:lang w:val="en-US"/>
              </w:rPr>
              <w:t>Deer 2021</w:t>
            </w:r>
          </w:p>
        </w:tc>
        <w:tc>
          <w:tcPr>
            <w:tcW w:w="0" w:type="auto"/>
            <w:tcBorders>
              <w:top w:val="single" w:sz="4" w:space="0" w:color="auto"/>
              <w:bottom w:val="single" w:sz="4" w:space="0" w:color="auto"/>
            </w:tcBorders>
          </w:tcPr>
          <w:p w14:paraId="0DC72484" w14:textId="77777777" w:rsidR="002252DB" w:rsidRPr="00D5537F" w:rsidRDefault="002252DB">
            <w:pPr>
              <w:pStyle w:val="041Tabletext008pt"/>
              <w:rPr>
                <w:lang w:val="en-US"/>
              </w:rPr>
            </w:pPr>
            <w:r w:rsidRPr="00D5537F">
              <w:rPr>
                <w:lang w:val="en-US"/>
              </w:rPr>
              <w:t>Novel Intermittent Dosing Burst Paradigm in Spinal Cord Stimulation</w:t>
            </w:r>
          </w:p>
        </w:tc>
      </w:tr>
      <w:tr w:rsidR="002252DB" w:rsidRPr="00D5537F" w14:paraId="787EB0C4" w14:textId="77777777" w:rsidTr="00643A5D">
        <w:tc>
          <w:tcPr>
            <w:tcW w:w="0" w:type="auto"/>
            <w:tcBorders>
              <w:top w:val="single" w:sz="4" w:space="0" w:color="auto"/>
              <w:bottom w:val="single" w:sz="4" w:space="0" w:color="auto"/>
            </w:tcBorders>
          </w:tcPr>
          <w:p w14:paraId="79C53005" w14:textId="77777777" w:rsidR="002252DB" w:rsidRPr="00D5537F" w:rsidRDefault="002252DB">
            <w:pPr>
              <w:pStyle w:val="041Tabletext008pt"/>
              <w:rPr>
                <w:lang w:val="en-US"/>
              </w:rPr>
            </w:pPr>
            <w:r w:rsidRPr="00D5537F">
              <w:rPr>
                <w:lang w:val="en-US"/>
              </w:rPr>
              <w:t>Deer 2022</w:t>
            </w:r>
          </w:p>
        </w:tc>
        <w:tc>
          <w:tcPr>
            <w:tcW w:w="0" w:type="auto"/>
            <w:tcBorders>
              <w:top w:val="single" w:sz="4" w:space="0" w:color="auto"/>
              <w:bottom w:val="single" w:sz="4" w:space="0" w:color="auto"/>
            </w:tcBorders>
          </w:tcPr>
          <w:p w14:paraId="1CD02741" w14:textId="77777777" w:rsidR="002252DB" w:rsidRPr="00D5537F" w:rsidRDefault="002252DB">
            <w:pPr>
              <w:pStyle w:val="041Tabletext008pt"/>
              <w:rPr>
                <w:lang w:val="en-US"/>
              </w:rPr>
            </w:pPr>
            <w:r w:rsidRPr="00D5537F">
              <w:rPr>
                <w:lang w:val="en-US"/>
              </w:rPr>
              <w:t xml:space="preserve">Ultra-Low Energy Cycled Burst Spinal Cord Stimulation Yields Robust Outcomes in Pain, Function, and Affective Domains: A </w:t>
            </w:r>
            <w:proofErr w:type="spellStart"/>
            <w:r w:rsidRPr="00D5537F">
              <w:rPr>
                <w:lang w:val="en-US"/>
              </w:rPr>
              <w:t>Subanalysis</w:t>
            </w:r>
            <w:proofErr w:type="spellEnd"/>
            <w:r w:rsidRPr="00D5537F">
              <w:rPr>
                <w:lang w:val="en-US"/>
              </w:rPr>
              <w:t xml:space="preserve"> From Two Prospective, Multicenter, International Clinical Trials</w:t>
            </w:r>
          </w:p>
        </w:tc>
      </w:tr>
      <w:tr w:rsidR="002252DB" w:rsidRPr="00D5537F" w14:paraId="63D977C1" w14:textId="77777777" w:rsidTr="00643A5D">
        <w:tc>
          <w:tcPr>
            <w:tcW w:w="0" w:type="auto"/>
            <w:tcBorders>
              <w:top w:val="single" w:sz="4" w:space="0" w:color="auto"/>
              <w:bottom w:val="single" w:sz="4" w:space="0" w:color="auto"/>
            </w:tcBorders>
          </w:tcPr>
          <w:p w14:paraId="2F504C56" w14:textId="77777777" w:rsidR="002252DB" w:rsidRPr="00D5537F" w:rsidRDefault="002252DB">
            <w:pPr>
              <w:pStyle w:val="041Tabletext008pt"/>
              <w:rPr>
                <w:lang w:val="en-US"/>
              </w:rPr>
            </w:pPr>
            <w:r w:rsidRPr="00D5537F">
              <w:rPr>
                <w:lang w:val="en-US"/>
              </w:rPr>
              <w:t>Deer 2022</w:t>
            </w:r>
          </w:p>
        </w:tc>
        <w:tc>
          <w:tcPr>
            <w:tcW w:w="0" w:type="auto"/>
            <w:tcBorders>
              <w:top w:val="single" w:sz="4" w:space="0" w:color="auto"/>
              <w:bottom w:val="single" w:sz="4" w:space="0" w:color="auto"/>
            </w:tcBorders>
          </w:tcPr>
          <w:p w14:paraId="368D3FE8" w14:textId="77777777" w:rsidR="002252DB" w:rsidRPr="00D5537F" w:rsidRDefault="002252DB">
            <w:pPr>
              <w:pStyle w:val="041Tabletext008pt"/>
              <w:rPr>
                <w:lang w:val="en-US"/>
              </w:rPr>
            </w:pPr>
            <w:r w:rsidRPr="00D5537F">
              <w:rPr>
                <w:lang w:val="en-US"/>
              </w:rPr>
              <w:t>Passive Recharge Burst Spinal Cord Stimulation Provides Sustainable Improvements in Pain and Psychosocial Function: 2-year Results from the TRIUMPH Study</w:t>
            </w:r>
          </w:p>
        </w:tc>
      </w:tr>
      <w:tr w:rsidR="002252DB" w:rsidRPr="00D5537F" w14:paraId="7A96CFDB" w14:textId="77777777" w:rsidTr="00643A5D">
        <w:tc>
          <w:tcPr>
            <w:tcW w:w="0" w:type="auto"/>
            <w:tcBorders>
              <w:top w:val="single" w:sz="4" w:space="0" w:color="auto"/>
              <w:bottom w:val="single" w:sz="4" w:space="0" w:color="auto"/>
            </w:tcBorders>
          </w:tcPr>
          <w:p w14:paraId="28D4041A" w14:textId="77777777" w:rsidR="002252DB" w:rsidRPr="00D5537F" w:rsidRDefault="002252DB">
            <w:pPr>
              <w:pStyle w:val="041Tabletext008pt"/>
              <w:rPr>
                <w:lang w:val="en-US"/>
              </w:rPr>
            </w:pPr>
            <w:r w:rsidRPr="00D5537F">
              <w:rPr>
                <w:lang w:val="en-US"/>
              </w:rPr>
              <w:t>Do 2021</w:t>
            </w:r>
          </w:p>
        </w:tc>
        <w:tc>
          <w:tcPr>
            <w:tcW w:w="0" w:type="auto"/>
            <w:tcBorders>
              <w:top w:val="single" w:sz="4" w:space="0" w:color="auto"/>
              <w:bottom w:val="single" w:sz="4" w:space="0" w:color="auto"/>
            </w:tcBorders>
          </w:tcPr>
          <w:p w14:paraId="68AE1CE1" w14:textId="77777777" w:rsidR="002252DB" w:rsidRPr="00D5537F" w:rsidRDefault="002252DB">
            <w:pPr>
              <w:pStyle w:val="041Tabletext008pt"/>
              <w:rPr>
                <w:lang w:val="en-US"/>
              </w:rPr>
            </w:pPr>
            <w:r w:rsidRPr="00D5537F">
              <w:rPr>
                <w:lang w:val="en-US"/>
              </w:rPr>
              <w:t>Real-World Analysis: Long-Term Effect of Spinal Cord Stimulation With Different Waveforms for Patients With Failed Back Surgery Syndrome</w:t>
            </w:r>
          </w:p>
        </w:tc>
      </w:tr>
      <w:tr w:rsidR="002252DB" w:rsidRPr="00D5537F" w14:paraId="54F8C0B5" w14:textId="77777777" w:rsidTr="00643A5D">
        <w:tc>
          <w:tcPr>
            <w:tcW w:w="0" w:type="auto"/>
            <w:tcBorders>
              <w:top w:val="single" w:sz="4" w:space="0" w:color="auto"/>
              <w:bottom w:val="single" w:sz="4" w:space="0" w:color="auto"/>
            </w:tcBorders>
          </w:tcPr>
          <w:p w14:paraId="06B108E3" w14:textId="77777777" w:rsidR="002252DB" w:rsidRPr="00D5537F" w:rsidRDefault="002252DB">
            <w:pPr>
              <w:pStyle w:val="041Tabletext008pt"/>
              <w:rPr>
                <w:lang w:val="en-US"/>
              </w:rPr>
            </w:pPr>
            <w:r w:rsidRPr="00D5537F">
              <w:rPr>
                <w:lang w:val="en-US"/>
              </w:rPr>
              <w:t xml:space="preserve">El </w:t>
            </w:r>
            <w:proofErr w:type="spellStart"/>
            <w:r w:rsidRPr="00D5537F">
              <w:rPr>
                <w:lang w:val="en-US"/>
              </w:rPr>
              <w:t>Majdoub</w:t>
            </w:r>
            <w:proofErr w:type="spellEnd"/>
            <w:r w:rsidRPr="00D5537F">
              <w:rPr>
                <w:lang w:val="en-US"/>
              </w:rPr>
              <w:t xml:space="preserve"> 2019</w:t>
            </w:r>
          </w:p>
        </w:tc>
        <w:tc>
          <w:tcPr>
            <w:tcW w:w="0" w:type="auto"/>
            <w:tcBorders>
              <w:top w:val="single" w:sz="4" w:space="0" w:color="auto"/>
              <w:bottom w:val="single" w:sz="4" w:space="0" w:color="auto"/>
            </w:tcBorders>
          </w:tcPr>
          <w:p w14:paraId="50AE978C" w14:textId="77777777" w:rsidR="002252DB" w:rsidRPr="00D5537F" w:rsidRDefault="002252DB">
            <w:pPr>
              <w:pStyle w:val="041Tabletext008pt"/>
              <w:rPr>
                <w:lang w:val="en-US"/>
              </w:rPr>
            </w:pPr>
            <w:r w:rsidRPr="00D5537F">
              <w:rPr>
                <w:lang w:val="en-US"/>
              </w:rPr>
              <w:t>10 kHz cervical SCS for chronic neck and upper limb pain: 12 months’ results</w:t>
            </w:r>
          </w:p>
        </w:tc>
      </w:tr>
      <w:tr w:rsidR="002252DB" w:rsidRPr="00D5537F" w14:paraId="6980A01F" w14:textId="77777777" w:rsidTr="00643A5D">
        <w:tc>
          <w:tcPr>
            <w:tcW w:w="0" w:type="auto"/>
            <w:tcBorders>
              <w:top w:val="single" w:sz="4" w:space="0" w:color="auto"/>
              <w:bottom w:val="single" w:sz="4" w:space="0" w:color="auto"/>
            </w:tcBorders>
          </w:tcPr>
          <w:p w14:paraId="6605BA57" w14:textId="77777777" w:rsidR="002252DB" w:rsidRPr="00D5537F" w:rsidRDefault="002252DB">
            <w:pPr>
              <w:pStyle w:val="041Tabletext008pt"/>
              <w:rPr>
                <w:lang w:val="en-US"/>
              </w:rPr>
            </w:pPr>
            <w:proofErr w:type="spellStart"/>
            <w:r w:rsidRPr="00D5537F">
              <w:rPr>
                <w:lang w:val="en-US"/>
              </w:rPr>
              <w:t>Falowski</w:t>
            </w:r>
            <w:proofErr w:type="spellEnd"/>
            <w:r w:rsidRPr="00D5537F">
              <w:rPr>
                <w:lang w:val="en-US"/>
              </w:rPr>
              <w:t xml:space="preserve"> 2021</w:t>
            </w:r>
          </w:p>
        </w:tc>
        <w:tc>
          <w:tcPr>
            <w:tcW w:w="0" w:type="auto"/>
            <w:tcBorders>
              <w:top w:val="single" w:sz="4" w:space="0" w:color="auto"/>
              <w:bottom w:val="single" w:sz="4" w:space="0" w:color="auto"/>
            </w:tcBorders>
          </w:tcPr>
          <w:p w14:paraId="04CA8C9A" w14:textId="77777777" w:rsidR="002252DB" w:rsidRPr="00D5537F" w:rsidRDefault="002252DB">
            <w:pPr>
              <w:pStyle w:val="041Tabletext008pt"/>
              <w:rPr>
                <w:lang w:val="en-US"/>
              </w:rPr>
            </w:pPr>
            <w:r w:rsidRPr="00D5537F">
              <w:rPr>
                <w:lang w:val="en-US"/>
              </w:rPr>
              <w:t>Improved Psychosocial and Functional Outcomes and Reduced Opioid Usage Following Burst Spinal Cord Stimulation</w:t>
            </w:r>
          </w:p>
        </w:tc>
      </w:tr>
      <w:tr w:rsidR="002252DB" w:rsidRPr="00D5537F" w14:paraId="164303CA" w14:textId="77777777" w:rsidTr="00643A5D">
        <w:tc>
          <w:tcPr>
            <w:tcW w:w="0" w:type="auto"/>
            <w:tcBorders>
              <w:top w:val="single" w:sz="4" w:space="0" w:color="auto"/>
              <w:bottom w:val="single" w:sz="4" w:space="0" w:color="auto"/>
            </w:tcBorders>
          </w:tcPr>
          <w:p w14:paraId="068BBD9A" w14:textId="77777777" w:rsidR="002252DB" w:rsidRPr="00D5537F" w:rsidRDefault="002252DB">
            <w:pPr>
              <w:pStyle w:val="041Tabletext008pt"/>
              <w:rPr>
                <w:lang w:val="en-US"/>
              </w:rPr>
            </w:pPr>
            <w:r w:rsidRPr="00D5537F">
              <w:rPr>
                <w:lang w:val="en-US"/>
              </w:rPr>
              <w:t>Fishman 2020</w:t>
            </w:r>
          </w:p>
        </w:tc>
        <w:tc>
          <w:tcPr>
            <w:tcW w:w="0" w:type="auto"/>
            <w:tcBorders>
              <w:top w:val="single" w:sz="4" w:space="0" w:color="auto"/>
              <w:bottom w:val="single" w:sz="4" w:space="0" w:color="auto"/>
            </w:tcBorders>
          </w:tcPr>
          <w:p w14:paraId="39F5657B" w14:textId="77777777" w:rsidR="002252DB" w:rsidRPr="00D5537F" w:rsidRDefault="002252DB">
            <w:pPr>
              <w:pStyle w:val="041Tabletext008pt"/>
              <w:rPr>
                <w:lang w:val="en-US"/>
              </w:rPr>
            </w:pPr>
            <w:r w:rsidRPr="00D5537F">
              <w:rPr>
                <w:lang w:val="en-US"/>
              </w:rPr>
              <w:t>Prospective, Multicenter Feasibility Study to Evaluate Differential Target Multiplexed Spinal Cord Stimulation Programming in Subjects With Chronic Intractable Back Pain With or Without Leg Pain</w:t>
            </w:r>
          </w:p>
        </w:tc>
      </w:tr>
      <w:tr w:rsidR="002252DB" w:rsidRPr="00D5537F" w14:paraId="4DB5B6FF" w14:textId="77777777" w:rsidTr="00643A5D">
        <w:tc>
          <w:tcPr>
            <w:tcW w:w="0" w:type="auto"/>
            <w:tcBorders>
              <w:top w:val="single" w:sz="4" w:space="0" w:color="auto"/>
              <w:bottom w:val="single" w:sz="4" w:space="0" w:color="auto"/>
            </w:tcBorders>
          </w:tcPr>
          <w:p w14:paraId="23F529A3" w14:textId="77777777" w:rsidR="002252DB" w:rsidRPr="00D5537F" w:rsidRDefault="002252DB">
            <w:pPr>
              <w:pStyle w:val="041Tabletext008pt"/>
              <w:rPr>
                <w:lang w:val="en-US"/>
              </w:rPr>
            </w:pPr>
            <w:r w:rsidRPr="00D5537F">
              <w:rPr>
                <w:lang w:val="en-US"/>
              </w:rPr>
              <w:lastRenderedPageBreak/>
              <w:t>Fishman 2020</w:t>
            </w:r>
          </w:p>
        </w:tc>
        <w:tc>
          <w:tcPr>
            <w:tcW w:w="0" w:type="auto"/>
            <w:tcBorders>
              <w:top w:val="single" w:sz="4" w:space="0" w:color="auto"/>
              <w:bottom w:val="single" w:sz="4" w:space="0" w:color="auto"/>
            </w:tcBorders>
          </w:tcPr>
          <w:p w14:paraId="0F4B101C" w14:textId="77777777" w:rsidR="002252DB" w:rsidRPr="00D5537F" w:rsidRDefault="002252DB">
            <w:pPr>
              <w:pStyle w:val="041Tabletext008pt"/>
              <w:rPr>
                <w:lang w:val="en-US"/>
              </w:rPr>
            </w:pPr>
            <w:r w:rsidRPr="00D5537F">
              <w:rPr>
                <w:lang w:val="en-US"/>
              </w:rPr>
              <w:t>Vectors post market study: SCS (HD) trialing duration and 12-month pain relief following trial success</w:t>
            </w:r>
          </w:p>
        </w:tc>
      </w:tr>
      <w:tr w:rsidR="002252DB" w:rsidRPr="00D5537F" w14:paraId="0BD31B7F" w14:textId="77777777" w:rsidTr="00643A5D">
        <w:tc>
          <w:tcPr>
            <w:tcW w:w="0" w:type="auto"/>
            <w:tcBorders>
              <w:top w:val="single" w:sz="4" w:space="0" w:color="auto"/>
              <w:bottom w:val="single" w:sz="4" w:space="0" w:color="auto"/>
            </w:tcBorders>
          </w:tcPr>
          <w:p w14:paraId="4F3A30A6" w14:textId="77777777" w:rsidR="002252DB" w:rsidRPr="00D5537F" w:rsidRDefault="002252DB">
            <w:pPr>
              <w:pStyle w:val="041Tabletext008pt"/>
              <w:rPr>
                <w:lang w:val="en-US"/>
              </w:rPr>
            </w:pPr>
            <w:proofErr w:type="spellStart"/>
            <w:r w:rsidRPr="00D5537F">
              <w:rPr>
                <w:lang w:val="en-US"/>
              </w:rPr>
              <w:t>Fraifeld</w:t>
            </w:r>
            <w:proofErr w:type="spellEnd"/>
            <w:r w:rsidRPr="00D5537F">
              <w:rPr>
                <w:lang w:val="en-US"/>
              </w:rPr>
              <w:t xml:space="preserve"> 2021</w:t>
            </w:r>
          </w:p>
        </w:tc>
        <w:tc>
          <w:tcPr>
            <w:tcW w:w="0" w:type="auto"/>
            <w:tcBorders>
              <w:top w:val="single" w:sz="4" w:space="0" w:color="auto"/>
              <w:bottom w:val="single" w:sz="4" w:space="0" w:color="auto"/>
            </w:tcBorders>
          </w:tcPr>
          <w:p w14:paraId="06692C3F" w14:textId="77777777" w:rsidR="002252DB" w:rsidRPr="00D5537F" w:rsidRDefault="002252DB">
            <w:pPr>
              <w:pStyle w:val="041Tabletext008pt"/>
              <w:rPr>
                <w:lang w:val="en-US"/>
              </w:rPr>
            </w:pPr>
            <w:r w:rsidRPr="00D5537F">
              <w:rPr>
                <w:lang w:val="en-US"/>
              </w:rPr>
              <w:t>Systemic Opioid Prescribing Patterns and Total Cost of Care in Patients Initiating Spinal Cord Stimulation Therapy: A Retrospective Analysis</w:t>
            </w:r>
          </w:p>
        </w:tc>
      </w:tr>
      <w:tr w:rsidR="002252DB" w:rsidRPr="00D5537F" w14:paraId="34DC283D" w14:textId="77777777" w:rsidTr="00643A5D">
        <w:tc>
          <w:tcPr>
            <w:tcW w:w="0" w:type="auto"/>
            <w:tcBorders>
              <w:top w:val="single" w:sz="4" w:space="0" w:color="auto"/>
              <w:bottom w:val="single" w:sz="4" w:space="0" w:color="auto"/>
            </w:tcBorders>
          </w:tcPr>
          <w:p w14:paraId="3CD289DD" w14:textId="77777777" w:rsidR="002252DB" w:rsidRPr="00D5537F" w:rsidRDefault="002252DB">
            <w:pPr>
              <w:pStyle w:val="041Tabletext008pt"/>
              <w:rPr>
                <w:lang w:val="en-US"/>
              </w:rPr>
            </w:pPr>
            <w:r w:rsidRPr="00D5537F">
              <w:rPr>
                <w:lang w:val="en-US"/>
              </w:rPr>
              <w:t>Galan 2020</w:t>
            </w:r>
          </w:p>
        </w:tc>
        <w:tc>
          <w:tcPr>
            <w:tcW w:w="0" w:type="auto"/>
            <w:tcBorders>
              <w:top w:val="single" w:sz="4" w:space="0" w:color="auto"/>
              <w:bottom w:val="single" w:sz="4" w:space="0" w:color="auto"/>
            </w:tcBorders>
          </w:tcPr>
          <w:p w14:paraId="73FFBBFF" w14:textId="77777777" w:rsidR="002252DB" w:rsidRPr="00D5537F" w:rsidRDefault="002252DB">
            <w:pPr>
              <w:pStyle w:val="041Tabletext008pt"/>
              <w:rPr>
                <w:lang w:val="en-US"/>
              </w:rPr>
            </w:pPr>
            <w:r w:rsidRPr="00D5537F">
              <w:rPr>
                <w:lang w:val="en-US"/>
              </w:rPr>
              <w:t>10-kHz spinal cord stimulation treatment for painful diabetic neuropathy: Results from post-hoc analysis of the SENZA-PPN study</w:t>
            </w:r>
          </w:p>
        </w:tc>
      </w:tr>
      <w:tr w:rsidR="002252DB" w:rsidRPr="00D5537F" w14:paraId="780F6153" w14:textId="77777777" w:rsidTr="00643A5D">
        <w:tc>
          <w:tcPr>
            <w:tcW w:w="0" w:type="auto"/>
            <w:tcBorders>
              <w:top w:val="single" w:sz="4" w:space="0" w:color="auto"/>
              <w:bottom w:val="single" w:sz="4" w:space="0" w:color="auto"/>
            </w:tcBorders>
          </w:tcPr>
          <w:p w14:paraId="7D0076B6" w14:textId="77777777" w:rsidR="002252DB" w:rsidRPr="00D5537F" w:rsidRDefault="002252DB">
            <w:pPr>
              <w:pStyle w:val="041Tabletext008pt"/>
              <w:rPr>
                <w:lang w:val="en-US"/>
              </w:rPr>
            </w:pPr>
            <w:proofErr w:type="spellStart"/>
            <w:r w:rsidRPr="00D5537F">
              <w:rPr>
                <w:lang w:val="en-US"/>
              </w:rPr>
              <w:t>Gatzinsky</w:t>
            </w:r>
            <w:proofErr w:type="spellEnd"/>
            <w:r w:rsidRPr="00D5537F">
              <w:rPr>
                <w:lang w:val="en-US"/>
              </w:rPr>
              <w:t xml:space="preserve"> 2017</w:t>
            </w:r>
          </w:p>
        </w:tc>
        <w:tc>
          <w:tcPr>
            <w:tcW w:w="0" w:type="auto"/>
            <w:tcBorders>
              <w:top w:val="single" w:sz="4" w:space="0" w:color="auto"/>
              <w:bottom w:val="single" w:sz="4" w:space="0" w:color="auto"/>
            </w:tcBorders>
          </w:tcPr>
          <w:p w14:paraId="15D71A0F" w14:textId="77777777" w:rsidR="002252DB" w:rsidRPr="00D5537F" w:rsidRDefault="002252DB">
            <w:pPr>
              <w:pStyle w:val="041Tabletext008pt"/>
              <w:rPr>
                <w:lang w:val="en-US"/>
              </w:rPr>
            </w:pPr>
            <w:r w:rsidRPr="00D5537F">
              <w:rPr>
                <w:lang w:val="en-US"/>
              </w:rPr>
              <w:t xml:space="preserve">Evaluation of the Effectiveness of Percutaneous </w:t>
            </w:r>
            <w:proofErr w:type="spellStart"/>
            <w:r w:rsidRPr="00D5537F">
              <w:rPr>
                <w:lang w:val="en-US"/>
              </w:rPr>
              <w:t>Octapolar</w:t>
            </w:r>
            <w:proofErr w:type="spellEnd"/>
            <w:r w:rsidRPr="00D5537F">
              <w:rPr>
                <w:lang w:val="en-US"/>
              </w:rPr>
              <w:t xml:space="preserve"> Leads in Pain Treatment with Spinal Cord Stimulation of Patients with Failed Back Surgery Syndrome During a 1-Year Follow-Up: A Prospective Multicenter International Study</w:t>
            </w:r>
          </w:p>
        </w:tc>
      </w:tr>
      <w:tr w:rsidR="002252DB" w:rsidRPr="00D5537F" w14:paraId="6261123D" w14:textId="77777777" w:rsidTr="00643A5D">
        <w:tc>
          <w:tcPr>
            <w:tcW w:w="0" w:type="auto"/>
            <w:tcBorders>
              <w:top w:val="single" w:sz="4" w:space="0" w:color="auto"/>
              <w:bottom w:val="single" w:sz="4" w:space="0" w:color="auto"/>
            </w:tcBorders>
          </w:tcPr>
          <w:p w14:paraId="0115AFFB" w14:textId="77777777" w:rsidR="002252DB" w:rsidRPr="00D5537F" w:rsidRDefault="002252DB">
            <w:pPr>
              <w:pStyle w:val="041Tabletext008pt"/>
              <w:rPr>
                <w:lang w:val="en-US"/>
              </w:rPr>
            </w:pPr>
            <w:proofErr w:type="spellStart"/>
            <w:r w:rsidRPr="00D5537F">
              <w:rPr>
                <w:lang w:val="en-US"/>
              </w:rPr>
              <w:t>Goudman</w:t>
            </w:r>
            <w:proofErr w:type="spellEnd"/>
            <w:r w:rsidRPr="00D5537F">
              <w:rPr>
                <w:lang w:val="en-US"/>
              </w:rPr>
              <w:t xml:space="preserve"> 2021</w:t>
            </w:r>
          </w:p>
        </w:tc>
        <w:tc>
          <w:tcPr>
            <w:tcW w:w="0" w:type="auto"/>
            <w:tcBorders>
              <w:top w:val="single" w:sz="4" w:space="0" w:color="auto"/>
              <w:bottom w:val="single" w:sz="4" w:space="0" w:color="auto"/>
            </w:tcBorders>
          </w:tcPr>
          <w:p w14:paraId="380CE95B" w14:textId="77777777" w:rsidR="002252DB" w:rsidRPr="00D5537F" w:rsidRDefault="002252DB">
            <w:pPr>
              <w:pStyle w:val="041Tabletext008pt"/>
              <w:rPr>
                <w:lang w:val="en-US"/>
              </w:rPr>
            </w:pPr>
            <w:r w:rsidRPr="00D5537F">
              <w:rPr>
                <w:lang w:val="en-US"/>
              </w:rPr>
              <w:t>High-Dose Spinal Cord Stimulation Reduces Long-Term Pain Medication Use in Patients With Failed Back Surgery Syndrome Who Obtained at Least 50% Pain Intensity and Medication Reduction During a Trial Period: A Registry-Based Cohort Study</w:t>
            </w:r>
          </w:p>
        </w:tc>
      </w:tr>
      <w:tr w:rsidR="002252DB" w:rsidRPr="00D5537F" w14:paraId="13E863FD" w14:textId="77777777" w:rsidTr="00643A5D">
        <w:tc>
          <w:tcPr>
            <w:tcW w:w="0" w:type="auto"/>
            <w:tcBorders>
              <w:top w:val="single" w:sz="4" w:space="0" w:color="auto"/>
              <w:bottom w:val="single" w:sz="4" w:space="0" w:color="auto"/>
            </w:tcBorders>
          </w:tcPr>
          <w:p w14:paraId="41058CB8" w14:textId="77777777" w:rsidR="002252DB" w:rsidRPr="00D5537F" w:rsidRDefault="002252DB">
            <w:pPr>
              <w:pStyle w:val="041Tabletext008pt"/>
              <w:rPr>
                <w:lang w:val="en-US"/>
              </w:rPr>
            </w:pPr>
            <w:r w:rsidRPr="00D5537F">
              <w:rPr>
                <w:lang w:val="en-US"/>
              </w:rPr>
              <w:t>Gupta 2020</w:t>
            </w:r>
          </w:p>
        </w:tc>
        <w:tc>
          <w:tcPr>
            <w:tcW w:w="0" w:type="auto"/>
            <w:tcBorders>
              <w:top w:val="single" w:sz="4" w:space="0" w:color="auto"/>
              <w:bottom w:val="single" w:sz="4" w:space="0" w:color="auto"/>
            </w:tcBorders>
          </w:tcPr>
          <w:p w14:paraId="0CF45187" w14:textId="77777777" w:rsidR="002252DB" w:rsidRPr="00D5537F" w:rsidRDefault="002252DB">
            <w:pPr>
              <w:pStyle w:val="041Tabletext008pt"/>
              <w:rPr>
                <w:lang w:val="en-US"/>
              </w:rPr>
            </w:pPr>
            <w:r w:rsidRPr="00D5537F">
              <w:rPr>
                <w:lang w:val="en-US"/>
              </w:rPr>
              <w:t>10-kHz Spinal Cord Stimulation for Chronic Postsurgical Pain: Results From a 12-Month Prospective, Multicenter Study</w:t>
            </w:r>
          </w:p>
        </w:tc>
      </w:tr>
      <w:tr w:rsidR="002252DB" w:rsidRPr="00D5537F" w14:paraId="6085541C" w14:textId="77777777" w:rsidTr="00643A5D">
        <w:tc>
          <w:tcPr>
            <w:tcW w:w="0" w:type="auto"/>
            <w:tcBorders>
              <w:top w:val="single" w:sz="4" w:space="0" w:color="auto"/>
              <w:bottom w:val="single" w:sz="4" w:space="0" w:color="auto"/>
            </w:tcBorders>
          </w:tcPr>
          <w:p w14:paraId="5550A060" w14:textId="77777777" w:rsidR="002252DB" w:rsidRPr="00D5537F" w:rsidRDefault="002252DB">
            <w:pPr>
              <w:pStyle w:val="041Tabletext008pt"/>
              <w:rPr>
                <w:lang w:val="en-US"/>
              </w:rPr>
            </w:pPr>
            <w:r w:rsidRPr="00D5537F">
              <w:rPr>
                <w:lang w:val="en-US"/>
              </w:rPr>
              <w:t>Hagedorn 2021</w:t>
            </w:r>
          </w:p>
        </w:tc>
        <w:tc>
          <w:tcPr>
            <w:tcW w:w="0" w:type="auto"/>
            <w:tcBorders>
              <w:top w:val="single" w:sz="4" w:space="0" w:color="auto"/>
              <w:bottom w:val="single" w:sz="4" w:space="0" w:color="auto"/>
            </w:tcBorders>
          </w:tcPr>
          <w:p w14:paraId="112556F3" w14:textId="77777777" w:rsidR="002252DB" w:rsidRPr="00D5537F" w:rsidRDefault="002252DB">
            <w:pPr>
              <w:pStyle w:val="041Tabletext008pt"/>
              <w:rPr>
                <w:lang w:val="en-US"/>
              </w:rPr>
            </w:pPr>
            <w:r w:rsidRPr="00D5537F">
              <w:rPr>
                <w:lang w:val="en-US"/>
              </w:rPr>
              <w:t>Antibacterial envelope use for the prevention of surgical site infection in spinal cord stimulator implantation surgery: A retrospective review of 52 cases</w:t>
            </w:r>
          </w:p>
        </w:tc>
      </w:tr>
      <w:tr w:rsidR="002252DB" w:rsidRPr="00D5537F" w14:paraId="4421D9C3" w14:textId="77777777" w:rsidTr="00643A5D">
        <w:tc>
          <w:tcPr>
            <w:tcW w:w="0" w:type="auto"/>
            <w:tcBorders>
              <w:top w:val="single" w:sz="4" w:space="0" w:color="auto"/>
              <w:bottom w:val="single" w:sz="4" w:space="0" w:color="auto"/>
            </w:tcBorders>
          </w:tcPr>
          <w:p w14:paraId="75F899F9" w14:textId="77777777" w:rsidR="002252DB" w:rsidRPr="00D5537F" w:rsidRDefault="002252DB">
            <w:pPr>
              <w:pStyle w:val="041Tabletext008pt"/>
              <w:rPr>
                <w:lang w:val="en-US"/>
              </w:rPr>
            </w:pPr>
            <w:proofErr w:type="spellStart"/>
            <w:r w:rsidRPr="00D5537F">
              <w:rPr>
                <w:lang w:val="en-US"/>
              </w:rPr>
              <w:t>Hatheway</w:t>
            </w:r>
            <w:proofErr w:type="spellEnd"/>
            <w:r w:rsidRPr="00D5537F">
              <w:rPr>
                <w:lang w:val="en-US"/>
              </w:rPr>
              <w:t xml:space="preserve"> 2021</w:t>
            </w:r>
          </w:p>
        </w:tc>
        <w:tc>
          <w:tcPr>
            <w:tcW w:w="0" w:type="auto"/>
            <w:tcBorders>
              <w:top w:val="single" w:sz="4" w:space="0" w:color="auto"/>
              <w:bottom w:val="single" w:sz="4" w:space="0" w:color="auto"/>
            </w:tcBorders>
          </w:tcPr>
          <w:p w14:paraId="5D37E38F" w14:textId="77777777" w:rsidR="002252DB" w:rsidRPr="00D5537F" w:rsidRDefault="002252DB">
            <w:pPr>
              <w:pStyle w:val="041Tabletext008pt"/>
              <w:rPr>
                <w:lang w:val="en-US"/>
              </w:rPr>
            </w:pPr>
            <w:r w:rsidRPr="00D5537F">
              <w:rPr>
                <w:lang w:val="en-US"/>
              </w:rPr>
              <w:t>Long-Term Efficacy of a Novel Spinal Cord Stimulation Clinical Workflow Using Kilohertz Stimulation: Twelve-Month Results From the Vectors Study</w:t>
            </w:r>
          </w:p>
        </w:tc>
      </w:tr>
      <w:tr w:rsidR="002252DB" w:rsidRPr="00D5537F" w14:paraId="63B28E8A" w14:textId="77777777" w:rsidTr="00643A5D">
        <w:tc>
          <w:tcPr>
            <w:tcW w:w="0" w:type="auto"/>
            <w:tcBorders>
              <w:top w:val="single" w:sz="4" w:space="0" w:color="auto"/>
              <w:bottom w:val="single" w:sz="4" w:space="0" w:color="auto"/>
            </w:tcBorders>
          </w:tcPr>
          <w:p w14:paraId="61ABEE7F" w14:textId="77777777" w:rsidR="002252DB" w:rsidRPr="00D5537F" w:rsidRDefault="002252DB">
            <w:pPr>
              <w:pStyle w:val="041Tabletext008pt"/>
              <w:rPr>
                <w:lang w:val="en-US"/>
              </w:rPr>
            </w:pPr>
            <w:proofErr w:type="spellStart"/>
            <w:r w:rsidRPr="00D5537F">
              <w:rPr>
                <w:lang w:val="en-US"/>
              </w:rPr>
              <w:t>Huygen</w:t>
            </w:r>
            <w:proofErr w:type="spellEnd"/>
            <w:r w:rsidRPr="00D5537F">
              <w:rPr>
                <w:lang w:val="en-US"/>
              </w:rPr>
              <w:t xml:space="preserve"> 2019</w:t>
            </w:r>
          </w:p>
        </w:tc>
        <w:tc>
          <w:tcPr>
            <w:tcW w:w="0" w:type="auto"/>
            <w:tcBorders>
              <w:top w:val="single" w:sz="4" w:space="0" w:color="auto"/>
              <w:bottom w:val="single" w:sz="4" w:space="0" w:color="auto"/>
            </w:tcBorders>
          </w:tcPr>
          <w:p w14:paraId="1BE9641E" w14:textId="77777777" w:rsidR="002252DB" w:rsidRPr="00D5537F" w:rsidRDefault="002252DB">
            <w:pPr>
              <w:pStyle w:val="041Tabletext008pt"/>
              <w:rPr>
                <w:lang w:val="en-US"/>
              </w:rPr>
            </w:pPr>
            <w:r w:rsidRPr="00D5537F">
              <w:rPr>
                <w:lang w:val="en-US"/>
              </w:rPr>
              <w:t>Evaluating Dorsal Root Ganglion Stimulation in a Prospective Dutch Cohort</w:t>
            </w:r>
          </w:p>
        </w:tc>
      </w:tr>
      <w:tr w:rsidR="002252DB" w:rsidRPr="00D5537F" w14:paraId="6A430193" w14:textId="77777777" w:rsidTr="00643A5D">
        <w:tc>
          <w:tcPr>
            <w:tcW w:w="0" w:type="auto"/>
            <w:tcBorders>
              <w:top w:val="single" w:sz="4" w:space="0" w:color="auto"/>
              <w:bottom w:val="single" w:sz="4" w:space="0" w:color="auto"/>
            </w:tcBorders>
          </w:tcPr>
          <w:p w14:paraId="54133473" w14:textId="77777777" w:rsidR="002252DB" w:rsidRPr="00D5537F" w:rsidRDefault="002252DB">
            <w:pPr>
              <w:pStyle w:val="041Tabletext008pt"/>
              <w:rPr>
                <w:lang w:val="en-US"/>
              </w:rPr>
            </w:pPr>
            <w:proofErr w:type="spellStart"/>
            <w:r w:rsidRPr="00D5537F">
              <w:rPr>
                <w:lang w:val="en-US"/>
              </w:rPr>
              <w:t>Kallewaard</w:t>
            </w:r>
            <w:proofErr w:type="spellEnd"/>
            <w:r w:rsidRPr="00D5537F">
              <w:rPr>
                <w:lang w:val="en-US"/>
              </w:rPr>
              <w:t xml:space="preserve"> 2021</w:t>
            </w:r>
          </w:p>
        </w:tc>
        <w:tc>
          <w:tcPr>
            <w:tcW w:w="0" w:type="auto"/>
            <w:tcBorders>
              <w:top w:val="single" w:sz="4" w:space="0" w:color="auto"/>
              <w:bottom w:val="single" w:sz="4" w:space="0" w:color="auto"/>
            </w:tcBorders>
          </w:tcPr>
          <w:p w14:paraId="7FD00454" w14:textId="77777777" w:rsidR="002252DB" w:rsidRPr="00D5537F" w:rsidRDefault="002252DB">
            <w:pPr>
              <w:pStyle w:val="041Tabletext008pt"/>
              <w:rPr>
                <w:lang w:val="en-US"/>
              </w:rPr>
            </w:pPr>
            <w:r w:rsidRPr="00D5537F">
              <w:rPr>
                <w:lang w:val="en-US"/>
              </w:rPr>
              <w:t>10 kHz Spinal Cord Stimulation for the Treatment of Failed Back Surgery Syndrome with Predominant Leg Pain: Results from a Prospective Study in Patients from the Dutch Healthcare System</w:t>
            </w:r>
          </w:p>
        </w:tc>
      </w:tr>
      <w:tr w:rsidR="002252DB" w:rsidRPr="00D5537F" w14:paraId="1B6C6259" w14:textId="77777777" w:rsidTr="00643A5D">
        <w:tc>
          <w:tcPr>
            <w:tcW w:w="0" w:type="auto"/>
            <w:tcBorders>
              <w:top w:val="single" w:sz="4" w:space="0" w:color="auto"/>
              <w:bottom w:val="single" w:sz="4" w:space="0" w:color="auto"/>
            </w:tcBorders>
          </w:tcPr>
          <w:p w14:paraId="27A0565F" w14:textId="77777777" w:rsidR="002252DB" w:rsidRPr="00D5537F" w:rsidRDefault="002252DB">
            <w:pPr>
              <w:pStyle w:val="041Tabletext008pt"/>
              <w:rPr>
                <w:lang w:val="en-US"/>
              </w:rPr>
            </w:pPr>
            <w:r w:rsidRPr="00D5537F">
              <w:rPr>
                <w:lang w:val="en-US"/>
              </w:rPr>
              <w:t>Kinfe 2017</w:t>
            </w:r>
          </w:p>
        </w:tc>
        <w:tc>
          <w:tcPr>
            <w:tcW w:w="0" w:type="auto"/>
            <w:tcBorders>
              <w:top w:val="single" w:sz="4" w:space="0" w:color="auto"/>
              <w:bottom w:val="single" w:sz="4" w:space="0" w:color="auto"/>
            </w:tcBorders>
          </w:tcPr>
          <w:p w14:paraId="4D1E388D" w14:textId="77777777" w:rsidR="002252DB" w:rsidRPr="00D5537F" w:rsidRDefault="002252DB">
            <w:pPr>
              <w:pStyle w:val="041Tabletext008pt"/>
              <w:rPr>
                <w:lang w:val="en-US"/>
              </w:rPr>
            </w:pPr>
            <w:r w:rsidRPr="00D5537F">
              <w:rPr>
                <w:lang w:val="en-US"/>
              </w:rPr>
              <w:t xml:space="preserve">Burst Spinal Cord Stimulation Increases Peripheral </w:t>
            </w:r>
            <w:proofErr w:type="spellStart"/>
            <w:r w:rsidRPr="00D5537F">
              <w:rPr>
                <w:lang w:val="en-US"/>
              </w:rPr>
              <w:t>Antineuroinflammatory</w:t>
            </w:r>
            <w:proofErr w:type="spellEnd"/>
            <w:r w:rsidRPr="00D5537F">
              <w:rPr>
                <w:lang w:val="en-US"/>
              </w:rPr>
              <w:t xml:space="preserve"> Interleukin 10 Levels in Failed Back Surgery Syndrome Patients With Predominant Back Pain</w:t>
            </w:r>
          </w:p>
        </w:tc>
      </w:tr>
      <w:tr w:rsidR="002252DB" w:rsidRPr="00D5537F" w14:paraId="572F4447" w14:textId="77777777" w:rsidTr="00643A5D">
        <w:tc>
          <w:tcPr>
            <w:tcW w:w="0" w:type="auto"/>
            <w:tcBorders>
              <w:top w:val="single" w:sz="4" w:space="0" w:color="auto"/>
              <w:bottom w:val="single" w:sz="4" w:space="0" w:color="auto"/>
            </w:tcBorders>
          </w:tcPr>
          <w:p w14:paraId="2805C41B" w14:textId="77777777" w:rsidR="002252DB" w:rsidRPr="00D5537F" w:rsidRDefault="002252DB">
            <w:pPr>
              <w:pStyle w:val="041Tabletext008pt"/>
              <w:rPr>
                <w:lang w:val="en-US"/>
              </w:rPr>
            </w:pPr>
            <w:proofErr w:type="spellStart"/>
            <w:r w:rsidRPr="00D5537F">
              <w:rPr>
                <w:lang w:val="en-US"/>
              </w:rPr>
              <w:t>Manfield</w:t>
            </w:r>
            <w:proofErr w:type="spellEnd"/>
            <w:r w:rsidRPr="00D5537F">
              <w:rPr>
                <w:lang w:val="en-US"/>
              </w:rPr>
              <w:t xml:space="preserve"> 2019</w:t>
            </w:r>
          </w:p>
        </w:tc>
        <w:tc>
          <w:tcPr>
            <w:tcW w:w="0" w:type="auto"/>
            <w:tcBorders>
              <w:top w:val="single" w:sz="4" w:space="0" w:color="auto"/>
              <w:bottom w:val="single" w:sz="4" w:space="0" w:color="auto"/>
            </w:tcBorders>
          </w:tcPr>
          <w:p w14:paraId="0040F623" w14:textId="77777777" w:rsidR="002252DB" w:rsidRPr="00D5537F" w:rsidRDefault="002252DB">
            <w:pPr>
              <w:pStyle w:val="041Tabletext008pt"/>
              <w:rPr>
                <w:lang w:val="en-US"/>
              </w:rPr>
            </w:pPr>
            <w:r w:rsidRPr="00D5537F">
              <w:rPr>
                <w:lang w:val="en-US"/>
              </w:rPr>
              <w:t>Safety and Utility of Spinal Magnetic Resonance Imaging in Patients with High-Frequency Spinal Cord Stimulators: A Prospective Single-Centre Study</w:t>
            </w:r>
          </w:p>
        </w:tc>
      </w:tr>
      <w:tr w:rsidR="002252DB" w:rsidRPr="00D5537F" w14:paraId="5AE52B7C" w14:textId="77777777" w:rsidTr="00643A5D">
        <w:tc>
          <w:tcPr>
            <w:tcW w:w="0" w:type="auto"/>
            <w:tcBorders>
              <w:top w:val="single" w:sz="4" w:space="0" w:color="auto"/>
              <w:bottom w:val="single" w:sz="4" w:space="0" w:color="auto"/>
            </w:tcBorders>
          </w:tcPr>
          <w:p w14:paraId="4B5B2E09" w14:textId="77777777" w:rsidR="002252DB" w:rsidRPr="00D5537F" w:rsidRDefault="002252DB">
            <w:pPr>
              <w:pStyle w:val="041Tabletext008pt"/>
              <w:rPr>
                <w:lang w:val="en-US"/>
              </w:rPr>
            </w:pPr>
            <w:proofErr w:type="spellStart"/>
            <w:r w:rsidRPr="00D5537F">
              <w:rPr>
                <w:lang w:val="en-US"/>
              </w:rPr>
              <w:t>Mekhail</w:t>
            </w:r>
            <w:proofErr w:type="spellEnd"/>
            <w:r w:rsidRPr="00D5537F">
              <w:rPr>
                <w:lang w:val="en-US"/>
              </w:rPr>
              <w:t xml:space="preserve"> 2011</w:t>
            </w:r>
          </w:p>
        </w:tc>
        <w:tc>
          <w:tcPr>
            <w:tcW w:w="0" w:type="auto"/>
            <w:tcBorders>
              <w:top w:val="single" w:sz="4" w:space="0" w:color="auto"/>
              <w:bottom w:val="single" w:sz="4" w:space="0" w:color="auto"/>
            </w:tcBorders>
          </w:tcPr>
          <w:p w14:paraId="0401FA1F" w14:textId="77777777" w:rsidR="002252DB" w:rsidRPr="00D5537F" w:rsidRDefault="002252DB">
            <w:pPr>
              <w:pStyle w:val="041Tabletext008pt"/>
              <w:rPr>
                <w:lang w:val="en-US"/>
              </w:rPr>
            </w:pPr>
            <w:r w:rsidRPr="00D5537F">
              <w:rPr>
                <w:lang w:val="en-US"/>
              </w:rPr>
              <w:t>Retrospective Review of 707 Cases of Spinal Cord Stimulation: Indications and Complications</w:t>
            </w:r>
          </w:p>
        </w:tc>
      </w:tr>
      <w:tr w:rsidR="002252DB" w:rsidRPr="00D5537F" w14:paraId="5CCCDB51" w14:textId="77777777" w:rsidTr="00643A5D">
        <w:tc>
          <w:tcPr>
            <w:tcW w:w="0" w:type="auto"/>
            <w:tcBorders>
              <w:top w:val="single" w:sz="4" w:space="0" w:color="auto"/>
              <w:bottom w:val="single" w:sz="4" w:space="0" w:color="auto"/>
            </w:tcBorders>
          </w:tcPr>
          <w:p w14:paraId="24C2250A" w14:textId="77777777" w:rsidR="002252DB" w:rsidRPr="00D5537F" w:rsidRDefault="002252DB">
            <w:pPr>
              <w:pStyle w:val="041Tabletext008pt"/>
              <w:rPr>
                <w:lang w:val="en-US"/>
              </w:rPr>
            </w:pPr>
            <w:r w:rsidRPr="00D5537F">
              <w:rPr>
                <w:lang w:val="en-US"/>
              </w:rPr>
              <w:t>Metzger 2020</w:t>
            </w:r>
          </w:p>
        </w:tc>
        <w:tc>
          <w:tcPr>
            <w:tcW w:w="0" w:type="auto"/>
            <w:tcBorders>
              <w:top w:val="single" w:sz="4" w:space="0" w:color="auto"/>
              <w:bottom w:val="single" w:sz="4" w:space="0" w:color="auto"/>
            </w:tcBorders>
          </w:tcPr>
          <w:p w14:paraId="4713C72D" w14:textId="77777777" w:rsidR="002252DB" w:rsidRPr="00D5537F" w:rsidRDefault="002252DB">
            <w:pPr>
              <w:pStyle w:val="041Tabletext008pt"/>
              <w:rPr>
                <w:lang w:val="en-US"/>
              </w:rPr>
            </w:pPr>
            <w:r w:rsidRPr="00D5537F">
              <w:rPr>
                <w:lang w:val="en-US"/>
              </w:rPr>
              <w:t>Pain relief outcomes using an SCS device capable of delivering combination therapy with advanced waveforms and field shapes</w:t>
            </w:r>
          </w:p>
        </w:tc>
      </w:tr>
      <w:tr w:rsidR="002252DB" w:rsidRPr="00D5537F" w14:paraId="5DEE463F" w14:textId="77777777" w:rsidTr="00643A5D">
        <w:tc>
          <w:tcPr>
            <w:tcW w:w="0" w:type="auto"/>
            <w:tcBorders>
              <w:top w:val="single" w:sz="4" w:space="0" w:color="auto"/>
              <w:bottom w:val="single" w:sz="4" w:space="0" w:color="auto"/>
            </w:tcBorders>
          </w:tcPr>
          <w:p w14:paraId="3A06A7B0" w14:textId="77777777" w:rsidR="002252DB" w:rsidRPr="00D5537F" w:rsidRDefault="002252DB">
            <w:pPr>
              <w:pStyle w:val="041Tabletext008pt"/>
              <w:rPr>
                <w:lang w:val="en-US"/>
              </w:rPr>
            </w:pPr>
            <w:r w:rsidRPr="00D5537F">
              <w:rPr>
                <w:lang w:val="en-US"/>
              </w:rPr>
              <w:t>Metzger 2021</w:t>
            </w:r>
          </w:p>
        </w:tc>
        <w:tc>
          <w:tcPr>
            <w:tcW w:w="0" w:type="auto"/>
            <w:tcBorders>
              <w:top w:val="single" w:sz="4" w:space="0" w:color="auto"/>
              <w:bottom w:val="single" w:sz="4" w:space="0" w:color="auto"/>
            </w:tcBorders>
          </w:tcPr>
          <w:p w14:paraId="2C5BEF0B" w14:textId="77777777" w:rsidR="002252DB" w:rsidRPr="00D5537F" w:rsidRDefault="002252DB">
            <w:pPr>
              <w:pStyle w:val="041Tabletext008pt"/>
              <w:rPr>
                <w:lang w:val="en-US"/>
              </w:rPr>
            </w:pPr>
            <w:r w:rsidRPr="00D5537F">
              <w:rPr>
                <w:lang w:val="en-US"/>
              </w:rPr>
              <w:t>A novel fast-acting sub-perception spinal cord stimulation therapy enables rapid onset of analgesia in patients with chronic pain</w:t>
            </w:r>
          </w:p>
        </w:tc>
      </w:tr>
      <w:tr w:rsidR="002252DB" w:rsidRPr="00D5537F" w14:paraId="00D967B8" w14:textId="77777777" w:rsidTr="00643A5D">
        <w:tc>
          <w:tcPr>
            <w:tcW w:w="0" w:type="auto"/>
            <w:tcBorders>
              <w:top w:val="single" w:sz="4" w:space="0" w:color="auto"/>
              <w:bottom w:val="single" w:sz="4" w:space="0" w:color="auto"/>
            </w:tcBorders>
          </w:tcPr>
          <w:p w14:paraId="1909C325" w14:textId="77777777" w:rsidR="002252DB" w:rsidRPr="00D5537F" w:rsidRDefault="002252DB">
            <w:pPr>
              <w:pStyle w:val="041Tabletext008pt"/>
              <w:rPr>
                <w:lang w:val="en-US"/>
              </w:rPr>
            </w:pPr>
            <w:proofErr w:type="spellStart"/>
            <w:r w:rsidRPr="00D5537F">
              <w:rPr>
                <w:lang w:val="en-US"/>
              </w:rPr>
              <w:t>Moeschler</w:t>
            </w:r>
            <w:proofErr w:type="spellEnd"/>
            <w:r w:rsidRPr="00D5537F">
              <w:rPr>
                <w:lang w:val="en-US"/>
              </w:rPr>
              <w:t xml:space="preserve"> 2015</w:t>
            </w:r>
          </w:p>
        </w:tc>
        <w:tc>
          <w:tcPr>
            <w:tcW w:w="0" w:type="auto"/>
            <w:tcBorders>
              <w:top w:val="single" w:sz="4" w:space="0" w:color="auto"/>
              <w:bottom w:val="single" w:sz="4" w:space="0" w:color="auto"/>
            </w:tcBorders>
          </w:tcPr>
          <w:p w14:paraId="26901745" w14:textId="77777777" w:rsidR="002252DB" w:rsidRPr="00D5537F" w:rsidRDefault="002252DB">
            <w:pPr>
              <w:pStyle w:val="041Tabletext008pt"/>
              <w:rPr>
                <w:lang w:val="en-US"/>
              </w:rPr>
            </w:pPr>
            <w:r w:rsidRPr="00D5537F">
              <w:rPr>
                <w:lang w:val="en-US"/>
              </w:rPr>
              <w:t xml:space="preserve">Spinal Cord Stimulator </w:t>
            </w:r>
            <w:proofErr w:type="spellStart"/>
            <w:r w:rsidRPr="00D5537F">
              <w:rPr>
                <w:lang w:val="en-US"/>
              </w:rPr>
              <w:t>Explantation</w:t>
            </w:r>
            <w:proofErr w:type="spellEnd"/>
            <w:r w:rsidRPr="00D5537F">
              <w:rPr>
                <w:lang w:val="en-US"/>
              </w:rPr>
              <w:t xml:space="preserve"> for Magnetic Resonance Imaging: A Case Series</w:t>
            </w:r>
          </w:p>
        </w:tc>
      </w:tr>
      <w:tr w:rsidR="002252DB" w:rsidRPr="00D5537F" w14:paraId="46F6F0B2" w14:textId="77777777" w:rsidTr="00643A5D">
        <w:tc>
          <w:tcPr>
            <w:tcW w:w="0" w:type="auto"/>
            <w:tcBorders>
              <w:top w:val="single" w:sz="4" w:space="0" w:color="auto"/>
              <w:bottom w:val="single" w:sz="4" w:space="0" w:color="auto"/>
            </w:tcBorders>
          </w:tcPr>
          <w:p w14:paraId="2F6CB36B" w14:textId="77777777" w:rsidR="002252DB" w:rsidRPr="00D5537F" w:rsidRDefault="002252DB">
            <w:pPr>
              <w:pStyle w:val="041Tabletext008pt"/>
              <w:rPr>
                <w:lang w:val="en-US"/>
              </w:rPr>
            </w:pPr>
            <w:proofErr w:type="spellStart"/>
            <w:r w:rsidRPr="00D5537F">
              <w:rPr>
                <w:lang w:val="en-US"/>
              </w:rPr>
              <w:t>Morgalla</w:t>
            </w:r>
            <w:proofErr w:type="spellEnd"/>
            <w:r w:rsidRPr="00D5537F">
              <w:rPr>
                <w:lang w:val="en-US"/>
              </w:rPr>
              <w:t xml:space="preserve"> 2018</w:t>
            </w:r>
          </w:p>
        </w:tc>
        <w:tc>
          <w:tcPr>
            <w:tcW w:w="0" w:type="auto"/>
            <w:tcBorders>
              <w:top w:val="single" w:sz="4" w:space="0" w:color="auto"/>
              <w:bottom w:val="single" w:sz="4" w:space="0" w:color="auto"/>
            </w:tcBorders>
          </w:tcPr>
          <w:p w14:paraId="782BE4D6" w14:textId="77777777" w:rsidR="002252DB" w:rsidRPr="00D5537F" w:rsidRDefault="002252DB">
            <w:pPr>
              <w:pStyle w:val="041Tabletext008pt"/>
              <w:rPr>
                <w:lang w:val="en-US"/>
              </w:rPr>
            </w:pPr>
            <w:r w:rsidRPr="00D5537F">
              <w:rPr>
                <w:lang w:val="en-US"/>
              </w:rPr>
              <w:t>Dorsal root ganglion stimulation (DRGS) for the treatment of chronic neuropathic pain: A single-center study with long-term prospective results in 62 cases</w:t>
            </w:r>
          </w:p>
        </w:tc>
      </w:tr>
      <w:tr w:rsidR="002252DB" w:rsidRPr="00D5537F" w14:paraId="39CB5D43" w14:textId="77777777" w:rsidTr="00643A5D">
        <w:tc>
          <w:tcPr>
            <w:tcW w:w="0" w:type="auto"/>
            <w:tcBorders>
              <w:top w:val="single" w:sz="4" w:space="0" w:color="auto"/>
              <w:bottom w:val="single" w:sz="4" w:space="0" w:color="auto"/>
            </w:tcBorders>
          </w:tcPr>
          <w:p w14:paraId="0A7CC425" w14:textId="77777777" w:rsidR="002252DB" w:rsidRPr="00D5537F" w:rsidRDefault="002252DB">
            <w:pPr>
              <w:pStyle w:val="041Tabletext008pt"/>
              <w:rPr>
                <w:lang w:val="en-US"/>
              </w:rPr>
            </w:pPr>
            <w:r w:rsidRPr="00D5537F">
              <w:rPr>
                <w:lang w:val="en-US"/>
              </w:rPr>
              <w:t>Parikh 2021</w:t>
            </w:r>
          </w:p>
        </w:tc>
        <w:tc>
          <w:tcPr>
            <w:tcW w:w="0" w:type="auto"/>
            <w:tcBorders>
              <w:top w:val="single" w:sz="4" w:space="0" w:color="auto"/>
              <w:bottom w:val="single" w:sz="4" w:space="0" w:color="auto"/>
            </w:tcBorders>
          </w:tcPr>
          <w:p w14:paraId="6F7D6CFF" w14:textId="77777777" w:rsidR="002252DB" w:rsidRPr="00D5537F" w:rsidRDefault="002252DB">
            <w:pPr>
              <w:pStyle w:val="041Tabletext008pt"/>
              <w:rPr>
                <w:lang w:val="en-US"/>
              </w:rPr>
            </w:pPr>
            <w:r w:rsidRPr="00D5537F">
              <w:rPr>
                <w:lang w:val="en-US"/>
              </w:rPr>
              <w:t>Comparing effectiveness of standard vs hf10 spinal cord stimulator implants for chronic intractable pain</w:t>
            </w:r>
          </w:p>
        </w:tc>
      </w:tr>
      <w:tr w:rsidR="002252DB" w:rsidRPr="00D5537F" w14:paraId="5C7FA14B" w14:textId="77777777" w:rsidTr="00643A5D">
        <w:tc>
          <w:tcPr>
            <w:tcW w:w="0" w:type="auto"/>
            <w:tcBorders>
              <w:top w:val="single" w:sz="4" w:space="0" w:color="auto"/>
              <w:bottom w:val="single" w:sz="4" w:space="0" w:color="auto"/>
            </w:tcBorders>
          </w:tcPr>
          <w:p w14:paraId="49C59919" w14:textId="77777777" w:rsidR="002252DB" w:rsidRPr="00D5537F" w:rsidRDefault="002252DB">
            <w:pPr>
              <w:pStyle w:val="041Tabletext008pt"/>
              <w:rPr>
                <w:lang w:val="en-US"/>
              </w:rPr>
            </w:pPr>
            <w:r w:rsidRPr="00D5537F">
              <w:rPr>
                <w:lang w:val="en-US"/>
              </w:rPr>
              <w:t>Paz-Solís 2022</w:t>
            </w:r>
          </w:p>
        </w:tc>
        <w:tc>
          <w:tcPr>
            <w:tcW w:w="0" w:type="auto"/>
            <w:tcBorders>
              <w:top w:val="single" w:sz="4" w:space="0" w:color="auto"/>
              <w:bottom w:val="single" w:sz="4" w:space="0" w:color="auto"/>
            </w:tcBorders>
          </w:tcPr>
          <w:p w14:paraId="3C8F320B" w14:textId="77777777" w:rsidR="002252DB" w:rsidRPr="00D5537F" w:rsidRDefault="002252DB">
            <w:pPr>
              <w:pStyle w:val="041Tabletext008pt"/>
              <w:rPr>
                <w:lang w:val="en-US"/>
              </w:rPr>
            </w:pPr>
            <w:r w:rsidRPr="00D5537F">
              <w:rPr>
                <w:lang w:val="en-US"/>
              </w:rPr>
              <w:t xml:space="preserve">Exploration of High- and Low-Frequency Options for </w:t>
            </w:r>
            <w:proofErr w:type="spellStart"/>
            <w:r w:rsidRPr="00D5537F">
              <w:rPr>
                <w:lang w:val="en-US"/>
              </w:rPr>
              <w:t>Subperception</w:t>
            </w:r>
            <w:proofErr w:type="spellEnd"/>
            <w:r w:rsidRPr="00D5537F">
              <w:rPr>
                <w:lang w:val="en-US"/>
              </w:rPr>
              <w:t xml:space="preserve"> Spinal Cord Stimulation Using Neural Dosing Parameter Relationships: The HALO Study</w:t>
            </w:r>
          </w:p>
        </w:tc>
      </w:tr>
      <w:tr w:rsidR="002252DB" w:rsidRPr="00D5537F" w14:paraId="6CC105A9" w14:textId="77777777" w:rsidTr="00643A5D">
        <w:tc>
          <w:tcPr>
            <w:tcW w:w="0" w:type="auto"/>
            <w:tcBorders>
              <w:top w:val="single" w:sz="4" w:space="0" w:color="auto"/>
              <w:bottom w:val="single" w:sz="4" w:space="0" w:color="auto"/>
            </w:tcBorders>
          </w:tcPr>
          <w:p w14:paraId="275B9729" w14:textId="77777777" w:rsidR="002252DB" w:rsidRPr="00D5537F" w:rsidRDefault="002252DB">
            <w:pPr>
              <w:pStyle w:val="041Tabletext008pt"/>
              <w:rPr>
                <w:lang w:val="en-US"/>
              </w:rPr>
            </w:pPr>
            <w:r w:rsidRPr="00D5537F">
              <w:rPr>
                <w:lang w:val="en-US"/>
              </w:rPr>
              <w:t>Russo 2020</w:t>
            </w:r>
          </w:p>
        </w:tc>
        <w:tc>
          <w:tcPr>
            <w:tcW w:w="0" w:type="auto"/>
            <w:tcBorders>
              <w:top w:val="single" w:sz="4" w:space="0" w:color="auto"/>
              <w:bottom w:val="single" w:sz="4" w:space="0" w:color="auto"/>
            </w:tcBorders>
          </w:tcPr>
          <w:p w14:paraId="7FC2BC5C" w14:textId="77777777" w:rsidR="002252DB" w:rsidRPr="00D5537F" w:rsidRDefault="002252DB">
            <w:pPr>
              <w:pStyle w:val="041Tabletext008pt"/>
              <w:rPr>
                <w:lang w:val="en-US"/>
              </w:rPr>
            </w:pPr>
            <w:r w:rsidRPr="00D5537F">
              <w:rPr>
                <w:lang w:val="en-US"/>
              </w:rPr>
              <w:t xml:space="preserve">Sustained long-term outcomes with closed-loop spinal cord stimulation: 12-month results of the prospective, multicenter, open-label </w:t>
            </w:r>
            <w:proofErr w:type="spellStart"/>
            <w:r w:rsidRPr="00D5537F">
              <w:rPr>
                <w:lang w:val="en-US"/>
              </w:rPr>
              <w:t>avalon</w:t>
            </w:r>
            <w:proofErr w:type="spellEnd"/>
            <w:r w:rsidRPr="00D5537F">
              <w:rPr>
                <w:lang w:val="en-US"/>
              </w:rPr>
              <w:t xml:space="preserve"> study</w:t>
            </w:r>
          </w:p>
        </w:tc>
      </w:tr>
      <w:tr w:rsidR="002252DB" w:rsidRPr="00D5537F" w14:paraId="3FC8A030" w14:textId="77777777" w:rsidTr="00643A5D">
        <w:tc>
          <w:tcPr>
            <w:tcW w:w="0" w:type="auto"/>
            <w:tcBorders>
              <w:top w:val="single" w:sz="4" w:space="0" w:color="auto"/>
              <w:bottom w:val="single" w:sz="4" w:space="0" w:color="auto"/>
            </w:tcBorders>
          </w:tcPr>
          <w:p w14:paraId="4403287E" w14:textId="77777777" w:rsidR="002252DB" w:rsidRPr="00D5537F" w:rsidRDefault="002252DB">
            <w:pPr>
              <w:pStyle w:val="041Tabletext008pt"/>
              <w:rPr>
                <w:lang w:val="en-US"/>
              </w:rPr>
            </w:pPr>
            <w:r w:rsidRPr="00D5537F">
              <w:rPr>
                <w:lang w:val="en-US"/>
              </w:rPr>
              <w:t>Sayed 2020</w:t>
            </w:r>
          </w:p>
        </w:tc>
        <w:tc>
          <w:tcPr>
            <w:tcW w:w="0" w:type="auto"/>
            <w:tcBorders>
              <w:top w:val="single" w:sz="4" w:space="0" w:color="auto"/>
              <w:bottom w:val="single" w:sz="4" w:space="0" w:color="auto"/>
            </w:tcBorders>
          </w:tcPr>
          <w:p w14:paraId="48354C9B" w14:textId="77777777" w:rsidR="002252DB" w:rsidRPr="00D5537F" w:rsidRDefault="002252DB">
            <w:pPr>
              <w:pStyle w:val="041Tabletext008pt"/>
              <w:rPr>
                <w:lang w:val="en-US"/>
              </w:rPr>
            </w:pPr>
            <w:r w:rsidRPr="00D5537F">
              <w:rPr>
                <w:lang w:val="en-US"/>
              </w:rPr>
              <w:t xml:space="preserve">Retrospective analysis of real-world outcomes of 10 </w:t>
            </w:r>
            <w:proofErr w:type="spellStart"/>
            <w:r w:rsidRPr="00D5537F">
              <w:rPr>
                <w:lang w:val="en-US"/>
              </w:rPr>
              <w:t>khz</w:t>
            </w:r>
            <w:proofErr w:type="spellEnd"/>
            <w:r w:rsidRPr="00D5537F">
              <w:rPr>
                <w:lang w:val="en-US"/>
              </w:rPr>
              <w:t xml:space="preserve"> SCS in patients with upper limb and neck pain</w:t>
            </w:r>
          </w:p>
        </w:tc>
      </w:tr>
      <w:tr w:rsidR="002252DB" w:rsidRPr="00D5537F" w14:paraId="1789A128" w14:textId="77777777" w:rsidTr="00643A5D">
        <w:tc>
          <w:tcPr>
            <w:tcW w:w="0" w:type="auto"/>
            <w:tcBorders>
              <w:top w:val="single" w:sz="4" w:space="0" w:color="auto"/>
              <w:bottom w:val="single" w:sz="4" w:space="0" w:color="auto"/>
            </w:tcBorders>
          </w:tcPr>
          <w:p w14:paraId="0EB62F07" w14:textId="77777777" w:rsidR="002252DB" w:rsidRPr="00D5537F" w:rsidRDefault="002252DB">
            <w:pPr>
              <w:pStyle w:val="041Tabletext008pt"/>
              <w:rPr>
                <w:lang w:val="en-US"/>
              </w:rPr>
            </w:pPr>
            <w:r w:rsidRPr="00D5537F">
              <w:rPr>
                <w:lang w:val="en-US"/>
              </w:rPr>
              <w:t>Soldati 2002</w:t>
            </w:r>
          </w:p>
        </w:tc>
        <w:tc>
          <w:tcPr>
            <w:tcW w:w="0" w:type="auto"/>
            <w:tcBorders>
              <w:top w:val="single" w:sz="4" w:space="0" w:color="auto"/>
              <w:bottom w:val="single" w:sz="4" w:space="0" w:color="auto"/>
            </w:tcBorders>
          </w:tcPr>
          <w:p w14:paraId="7E36CDFF" w14:textId="77777777" w:rsidR="002252DB" w:rsidRPr="00D5537F" w:rsidRDefault="002252DB">
            <w:pPr>
              <w:pStyle w:val="041Tabletext008pt"/>
              <w:rPr>
                <w:lang w:val="en-US"/>
              </w:rPr>
            </w:pPr>
            <w:r w:rsidRPr="00D5537F">
              <w:rPr>
                <w:lang w:val="en-US"/>
              </w:rPr>
              <w:t>National Italian Register of implantable systems for spinal cord stimulation (SCS): Analysis of preliminary data</w:t>
            </w:r>
          </w:p>
        </w:tc>
      </w:tr>
      <w:tr w:rsidR="002252DB" w:rsidRPr="00D5537F" w14:paraId="474BA4F3" w14:textId="77777777" w:rsidTr="00643A5D">
        <w:tc>
          <w:tcPr>
            <w:tcW w:w="0" w:type="auto"/>
            <w:tcBorders>
              <w:top w:val="single" w:sz="4" w:space="0" w:color="auto"/>
              <w:bottom w:val="single" w:sz="4" w:space="0" w:color="auto"/>
            </w:tcBorders>
          </w:tcPr>
          <w:p w14:paraId="15F83634" w14:textId="77777777" w:rsidR="002252DB" w:rsidRPr="00D5537F" w:rsidRDefault="002252DB">
            <w:pPr>
              <w:pStyle w:val="041Tabletext008pt"/>
              <w:rPr>
                <w:lang w:val="en-US"/>
              </w:rPr>
            </w:pPr>
            <w:proofErr w:type="spellStart"/>
            <w:r w:rsidRPr="00D5537F">
              <w:rPr>
                <w:lang w:val="en-US"/>
              </w:rPr>
              <w:t>Stauss</w:t>
            </w:r>
            <w:proofErr w:type="spellEnd"/>
            <w:r w:rsidRPr="00D5537F">
              <w:rPr>
                <w:lang w:val="en-US"/>
              </w:rPr>
              <w:t xml:space="preserve"> 2019</w:t>
            </w:r>
          </w:p>
        </w:tc>
        <w:tc>
          <w:tcPr>
            <w:tcW w:w="0" w:type="auto"/>
            <w:tcBorders>
              <w:top w:val="single" w:sz="4" w:space="0" w:color="auto"/>
              <w:bottom w:val="single" w:sz="4" w:space="0" w:color="auto"/>
            </w:tcBorders>
          </w:tcPr>
          <w:p w14:paraId="6E4424FB" w14:textId="77777777" w:rsidR="002252DB" w:rsidRPr="00D5537F" w:rsidRDefault="002252DB">
            <w:pPr>
              <w:pStyle w:val="041Tabletext008pt"/>
              <w:rPr>
                <w:lang w:val="en-US"/>
              </w:rPr>
            </w:pPr>
            <w:r w:rsidRPr="00D5537F">
              <w:rPr>
                <w:lang w:val="en-US"/>
              </w:rPr>
              <w:t>A multicenter real-world review of 10 kHz SCS outcomes for treatment of chronic trunk and/or limb pain</w:t>
            </w:r>
          </w:p>
        </w:tc>
      </w:tr>
      <w:tr w:rsidR="002252DB" w:rsidRPr="00D5537F" w14:paraId="00A072C5" w14:textId="77777777" w:rsidTr="00643A5D">
        <w:tc>
          <w:tcPr>
            <w:tcW w:w="0" w:type="auto"/>
            <w:tcBorders>
              <w:top w:val="single" w:sz="4" w:space="0" w:color="auto"/>
              <w:bottom w:val="single" w:sz="4" w:space="0" w:color="auto"/>
            </w:tcBorders>
          </w:tcPr>
          <w:p w14:paraId="3C03CA2E" w14:textId="77777777" w:rsidR="002252DB" w:rsidRPr="00D5537F" w:rsidRDefault="002252DB">
            <w:pPr>
              <w:pStyle w:val="041Tabletext008pt"/>
              <w:rPr>
                <w:lang w:val="en-US"/>
              </w:rPr>
            </w:pPr>
            <w:proofErr w:type="spellStart"/>
            <w:r w:rsidRPr="00D5537F">
              <w:rPr>
                <w:lang w:val="en-US"/>
              </w:rPr>
              <w:t>Tiede</w:t>
            </w:r>
            <w:proofErr w:type="spellEnd"/>
            <w:r w:rsidRPr="00D5537F">
              <w:rPr>
                <w:lang w:val="en-US"/>
              </w:rPr>
              <w:t xml:space="preserve"> 2013</w:t>
            </w:r>
          </w:p>
        </w:tc>
        <w:tc>
          <w:tcPr>
            <w:tcW w:w="0" w:type="auto"/>
            <w:tcBorders>
              <w:top w:val="single" w:sz="4" w:space="0" w:color="auto"/>
              <w:bottom w:val="single" w:sz="4" w:space="0" w:color="auto"/>
            </w:tcBorders>
          </w:tcPr>
          <w:p w14:paraId="7870209F" w14:textId="77777777" w:rsidR="002252DB" w:rsidRPr="00D5537F" w:rsidRDefault="002252DB">
            <w:pPr>
              <w:pStyle w:val="041Tabletext008pt"/>
              <w:rPr>
                <w:lang w:val="en-US"/>
              </w:rPr>
            </w:pPr>
            <w:r w:rsidRPr="00D5537F">
              <w:rPr>
                <w:lang w:val="en-US"/>
              </w:rPr>
              <w:t>Novel spinal cord stimulation parameters in patients with predominant back pain</w:t>
            </w:r>
          </w:p>
        </w:tc>
      </w:tr>
      <w:tr w:rsidR="002252DB" w:rsidRPr="00D5537F" w14:paraId="15FEE993" w14:textId="77777777" w:rsidTr="00643A5D">
        <w:tc>
          <w:tcPr>
            <w:tcW w:w="0" w:type="auto"/>
            <w:tcBorders>
              <w:top w:val="single" w:sz="4" w:space="0" w:color="auto"/>
              <w:bottom w:val="single" w:sz="4" w:space="0" w:color="auto"/>
            </w:tcBorders>
          </w:tcPr>
          <w:p w14:paraId="265F9E8C" w14:textId="77777777" w:rsidR="002252DB" w:rsidRPr="00D5537F" w:rsidRDefault="002252DB">
            <w:pPr>
              <w:pStyle w:val="041Tabletext008pt"/>
              <w:rPr>
                <w:lang w:val="en-US"/>
              </w:rPr>
            </w:pPr>
            <w:r w:rsidRPr="00D5537F">
              <w:rPr>
                <w:lang w:val="en-US"/>
              </w:rPr>
              <w:t>Van Beek 2018</w:t>
            </w:r>
          </w:p>
        </w:tc>
        <w:tc>
          <w:tcPr>
            <w:tcW w:w="0" w:type="auto"/>
            <w:tcBorders>
              <w:top w:val="single" w:sz="4" w:space="0" w:color="auto"/>
              <w:bottom w:val="single" w:sz="4" w:space="0" w:color="auto"/>
            </w:tcBorders>
          </w:tcPr>
          <w:p w14:paraId="3D52366E" w14:textId="77777777" w:rsidR="002252DB" w:rsidRPr="00D5537F" w:rsidRDefault="002252DB">
            <w:pPr>
              <w:pStyle w:val="041Tabletext008pt"/>
              <w:rPr>
                <w:lang w:val="en-US"/>
              </w:rPr>
            </w:pPr>
            <w:r w:rsidRPr="00D5537F">
              <w:rPr>
                <w:lang w:val="en-US"/>
              </w:rPr>
              <w:t>Severity of neuropathy is associated with long-term spinal cord stimulation outcome in painful diabetic peripheral neuropathy: Five-year follow-up of a prospective two-center clinical trial</w:t>
            </w:r>
          </w:p>
        </w:tc>
      </w:tr>
      <w:tr w:rsidR="002252DB" w:rsidRPr="00D5537F" w14:paraId="358997F3" w14:textId="77777777" w:rsidTr="00643A5D">
        <w:tc>
          <w:tcPr>
            <w:tcW w:w="0" w:type="auto"/>
            <w:tcBorders>
              <w:top w:val="single" w:sz="4" w:space="0" w:color="auto"/>
              <w:bottom w:val="single" w:sz="4" w:space="0" w:color="auto"/>
            </w:tcBorders>
          </w:tcPr>
          <w:p w14:paraId="6F5372D5" w14:textId="77777777" w:rsidR="002252DB" w:rsidRPr="00D5537F" w:rsidRDefault="002252DB">
            <w:pPr>
              <w:pStyle w:val="041Tabletext008pt"/>
              <w:rPr>
                <w:lang w:val="en-US"/>
              </w:rPr>
            </w:pPr>
            <w:r w:rsidRPr="00D5537F">
              <w:rPr>
                <w:lang w:val="en-US"/>
              </w:rPr>
              <w:t xml:space="preserve">Van </w:t>
            </w:r>
            <w:proofErr w:type="spellStart"/>
            <w:r w:rsidRPr="00D5537F">
              <w:rPr>
                <w:lang w:val="en-US"/>
              </w:rPr>
              <w:t>Buyten</w:t>
            </w:r>
            <w:proofErr w:type="spellEnd"/>
            <w:r w:rsidRPr="00D5537F">
              <w:rPr>
                <w:lang w:val="en-US"/>
              </w:rPr>
              <w:t xml:space="preserve"> 2001</w:t>
            </w:r>
          </w:p>
        </w:tc>
        <w:tc>
          <w:tcPr>
            <w:tcW w:w="0" w:type="auto"/>
            <w:tcBorders>
              <w:top w:val="single" w:sz="4" w:space="0" w:color="auto"/>
              <w:bottom w:val="single" w:sz="4" w:space="0" w:color="auto"/>
            </w:tcBorders>
          </w:tcPr>
          <w:p w14:paraId="6F694BB0" w14:textId="77777777" w:rsidR="002252DB" w:rsidRPr="00D5537F" w:rsidRDefault="002252DB">
            <w:pPr>
              <w:pStyle w:val="041Tabletext008pt"/>
              <w:rPr>
                <w:lang w:val="en-US"/>
              </w:rPr>
            </w:pPr>
            <w:r w:rsidRPr="00D5537F">
              <w:rPr>
                <w:lang w:val="en-US"/>
              </w:rPr>
              <w:t>Efficacy of spinal cord stimulation: 10 Years of experience in a pain centre in Belgium</w:t>
            </w:r>
          </w:p>
        </w:tc>
      </w:tr>
      <w:tr w:rsidR="002252DB" w:rsidRPr="00D5537F" w14:paraId="7285CDE0" w14:textId="77777777" w:rsidTr="00643A5D">
        <w:tc>
          <w:tcPr>
            <w:tcW w:w="0" w:type="auto"/>
            <w:tcBorders>
              <w:top w:val="single" w:sz="4" w:space="0" w:color="auto"/>
              <w:bottom w:val="single" w:sz="4" w:space="0" w:color="auto"/>
            </w:tcBorders>
          </w:tcPr>
          <w:p w14:paraId="7A97063D" w14:textId="77777777" w:rsidR="002252DB" w:rsidRPr="00D5537F" w:rsidRDefault="002252DB">
            <w:pPr>
              <w:pStyle w:val="041Tabletext008pt"/>
              <w:rPr>
                <w:lang w:val="en-US"/>
              </w:rPr>
            </w:pPr>
            <w:r w:rsidRPr="00D5537F">
              <w:rPr>
                <w:lang w:val="en-US"/>
              </w:rPr>
              <w:t xml:space="preserve">Van </w:t>
            </w:r>
            <w:proofErr w:type="spellStart"/>
            <w:r w:rsidRPr="00D5537F">
              <w:rPr>
                <w:lang w:val="en-US"/>
              </w:rPr>
              <w:t>Buyten</w:t>
            </w:r>
            <w:proofErr w:type="spellEnd"/>
            <w:r w:rsidRPr="00D5537F">
              <w:rPr>
                <w:lang w:val="en-US"/>
              </w:rPr>
              <w:t xml:space="preserve"> 2003</w:t>
            </w:r>
          </w:p>
        </w:tc>
        <w:tc>
          <w:tcPr>
            <w:tcW w:w="0" w:type="auto"/>
            <w:tcBorders>
              <w:top w:val="single" w:sz="4" w:space="0" w:color="auto"/>
              <w:bottom w:val="single" w:sz="4" w:space="0" w:color="auto"/>
            </w:tcBorders>
          </w:tcPr>
          <w:p w14:paraId="0ED73E83" w14:textId="77777777" w:rsidR="002252DB" w:rsidRPr="00D5537F" w:rsidRDefault="002252DB">
            <w:pPr>
              <w:pStyle w:val="041Tabletext008pt"/>
              <w:rPr>
                <w:lang w:val="en-US"/>
              </w:rPr>
            </w:pPr>
            <w:r w:rsidRPr="00D5537F">
              <w:rPr>
                <w:lang w:val="en-US"/>
              </w:rPr>
              <w:t>The Performance and Safety of an Implantable Spinal Cord Stimulation System in Patients with Chronic Pain: A 5-Year Study</w:t>
            </w:r>
          </w:p>
        </w:tc>
      </w:tr>
      <w:tr w:rsidR="002252DB" w:rsidRPr="00D5537F" w14:paraId="3C8166FD" w14:textId="77777777" w:rsidTr="00643A5D">
        <w:tc>
          <w:tcPr>
            <w:tcW w:w="0" w:type="auto"/>
            <w:tcBorders>
              <w:top w:val="single" w:sz="4" w:space="0" w:color="auto"/>
              <w:bottom w:val="single" w:sz="4" w:space="0" w:color="auto"/>
            </w:tcBorders>
          </w:tcPr>
          <w:p w14:paraId="1238039D" w14:textId="77777777" w:rsidR="002252DB" w:rsidRPr="00D5537F" w:rsidRDefault="002252DB">
            <w:pPr>
              <w:pStyle w:val="041Tabletext008pt"/>
              <w:rPr>
                <w:lang w:val="en-US"/>
              </w:rPr>
            </w:pPr>
            <w:r w:rsidRPr="00D5537F">
              <w:rPr>
                <w:lang w:val="en-US"/>
              </w:rPr>
              <w:t xml:space="preserve">Van </w:t>
            </w:r>
            <w:proofErr w:type="spellStart"/>
            <w:r w:rsidRPr="00D5537F">
              <w:rPr>
                <w:lang w:val="en-US"/>
              </w:rPr>
              <w:t>Buyten</w:t>
            </w:r>
            <w:proofErr w:type="spellEnd"/>
            <w:r w:rsidRPr="00D5537F">
              <w:rPr>
                <w:lang w:val="en-US"/>
              </w:rPr>
              <w:t xml:space="preserve"> 2013</w:t>
            </w:r>
          </w:p>
        </w:tc>
        <w:tc>
          <w:tcPr>
            <w:tcW w:w="0" w:type="auto"/>
            <w:tcBorders>
              <w:top w:val="single" w:sz="4" w:space="0" w:color="auto"/>
              <w:bottom w:val="single" w:sz="4" w:space="0" w:color="auto"/>
            </w:tcBorders>
          </w:tcPr>
          <w:p w14:paraId="09EF4D9E" w14:textId="77777777" w:rsidR="002252DB" w:rsidRPr="00D5537F" w:rsidRDefault="002252DB">
            <w:pPr>
              <w:pStyle w:val="041Tabletext008pt"/>
              <w:rPr>
                <w:lang w:val="en-US"/>
              </w:rPr>
            </w:pPr>
            <w:r w:rsidRPr="00D5537F">
              <w:rPr>
                <w:lang w:val="en-US"/>
              </w:rPr>
              <w:t>High-frequency spinal cord stimulation for the treatment of chronic back pain patients: Results of a prospective multicenter European clinical study</w:t>
            </w:r>
          </w:p>
        </w:tc>
      </w:tr>
      <w:tr w:rsidR="002252DB" w:rsidRPr="00D5537F" w14:paraId="67B5D075" w14:textId="77777777" w:rsidTr="00643A5D">
        <w:tc>
          <w:tcPr>
            <w:tcW w:w="0" w:type="auto"/>
            <w:tcBorders>
              <w:top w:val="single" w:sz="4" w:space="0" w:color="auto"/>
              <w:bottom w:val="single" w:sz="4" w:space="0" w:color="auto"/>
            </w:tcBorders>
          </w:tcPr>
          <w:p w14:paraId="4B58C16A" w14:textId="77777777" w:rsidR="002252DB" w:rsidRPr="00D5537F" w:rsidRDefault="002252DB">
            <w:pPr>
              <w:pStyle w:val="041Tabletext008pt"/>
              <w:rPr>
                <w:lang w:val="en-US"/>
              </w:rPr>
            </w:pPr>
            <w:r w:rsidRPr="00D5537F">
              <w:rPr>
                <w:lang w:val="en-US"/>
              </w:rPr>
              <w:t xml:space="preserve">Van </w:t>
            </w:r>
            <w:proofErr w:type="spellStart"/>
            <w:r w:rsidRPr="00D5537F">
              <w:rPr>
                <w:lang w:val="en-US"/>
              </w:rPr>
              <w:t>Buyten</w:t>
            </w:r>
            <w:proofErr w:type="spellEnd"/>
            <w:r w:rsidRPr="00D5537F">
              <w:rPr>
                <w:lang w:val="en-US"/>
              </w:rPr>
              <w:t xml:space="preserve"> 2017</w:t>
            </w:r>
          </w:p>
        </w:tc>
        <w:tc>
          <w:tcPr>
            <w:tcW w:w="0" w:type="auto"/>
            <w:tcBorders>
              <w:top w:val="single" w:sz="4" w:space="0" w:color="auto"/>
              <w:bottom w:val="single" w:sz="4" w:space="0" w:color="auto"/>
            </w:tcBorders>
          </w:tcPr>
          <w:p w14:paraId="2700E09E" w14:textId="77777777" w:rsidR="002252DB" w:rsidRPr="00D5537F" w:rsidRDefault="002252DB">
            <w:pPr>
              <w:pStyle w:val="041Tabletext008pt"/>
              <w:rPr>
                <w:lang w:val="en-US"/>
              </w:rPr>
            </w:pPr>
            <w:r w:rsidRPr="00D5537F">
              <w:rPr>
                <w:lang w:val="en-US"/>
              </w:rPr>
              <w:t>Therapy-Related Explants After Spinal Cord Stimulation: Results of an International Retrospective Chart Review Study</w:t>
            </w:r>
          </w:p>
        </w:tc>
      </w:tr>
      <w:tr w:rsidR="002252DB" w:rsidRPr="00D5537F" w14:paraId="020A2A28" w14:textId="77777777" w:rsidTr="00643A5D">
        <w:tc>
          <w:tcPr>
            <w:tcW w:w="0" w:type="auto"/>
            <w:tcBorders>
              <w:top w:val="single" w:sz="4" w:space="0" w:color="auto"/>
              <w:bottom w:val="single" w:sz="4" w:space="0" w:color="auto"/>
            </w:tcBorders>
          </w:tcPr>
          <w:p w14:paraId="450B0826" w14:textId="77777777" w:rsidR="002252DB" w:rsidRPr="00D5537F" w:rsidRDefault="002252DB">
            <w:pPr>
              <w:pStyle w:val="041Tabletext008pt"/>
              <w:rPr>
                <w:lang w:val="en-US"/>
              </w:rPr>
            </w:pPr>
            <w:proofErr w:type="spellStart"/>
            <w:r w:rsidRPr="00D5537F">
              <w:rPr>
                <w:lang w:val="en-US"/>
              </w:rPr>
              <w:t>Verrills</w:t>
            </w:r>
            <w:proofErr w:type="spellEnd"/>
            <w:r w:rsidRPr="00D5537F">
              <w:rPr>
                <w:lang w:val="en-US"/>
              </w:rPr>
              <w:t xml:space="preserve"> 2019</w:t>
            </w:r>
          </w:p>
        </w:tc>
        <w:tc>
          <w:tcPr>
            <w:tcW w:w="0" w:type="auto"/>
            <w:tcBorders>
              <w:top w:val="single" w:sz="4" w:space="0" w:color="auto"/>
              <w:bottom w:val="single" w:sz="4" w:space="0" w:color="auto"/>
            </w:tcBorders>
          </w:tcPr>
          <w:p w14:paraId="53446602" w14:textId="77777777" w:rsidR="002252DB" w:rsidRPr="00D5537F" w:rsidRDefault="002252DB">
            <w:pPr>
              <w:pStyle w:val="041Tabletext008pt"/>
              <w:rPr>
                <w:lang w:val="en-US"/>
              </w:rPr>
            </w:pPr>
            <w:r w:rsidRPr="00D5537F">
              <w:rPr>
                <w:lang w:val="en-US"/>
              </w:rPr>
              <w:t>Dorsal Root Ganglion Stimulation Is Paresthesia-Independent: A Retrospective Study</w:t>
            </w:r>
          </w:p>
        </w:tc>
      </w:tr>
      <w:tr w:rsidR="002252DB" w:rsidRPr="00D5537F" w14:paraId="2E851541" w14:textId="77777777" w:rsidTr="00643A5D">
        <w:tc>
          <w:tcPr>
            <w:tcW w:w="0" w:type="auto"/>
            <w:tcBorders>
              <w:top w:val="single" w:sz="4" w:space="0" w:color="auto"/>
              <w:bottom w:val="single" w:sz="4" w:space="0" w:color="auto"/>
            </w:tcBorders>
          </w:tcPr>
          <w:p w14:paraId="5AFFE253" w14:textId="77777777" w:rsidR="002252DB" w:rsidRPr="00D5537F" w:rsidRDefault="002252DB">
            <w:pPr>
              <w:pStyle w:val="041Tabletext008pt"/>
              <w:rPr>
                <w:lang w:val="en-US"/>
              </w:rPr>
            </w:pPr>
            <w:r w:rsidRPr="00D5537F">
              <w:rPr>
                <w:lang w:val="en-US"/>
              </w:rPr>
              <w:t>Wang 2021</w:t>
            </w:r>
          </w:p>
        </w:tc>
        <w:tc>
          <w:tcPr>
            <w:tcW w:w="0" w:type="auto"/>
            <w:tcBorders>
              <w:top w:val="single" w:sz="4" w:space="0" w:color="auto"/>
              <w:bottom w:val="single" w:sz="4" w:space="0" w:color="auto"/>
            </w:tcBorders>
          </w:tcPr>
          <w:p w14:paraId="259A60EC" w14:textId="77777777" w:rsidR="002252DB" w:rsidRPr="00D5537F" w:rsidRDefault="002252DB">
            <w:pPr>
              <w:pStyle w:val="041Tabletext008pt"/>
              <w:rPr>
                <w:lang w:val="en-US"/>
              </w:rPr>
            </w:pPr>
            <w:proofErr w:type="spellStart"/>
            <w:r w:rsidRPr="00D5537F">
              <w:rPr>
                <w:lang w:val="en-US"/>
              </w:rPr>
              <w:t>Explantation</w:t>
            </w:r>
            <w:proofErr w:type="spellEnd"/>
            <w:r w:rsidRPr="00D5537F">
              <w:rPr>
                <w:lang w:val="en-US"/>
              </w:rPr>
              <w:t xml:space="preserve"> Rates of High Frequency Spinal Cord Stimulation in Two Outpatient Clinics</w:t>
            </w:r>
          </w:p>
        </w:tc>
      </w:tr>
      <w:tr w:rsidR="002252DB" w:rsidRPr="00B84108" w14:paraId="251CD330" w14:textId="77777777" w:rsidTr="00643A5D">
        <w:tc>
          <w:tcPr>
            <w:tcW w:w="0" w:type="auto"/>
            <w:tcBorders>
              <w:top w:val="single" w:sz="4" w:space="0" w:color="auto"/>
              <w:bottom w:val="single" w:sz="4" w:space="0" w:color="auto"/>
            </w:tcBorders>
          </w:tcPr>
          <w:p w14:paraId="428D1815" w14:textId="77777777" w:rsidR="002252DB" w:rsidRPr="00D5537F" w:rsidRDefault="002252DB">
            <w:pPr>
              <w:pStyle w:val="041Tabletext008pt"/>
              <w:rPr>
                <w:lang w:val="en-US"/>
              </w:rPr>
            </w:pPr>
            <w:r w:rsidRPr="00D5537F">
              <w:rPr>
                <w:lang w:val="en-US"/>
              </w:rPr>
              <w:t>Zhou 2023</w:t>
            </w:r>
          </w:p>
        </w:tc>
        <w:tc>
          <w:tcPr>
            <w:tcW w:w="0" w:type="auto"/>
            <w:tcBorders>
              <w:top w:val="single" w:sz="4" w:space="0" w:color="auto"/>
              <w:bottom w:val="single" w:sz="4" w:space="0" w:color="auto"/>
            </w:tcBorders>
          </w:tcPr>
          <w:p w14:paraId="39E1C3AF" w14:textId="77777777" w:rsidR="002252DB" w:rsidRPr="00B84108" w:rsidRDefault="002252DB">
            <w:pPr>
              <w:pStyle w:val="041Tabletext008pt"/>
              <w:rPr>
                <w:lang w:val="en-US"/>
              </w:rPr>
            </w:pPr>
            <w:r w:rsidRPr="00D5537F">
              <w:rPr>
                <w:lang w:val="en-US"/>
              </w:rPr>
              <w:t>Clinical Effect Analysis of Spinal Cord Electrical Stimulator Implantation for Diabetic Foot</w:t>
            </w:r>
          </w:p>
        </w:tc>
      </w:tr>
    </w:tbl>
    <w:p w14:paraId="5DDE9E45" w14:textId="65B1E49D" w:rsidR="002252DB" w:rsidRDefault="0096772C" w:rsidP="002252DB">
      <w:pPr>
        <w:pStyle w:val="111Tablefootnoteslast-nostick8pt"/>
      </w:pPr>
      <w:r>
        <w:t xml:space="preserve">Abbreviations: kHz, kilohertz; </w:t>
      </w:r>
      <w:r w:rsidR="001D1BAE">
        <w:t xml:space="preserve">SCS, spinal cord stimulation; </w:t>
      </w:r>
    </w:p>
    <w:p w14:paraId="406AA1FF" w14:textId="73E5C214" w:rsidR="002252DB" w:rsidRDefault="00B13FD9" w:rsidP="00B13FD9">
      <w:pPr>
        <w:pStyle w:val="Caption"/>
        <w:rPr>
          <w:lang w:val="en-US"/>
        </w:rPr>
      </w:pPr>
      <w:bookmarkStart w:id="185" w:name="_Ref134458861"/>
      <w:r>
        <w:t xml:space="preserve">Table App </w:t>
      </w:r>
      <w:fldSimple w:instr=" SEQ Table_App \* ARABIC ">
        <w:r w:rsidR="00CE6ACA">
          <w:rPr>
            <w:noProof/>
          </w:rPr>
          <w:t>14</w:t>
        </w:r>
      </w:fldSimple>
      <w:bookmarkEnd w:id="185"/>
      <w:r w:rsidR="002252DB">
        <w:tab/>
        <w:t>Systematic reviews and meta-analyses from stakeholder submissions</w:t>
      </w:r>
    </w:p>
    <w:tbl>
      <w:tblPr>
        <w:tblStyle w:val="TableGrid"/>
        <w:tblW w:w="0" w:type="auto"/>
        <w:tblLayout w:type="fixed"/>
        <w:tblLook w:val="04A0" w:firstRow="1" w:lastRow="0" w:firstColumn="1" w:lastColumn="0" w:noHBand="0" w:noVBand="1"/>
        <w:tblCaption w:val="Systematic reviews and meta-analyses from stakeholder submissions"/>
        <w:tblDescription w:val="Table showing systematic reviews and meta-analyses from stakeholder submissions"/>
      </w:tblPr>
      <w:tblGrid>
        <w:gridCol w:w="1286"/>
        <w:gridCol w:w="7811"/>
      </w:tblGrid>
      <w:tr w:rsidR="00A73A63" w:rsidRPr="003353C8" w14:paraId="000D5CB8" w14:textId="77777777">
        <w:trPr>
          <w:cnfStyle w:val="100000000000" w:firstRow="1" w:lastRow="0" w:firstColumn="0" w:lastColumn="0" w:oddVBand="0" w:evenVBand="0" w:oddHBand="0" w:evenHBand="0" w:firstRowFirstColumn="0" w:firstRowLastColumn="0" w:lastRowFirstColumn="0" w:lastRowLastColumn="0"/>
        </w:trPr>
        <w:tc>
          <w:tcPr>
            <w:tcW w:w="1286" w:type="dxa"/>
          </w:tcPr>
          <w:p w14:paraId="55D580D0" w14:textId="754F3810" w:rsidR="00A73A63" w:rsidRPr="003353C8" w:rsidRDefault="00A73A63">
            <w:pPr>
              <w:pStyle w:val="011TableHeading8pt"/>
              <w:rPr>
                <w:lang w:val="en-US"/>
              </w:rPr>
            </w:pPr>
            <w:r>
              <w:rPr>
                <w:lang w:val="en-US"/>
              </w:rPr>
              <w:t>Study</w:t>
            </w:r>
            <w:r w:rsidRPr="003353C8">
              <w:rPr>
                <w:lang w:val="en-US"/>
              </w:rPr>
              <w:t xml:space="preserve"> ID</w:t>
            </w:r>
          </w:p>
        </w:tc>
        <w:tc>
          <w:tcPr>
            <w:tcW w:w="7811" w:type="dxa"/>
          </w:tcPr>
          <w:p w14:paraId="077DCC25" w14:textId="1765BB71" w:rsidR="00A73A63" w:rsidRPr="003353C8" w:rsidRDefault="00A73A63">
            <w:pPr>
              <w:pStyle w:val="011TableHeading8pt"/>
              <w:rPr>
                <w:lang w:val="en-US"/>
              </w:rPr>
            </w:pPr>
            <w:r>
              <w:rPr>
                <w:lang w:val="en-US"/>
              </w:rPr>
              <w:t>Title</w:t>
            </w:r>
          </w:p>
        </w:tc>
      </w:tr>
      <w:tr w:rsidR="00A73A63" w:rsidRPr="003353C8" w14:paraId="06CF6F07" w14:textId="77777777">
        <w:tc>
          <w:tcPr>
            <w:tcW w:w="1286" w:type="dxa"/>
          </w:tcPr>
          <w:p w14:paraId="1BAAB7F1" w14:textId="77777777" w:rsidR="00A73A63" w:rsidRPr="003353C8" w:rsidRDefault="00A73A63">
            <w:pPr>
              <w:pStyle w:val="051Tabletext228pt"/>
              <w:rPr>
                <w:lang w:val="en-US"/>
              </w:rPr>
            </w:pPr>
            <w:r w:rsidRPr="003353C8">
              <w:rPr>
                <w:lang w:val="en-US"/>
              </w:rPr>
              <w:t>Bala 2008</w:t>
            </w:r>
          </w:p>
        </w:tc>
        <w:tc>
          <w:tcPr>
            <w:tcW w:w="7811" w:type="dxa"/>
          </w:tcPr>
          <w:p w14:paraId="08502CB2" w14:textId="77777777" w:rsidR="00A73A63" w:rsidRPr="003353C8" w:rsidRDefault="00A73A63">
            <w:pPr>
              <w:pStyle w:val="051Tabletext228pt"/>
              <w:rPr>
                <w:lang w:val="en-US"/>
              </w:rPr>
            </w:pPr>
            <w:r w:rsidRPr="003353C8">
              <w:rPr>
                <w:lang w:val="en-US"/>
              </w:rPr>
              <w:t>Systematic review of the (Cost-)effectiveness of spinal cord stimulation for people with failed back surgery syndrome</w:t>
            </w:r>
          </w:p>
        </w:tc>
      </w:tr>
      <w:tr w:rsidR="00A73A63" w:rsidRPr="003353C8" w14:paraId="1A850514" w14:textId="77777777">
        <w:tc>
          <w:tcPr>
            <w:tcW w:w="1286" w:type="dxa"/>
          </w:tcPr>
          <w:p w14:paraId="5EE30229" w14:textId="77777777" w:rsidR="00A73A63" w:rsidRPr="003353C8" w:rsidRDefault="00A73A63">
            <w:pPr>
              <w:pStyle w:val="051Tabletext228pt"/>
              <w:rPr>
                <w:lang w:val="en-US"/>
              </w:rPr>
            </w:pPr>
            <w:proofErr w:type="spellStart"/>
            <w:r w:rsidRPr="003353C8">
              <w:rPr>
                <w:lang w:val="en-US"/>
              </w:rPr>
              <w:t>Baranidharan</w:t>
            </w:r>
            <w:proofErr w:type="spellEnd"/>
            <w:r w:rsidRPr="003353C8">
              <w:rPr>
                <w:lang w:val="en-US"/>
              </w:rPr>
              <w:t xml:space="preserve"> 2021</w:t>
            </w:r>
          </w:p>
        </w:tc>
        <w:tc>
          <w:tcPr>
            <w:tcW w:w="7811" w:type="dxa"/>
          </w:tcPr>
          <w:p w14:paraId="59011B66" w14:textId="77777777" w:rsidR="00A73A63" w:rsidRPr="003353C8" w:rsidRDefault="00A73A63">
            <w:pPr>
              <w:pStyle w:val="051Tabletext228pt"/>
              <w:rPr>
                <w:lang w:val="en-US"/>
              </w:rPr>
            </w:pPr>
            <w:r w:rsidRPr="003353C8">
              <w:rPr>
                <w:lang w:val="en-US"/>
              </w:rPr>
              <w:t>Efficacy and Safety of 10 kHz Spinal Cord Stimulation for the Treatment of Chronic Pain: A Systematic Review and Narrative Synthesis of Real-World Retrospective Studies</w:t>
            </w:r>
          </w:p>
        </w:tc>
      </w:tr>
      <w:tr w:rsidR="00A73A63" w:rsidRPr="003353C8" w14:paraId="0C2B2BFE" w14:textId="77777777">
        <w:tc>
          <w:tcPr>
            <w:tcW w:w="1286" w:type="dxa"/>
          </w:tcPr>
          <w:p w14:paraId="7C208EC1" w14:textId="77777777" w:rsidR="00A73A63" w:rsidRPr="003353C8" w:rsidRDefault="00A73A63">
            <w:pPr>
              <w:pStyle w:val="051Tabletext228pt"/>
              <w:rPr>
                <w:lang w:val="en-US"/>
              </w:rPr>
            </w:pPr>
            <w:proofErr w:type="spellStart"/>
            <w:r w:rsidRPr="003353C8">
              <w:rPr>
                <w:lang w:val="en-US"/>
              </w:rPr>
              <w:t>Baranidharan</w:t>
            </w:r>
            <w:proofErr w:type="spellEnd"/>
            <w:r w:rsidRPr="003353C8">
              <w:rPr>
                <w:lang w:val="en-US"/>
              </w:rPr>
              <w:t xml:space="preserve"> 2021</w:t>
            </w:r>
          </w:p>
        </w:tc>
        <w:tc>
          <w:tcPr>
            <w:tcW w:w="7811" w:type="dxa"/>
          </w:tcPr>
          <w:p w14:paraId="1FD0110F" w14:textId="77777777" w:rsidR="00A73A63" w:rsidRPr="003353C8" w:rsidRDefault="00A73A63">
            <w:pPr>
              <w:pStyle w:val="051Tabletext228pt"/>
              <w:rPr>
                <w:lang w:val="en-US"/>
              </w:rPr>
            </w:pPr>
            <w:r w:rsidRPr="003353C8">
              <w:rPr>
                <w:lang w:val="en-US"/>
              </w:rPr>
              <w:t>Pain Relief and Safety Outcomes with Cervical 10 kHz Spinal Cord Stimulation: Systematic Literature Review and Meta-analysis</w:t>
            </w:r>
          </w:p>
        </w:tc>
      </w:tr>
      <w:tr w:rsidR="00A73A63" w:rsidRPr="003353C8" w14:paraId="40AEEC56" w14:textId="77777777">
        <w:tc>
          <w:tcPr>
            <w:tcW w:w="1286" w:type="dxa"/>
          </w:tcPr>
          <w:p w14:paraId="6F4363F2" w14:textId="77777777" w:rsidR="00A73A63" w:rsidRPr="003353C8" w:rsidRDefault="00A73A63">
            <w:pPr>
              <w:pStyle w:val="051Tabletext228pt"/>
              <w:rPr>
                <w:lang w:val="en-US"/>
              </w:rPr>
            </w:pPr>
            <w:r w:rsidRPr="003353C8">
              <w:rPr>
                <w:lang w:val="en-US"/>
              </w:rPr>
              <w:t>Bordeleau 2019</w:t>
            </w:r>
          </w:p>
        </w:tc>
        <w:tc>
          <w:tcPr>
            <w:tcW w:w="7811" w:type="dxa"/>
          </w:tcPr>
          <w:p w14:paraId="434B7406" w14:textId="77777777" w:rsidR="00A73A63" w:rsidRPr="003353C8" w:rsidRDefault="00A73A63">
            <w:pPr>
              <w:pStyle w:val="051Tabletext228pt"/>
              <w:rPr>
                <w:lang w:val="en-US"/>
              </w:rPr>
            </w:pPr>
            <w:r w:rsidRPr="003353C8">
              <w:rPr>
                <w:lang w:val="en-US"/>
              </w:rPr>
              <w:t>Effects of Tonic Spinal Cord Stimulation on Sensory Perception in Chronic Pain Patients: A Systematic Review</w:t>
            </w:r>
          </w:p>
        </w:tc>
      </w:tr>
      <w:tr w:rsidR="00A73A63" w:rsidRPr="003353C8" w14:paraId="27B7DBBD" w14:textId="77777777">
        <w:tc>
          <w:tcPr>
            <w:tcW w:w="1286" w:type="dxa"/>
          </w:tcPr>
          <w:p w14:paraId="11AD7723" w14:textId="77777777" w:rsidR="00A73A63" w:rsidRPr="003353C8" w:rsidRDefault="00A73A63">
            <w:pPr>
              <w:pStyle w:val="051Tabletext228pt"/>
              <w:rPr>
                <w:lang w:val="en-US"/>
              </w:rPr>
            </w:pPr>
            <w:r w:rsidRPr="003353C8">
              <w:rPr>
                <w:lang w:val="en-US"/>
              </w:rPr>
              <w:lastRenderedPageBreak/>
              <w:t>Conger 2020</w:t>
            </w:r>
          </w:p>
        </w:tc>
        <w:tc>
          <w:tcPr>
            <w:tcW w:w="7811" w:type="dxa"/>
          </w:tcPr>
          <w:p w14:paraId="55F15E34" w14:textId="77777777" w:rsidR="00A73A63" w:rsidRPr="003353C8" w:rsidRDefault="00A73A63">
            <w:pPr>
              <w:pStyle w:val="051Tabletext228pt"/>
              <w:rPr>
                <w:lang w:val="en-US"/>
              </w:rPr>
            </w:pPr>
            <w:r w:rsidRPr="003353C8">
              <w:rPr>
                <w:lang w:val="en-US"/>
              </w:rPr>
              <w:t>The effectiveness of spinal cord stimulation for the treatment of axial low back pain: A systematic review with narrative synthesis</w:t>
            </w:r>
          </w:p>
        </w:tc>
      </w:tr>
      <w:tr w:rsidR="00A73A63" w:rsidRPr="003353C8" w14:paraId="1D710721" w14:textId="77777777">
        <w:tc>
          <w:tcPr>
            <w:tcW w:w="1286" w:type="dxa"/>
          </w:tcPr>
          <w:p w14:paraId="5375BC3F" w14:textId="77777777" w:rsidR="00A73A63" w:rsidRPr="003353C8" w:rsidRDefault="00A73A63">
            <w:pPr>
              <w:pStyle w:val="051Tabletext228pt"/>
              <w:rPr>
                <w:lang w:val="en-US"/>
              </w:rPr>
            </w:pPr>
            <w:r w:rsidRPr="003353C8">
              <w:rPr>
                <w:lang w:val="en-US"/>
              </w:rPr>
              <w:t>Deer 2020</w:t>
            </w:r>
          </w:p>
        </w:tc>
        <w:tc>
          <w:tcPr>
            <w:tcW w:w="7811" w:type="dxa"/>
          </w:tcPr>
          <w:p w14:paraId="7BF26747" w14:textId="77777777" w:rsidR="00A73A63" w:rsidRPr="003353C8" w:rsidRDefault="00A73A63">
            <w:pPr>
              <w:pStyle w:val="051Tabletext228pt"/>
              <w:rPr>
                <w:lang w:val="en-US"/>
              </w:rPr>
            </w:pPr>
            <w:r w:rsidRPr="003353C8">
              <w:rPr>
                <w:lang w:val="en-US"/>
              </w:rPr>
              <w:t>A systematic literature review of spine neurostimulation therapies for the treatment of pain</w:t>
            </w:r>
          </w:p>
        </w:tc>
      </w:tr>
      <w:tr w:rsidR="00A73A63" w:rsidRPr="003353C8" w14:paraId="3CAA708B" w14:textId="77777777">
        <w:tc>
          <w:tcPr>
            <w:tcW w:w="1286" w:type="dxa"/>
          </w:tcPr>
          <w:p w14:paraId="142B4C0A" w14:textId="77777777" w:rsidR="00A73A63" w:rsidRPr="003353C8" w:rsidRDefault="00A73A63">
            <w:pPr>
              <w:pStyle w:val="051Tabletext228pt"/>
              <w:rPr>
                <w:lang w:val="en-US"/>
              </w:rPr>
            </w:pPr>
            <w:r w:rsidRPr="003353C8">
              <w:rPr>
                <w:lang w:val="en-US"/>
              </w:rPr>
              <w:t>Duarte 2022</w:t>
            </w:r>
          </w:p>
        </w:tc>
        <w:tc>
          <w:tcPr>
            <w:tcW w:w="7811" w:type="dxa"/>
          </w:tcPr>
          <w:p w14:paraId="0F86AD13" w14:textId="77777777" w:rsidR="00A73A63" w:rsidRPr="003353C8" w:rsidRDefault="00A73A63">
            <w:pPr>
              <w:pStyle w:val="051Tabletext228pt"/>
              <w:rPr>
                <w:lang w:val="en-US"/>
              </w:rPr>
            </w:pPr>
            <w:r w:rsidRPr="003353C8">
              <w:rPr>
                <w:lang w:val="en-US"/>
              </w:rPr>
              <w:t>Systematic Review and Network Meta-analysis of Neurostimulation for Painful Diabetic Neuropathy</w:t>
            </w:r>
          </w:p>
        </w:tc>
      </w:tr>
      <w:tr w:rsidR="00A73A63" w:rsidRPr="003353C8" w14:paraId="067E33B1" w14:textId="77777777">
        <w:tc>
          <w:tcPr>
            <w:tcW w:w="1286" w:type="dxa"/>
          </w:tcPr>
          <w:p w14:paraId="71AC58A3" w14:textId="77777777" w:rsidR="00A73A63" w:rsidRPr="003353C8" w:rsidRDefault="00A73A63">
            <w:pPr>
              <w:pStyle w:val="051Tabletext228pt"/>
              <w:rPr>
                <w:lang w:val="en-US"/>
              </w:rPr>
            </w:pPr>
            <w:r w:rsidRPr="003353C8">
              <w:rPr>
                <w:lang w:val="en-US"/>
              </w:rPr>
              <w:t>Frey 2009</w:t>
            </w:r>
          </w:p>
        </w:tc>
        <w:tc>
          <w:tcPr>
            <w:tcW w:w="7811" w:type="dxa"/>
          </w:tcPr>
          <w:p w14:paraId="2B12ACDC" w14:textId="77777777" w:rsidR="00A73A63" w:rsidRPr="003353C8" w:rsidRDefault="00A73A63">
            <w:pPr>
              <w:pStyle w:val="051Tabletext228pt"/>
              <w:rPr>
                <w:lang w:val="en-US"/>
              </w:rPr>
            </w:pPr>
            <w:r w:rsidRPr="003353C8">
              <w:rPr>
                <w:lang w:val="en-US"/>
              </w:rPr>
              <w:t>Spinal cord stimulation for patients with failed back surgery syndrome: A systematic review</w:t>
            </w:r>
          </w:p>
        </w:tc>
      </w:tr>
      <w:tr w:rsidR="00A73A63" w:rsidRPr="003353C8" w14:paraId="1DF67B7D" w14:textId="77777777">
        <w:tc>
          <w:tcPr>
            <w:tcW w:w="1286" w:type="dxa"/>
          </w:tcPr>
          <w:p w14:paraId="3291B085" w14:textId="77777777" w:rsidR="00A73A63" w:rsidRPr="003353C8" w:rsidRDefault="00A73A63">
            <w:pPr>
              <w:pStyle w:val="051Tabletext228pt"/>
              <w:rPr>
                <w:lang w:val="en-US"/>
              </w:rPr>
            </w:pPr>
            <w:proofErr w:type="spellStart"/>
            <w:r w:rsidRPr="003353C8">
              <w:rPr>
                <w:lang w:val="en-US"/>
              </w:rPr>
              <w:t>Grider</w:t>
            </w:r>
            <w:proofErr w:type="spellEnd"/>
            <w:r w:rsidRPr="003353C8">
              <w:rPr>
                <w:lang w:val="en-US"/>
              </w:rPr>
              <w:t xml:space="preserve"> 2016</w:t>
            </w:r>
          </w:p>
        </w:tc>
        <w:tc>
          <w:tcPr>
            <w:tcW w:w="7811" w:type="dxa"/>
          </w:tcPr>
          <w:p w14:paraId="636111D8" w14:textId="77777777" w:rsidR="00A73A63" w:rsidRPr="003353C8" w:rsidRDefault="00A73A63">
            <w:pPr>
              <w:pStyle w:val="051Tabletext228pt"/>
              <w:rPr>
                <w:lang w:val="en-US"/>
              </w:rPr>
            </w:pPr>
            <w:r w:rsidRPr="003353C8">
              <w:rPr>
                <w:lang w:val="en-US"/>
              </w:rPr>
              <w:t>Effectiveness of spinal cord stimulation in chronic spinal pain: A systematic review</w:t>
            </w:r>
          </w:p>
        </w:tc>
      </w:tr>
      <w:tr w:rsidR="00A73A63" w:rsidRPr="003353C8" w14:paraId="1C98D26B" w14:textId="77777777">
        <w:tc>
          <w:tcPr>
            <w:tcW w:w="1286" w:type="dxa"/>
          </w:tcPr>
          <w:p w14:paraId="13EC3318" w14:textId="77777777" w:rsidR="00A73A63" w:rsidRPr="003353C8" w:rsidRDefault="00A73A63">
            <w:pPr>
              <w:pStyle w:val="051Tabletext228pt"/>
              <w:rPr>
                <w:lang w:val="en-US"/>
              </w:rPr>
            </w:pPr>
            <w:proofErr w:type="spellStart"/>
            <w:r w:rsidRPr="003353C8">
              <w:rPr>
                <w:lang w:val="en-US"/>
              </w:rPr>
              <w:t>Hoelzer</w:t>
            </w:r>
            <w:proofErr w:type="spellEnd"/>
            <w:r w:rsidRPr="003353C8">
              <w:rPr>
                <w:lang w:val="en-US"/>
              </w:rPr>
              <w:t xml:space="preserve"> 2022</w:t>
            </w:r>
          </w:p>
        </w:tc>
        <w:tc>
          <w:tcPr>
            <w:tcW w:w="7811" w:type="dxa"/>
          </w:tcPr>
          <w:p w14:paraId="6F7CAA29" w14:textId="77777777" w:rsidR="00A73A63" w:rsidRPr="003353C8" w:rsidRDefault="00A73A63">
            <w:pPr>
              <w:pStyle w:val="051Tabletext228pt"/>
              <w:rPr>
                <w:lang w:val="en-US"/>
              </w:rPr>
            </w:pPr>
            <w:r w:rsidRPr="003353C8">
              <w:rPr>
                <w:lang w:val="en-US"/>
              </w:rPr>
              <w:t>Indirect Comparison of 10 kHz Spinal Cord Stimulation (SCS) versus Traditional Low-Frequency SCS for the Treatment of Painful Diabetic Neuropathy: A Systematic Review of Randomized Controlled Trials</w:t>
            </w:r>
          </w:p>
        </w:tc>
      </w:tr>
      <w:tr w:rsidR="00A73A63" w:rsidRPr="003353C8" w14:paraId="23A82778" w14:textId="77777777">
        <w:tc>
          <w:tcPr>
            <w:tcW w:w="1286" w:type="dxa"/>
          </w:tcPr>
          <w:p w14:paraId="2DCD1F86" w14:textId="77777777" w:rsidR="00A73A63" w:rsidRPr="003353C8" w:rsidRDefault="00A73A63">
            <w:pPr>
              <w:pStyle w:val="051Tabletext228pt"/>
              <w:rPr>
                <w:lang w:val="en-US"/>
              </w:rPr>
            </w:pPr>
            <w:r w:rsidRPr="003353C8">
              <w:rPr>
                <w:lang w:val="en-US"/>
              </w:rPr>
              <w:t>Hornberger 2008</w:t>
            </w:r>
          </w:p>
        </w:tc>
        <w:tc>
          <w:tcPr>
            <w:tcW w:w="7811" w:type="dxa"/>
          </w:tcPr>
          <w:p w14:paraId="5F503904" w14:textId="77777777" w:rsidR="00A73A63" w:rsidRPr="003353C8" w:rsidRDefault="00A73A63">
            <w:pPr>
              <w:pStyle w:val="051Tabletext228pt"/>
              <w:rPr>
                <w:lang w:val="en-US"/>
              </w:rPr>
            </w:pPr>
            <w:r w:rsidRPr="003353C8">
              <w:rPr>
                <w:lang w:val="en-US"/>
              </w:rPr>
              <w:t>Rechargeable spinal cord stimulation versus non-rechargeable system for patients with failed back surgery syndrome: a cost-consequences analysis</w:t>
            </w:r>
          </w:p>
        </w:tc>
      </w:tr>
      <w:tr w:rsidR="00A73A63" w:rsidRPr="003353C8" w14:paraId="52CA1FDE" w14:textId="77777777">
        <w:tc>
          <w:tcPr>
            <w:tcW w:w="1286" w:type="dxa"/>
          </w:tcPr>
          <w:p w14:paraId="04FEF858" w14:textId="77777777" w:rsidR="00A73A63" w:rsidRPr="003353C8" w:rsidRDefault="00A73A63">
            <w:pPr>
              <w:pStyle w:val="051Tabletext228pt"/>
              <w:rPr>
                <w:lang w:val="en-US"/>
              </w:rPr>
            </w:pPr>
            <w:proofErr w:type="spellStart"/>
            <w:r w:rsidRPr="003353C8">
              <w:rPr>
                <w:lang w:val="en-US"/>
              </w:rPr>
              <w:t>Luecke</w:t>
            </w:r>
            <w:proofErr w:type="spellEnd"/>
            <w:r w:rsidRPr="003353C8">
              <w:rPr>
                <w:lang w:val="en-US"/>
              </w:rPr>
              <w:t xml:space="preserve"> 2021</w:t>
            </w:r>
          </w:p>
        </w:tc>
        <w:tc>
          <w:tcPr>
            <w:tcW w:w="7811" w:type="dxa"/>
          </w:tcPr>
          <w:p w14:paraId="7D7A2AD5" w14:textId="77777777" w:rsidR="00A73A63" w:rsidRPr="003353C8" w:rsidRDefault="00A73A63">
            <w:pPr>
              <w:pStyle w:val="051Tabletext228pt"/>
              <w:rPr>
                <w:lang w:val="en-US"/>
              </w:rPr>
            </w:pPr>
            <w:r w:rsidRPr="003353C8">
              <w:rPr>
                <w:lang w:val="en-US"/>
              </w:rPr>
              <w:t>Spinal cord stimulation: a real-world data analysis on outcomes and differences between rechargeable and non-rechargeable implantable pulse generators</w:t>
            </w:r>
          </w:p>
        </w:tc>
      </w:tr>
      <w:tr w:rsidR="00A73A63" w:rsidRPr="003353C8" w14:paraId="47E083D1" w14:textId="77777777">
        <w:tc>
          <w:tcPr>
            <w:tcW w:w="1286" w:type="dxa"/>
          </w:tcPr>
          <w:p w14:paraId="2F357678" w14:textId="77777777" w:rsidR="00A73A63" w:rsidRPr="003353C8" w:rsidRDefault="00A73A63">
            <w:pPr>
              <w:pStyle w:val="051Tabletext228pt"/>
              <w:rPr>
                <w:lang w:val="en-US"/>
              </w:rPr>
            </w:pPr>
            <w:proofErr w:type="spellStart"/>
            <w:r w:rsidRPr="003353C8">
              <w:rPr>
                <w:lang w:val="en-US"/>
              </w:rPr>
              <w:t>Odonkor</w:t>
            </w:r>
            <w:proofErr w:type="spellEnd"/>
            <w:r w:rsidRPr="003353C8">
              <w:rPr>
                <w:lang w:val="en-US"/>
              </w:rPr>
              <w:t xml:space="preserve"> 2019</w:t>
            </w:r>
          </w:p>
        </w:tc>
        <w:tc>
          <w:tcPr>
            <w:tcW w:w="7811" w:type="dxa"/>
          </w:tcPr>
          <w:p w14:paraId="19FE3268" w14:textId="77777777" w:rsidR="00A73A63" w:rsidRPr="003353C8" w:rsidRDefault="00A73A63">
            <w:pPr>
              <w:pStyle w:val="051Tabletext228pt"/>
              <w:rPr>
                <w:lang w:val="en-US"/>
              </w:rPr>
            </w:pPr>
            <w:r w:rsidRPr="003353C8">
              <w:rPr>
                <w:lang w:val="en-US"/>
              </w:rPr>
              <w:t>Spinal Cord Stimulation vs Conventional Therapies for the Treatment of Chronic Low Back and Leg Pain: A Systematic Review of Health Care Resource Utilization and Outcomes in the Last Decade</w:t>
            </w:r>
          </w:p>
        </w:tc>
      </w:tr>
      <w:tr w:rsidR="00A73A63" w:rsidRPr="003353C8" w14:paraId="0F0BE235" w14:textId="77777777">
        <w:tc>
          <w:tcPr>
            <w:tcW w:w="1286" w:type="dxa"/>
          </w:tcPr>
          <w:p w14:paraId="0B2DC012" w14:textId="77777777" w:rsidR="00A73A63" w:rsidRPr="003353C8" w:rsidRDefault="00A73A63">
            <w:pPr>
              <w:pStyle w:val="051Tabletext228pt"/>
              <w:rPr>
                <w:lang w:val="en-US"/>
              </w:rPr>
            </w:pPr>
            <w:r w:rsidRPr="003353C8">
              <w:rPr>
                <w:lang w:val="en-US"/>
              </w:rPr>
              <w:t>Pollard 2019</w:t>
            </w:r>
          </w:p>
        </w:tc>
        <w:tc>
          <w:tcPr>
            <w:tcW w:w="7811" w:type="dxa"/>
          </w:tcPr>
          <w:p w14:paraId="07E248B4" w14:textId="77777777" w:rsidR="00A73A63" w:rsidRPr="003353C8" w:rsidRDefault="00A73A63">
            <w:pPr>
              <w:pStyle w:val="051Tabletext228pt"/>
              <w:rPr>
                <w:lang w:val="en-US"/>
              </w:rPr>
            </w:pPr>
            <w:r w:rsidRPr="003353C8">
              <w:rPr>
                <w:lang w:val="en-US"/>
              </w:rPr>
              <w:t>The effect of spinal cord stimulation on pain medication reduction in intractable spine and limb pain: A systematic review of randomized controlled trials and meta-analysis</w:t>
            </w:r>
          </w:p>
        </w:tc>
      </w:tr>
      <w:tr w:rsidR="00A73A63" w:rsidRPr="003353C8" w14:paraId="223829A0" w14:textId="77777777">
        <w:tc>
          <w:tcPr>
            <w:tcW w:w="1286" w:type="dxa"/>
          </w:tcPr>
          <w:p w14:paraId="55F1C34D" w14:textId="77777777" w:rsidR="00A73A63" w:rsidRPr="003353C8" w:rsidRDefault="00A73A63">
            <w:pPr>
              <w:pStyle w:val="051Tabletext228pt"/>
              <w:rPr>
                <w:lang w:val="en-US"/>
              </w:rPr>
            </w:pPr>
            <w:proofErr w:type="spellStart"/>
            <w:r w:rsidRPr="003353C8">
              <w:rPr>
                <w:lang w:val="en-US"/>
              </w:rPr>
              <w:t>Slavin</w:t>
            </w:r>
            <w:proofErr w:type="spellEnd"/>
            <w:r w:rsidRPr="003353C8">
              <w:rPr>
                <w:lang w:val="en-US"/>
              </w:rPr>
              <w:t xml:space="preserve"> 2013</w:t>
            </w:r>
          </w:p>
        </w:tc>
        <w:tc>
          <w:tcPr>
            <w:tcW w:w="7811" w:type="dxa"/>
          </w:tcPr>
          <w:p w14:paraId="05BF9808" w14:textId="77777777" w:rsidR="00A73A63" w:rsidRPr="003353C8" w:rsidRDefault="00A73A63">
            <w:pPr>
              <w:pStyle w:val="051Tabletext228pt"/>
              <w:rPr>
                <w:lang w:val="en-US"/>
              </w:rPr>
            </w:pPr>
            <w:r w:rsidRPr="003353C8">
              <w:rPr>
                <w:lang w:val="en-US"/>
              </w:rPr>
              <w:t>Treatment of chronic, intractable pain with a conventional implantable pulse generator: A meta-analysis of 4 clinical studies</w:t>
            </w:r>
          </w:p>
        </w:tc>
      </w:tr>
      <w:tr w:rsidR="00A73A63" w:rsidRPr="003353C8" w14:paraId="33DCBC0E" w14:textId="77777777">
        <w:tc>
          <w:tcPr>
            <w:tcW w:w="1286" w:type="dxa"/>
          </w:tcPr>
          <w:p w14:paraId="5FA193DF" w14:textId="77777777" w:rsidR="00A73A63" w:rsidRPr="003353C8" w:rsidRDefault="00A73A63">
            <w:pPr>
              <w:pStyle w:val="051Tabletext228pt"/>
              <w:rPr>
                <w:lang w:val="en-US"/>
              </w:rPr>
            </w:pPr>
            <w:r w:rsidRPr="003353C8">
              <w:rPr>
                <w:lang w:val="en-US"/>
              </w:rPr>
              <w:t>Taylor 2004</w:t>
            </w:r>
          </w:p>
        </w:tc>
        <w:tc>
          <w:tcPr>
            <w:tcW w:w="7811" w:type="dxa"/>
          </w:tcPr>
          <w:p w14:paraId="6A7F61ED" w14:textId="77777777" w:rsidR="00A73A63" w:rsidRPr="003353C8" w:rsidRDefault="00A73A63">
            <w:pPr>
              <w:pStyle w:val="051Tabletext228pt"/>
              <w:rPr>
                <w:lang w:val="en-US"/>
              </w:rPr>
            </w:pPr>
            <w:r w:rsidRPr="003353C8">
              <w:rPr>
                <w:lang w:val="en-US"/>
              </w:rPr>
              <w:t>The cost effectiveness of spinal cord stimulation in the treatment of pain: A systematic review of the literature</w:t>
            </w:r>
          </w:p>
        </w:tc>
      </w:tr>
      <w:tr w:rsidR="00A73A63" w:rsidRPr="003353C8" w14:paraId="017935BC" w14:textId="77777777">
        <w:tc>
          <w:tcPr>
            <w:tcW w:w="1286" w:type="dxa"/>
          </w:tcPr>
          <w:p w14:paraId="362741B3" w14:textId="77777777" w:rsidR="00A73A63" w:rsidRPr="003353C8" w:rsidRDefault="00A73A63">
            <w:pPr>
              <w:pStyle w:val="051Tabletext228pt"/>
              <w:rPr>
                <w:lang w:val="en-US"/>
              </w:rPr>
            </w:pPr>
            <w:r w:rsidRPr="003353C8">
              <w:rPr>
                <w:lang w:val="en-US"/>
              </w:rPr>
              <w:t>Taylor 2005</w:t>
            </w:r>
          </w:p>
        </w:tc>
        <w:tc>
          <w:tcPr>
            <w:tcW w:w="7811" w:type="dxa"/>
          </w:tcPr>
          <w:p w14:paraId="581A3BE9" w14:textId="77777777" w:rsidR="00A73A63" w:rsidRPr="003353C8" w:rsidRDefault="00A73A63">
            <w:pPr>
              <w:pStyle w:val="051Tabletext228pt"/>
              <w:rPr>
                <w:lang w:val="en-US"/>
              </w:rPr>
            </w:pPr>
            <w:r w:rsidRPr="003353C8">
              <w:rPr>
                <w:lang w:val="en-US"/>
              </w:rPr>
              <w:t>Spinal cord stimulation for chronic back and leg pain and failed back surgery syndrome: A systematic review and analysis of prognostic factors</w:t>
            </w:r>
          </w:p>
        </w:tc>
      </w:tr>
    </w:tbl>
    <w:p w14:paraId="220F29D7" w14:textId="69EF5981" w:rsidR="002252DB" w:rsidRDefault="00A26B13" w:rsidP="002252DB">
      <w:pPr>
        <w:pStyle w:val="111Tablefootnoteslast-nostick8pt"/>
      </w:pPr>
      <w:r>
        <w:t xml:space="preserve">Abbreviations: kHz, kilohertz; </w:t>
      </w:r>
      <w:r w:rsidR="007F0F0B">
        <w:t>SCS, spinal cord stimulation</w:t>
      </w:r>
    </w:p>
    <w:p w14:paraId="3AC4EDF4" w14:textId="2FB236A0" w:rsidR="002252DB" w:rsidRDefault="00B13FD9" w:rsidP="00B13FD9">
      <w:pPr>
        <w:pStyle w:val="Caption"/>
        <w:rPr>
          <w:lang w:val="en-US"/>
        </w:rPr>
      </w:pPr>
      <w:bookmarkStart w:id="186" w:name="_Ref134458883"/>
      <w:r>
        <w:t xml:space="preserve">Table App </w:t>
      </w:r>
      <w:fldSimple w:instr=" SEQ Table_App \* ARABIC ">
        <w:r w:rsidR="00CE6ACA">
          <w:rPr>
            <w:noProof/>
          </w:rPr>
          <w:t>15</w:t>
        </w:r>
      </w:fldSimple>
      <w:bookmarkEnd w:id="186"/>
      <w:r w:rsidR="002252DB">
        <w:tab/>
        <w:t>Safety studies from stakeholder submissions</w:t>
      </w:r>
    </w:p>
    <w:tbl>
      <w:tblPr>
        <w:tblStyle w:val="TableGrid"/>
        <w:tblW w:w="0" w:type="auto"/>
        <w:tblLayout w:type="fixed"/>
        <w:tblLook w:val="04A0" w:firstRow="1" w:lastRow="0" w:firstColumn="1" w:lastColumn="0" w:noHBand="0" w:noVBand="1"/>
        <w:tblCaption w:val="Safety studies from stakeholder submissions"/>
        <w:tblDescription w:val="Table showing the safety studies from stakeholder submissions"/>
      </w:tblPr>
      <w:tblGrid>
        <w:gridCol w:w="1101"/>
        <w:gridCol w:w="8537"/>
      </w:tblGrid>
      <w:tr w:rsidR="002252DB" w:rsidRPr="00ED06F6" w14:paraId="51DA9447" w14:textId="77777777">
        <w:trPr>
          <w:cnfStyle w:val="100000000000" w:firstRow="1" w:lastRow="0" w:firstColumn="0" w:lastColumn="0" w:oddVBand="0" w:evenVBand="0" w:oddHBand="0" w:evenHBand="0" w:firstRowFirstColumn="0" w:firstRowLastColumn="0" w:lastRowFirstColumn="0" w:lastRowLastColumn="0"/>
        </w:trPr>
        <w:tc>
          <w:tcPr>
            <w:tcW w:w="1101" w:type="dxa"/>
          </w:tcPr>
          <w:p w14:paraId="2FE98E9C" w14:textId="13BC1CE4" w:rsidR="002252DB" w:rsidRPr="00ED06F6" w:rsidRDefault="007F0F0B">
            <w:pPr>
              <w:pStyle w:val="011TableHeading8pt"/>
              <w:rPr>
                <w:lang w:val="en-US"/>
              </w:rPr>
            </w:pPr>
            <w:r>
              <w:rPr>
                <w:lang w:val="en-US"/>
              </w:rPr>
              <w:t>Study</w:t>
            </w:r>
            <w:r w:rsidR="002252DB" w:rsidRPr="00ED06F6">
              <w:rPr>
                <w:lang w:val="en-US"/>
              </w:rPr>
              <w:t xml:space="preserve"> ID</w:t>
            </w:r>
          </w:p>
        </w:tc>
        <w:tc>
          <w:tcPr>
            <w:tcW w:w="8537" w:type="dxa"/>
          </w:tcPr>
          <w:p w14:paraId="2E10B41D" w14:textId="77777777" w:rsidR="002252DB" w:rsidRPr="00ED06F6" w:rsidRDefault="002252DB">
            <w:pPr>
              <w:pStyle w:val="011TableHeading8pt"/>
              <w:rPr>
                <w:lang w:val="en-US"/>
              </w:rPr>
            </w:pPr>
            <w:r w:rsidRPr="00ED06F6">
              <w:rPr>
                <w:lang w:val="en-US"/>
              </w:rPr>
              <w:t>Title</w:t>
            </w:r>
          </w:p>
        </w:tc>
      </w:tr>
      <w:tr w:rsidR="002252DB" w:rsidRPr="00ED06F6" w14:paraId="49B465CC" w14:textId="77777777">
        <w:tc>
          <w:tcPr>
            <w:tcW w:w="1101" w:type="dxa"/>
          </w:tcPr>
          <w:p w14:paraId="4977362B" w14:textId="77777777" w:rsidR="002252DB" w:rsidRPr="00ED06F6" w:rsidRDefault="002252DB">
            <w:pPr>
              <w:pStyle w:val="051Tabletext228pt"/>
              <w:rPr>
                <w:lang w:val="en-US"/>
              </w:rPr>
            </w:pPr>
            <w:r w:rsidRPr="00ED06F6">
              <w:rPr>
                <w:lang w:val="en-US"/>
              </w:rPr>
              <w:t>Cameron 2004</w:t>
            </w:r>
          </w:p>
        </w:tc>
        <w:tc>
          <w:tcPr>
            <w:tcW w:w="8537" w:type="dxa"/>
          </w:tcPr>
          <w:p w14:paraId="7D65E94F" w14:textId="77777777" w:rsidR="002252DB" w:rsidRPr="00ED06F6" w:rsidRDefault="002252DB">
            <w:pPr>
              <w:pStyle w:val="051Tabletext228pt"/>
              <w:rPr>
                <w:lang w:val="en-US"/>
              </w:rPr>
            </w:pPr>
            <w:r w:rsidRPr="00ED06F6">
              <w:rPr>
                <w:lang w:val="en-US"/>
              </w:rPr>
              <w:t>Safety and efficacy of spinal cord stimulation for the treatment of chronic pain: A 20-year literature review</w:t>
            </w:r>
          </w:p>
        </w:tc>
      </w:tr>
      <w:tr w:rsidR="002252DB" w:rsidRPr="00ED06F6" w14:paraId="6DF4B34B" w14:textId="77777777">
        <w:tc>
          <w:tcPr>
            <w:tcW w:w="1101" w:type="dxa"/>
          </w:tcPr>
          <w:p w14:paraId="28B224BE" w14:textId="77777777" w:rsidR="002252DB" w:rsidRPr="00ED06F6" w:rsidRDefault="002252DB">
            <w:pPr>
              <w:pStyle w:val="051Tabletext228pt"/>
              <w:rPr>
                <w:lang w:val="en-US"/>
              </w:rPr>
            </w:pPr>
            <w:proofErr w:type="spellStart"/>
            <w:r w:rsidRPr="00ED06F6">
              <w:rPr>
                <w:lang w:val="en-US"/>
              </w:rPr>
              <w:t>Eldabe</w:t>
            </w:r>
            <w:proofErr w:type="spellEnd"/>
            <w:r w:rsidRPr="00ED06F6">
              <w:rPr>
                <w:lang w:val="en-US"/>
              </w:rPr>
              <w:t xml:space="preserve"> 2016</w:t>
            </w:r>
          </w:p>
        </w:tc>
        <w:tc>
          <w:tcPr>
            <w:tcW w:w="8537" w:type="dxa"/>
          </w:tcPr>
          <w:p w14:paraId="55385A80" w14:textId="77777777" w:rsidR="002252DB" w:rsidRPr="00ED06F6" w:rsidRDefault="002252DB">
            <w:pPr>
              <w:pStyle w:val="051Tabletext228pt"/>
              <w:rPr>
                <w:lang w:val="en-US"/>
              </w:rPr>
            </w:pPr>
            <w:r w:rsidRPr="00ED06F6">
              <w:rPr>
                <w:lang w:val="en-US"/>
              </w:rPr>
              <w:t>Complications of spinal cord stimulation and peripheral nerve stimulation techniques: A review of the literature</w:t>
            </w:r>
          </w:p>
        </w:tc>
      </w:tr>
      <w:tr w:rsidR="002252DB" w:rsidRPr="00ED06F6" w14:paraId="2138643E" w14:textId="77777777">
        <w:tc>
          <w:tcPr>
            <w:tcW w:w="1101" w:type="dxa"/>
          </w:tcPr>
          <w:p w14:paraId="5F8F396F" w14:textId="77777777" w:rsidR="002252DB" w:rsidRPr="00ED06F6" w:rsidRDefault="002252DB">
            <w:pPr>
              <w:pStyle w:val="051Tabletext228pt"/>
              <w:rPr>
                <w:lang w:val="en-US"/>
              </w:rPr>
            </w:pPr>
            <w:r w:rsidRPr="00ED06F6">
              <w:rPr>
                <w:lang w:val="en-US"/>
              </w:rPr>
              <w:t>Hayek 2015</w:t>
            </w:r>
          </w:p>
        </w:tc>
        <w:tc>
          <w:tcPr>
            <w:tcW w:w="8537" w:type="dxa"/>
          </w:tcPr>
          <w:p w14:paraId="149B3477" w14:textId="77777777" w:rsidR="002252DB" w:rsidRPr="00ED06F6" w:rsidRDefault="002252DB">
            <w:pPr>
              <w:pStyle w:val="051Tabletext228pt"/>
              <w:rPr>
                <w:lang w:val="en-US"/>
              </w:rPr>
            </w:pPr>
            <w:r w:rsidRPr="00ED06F6">
              <w:rPr>
                <w:lang w:val="en-US"/>
              </w:rPr>
              <w:t>Treatment-limiting complications of percutaneous spinal cord stimulator implants: A review of eight years of experience from an academic center database</w:t>
            </w:r>
          </w:p>
        </w:tc>
      </w:tr>
      <w:tr w:rsidR="002252DB" w:rsidRPr="00ED06F6" w14:paraId="31B45C39" w14:textId="77777777">
        <w:tc>
          <w:tcPr>
            <w:tcW w:w="1101" w:type="dxa"/>
          </w:tcPr>
          <w:p w14:paraId="0B6A5C0B" w14:textId="77777777" w:rsidR="002252DB" w:rsidRPr="00ED06F6" w:rsidRDefault="002252DB">
            <w:pPr>
              <w:pStyle w:val="051Tabletext228pt"/>
              <w:rPr>
                <w:lang w:val="en-US"/>
              </w:rPr>
            </w:pPr>
            <w:r w:rsidRPr="00ED06F6">
              <w:rPr>
                <w:lang w:val="en-US"/>
              </w:rPr>
              <w:t>Jones 2022</w:t>
            </w:r>
          </w:p>
        </w:tc>
        <w:tc>
          <w:tcPr>
            <w:tcW w:w="8537" w:type="dxa"/>
          </w:tcPr>
          <w:p w14:paraId="0A59CA59" w14:textId="77777777" w:rsidR="002252DB" w:rsidRPr="00ED06F6" w:rsidRDefault="002252DB">
            <w:pPr>
              <w:pStyle w:val="051Tabletext228pt"/>
              <w:rPr>
                <w:lang w:val="en-US"/>
              </w:rPr>
            </w:pPr>
            <w:r w:rsidRPr="00ED06F6">
              <w:rPr>
                <w:lang w:val="en-US"/>
              </w:rPr>
              <w:t>Spinal Cord Stimulators: An Analysis of the Adverse Events Reported to the Australian Therapeutic Goods Administration</w:t>
            </w:r>
          </w:p>
        </w:tc>
      </w:tr>
      <w:tr w:rsidR="002252DB" w:rsidRPr="00ED06F6" w14:paraId="2488E48B" w14:textId="77777777">
        <w:tc>
          <w:tcPr>
            <w:tcW w:w="1101" w:type="dxa"/>
          </w:tcPr>
          <w:p w14:paraId="6F42D0C5" w14:textId="77777777" w:rsidR="002252DB" w:rsidRPr="00ED06F6" w:rsidRDefault="002252DB">
            <w:pPr>
              <w:pStyle w:val="051Tabletext228pt"/>
              <w:rPr>
                <w:lang w:val="en-US"/>
              </w:rPr>
            </w:pPr>
            <w:r w:rsidRPr="00ED06F6">
              <w:rPr>
                <w:lang w:val="en-US"/>
              </w:rPr>
              <w:t>Kable 2002</w:t>
            </w:r>
          </w:p>
        </w:tc>
        <w:tc>
          <w:tcPr>
            <w:tcW w:w="8537" w:type="dxa"/>
          </w:tcPr>
          <w:p w14:paraId="714FFC24" w14:textId="77777777" w:rsidR="002252DB" w:rsidRPr="00ED06F6" w:rsidRDefault="002252DB">
            <w:pPr>
              <w:pStyle w:val="051Tabletext228pt"/>
              <w:rPr>
                <w:lang w:val="en-US"/>
              </w:rPr>
            </w:pPr>
            <w:r w:rsidRPr="00ED06F6">
              <w:rPr>
                <w:lang w:val="en-US"/>
              </w:rPr>
              <w:t>Adverse events in surgical patients in Australia</w:t>
            </w:r>
          </w:p>
        </w:tc>
      </w:tr>
      <w:tr w:rsidR="002252DB" w:rsidRPr="00ED06F6" w14:paraId="054B596E" w14:textId="77777777">
        <w:tc>
          <w:tcPr>
            <w:tcW w:w="1101" w:type="dxa"/>
          </w:tcPr>
          <w:p w14:paraId="32B47EE4" w14:textId="77777777" w:rsidR="002252DB" w:rsidRPr="00ED06F6" w:rsidRDefault="002252DB">
            <w:pPr>
              <w:pStyle w:val="051Tabletext228pt"/>
              <w:rPr>
                <w:lang w:val="en-US"/>
              </w:rPr>
            </w:pPr>
            <w:r w:rsidRPr="00ED06F6">
              <w:rPr>
                <w:lang w:val="en-US"/>
              </w:rPr>
              <w:t>Levy 2011</w:t>
            </w:r>
          </w:p>
        </w:tc>
        <w:tc>
          <w:tcPr>
            <w:tcW w:w="8537" w:type="dxa"/>
          </w:tcPr>
          <w:p w14:paraId="5174B4DD" w14:textId="77777777" w:rsidR="002252DB" w:rsidRPr="00ED06F6" w:rsidRDefault="002252DB">
            <w:pPr>
              <w:pStyle w:val="051Tabletext228pt"/>
              <w:rPr>
                <w:lang w:val="en-US"/>
              </w:rPr>
            </w:pPr>
            <w:r w:rsidRPr="00ED06F6">
              <w:rPr>
                <w:lang w:val="en-US"/>
              </w:rPr>
              <w:t>Incidence and avoidance of neurologic complications with paddle type spinal cord stimulation leads</w:t>
            </w:r>
          </w:p>
        </w:tc>
      </w:tr>
      <w:tr w:rsidR="002252DB" w:rsidRPr="00ED06F6" w14:paraId="4843C0ED" w14:textId="77777777">
        <w:tc>
          <w:tcPr>
            <w:tcW w:w="1101" w:type="dxa"/>
          </w:tcPr>
          <w:p w14:paraId="36B28DF4" w14:textId="77777777" w:rsidR="002252DB" w:rsidRPr="00ED06F6" w:rsidRDefault="002252DB">
            <w:pPr>
              <w:pStyle w:val="051Tabletext228pt"/>
              <w:rPr>
                <w:lang w:val="en-US"/>
              </w:rPr>
            </w:pPr>
            <w:r w:rsidRPr="00ED06F6">
              <w:rPr>
                <w:lang w:val="en-US"/>
              </w:rPr>
              <w:t>Quigley 2003</w:t>
            </w:r>
          </w:p>
        </w:tc>
        <w:tc>
          <w:tcPr>
            <w:tcW w:w="8537" w:type="dxa"/>
          </w:tcPr>
          <w:p w14:paraId="7AFC9DEF" w14:textId="77777777" w:rsidR="002252DB" w:rsidRPr="00ED06F6" w:rsidRDefault="002252DB">
            <w:pPr>
              <w:pStyle w:val="051Tabletext228pt"/>
              <w:rPr>
                <w:lang w:val="en-US"/>
              </w:rPr>
            </w:pPr>
            <w:r w:rsidRPr="00ED06F6">
              <w:rPr>
                <w:lang w:val="en-US"/>
              </w:rPr>
              <w:t>Long-Term Outcome of Spinal Cord Stimulation and Hardware Complications</w:t>
            </w:r>
          </w:p>
        </w:tc>
      </w:tr>
      <w:tr w:rsidR="002252DB" w:rsidRPr="00E44120" w14:paraId="78BE01CF" w14:textId="77777777">
        <w:tc>
          <w:tcPr>
            <w:tcW w:w="1101" w:type="dxa"/>
          </w:tcPr>
          <w:p w14:paraId="6A4D1B89" w14:textId="77777777" w:rsidR="002252DB" w:rsidRPr="00ED06F6" w:rsidRDefault="002252DB">
            <w:pPr>
              <w:pStyle w:val="051Tabletext228pt"/>
              <w:rPr>
                <w:lang w:val="en-US"/>
              </w:rPr>
            </w:pPr>
            <w:proofErr w:type="spellStart"/>
            <w:r w:rsidRPr="00ED06F6">
              <w:rPr>
                <w:lang w:val="en-US"/>
              </w:rPr>
              <w:t>Rauck</w:t>
            </w:r>
            <w:proofErr w:type="spellEnd"/>
            <w:r w:rsidRPr="00ED06F6">
              <w:rPr>
                <w:lang w:val="en-US"/>
              </w:rPr>
              <w:t xml:space="preserve"> 2023</w:t>
            </w:r>
          </w:p>
        </w:tc>
        <w:tc>
          <w:tcPr>
            <w:tcW w:w="8537" w:type="dxa"/>
          </w:tcPr>
          <w:p w14:paraId="2B265600" w14:textId="77777777" w:rsidR="002252DB" w:rsidRPr="00E44120" w:rsidRDefault="002252DB">
            <w:pPr>
              <w:pStyle w:val="051Tabletext228pt"/>
              <w:rPr>
                <w:lang w:val="en-US"/>
              </w:rPr>
            </w:pPr>
            <w:r w:rsidRPr="00ED06F6">
              <w:rPr>
                <w:lang w:val="en-US"/>
              </w:rPr>
              <w:t>Long-term safety of spinal cord stimulation systems in a prospective, global registry of patients with chronic pain</w:t>
            </w:r>
          </w:p>
        </w:tc>
      </w:tr>
    </w:tbl>
    <w:p w14:paraId="2C584ACD" w14:textId="77777777" w:rsidR="002252DB" w:rsidRDefault="002252DB" w:rsidP="002252DB">
      <w:pPr>
        <w:pStyle w:val="111Tablefootnoteslast-nostick8pt"/>
      </w:pPr>
    </w:p>
    <w:p w14:paraId="523A63D4" w14:textId="5EBBEE9E" w:rsidR="002252DB" w:rsidRPr="00067435" w:rsidRDefault="00B13FD9" w:rsidP="00B13FD9">
      <w:pPr>
        <w:pStyle w:val="Caption"/>
        <w:rPr>
          <w:lang w:val="en-US"/>
        </w:rPr>
      </w:pPr>
      <w:bookmarkStart w:id="187" w:name="_Ref134458896"/>
      <w:r>
        <w:t xml:space="preserve">Table App </w:t>
      </w:r>
      <w:fldSimple w:instr=" SEQ Table_App \* ARABIC ">
        <w:r w:rsidR="00CE6ACA">
          <w:rPr>
            <w:noProof/>
          </w:rPr>
          <w:t>16</w:t>
        </w:r>
      </w:fldSimple>
      <w:bookmarkEnd w:id="187"/>
      <w:r w:rsidR="002252DB">
        <w:tab/>
        <w:t>Economic studies from stakeholder submissions</w:t>
      </w:r>
    </w:p>
    <w:tbl>
      <w:tblPr>
        <w:tblStyle w:val="TableGrid"/>
        <w:tblW w:w="0" w:type="auto"/>
        <w:tblLayout w:type="fixed"/>
        <w:tblLook w:val="04A0" w:firstRow="1" w:lastRow="0" w:firstColumn="1" w:lastColumn="0" w:noHBand="0" w:noVBand="1"/>
        <w:tblCaption w:val="Economic studies from stakeholder submissions"/>
        <w:tblDescription w:val="Table showing the economic studies from stakeholder submissions"/>
      </w:tblPr>
      <w:tblGrid>
        <w:gridCol w:w="1984"/>
        <w:gridCol w:w="7654"/>
      </w:tblGrid>
      <w:tr w:rsidR="002252DB" w:rsidRPr="00CC37BD" w14:paraId="648B148D" w14:textId="77777777">
        <w:trPr>
          <w:cnfStyle w:val="100000000000" w:firstRow="1" w:lastRow="0" w:firstColumn="0" w:lastColumn="0" w:oddVBand="0" w:evenVBand="0" w:oddHBand="0" w:evenHBand="0" w:firstRowFirstColumn="0" w:firstRowLastColumn="0" w:lastRowFirstColumn="0" w:lastRowLastColumn="0"/>
        </w:trPr>
        <w:tc>
          <w:tcPr>
            <w:tcW w:w="1984" w:type="dxa"/>
          </w:tcPr>
          <w:p w14:paraId="25148F30" w14:textId="0FDD5E5E" w:rsidR="002252DB" w:rsidRPr="00CC37BD" w:rsidRDefault="001A5A47">
            <w:pPr>
              <w:pStyle w:val="011TableHeading8pt"/>
              <w:rPr>
                <w:lang w:val="en-US"/>
              </w:rPr>
            </w:pPr>
            <w:r>
              <w:rPr>
                <w:lang w:val="en-US"/>
              </w:rPr>
              <w:t>Study</w:t>
            </w:r>
            <w:r w:rsidR="002252DB" w:rsidRPr="00CC37BD">
              <w:rPr>
                <w:lang w:val="en-US"/>
              </w:rPr>
              <w:t xml:space="preserve"> ID</w:t>
            </w:r>
          </w:p>
        </w:tc>
        <w:tc>
          <w:tcPr>
            <w:tcW w:w="7654" w:type="dxa"/>
          </w:tcPr>
          <w:p w14:paraId="20C5EFBE" w14:textId="77777777" w:rsidR="002252DB" w:rsidRPr="00CC37BD" w:rsidRDefault="002252DB">
            <w:pPr>
              <w:pStyle w:val="011TableHeading8pt"/>
              <w:rPr>
                <w:lang w:val="en-US"/>
              </w:rPr>
            </w:pPr>
            <w:r w:rsidRPr="00CC37BD">
              <w:rPr>
                <w:lang w:val="en-US"/>
              </w:rPr>
              <w:t>Title</w:t>
            </w:r>
          </w:p>
        </w:tc>
      </w:tr>
      <w:tr w:rsidR="002252DB" w:rsidRPr="00CC37BD" w14:paraId="19C44215" w14:textId="77777777">
        <w:tc>
          <w:tcPr>
            <w:tcW w:w="1984" w:type="dxa"/>
          </w:tcPr>
          <w:p w14:paraId="46A05ED5" w14:textId="77777777" w:rsidR="002252DB" w:rsidRPr="00CC37BD" w:rsidRDefault="002252DB">
            <w:pPr>
              <w:pStyle w:val="051Tabletext228pt"/>
              <w:rPr>
                <w:lang w:val="en-US"/>
              </w:rPr>
            </w:pPr>
            <w:proofErr w:type="spellStart"/>
            <w:r w:rsidRPr="00CC37BD">
              <w:rPr>
                <w:lang w:val="en-US"/>
              </w:rPr>
              <w:t>Costandi</w:t>
            </w:r>
            <w:proofErr w:type="spellEnd"/>
            <w:r w:rsidRPr="00CC37BD">
              <w:rPr>
                <w:lang w:val="en-US"/>
              </w:rPr>
              <w:t xml:space="preserve"> 2020</w:t>
            </w:r>
          </w:p>
        </w:tc>
        <w:tc>
          <w:tcPr>
            <w:tcW w:w="7654" w:type="dxa"/>
          </w:tcPr>
          <w:p w14:paraId="1162E3A7" w14:textId="77777777" w:rsidR="002252DB" w:rsidRPr="00CC37BD" w:rsidRDefault="002252DB">
            <w:pPr>
              <w:pStyle w:val="051Tabletext228pt"/>
              <w:rPr>
                <w:lang w:val="en-US"/>
              </w:rPr>
            </w:pPr>
            <w:r w:rsidRPr="00CC37BD">
              <w:rPr>
                <w:lang w:val="en-US"/>
              </w:rPr>
              <w:t>Longevity and Utilization Cost of Rechargeable and Non-Rechargeable Spinal Cord Stimulation Implants: A Comparative Study</w:t>
            </w:r>
          </w:p>
        </w:tc>
      </w:tr>
      <w:tr w:rsidR="002252DB" w:rsidRPr="00CC37BD" w14:paraId="4444E726" w14:textId="77777777">
        <w:tc>
          <w:tcPr>
            <w:tcW w:w="1984" w:type="dxa"/>
          </w:tcPr>
          <w:p w14:paraId="1927CCE3" w14:textId="77777777" w:rsidR="002252DB" w:rsidRPr="00CC37BD" w:rsidRDefault="002252DB">
            <w:pPr>
              <w:pStyle w:val="051Tabletext228pt"/>
              <w:rPr>
                <w:lang w:val="en-US"/>
              </w:rPr>
            </w:pPr>
            <w:r w:rsidRPr="00CC37BD">
              <w:rPr>
                <w:lang w:val="en-US"/>
              </w:rPr>
              <w:t>Deloitte Access Economics Australia 2019</w:t>
            </w:r>
          </w:p>
        </w:tc>
        <w:tc>
          <w:tcPr>
            <w:tcW w:w="7654" w:type="dxa"/>
          </w:tcPr>
          <w:p w14:paraId="26EBEF37" w14:textId="77777777" w:rsidR="002252DB" w:rsidRPr="00CC37BD" w:rsidRDefault="002252DB">
            <w:pPr>
              <w:pStyle w:val="051Tabletext228pt"/>
              <w:rPr>
                <w:lang w:val="en-US"/>
              </w:rPr>
            </w:pPr>
            <w:r w:rsidRPr="00CC37BD">
              <w:rPr>
                <w:lang w:val="en-US"/>
              </w:rPr>
              <w:t>Cost effectiveness of pain devices</w:t>
            </w:r>
          </w:p>
        </w:tc>
      </w:tr>
      <w:tr w:rsidR="002252DB" w:rsidRPr="00CC37BD" w14:paraId="447487C4" w14:textId="77777777">
        <w:tc>
          <w:tcPr>
            <w:tcW w:w="1984" w:type="dxa"/>
          </w:tcPr>
          <w:p w14:paraId="2264724D" w14:textId="77777777" w:rsidR="002252DB" w:rsidRPr="00CC37BD" w:rsidRDefault="002252DB">
            <w:pPr>
              <w:pStyle w:val="051Tabletext228pt"/>
              <w:rPr>
                <w:lang w:val="en-US"/>
              </w:rPr>
            </w:pPr>
            <w:r w:rsidRPr="00CC37BD">
              <w:rPr>
                <w:lang w:val="en-US"/>
              </w:rPr>
              <w:t>Farber 2017</w:t>
            </w:r>
          </w:p>
        </w:tc>
        <w:tc>
          <w:tcPr>
            <w:tcW w:w="7654" w:type="dxa"/>
          </w:tcPr>
          <w:p w14:paraId="0281B11E" w14:textId="7B333B0A" w:rsidR="002252DB" w:rsidRPr="00CC37BD" w:rsidRDefault="002252DB">
            <w:pPr>
              <w:pStyle w:val="051Tabletext228pt"/>
              <w:rPr>
                <w:lang w:val="en-US"/>
              </w:rPr>
            </w:pPr>
            <w:r w:rsidRPr="00CC37BD">
              <w:rPr>
                <w:lang w:val="en-US"/>
              </w:rPr>
              <w:t>Long-term cost</w:t>
            </w:r>
            <w:r w:rsidR="008870A5">
              <w:rPr>
                <w:lang w:val="en-US"/>
              </w:rPr>
              <w:t>-</w:t>
            </w:r>
            <w:r w:rsidRPr="00CC37BD">
              <w:rPr>
                <w:lang w:val="en-US"/>
              </w:rPr>
              <w:t>utility of spinal cord stimulation in patients with failed back surgery syndrome</w:t>
            </w:r>
          </w:p>
        </w:tc>
      </w:tr>
      <w:tr w:rsidR="002252DB" w:rsidRPr="00CC37BD" w14:paraId="20EC477C" w14:textId="77777777">
        <w:tc>
          <w:tcPr>
            <w:tcW w:w="1984" w:type="dxa"/>
          </w:tcPr>
          <w:p w14:paraId="45894911" w14:textId="77777777" w:rsidR="002252DB" w:rsidRPr="00CC37BD" w:rsidRDefault="002252DB">
            <w:pPr>
              <w:pStyle w:val="051Tabletext228pt"/>
              <w:rPr>
                <w:lang w:val="en-US"/>
              </w:rPr>
            </w:pPr>
            <w:r w:rsidRPr="00CC37BD">
              <w:rPr>
                <w:lang w:val="en-US"/>
              </w:rPr>
              <w:t>Farber 2017</w:t>
            </w:r>
          </w:p>
        </w:tc>
        <w:tc>
          <w:tcPr>
            <w:tcW w:w="7654" w:type="dxa"/>
          </w:tcPr>
          <w:p w14:paraId="3EC4DA02" w14:textId="77777777" w:rsidR="002252DB" w:rsidRPr="00CC37BD" w:rsidRDefault="002252DB">
            <w:pPr>
              <w:pStyle w:val="051Tabletext228pt"/>
              <w:rPr>
                <w:lang w:val="en-US"/>
              </w:rPr>
            </w:pPr>
            <w:r w:rsidRPr="00CC37BD">
              <w:rPr>
                <w:lang w:val="en-US"/>
              </w:rPr>
              <w:t>Increasing rates of imaging in failed back surgery syndrome patients: Implications for spinal cord stimulation</w:t>
            </w:r>
          </w:p>
        </w:tc>
      </w:tr>
      <w:tr w:rsidR="002252DB" w:rsidRPr="00CC37BD" w14:paraId="7B87D033" w14:textId="77777777">
        <w:tc>
          <w:tcPr>
            <w:tcW w:w="1984" w:type="dxa"/>
          </w:tcPr>
          <w:p w14:paraId="237F21D6" w14:textId="77777777" w:rsidR="002252DB" w:rsidRPr="00CC37BD" w:rsidRDefault="002252DB">
            <w:pPr>
              <w:pStyle w:val="051Tabletext228pt"/>
              <w:rPr>
                <w:lang w:val="en-US"/>
              </w:rPr>
            </w:pPr>
            <w:r w:rsidRPr="00CC37BD">
              <w:rPr>
                <w:lang w:val="en-US"/>
              </w:rPr>
              <w:t>Hollingworth 2011</w:t>
            </w:r>
          </w:p>
        </w:tc>
        <w:tc>
          <w:tcPr>
            <w:tcW w:w="7654" w:type="dxa"/>
          </w:tcPr>
          <w:p w14:paraId="5F41D4A6" w14:textId="77777777" w:rsidR="002252DB" w:rsidRPr="00CC37BD" w:rsidRDefault="002252DB">
            <w:pPr>
              <w:pStyle w:val="051Tabletext228pt"/>
              <w:rPr>
                <w:lang w:val="en-US"/>
              </w:rPr>
            </w:pPr>
            <w:r w:rsidRPr="00CC37BD">
              <w:rPr>
                <w:lang w:val="en-US"/>
              </w:rPr>
              <w:t>Costs and cost-effectiveness of spinal cord stimulation (SCS) for failed back surgery syndrome: An observational study in a workers compensation population</w:t>
            </w:r>
          </w:p>
        </w:tc>
      </w:tr>
      <w:tr w:rsidR="002252DB" w:rsidRPr="00CC37BD" w14:paraId="5BBA3B0F" w14:textId="77777777">
        <w:tc>
          <w:tcPr>
            <w:tcW w:w="1984" w:type="dxa"/>
          </w:tcPr>
          <w:p w14:paraId="244B23F3" w14:textId="77777777" w:rsidR="002252DB" w:rsidRPr="00CC37BD" w:rsidRDefault="002252DB">
            <w:pPr>
              <w:pStyle w:val="051Tabletext228pt"/>
              <w:rPr>
                <w:lang w:val="en-US"/>
              </w:rPr>
            </w:pPr>
            <w:r w:rsidRPr="00CC37BD">
              <w:rPr>
                <w:lang w:val="en-US"/>
              </w:rPr>
              <w:t>KPMG 2022</w:t>
            </w:r>
          </w:p>
        </w:tc>
        <w:tc>
          <w:tcPr>
            <w:tcW w:w="7654" w:type="dxa"/>
          </w:tcPr>
          <w:p w14:paraId="71AED8A6" w14:textId="77777777" w:rsidR="002252DB" w:rsidRPr="00CC37BD" w:rsidRDefault="002252DB">
            <w:pPr>
              <w:pStyle w:val="051Tabletext228pt"/>
              <w:rPr>
                <w:lang w:val="en-US"/>
              </w:rPr>
            </w:pPr>
            <w:r w:rsidRPr="00CC37BD">
              <w:rPr>
                <w:lang w:val="en-US"/>
              </w:rPr>
              <w:t>An analysis of the service cost of Spinal Cord Stimulator (SCS) services</w:t>
            </w:r>
          </w:p>
        </w:tc>
      </w:tr>
      <w:tr w:rsidR="002252DB" w:rsidRPr="00CC37BD" w14:paraId="0D823A3D" w14:textId="77777777">
        <w:tc>
          <w:tcPr>
            <w:tcW w:w="1984" w:type="dxa"/>
          </w:tcPr>
          <w:p w14:paraId="127897E0" w14:textId="77777777" w:rsidR="002252DB" w:rsidRPr="00CC37BD" w:rsidRDefault="002252DB">
            <w:pPr>
              <w:pStyle w:val="051Tabletext228pt"/>
              <w:rPr>
                <w:lang w:val="en-US"/>
              </w:rPr>
            </w:pPr>
            <w:r w:rsidRPr="00CC37BD">
              <w:rPr>
                <w:lang w:val="en-US"/>
              </w:rPr>
              <w:t>Kumar 2009</w:t>
            </w:r>
          </w:p>
        </w:tc>
        <w:tc>
          <w:tcPr>
            <w:tcW w:w="7654" w:type="dxa"/>
          </w:tcPr>
          <w:p w14:paraId="376735A8" w14:textId="77777777" w:rsidR="002252DB" w:rsidRPr="00CC37BD" w:rsidRDefault="002252DB">
            <w:pPr>
              <w:pStyle w:val="051Tabletext228pt"/>
              <w:rPr>
                <w:lang w:val="en-US"/>
              </w:rPr>
            </w:pPr>
            <w:r w:rsidRPr="00CC37BD">
              <w:rPr>
                <w:lang w:val="en-US"/>
              </w:rPr>
              <w:t>Financial impact of spinal cord stimulation on the healthcare budget: A comparative analysis of costs in Canada and the United States</w:t>
            </w:r>
          </w:p>
        </w:tc>
      </w:tr>
      <w:tr w:rsidR="002252DB" w:rsidRPr="00CC37BD" w14:paraId="3A6AD60E" w14:textId="77777777">
        <w:tc>
          <w:tcPr>
            <w:tcW w:w="1984" w:type="dxa"/>
          </w:tcPr>
          <w:p w14:paraId="5800DF38" w14:textId="77777777" w:rsidR="002252DB" w:rsidRPr="00CC37BD" w:rsidRDefault="002252DB">
            <w:pPr>
              <w:pStyle w:val="051Tabletext228pt"/>
              <w:rPr>
                <w:lang w:val="en-US"/>
              </w:rPr>
            </w:pPr>
            <w:r w:rsidRPr="00CC37BD">
              <w:rPr>
                <w:lang w:val="en-US"/>
              </w:rPr>
              <w:t>Kumar 2013</w:t>
            </w:r>
          </w:p>
        </w:tc>
        <w:tc>
          <w:tcPr>
            <w:tcW w:w="7654" w:type="dxa"/>
          </w:tcPr>
          <w:p w14:paraId="348055DD" w14:textId="77777777" w:rsidR="002252DB" w:rsidRPr="00CC37BD" w:rsidRDefault="002252DB">
            <w:pPr>
              <w:pStyle w:val="051Tabletext228pt"/>
              <w:rPr>
                <w:lang w:val="en-US"/>
              </w:rPr>
            </w:pPr>
            <w:r w:rsidRPr="00CC37BD">
              <w:rPr>
                <w:lang w:val="en-US"/>
              </w:rPr>
              <w:t>Cost-effectiveness of spinal cord stimulation therapy in management of chronic pain</w:t>
            </w:r>
          </w:p>
        </w:tc>
      </w:tr>
      <w:tr w:rsidR="002252DB" w:rsidRPr="00CC37BD" w14:paraId="620BA0E9" w14:textId="77777777">
        <w:tc>
          <w:tcPr>
            <w:tcW w:w="1984" w:type="dxa"/>
          </w:tcPr>
          <w:p w14:paraId="2FA2979A" w14:textId="77777777" w:rsidR="002252DB" w:rsidRPr="00CC37BD" w:rsidRDefault="002252DB">
            <w:pPr>
              <w:pStyle w:val="051Tabletext228pt"/>
              <w:rPr>
                <w:lang w:val="en-US"/>
              </w:rPr>
            </w:pPr>
            <w:r w:rsidRPr="00CC37BD">
              <w:rPr>
                <w:lang w:val="en-US"/>
              </w:rPr>
              <w:t>Lad 2016</w:t>
            </w:r>
          </w:p>
        </w:tc>
        <w:tc>
          <w:tcPr>
            <w:tcW w:w="7654" w:type="dxa"/>
          </w:tcPr>
          <w:p w14:paraId="0B9EB17C" w14:textId="77777777" w:rsidR="002252DB" w:rsidRPr="00CC37BD" w:rsidRDefault="002252DB">
            <w:pPr>
              <w:pStyle w:val="051Tabletext228pt"/>
              <w:rPr>
                <w:lang w:val="en-US"/>
              </w:rPr>
            </w:pPr>
            <w:r w:rsidRPr="00CC37BD">
              <w:rPr>
                <w:lang w:val="en-US"/>
              </w:rPr>
              <w:t>Longer Delay From Chronic Pain to Spinal Cord Stimulation Results in Higher Healthcare Resource Utilization</w:t>
            </w:r>
          </w:p>
        </w:tc>
      </w:tr>
      <w:tr w:rsidR="002252DB" w:rsidRPr="00CC37BD" w14:paraId="47F9761D" w14:textId="77777777">
        <w:tc>
          <w:tcPr>
            <w:tcW w:w="1984" w:type="dxa"/>
          </w:tcPr>
          <w:p w14:paraId="7328F3B1" w14:textId="77777777" w:rsidR="002252DB" w:rsidRPr="00CC37BD" w:rsidRDefault="002252DB">
            <w:pPr>
              <w:pStyle w:val="051Tabletext228pt"/>
              <w:rPr>
                <w:lang w:val="en-US"/>
              </w:rPr>
            </w:pPr>
            <w:r w:rsidRPr="00CC37BD">
              <w:rPr>
                <w:lang w:val="en-US"/>
              </w:rPr>
              <w:t>McClure 2021</w:t>
            </w:r>
          </w:p>
        </w:tc>
        <w:tc>
          <w:tcPr>
            <w:tcW w:w="7654" w:type="dxa"/>
          </w:tcPr>
          <w:p w14:paraId="0519C078" w14:textId="77777777" w:rsidR="002252DB" w:rsidRPr="00CC37BD" w:rsidRDefault="002252DB">
            <w:pPr>
              <w:pStyle w:val="051Tabletext228pt"/>
              <w:rPr>
                <w:lang w:val="en-US"/>
              </w:rPr>
            </w:pPr>
            <w:r w:rsidRPr="00CC37BD">
              <w:rPr>
                <w:lang w:val="en-US"/>
              </w:rPr>
              <w:t>A Systematic Review of the Cost-Utility of Spinal Cord Stimulation for Persistent Low Back Pain in Patients With Failed Back Surgery Syndrome</w:t>
            </w:r>
          </w:p>
        </w:tc>
      </w:tr>
      <w:tr w:rsidR="002252DB" w:rsidRPr="00CC37BD" w14:paraId="36ADEA03" w14:textId="77777777">
        <w:tc>
          <w:tcPr>
            <w:tcW w:w="1984" w:type="dxa"/>
          </w:tcPr>
          <w:p w14:paraId="48350B0E" w14:textId="032A91B3" w:rsidR="002252DB" w:rsidRPr="00CC37BD" w:rsidRDefault="002252DB">
            <w:pPr>
              <w:pStyle w:val="051Tabletext228pt"/>
              <w:rPr>
                <w:lang w:val="en-US"/>
              </w:rPr>
            </w:pPr>
            <w:proofErr w:type="spellStart"/>
            <w:r w:rsidRPr="00CC37BD">
              <w:rPr>
                <w:lang w:val="en-US"/>
              </w:rPr>
              <w:lastRenderedPageBreak/>
              <w:t>Mekhail</w:t>
            </w:r>
            <w:proofErr w:type="spellEnd"/>
            <w:r w:rsidRPr="00CC37BD">
              <w:rPr>
                <w:lang w:val="en-US"/>
              </w:rPr>
              <w:t xml:space="preserve"> 202</w:t>
            </w:r>
            <w:r w:rsidR="0047253C">
              <w:rPr>
                <w:lang w:val="en-US"/>
              </w:rPr>
              <w:t>1</w:t>
            </w:r>
          </w:p>
        </w:tc>
        <w:tc>
          <w:tcPr>
            <w:tcW w:w="7654" w:type="dxa"/>
          </w:tcPr>
          <w:p w14:paraId="35F5EDBB" w14:textId="77777777" w:rsidR="002252DB" w:rsidRPr="00CC37BD" w:rsidRDefault="002252DB">
            <w:pPr>
              <w:pStyle w:val="051Tabletext228pt"/>
              <w:rPr>
                <w:lang w:val="en-US"/>
              </w:rPr>
            </w:pPr>
            <w:r w:rsidRPr="00CC37BD">
              <w:rPr>
                <w:lang w:val="en-US"/>
              </w:rPr>
              <w:t>Cost-Effectiveness of Dorsal Root Ganglion Stimulation or Spinal Cord Stimulation for Complex Regional Pain Syndrome</w:t>
            </w:r>
          </w:p>
        </w:tc>
      </w:tr>
      <w:tr w:rsidR="002252DB" w:rsidRPr="00CC37BD" w14:paraId="1B660F86" w14:textId="77777777">
        <w:tc>
          <w:tcPr>
            <w:tcW w:w="1984" w:type="dxa"/>
          </w:tcPr>
          <w:p w14:paraId="48F74F14" w14:textId="77777777" w:rsidR="002252DB" w:rsidRPr="00CC37BD" w:rsidRDefault="002252DB">
            <w:pPr>
              <w:pStyle w:val="051Tabletext228pt"/>
              <w:rPr>
                <w:lang w:val="en-US"/>
              </w:rPr>
            </w:pPr>
            <w:proofErr w:type="spellStart"/>
            <w:r w:rsidRPr="00CC37BD">
              <w:rPr>
                <w:lang w:val="en-US"/>
              </w:rPr>
              <w:t>Niyomsri</w:t>
            </w:r>
            <w:proofErr w:type="spellEnd"/>
            <w:r w:rsidRPr="00CC37BD">
              <w:rPr>
                <w:lang w:val="en-US"/>
              </w:rPr>
              <w:t xml:space="preserve"> 2020</w:t>
            </w:r>
          </w:p>
        </w:tc>
        <w:tc>
          <w:tcPr>
            <w:tcW w:w="7654" w:type="dxa"/>
          </w:tcPr>
          <w:p w14:paraId="52A191E0" w14:textId="77777777" w:rsidR="002252DB" w:rsidRPr="00CC37BD" w:rsidRDefault="002252DB">
            <w:pPr>
              <w:pStyle w:val="051Tabletext228pt"/>
              <w:rPr>
                <w:lang w:val="en-US"/>
              </w:rPr>
            </w:pPr>
            <w:r w:rsidRPr="00CC37BD">
              <w:rPr>
                <w:lang w:val="en-US"/>
              </w:rPr>
              <w:t>A Systematic Review of Economic Evaluations Reporting the Cost-Effectiveness of Spinal Cord Stimulation</w:t>
            </w:r>
          </w:p>
        </w:tc>
      </w:tr>
      <w:tr w:rsidR="002252DB" w:rsidRPr="00CC37BD" w14:paraId="2CD75528" w14:textId="77777777">
        <w:tc>
          <w:tcPr>
            <w:tcW w:w="1984" w:type="dxa"/>
          </w:tcPr>
          <w:p w14:paraId="356E56A8" w14:textId="77777777" w:rsidR="002252DB" w:rsidRPr="00CC37BD" w:rsidRDefault="002252DB">
            <w:pPr>
              <w:pStyle w:val="051Tabletext228pt"/>
              <w:rPr>
                <w:lang w:val="en-US"/>
              </w:rPr>
            </w:pPr>
            <w:r w:rsidRPr="00CC37BD">
              <w:rPr>
                <w:lang w:val="en-US"/>
              </w:rPr>
              <w:t>North 2007</w:t>
            </w:r>
          </w:p>
        </w:tc>
        <w:tc>
          <w:tcPr>
            <w:tcW w:w="7654" w:type="dxa"/>
          </w:tcPr>
          <w:p w14:paraId="64FF2FBD" w14:textId="77777777" w:rsidR="002252DB" w:rsidRPr="00CC37BD" w:rsidRDefault="002252DB">
            <w:pPr>
              <w:pStyle w:val="051Tabletext228pt"/>
              <w:rPr>
                <w:lang w:val="en-US"/>
              </w:rPr>
            </w:pPr>
            <w:r w:rsidRPr="00CC37BD">
              <w:rPr>
                <w:lang w:val="en-US"/>
              </w:rPr>
              <w:t>Spinal cord stimulation versus reoperation for failed back surgery syndrome: A cost effectiveness and cost utility analysis based on a randomized, controlled trial</w:t>
            </w:r>
          </w:p>
        </w:tc>
      </w:tr>
      <w:tr w:rsidR="002252DB" w:rsidRPr="00CC37BD" w14:paraId="6FA403B2" w14:textId="77777777">
        <w:tc>
          <w:tcPr>
            <w:tcW w:w="1984" w:type="dxa"/>
          </w:tcPr>
          <w:p w14:paraId="5BEA9DCC" w14:textId="02DB5EDF" w:rsidR="002252DB" w:rsidRPr="00CC37BD" w:rsidRDefault="002252DB">
            <w:pPr>
              <w:pStyle w:val="051Tabletext228pt"/>
              <w:rPr>
                <w:lang w:val="en-US"/>
              </w:rPr>
            </w:pPr>
            <w:r w:rsidRPr="00CC37BD">
              <w:rPr>
                <w:lang w:val="en-US"/>
              </w:rPr>
              <w:t>Patel 202</w:t>
            </w:r>
            <w:r w:rsidR="00105E6A">
              <w:rPr>
                <w:lang w:val="en-US"/>
              </w:rPr>
              <w:t>2</w:t>
            </w:r>
          </w:p>
        </w:tc>
        <w:tc>
          <w:tcPr>
            <w:tcW w:w="7654" w:type="dxa"/>
          </w:tcPr>
          <w:p w14:paraId="52B472C6" w14:textId="77777777" w:rsidR="002252DB" w:rsidRPr="00CC37BD" w:rsidRDefault="002252DB">
            <w:pPr>
              <w:pStyle w:val="051Tabletext228pt"/>
              <w:rPr>
                <w:lang w:val="en-US"/>
              </w:rPr>
            </w:pPr>
            <w:r w:rsidRPr="00CC37BD">
              <w:rPr>
                <w:lang w:val="en-US"/>
              </w:rPr>
              <w:t>Cost-effectiveness of 10-kHz spinal cord stimulation therapy compared with conventional medical management over the first 12 months of therapy for patients with nonsurgical back pain: randomized controlled trial</w:t>
            </w:r>
          </w:p>
        </w:tc>
      </w:tr>
      <w:tr w:rsidR="002252DB" w:rsidRPr="00CC37BD" w14:paraId="605D2862" w14:textId="77777777">
        <w:tc>
          <w:tcPr>
            <w:tcW w:w="1984" w:type="dxa"/>
          </w:tcPr>
          <w:p w14:paraId="022EC7D7" w14:textId="77777777" w:rsidR="002252DB" w:rsidRPr="00CC37BD" w:rsidRDefault="002252DB">
            <w:pPr>
              <w:pStyle w:val="051Tabletext228pt"/>
              <w:rPr>
                <w:lang w:val="en-US"/>
              </w:rPr>
            </w:pPr>
            <w:r w:rsidRPr="00CC37BD">
              <w:rPr>
                <w:lang w:val="en-US"/>
              </w:rPr>
              <w:t>Rajkumar 2022</w:t>
            </w:r>
          </w:p>
        </w:tc>
        <w:tc>
          <w:tcPr>
            <w:tcW w:w="7654" w:type="dxa"/>
          </w:tcPr>
          <w:p w14:paraId="57B54677" w14:textId="77777777" w:rsidR="002252DB" w:rsidRPr="00CC37BD" w:rsidRDefault="002252DB">
            <w:pPr>
              <w:pStyle w:val="051Tabletext228pt"/>
              <w:rPr>
                <w:lang w:val="en-US"/>
              </w:rPr>
            </w:pPr>
            <w:r w:rsidRPr="00CC37BD">
              <w:rPr>
                <w:lang w:val="en-US"/>
              </w:rPr>
              <w:t>Health Care Economics of High-Frequency Spinal Cord Stimulation for Painful Diabetic Peripheral Neuropathy</w:t>
            </w:r>
          </w:p>
        </w:tc>
      </w:tr>
      <w:tr w:rsidR="002252DB" w:rsidRPr="00CC37BD" w14:paraId="74FF2813" w14:textId="77777777">
        <w:tc>
          <w:tcPr>
            <w:tcW w:w="1984" w:type="dxa"/>
          </w:tcPr>
          <w:p w14:paraId="70E330AF" w14:textId="77777777" w:rsidR="002252DB" w:rsidRPr="00CC37BD" w:rsidRDefault="002252DB">
            <w:pPr>
              <w:pStyle w:val="051Tabletext228pt"/>
              <w:rPr>
                <w:lang w:val="en-US"/>
              </w:rPr>
            </w:pPr>
            <w:r w:rsidRPr="00CC37BD">
              <w:rPr>
                <w:lang w:val="en-US"/>
              </w:rPr>
              <w:t>Rajkumar 2023</w:t>
            </w:r>
          </w:p>
        </w:tc>
        <w:tc>
          <w:tcPr>
            <w:tcW w:w="7654" w:type="dxa"/>
          </w:tcPr>
          <w:p w14:paraId="56CF97CB" w14:textId="77777777" w:rsidR="002252DB" w:rsidRPr="00CC37BD" w:rsidRDefault="002252DB">
            <w:pPr>
              <w:pStyle w:val="051Tabletext228pt"/>
              <w:rPr>
                <w:lang w:val="en-US"/>
              </w:rPr>
            </w:pPr>
            <w:r w:rsidRPr="00CC37BD">
              <w:rPr>
                <w:lang w:val="en-US"/>
              </w:rPr>
              <w:t>Health Care Resource Utilization of High-Frequency Spinal Cord Stimulation for Treatment of Chronic Refractory Low Back Pain</w:t>
            </w:r>
          </w:p>
        </w:tc>
      </w:tr>
      <w:tr w:rsidR="002252DB" w:rsidRPr="00CC37BD" w14:paraId="1E1522A0" w14:textId="77777777">
        <w:tc>
          <w:tcPr>
            <w:tcW w:w="1984" w:type="dxa"/>
          </w:tcPr>
          <w:p w14:paraId="7BB15F3A" w14:textId="77777777" w:rsidR="002252DB" w:rsidRPr="00CC37BD" w:rsidRDefault="002252DB">
            <w:pPr>
              <w:pStyle w:val="051Tabletext228pt"/>
              <w:rPr>
                <w:lang w:val="en-US"/>
              </w:rPr>
            </w:pPr>
            <w:r w:rsidRPr="00CC37BD">
              <w:rPr>
                <w:lang w:val="en-US"/>
              </w:rPr>
              <w:t>Rojo 2021</w:t>
            </w:r>
          </w:p>
        </w:tc>
        <w:tc>
          <w:tcPr>
            <w:tcW w:w="7654" w:type="dxa"/>
          </w:tcPr>
          <w:p w14:paraId="5E9F3DDD" w14:textId="77777777" w:rsidR="002252DB" w:rsidRPr="00CC37BD" w:rsidRDefault="002252DB">
            <w:pPr>
              <w:pStyle w:val="051Tabletext228pt"/>
              <w:rPr>
                <w:lang w:val="en-US"/>
              </w:rPr>
            </w:pPr>
            <w:r w:rsidRPr="00CC37BD">
              <w:rPr>
                <w:lang w:val="en-US"/>
              </w:rPr>
              <w:t>Real-world cost-effectiveness analysis of spinal cord stimulation vs conventional therapy in the management of failed back surgery syndrome</w:t>
            </w:r>
          </w:p>
        </w:tc>
      </w:tr>
      <w:tr w:rsidR="002252DB" w:rsidRPr="00CC37BD" w14:paraId="7DCE2547" w14:textId="77777777">
        <w:tc>
          <w:tcPr>
            <w:tcW w:w="1984" w:type="dxa"/>
          </w:tcPr>
          <w:p w14:paraId="2BDE17B6" w14:textId="77777777" w:rsidR="002252DB" w:rsidRPr="00CC37BD" w:rsidRDefault="002252DB">
            <w:pPr>
              <w:pStyle w:val="051Tabletext228pt"/>
              <w:rPr>
                <w:lang w:val="en-US"/>
              </w:rPr>
            </w:pPr>
            <w:r w:rsidRPr="00CC37BD">
              <w:rPr>
                <w:lang w:val="en-US"/>
              </w:rPr>
              <w:t>Simpson 2009</w:t>
            </w:r>
          </w:p>
        </w:tc>
        <w:tc>
          <w:tcPr>
            <w:tcW w:w="7654" w:type="dxa"/>
          </w:tcPr>
          <w:p w14:paraId="024074D1" w14:textId="77777777" w:rsidR="002252DB" w:rsidRPr="00CC37BD" w:rsidRDefault="002252DB">
            <w:pPr>
              <w:pStyle w:val="051Tabletext228pt"/>
              <w:rPr>
                <w:lang w:val="en-US"/>
              </w:rPr>
            </w:pPr>
            <w:r w:rsidRPr="00CC37BD">
              <w:rPr>
                <w:lang w:val="en-US"/>
              </w:rPr>
              <w:t xml:space="preserve">Spinal cord stimulation for chronic pain of neuropathic or </w:t>
            </w:r>
            <w:proofErr w:type="spellStart"/>
            <w:r w:rsidRPr="00CC37BD">
              <w:rPr>
                <w:lang w:val="en-US"/>
              </w:rPr>
              <w:t>ischaemic</w:t>
            </w:r>
            <w:proofErr w:type="spellEnd"/>
            <w:r w:rsidRPr="00CC37BD">
              <w:rPr>
                <w:lang w:val="en-US"/>
              </w:rPr>
              <w:t xml:space="preserve"> origin: Systematic review and economic evaluation</w:t>
            </w:r>
          </w:p>
        </w:tc>
      </w:tr>
      <w:tr w:rsidR="002252DB" w:rsidRPr="00CC37BD" w14:paraId="1D7EBFC2" w14:textId="77777777">
        <w:tc>
          <w:tcPr>
            <w:tcW w:w="1984" w:type="dxa"/>
          </w:tcPr>
          <w:p w14:paraId="68790D34" w14:textId="77777777" w:rsidR="002252DB" w:rsidRPr="00CC37BD" w:rsidRDefault="002252DB">
            <w:pPr>
              <w:pStyle w:val="051Tabletext228pt"/>
              <w:rPr>
                <w:lang w:val="en-US"/>
              </w:rPr>
            </w:pPr>
            <w:r w:rsidRPr="00CC37BD">
              <w:rPr>
                <w:lang w:val="en-US"/>
              </w:rPr>
              <w:t>Taylor 2010</w:t>
            </w:r>
          </w:p>
        </w:tc>
        <w:tc>
          <w:tcPr>
            <w:tcW w:w="7654" w:type="dxa"/>
          </w:tcPr>
          <w:p w14:paraId="06FC70C4" w14:textId="77777777" w:rsidR="002252DB" w:rsidRPr="00CC37BD" w:rsidRDefault="002252DB">
            <w:pPr>
              <w:pStyle w:val="051Tabletext228pt"/>
              <w:rPr>
                <w:lang w:val="en-US"/>
              </w:rPr>
            </w:pPr>
            <w:r w:rsidRPr="00CC37BD">
              <w:rPr>
                <w:lang w:val="en-US"/>
              </w:rPr>
              <w:t>The cost-effectiveness of spinal cord stimulation in the treatment of failed back surgery syndrome</w:t>
            </w:r>
          </w:p>
        </w:tc>
      </w:tr>
      <w:tr w:rsidR="002252DB" w:rsidRPr="00CC37BD" w14:paraId="0E88C118" w14:textId="77777777">
        <w:tc>
          <w:tcPr>
            <w:tcW w:w="1984" w:type="dxa"/>
          </w:tcPr>
          <w:p w14:paraId="228F43EE" w14:textId="77777777" w:rsidR="002252DB" w:rsidRPr="00CC37BD" w:rsidRDefault="002252DB">
            <w:pPr>
              <w:pStyle w:val="051Tabletext228pt"/>
              <w:rPr>
                <w:lang w:val="en-US"/>
              </w:rPr>
            </w:pPr>
            <w:r w:rsidRPr="00CC37BD">
              <w:rPr>
                <w:lang w:val="en-US"/>
              </w:rPr>
              <w:t>Taylor 2020</w:t>
            </w:r>
          </w:p>
        </w:tc>
        <w:tc>
          <w:tcPr>
            <w:tcW w:w="7654" w:type="dxa"/>
          </w:tcPr>
          <w:p w14:paraId="6D2DBBC1" w14:textId="77777777" w:rsidR="002252DB" w:rsidRPr="00CC37BD" w:rsidRDefault="002252DB">
            <w:pPr>
              <w:pStyle w:val="051Tabletext228pt"/>
              <w:rPr>
                <w:lang w:val="en-US"/>
              </w:rPr>
            </w:pPr>
            <w:r w:rsidRPr="00CC37BD">
              <w:rPr>
                <w:lang w:val="en-US"/>
              </w:rPr>
              <w:t>High-frequency 10 kHz Spinal Cord Stimulation for Chronic Back and Leg Pain: Cost-consequence and Cost-effectiveness Analyses</w:t>
            </w:r>
          </w:p>
        </w:tc>
      </w:tr>
      <w:tr w:rsidR="002252DB" w:rsidRPr="00CC37BD" w14:paraId="05E48F1C" w14:textId="77777777">
        <w:tc>
          <w:tcPr>
            <w:tcW w:w="1984" w:type="dxa"/>
          </w:tcPr>
          <w:p w14:paraId="2F647170" w14:textId="77777777" w:rsidR="002252DB" w:rsidRPr="00CC37BD" w:rsidRDefault="002252DB">
            <w:pPr>
              <w:pStyle w:val="051Tabletext228pt"/>
              <w:rPr>
                <w:lang w:val="en-US"/>
              </w:rPr>
            </w:pPr>
            <w:proofErr w:type="spellStart"/>
            <w:r w:rsidRPr="00CC37BD">
              <w:rPr>
                <w:lang w:val="en-US"/>
              </w:rPr>
              <w:t>Verrills</w:t>
            </w:r>
            <w:proofErr w:type="spellEnd"/>
            <w:r w:rsidRPr="00CC37BD">
              <w:rPr>
                <w:lang w:val="en-US"/>
              </w:rPr>
              <w:t xml:space="preserve"> 2016</w:t>
            </w:r>
          </w:p>
        </w:tc>
        <w:tc>
          <w:tcPr>
            <w:tcW w:w="7654" w:type="dxa"/>
          </w:tcPr>
          <w:p w14:paraId="3B60A69C" w14:textId="77777777" w:rsidR="002252DB" w:rsidRPr="00CC37BD" w:rsidRDefault="002252DB">
            <w:pPr>
              <w:pStyle w:val="051Tabletext228pt"/>
              <w:rPr>
                <w:lang w:val="en-US"/>
              </w:rPr>
            </w:pPr>
            <w:r w:rsidRPr="00CC37BD">
              <w:rPr>
                <w:lang w:val="en-US"/>
              </w:rPr>
              <w:t>A review of spinal cord stimulation systems for chronic pain</w:t>
            </w:r>
          </w:p>
        </w:tc>
      </w:tr>
      <w:tr w:rsidR="002252DB" w:rsidRPr="00CC37BD" w14:paraId="487ED001" w14:textId="77777777">
        <w:tc>
          <w:tcPr>
            <w:tcW w:w="1984" w:type="dxa"/>
          </w:tcPr>
          <w:p w14:paraId="2C52CFE2" w14:textId="77777777" w:rsidR="002252DB" w:rsidRPr="00CC37BD" w:rsidRDefault="002252DB">
            <w:pPr>
              <w:pStyle w:val="051Tabletext228pt"/>
              <w:rPr>
                <w:lang w:val="en-US"/>
              </w:rPr>
            </w:pPr>
            <w:proofErr w:type="spellStart"/>
            <w:r w:rsidRPr="00CC37BD">
              <w:rPr>
                <w:lang w:val="en-US"/>
              </w:rPr>
              <w:t>Weinand</w:t>
            </w:r>
            <w:proofErr w:type="spellEnd"/>
            <w:r w:rsidRPr="00CC37BD">
              <w:rPr>
                <w:lang w:val="en-US"/>
              </w:rPr>
              <w:t xml:space="preserve"> 2022</w:t>
            </w:r>
          </w:p>
        </w:tc>
        <w:tc>
          <w:tcPr>
            <w:tcW w:w="7654" w:type="dxa"/>
          </w:tcPr>
          <w:p w14:paraId="7FFDD91B" w14:textId="77777777" w:rsidR="002252DB" w:rsidRPr="00CC37BD" w:rsidRDefault="002252DB">
            <w:pPr>
              <w:pStyle w:val="051Tabletext228pt"/>
              <w:rPr>
                <w:lang w:val="en-US"/>
              </w:rPr>
            </w:pPr>
            <w:r w:rsidRPr="00CC37BD">
              <w:rPr>
                <w:lang w:val="en-US"/>
              </w:rPr>
              <w:t>Pain Therapy With Spinal Cord Stimulation (SCS) in Patients With Painful Diabetic Neuropathy (PDN): Results of a Budget Impact Model</w:t>
            </w:r>
          </w:p>
        </w:tc>
      </w:tr>
      <w:tr w:rsidR="002252DB" w:rsidRPr="00E44120" w14:paraId="0D3FDAA2" w14:textId="77777777">
        <w:tc>
          <w:tcPr>
            <w:tcW w:w="1984" w:type="dxa"/>
          </w:tcPr>
          <w:p w14:paraId="43FE7F1E" w14:textId="77777777" w:rsidR="002252DB" w:rsidRPr="00CC37BD" w:rsidRDefault="002252DB">
            <w:pPr>
              <w:pStyle w:val="051Tabletext228pt"/>
              <w:rPr>
                <w:lang w:val="en-US"/>
              </w:rPr>
            </w:pPr>
            <w:proofErr w:type="spellStart"/>
            <w:r w:rsidRPr="00CC37BD">
              <w:rPr>
                <w:lang w:val="en-US"/>
              </w:rPr>
              <w:t>Zucco</w:t>
            </w:r>
            <w:proofErr w:type="spellEnd"/>
            <w:r w:rsidRPr="00CC37BD">
              <w:rPr>
                <w:lang w:val="en-US"/>
              </w:rPr>
              <w:t xml:space="preserve"> 2015</w:t>
            </w:r>
          </w:p>
        </w:tc>
        <w:tc>
          <w:tcPr>
            <w:tcW w:w="7654" w:type="dxa"/>
          </w:tcPr>
          <w:p w14:paraId="155F8A0D" w14:textId="77777777" w:rsidR="002252DB" w:rsidRPr="00E44120" w:rsidRDefault="002252DB">
            <w:pPr>
              <w:pStyle w:val="051Tabletext228pt"/>
              <w:rPr>
                <w:lang w:val="en-US"/>
              </w:rPr>
            </w:pPr>
            <w:r w:rsidRPr="00CC37BD">
              <w:rPr>
                <w:lang w:val="en-US"/>
              </w:rPr>
              <w:t>Cost-Effectiveness and Cost-Utility Analysis of Spinal Cord Stimulation in Patients With Failed Back Surgery Syndrome: Results From the PRECISE Study</w:t>
            </w:r>
          </w:p>
        </w:tc>
      </w:tr>
    </w:tbl>
    <w:p w14:paraId="65B33E62" w14:textId="2EE51C9A" w:rsidR="002252DB" w:rsidRDefault="00AA207C" w:rsidP="002252DB">
      <w:pPr>
        <w:pStyle w:val="111Tablefootnoteslast-nostick8pt"/>
      </w:pPr>
      <w:r>
        <w:t xml:space="preserve">Abbreviations: </w:t>
      </w:r>
      <w:r w:rsidR="001C2970">
        <w:t>kHz, kilohertz</w:t>
      </w:r>
    </w:p>
    <w:p w14:paraId="286D2506" w14:textId="7AA0D92C" w:rsidR="002252DB" w:rsidRPr="00DC5F95" w:rsidRDefault="00B13FD9" w:rsidP="00B13FD9">
      <w:pPr>
        <w:pStyle w:val="Caption"/>
        <w:rPr>
          <w:lang w:val="en-US"/>
        </w:rPr>
      </w:pPr>
      <w:bookmarkStart w:id="188" w:name="_Ref134458918"/>
      <w:r>
        <w:t xml:space="preserve">Table App </w:t>
      </w:r>
      <w:fldSimple w:instr=" SEQ Table_App \* ARABIC ">
        <w:r w:rsidR="00CE6ACA">
          <w:rPr>
            <w:noProof/>
          </w:rPr>
          <w:t>17</w:t>
        </w:r>
      </w:fldSimple>
      <w:bookmarkEnd w:id="188"/>
      <w:r w:rsidR="002252DB">
        <w:tab/>
        <w:t>Clinical longevity study from stakeholder submissions</w:t>
      </w:r>
    </w:p>
    <w:tbl>
      <w:tblPr>
        <w:tblStyle w:val="TableGrid"/>
        <w:tblW w:w="0" w:type="auto"/>
        <w:tblLayout w:type="fixed"/>
        <w:tblLook w:val="04A0" w:firstRow="1" w:lastRow="0" w:firstColumn="1" w:lastColumn="0" w:noHBand="0" w:noVBand="1"/>
        <w:tblCaption w:val="Clinical longevity study from stakeholder submissions"/>
        <w:tblDescription w:val="Table showing the clinical longevity study from stakeholder submissions"/>
      </w:tblPr>
      <w:tblGrid>
        <w:gridCol w:w="890"/>
        <w:gridCol w:w="8653"/>
      </w:tblGrid>
      <w:tr w:rsidR="002252DB" w:rsidRPr="00DC5F95" w14:paraId="105C0B48" w14:textId="77777777">
        <w:trPr>
          <w:cnfStyle w:val="100000000000" w:firstRow="1" w:lastRow="0" w:firstColumn="0" w:lastColumn="0" w:oddVBand="0" w:evenVBand="0" w:oddHBand="0" w:evenHBand="0" w:firstRowFirstColumn="0" w:firstRowLastColumn="0" w:lastRowFirstColumn="0" w:lastRowLastColumn="0"/>
        </w:trPr>
        <w:tc>
          <w:tcPr>
            <w:tcW w:w="890" w:type="dxa"/>
          </w:tcPr>
          <w:p w14:paraId="7E320E79" w14:textId="4169E38D" w:rsidR="002252DB" w:rsidRPr="00DC5F95" w:rsidRDefault="001C2970">
            <w:pPr>
              <w:pStyle w:val="011TableHeading8pt"/>
              <w:rPr>
                <w:lang w:val="en-US"/>
              </w:rPr>
            </w:pPr>
            <w:r>
              <w:rPr>
                <w:lang w:val="en-US"/>
              </w:rPr>
              <w:t>Study</w:t>
            </w:r>
            <w:r w:rsidR="002252DB" w:rsidRPr="00DC5F95">
              <w:rPr>
                <w:lang w:val="en-US"/>
              </w:rPr>
              <w:t xml:space="preserve"> ID</w:t>
            </w:r>
          </w:p>
        </w:tc>
        <w:tc>
          <w:tcPr>
            <w:tcW w:w="8653" w:type="dxa"/>
          </w:tcPr>
          <w:p w14:paraId="61623A1B" w14:textId="77777777" w:rsidR="002252DB" w:rsidRPr="00DC5F95" w:rsidRDefault="002252DB">
            <w:pPr>
              <w:pStyle w:val="011TableHeading8pt"/>
              <w:rPr>
                <w:lang w:val="en-US"/>
              </w:rPr>
            </w:pPr>
            <w:r w:rsidRPr="00DC5F95">
              <w:rPr>
                <w:lang w:val="en-US"/>
              </w:rPr>
              <w:t>Title</w:t>
            </w:r>
          </w:p>
        </w:tc>
      </w:tr>
      <w:tr w:rsidR="002252DB" w:rsidRPr="00E44120" w14:paraId="475ED6F8" w14:textId="77777777">
        <w:tc>
          <w:tcPr>
            <w:tcW w:w="890" w:type="dxa"/>
          </w:tcPr>
          <w:p w14:paraId="36298B18" w14:textId="77777777" w:rsidR="002252DB" w:rsidRPr="00DC5F95" w:rsidRDefault="002252DB">
            <w:pPr>
              <w:pStyle w:val="051Tabletext228pt"/>
              <w:rPr>
                <w:lang w:val="en-US"/>
              </w:rPr>
            </w:pPr>
            <w:r w:rsidRPr="00DC5F95">
              <w:rPr>
                <w:lang w:val="en-US"/>
              </w:rPr>
              <w:t>Deer 2023</w:t>
            </w:r>
          </w:p>
        </w:tc>
        <w:tc>
          <w:tcPr>
            <w:tcW w:w="8653" w:type="dxa"/>
          </w:tcPr>
          <w:p w14:paraId="72C9EB90" w14:textId="77777777" w:rsidR="002252DB" w:rsidRPr="00E44120" w:rsidRDefault="002252DB">
            <w:pPr>
              <w:pStyle w:val="051Tabletext228pt"/>
              <w:rPr>
                <w:lang w:val="en-US"/>
              </w:rPr>
            </w:pPr>
            <w:bookmarkStart w:id="189" w:name="_Ref134459012"/>
            <w:r w:rsidRPr="00DC5F95">
              <w:rPr>
                <w:lang w:val="en-US"/>
              </w:rPr>
              <w:t>Clinical Longevity of 106,462 Rechargeable and Primary Cell Spinal Cord Stimulators: Real World Study in the Medicare Population</w:t>
            </w:r>
          </w:p>
        </w:tc>
      </w:tr>
    </w:tbl>
    <w:p w14:paraId="1C69B20D" w14:textId="77777777" w:rsidR="002252DB" w:rsidRDefault="002252DB" w:rsidP="002252DB">
      <w:pPr>
        <w:pStyle w:val="111Tablefootnoteslast-nostick8pt"/>
      </w:pPr>
    </w:p>
    <w:p w14:paraId="1DE05AEA" w14:textId="75B6D988" w:rsidR="002252DB" w:rsidRDefault="00B13FD9" w:rsidP="00B13FD9">
      <w:pPr>
        <w:pStyle w:val="Caption"/>
        <w:rPr>
          <w:lang w:val="en-US"/>
        </w:rPr>
      </w:pPr>
      <w:bookmarkStart w:id="190" w:name="_Ref134824818"/>
      <w:r>
        <w:t xml:space="preserve">Table App </w:t>
      </w:r>
      <w:fldSimple w:instr=" SEQ Table_App \* ARABIC ">
        <w:r w:rsidR="00CE6ACA">
          <w:rPr>
            <w:noProof/>
          </w:rPr>
          <w:t>18</w:t>
        </w:r>
      </w:fldSimple>
      <w:bookmarkEnd w:id="189"/>
      <w:bookmarkEnd w:id="190"/>
      <w:r w:rsidR="002252DB">
        <w:tab/>
        <w:t>Study predicting impact on access to MRI from stakeholder submissions</w:t>
      </w:r>
    </w:p>
    <w:tbl>
      <w:tblPr>
        <w:tblStyle w:val="TableGrid"/>
        <w:tblW w:w="0" w:type="auto"/>
        <w:tblLayout w:type="fixed"/>
        <w:tblLook w:val="04A0" w:firstRow="1" w:lastRow="0" w:firstColumn="1" w:lastColumn="0" w:noHBand="0" w:noVBand="1"/>
        <w:tblCaption w:val="Study predicting impact on access to MRI from stakeholder submissions"/>
        <w:tblDescription w:val="Table showing the study predicting impact on access to MRI from stakeholder submissions"/>
      </w:tblPr>
      <w:tblGrid>
        <w:gridCol w:w="1419"/>
        <w:gridCol w:w="8219"/>
      </w:tblGrid>
      <w:tr w:rsidR="002252DB" w:rsidRPr="00675B62" w14:paraId="7FE07197" w14:textId="77777777">
        <w:trPr>
          <w:cnfStyle w:val="100000000000" w:firstRow="1" w:lastRow="0" w:firstColumn="0" w:lastColumn="0" w:oddVBand="0" w:evenVBand="0" w:oddHBand="0" w:evenHBand="0" w:firstRowFirstColumn="0" w:firstRowLastColumn="0" w:lastRowFirstColumn="0" w:lastRowLastColumn="0"/>
        </w:trPr>
        <w:tc>
          <w:tcPr>
            <w:tcW w:w="1419" w:type="dxa"/>
          </w:tcPr>
          <w:p w14:paraId="430C93B5" w14:textId="45988645" w:rsidR="002252DB" w:rsidRPr="00675B62" w:rsidRDefault="001C2970">
            <w:pPr>
              <w:pStyle w:val="011TableHeading8pt"/>
              <w:rPr>
                <w:lang w:val="en-US"/>
              </w:rPr>
            </w:pPr>
            <w:r>
              <w:rPr>
                <w:lang w:val="en-US"/>
              </w:rPr>
              <w:t>Study</w:t>
            </w:r>
            <w:r w:rsidR="002252DB" w:rsidRPr="00675B62">
              <w:rPr>
                <w:lang w:val="en-US"/>
              </w:rPr>
              <w:t xml:space="preserve"> ID</w:t>
            </w:r>
          </w:p>
        </w:tc>
        <w:tc>
          <w:tcPr>
            <w:tcW w:w="8219" w:type="dxa"/>
          </w:tcPr>
          <w:p w14:paraId="548B5248" w14:textId="77777777" w:rsidR="002252DB" w:rsidRPr="00675B62" w:rsidRDefault="002252DB">
            <w:pPr>
              <w:pStyle w:val="011TableHeading8pt"/>
              <w:rPr>
                <w:lang w:val="en-US"/>
              </w:rPr>
            </w:pPr>
            <w:r w:rsidRPr="00675B62">
              <w:rPr>
                <w:lang w:val="en-US"/>
              </w:rPr>
              <w:t>Title</w:t>
            </w:r>
          </w:p>
        </w:tc>
      </w:tr>
      <w:tr w:rsidR="002252DB" w:rsidRPr="00675B62" w14:paraId="6700630D" w14:textId="77777777">
        <w:tc>
          <w:tcPr>
            <w:tcW w:w="1419" w:type="dxa"/>
          </w:tcPr>
          <w:p w14:paraId="60729B19" w14:textId="77777777" w:rsidR="002252DB" w:rsidRPr="00675B62" w:rsidRDefault="002252DB">
            <w:pPr>
              <w:pStyle w:val="051Tabletext228pt"/>
              <w:rPr>
                <w:lang w:val="en-US"/>
              </w:rPr>
            </w:pPr>
            <w:r w:rsidRPr="00675B62">
              <w:rPr>
                <w:lang w:val="en-US"/>
              </w:rPr>
              <w:t>Desai 2015</w:t>
            </w:r>
          </w:p>
        </w:tc>
        <w:tc>
          <w:tcPr>
            <w:tcW w:w="8219" w:type="dxa"/>
          </w:tcPr>
          <w:p w14:paraId="27B507FE" w14:textId="77777777" w:rsidR="002252DB" w:rsidRPr="00675B62" w:rsidRDefault="002252DB">
            <w:pPr>
              <w:pStyle w:val="051Tabletext228pt"/>
              <w:rPr>
                <w:lang w:val="en-US"/>
              </w:rPr>
            </w:pPr>
            <w:r w:rsidRPr="00675B62">
              <w:rPr>
                <w:lang w:val="en-US"/>
              </w:rPr>
              <w:t>The rate of magnetic resonance imaging in patients with spinal cord stimulation</w:t>
            </w:r>
          </w:p>
        </w:tc>
      </w:tr>
    </w:tbl>
    <w:p w14:paraId="14E4EA61" w14:textId="77777777" w:rsidR="002252DB" w:rsidRDefault="002252DB" w:rsidP="002252DB">
      <w:pPr>
        <w:pStyle w:val="111Tablefootnoteslast-nostick8pt"/>
      </w:pPr>
    </w:p>
    <w:p w14:paraId="2D0039FF" w14:textId="06C67C8A" w:rsidR="002252DB" w:rsidRDefault="00B13FD9" w:rsidP="00B13FD9">
      <w:pPr>
        <w:pStyle w:val="Caption"/>
        <w:rPr>
          <w:lang w:val="en-US"/>
        </w:rPr>
      </w:pPr>
      <w:bookmarkStart w:id="191" w:name="_Ref134459053"/>
      <w:r>
        <w:t xml:space="preserve">Table App </w:t>
      </w:r>
      <w:fldSimple w:instr=" SEQ Table_App \* ARABIC ">
        <w:r w:rsidR="00CE6ACA">
          <w:rPr>
            <w:noProof/>
          </w:rPr>
          <w:t>19</w:t>
        </w:r>
      </w:fldSimple>
      <w:bookmarkEnd w:id="191"/>
      <w:r w:rsidR="002252DB">
        <w:tab/>
        <w:t>Patient selection studies from stakeholder submissions</w:t>
      </w:r>
    </w:p>
    <w:tbl>
      <w:tblPr>
        <w:tblStyle w:val="TableGrid"/>
        <w:tblW w:w="0" w:type="auto"/>
        <w:tblLayout w:type="fixed"/>
        <w:tblLook w:val="04A0" w:firstRow="1" w:lastRow="0" w:firstColumn="1" w:lastColumn="0" w:noHBand="0" w:noVBand="1"/>
        <w:tblCaption w:val="Patient selection studies from stakeholder submissions"/>
        <w:tblDescription w:val="Table showing the patient selection studies from stakeholder submissions"/>
      </w:tblPr>
      <w:tblGrid>
        <w:gridCol w:w="1135"/>
        <w:gridCol w:w="8503"/>
      </w:tblGrid>
      <w:tr w:rsidR="002252DB" w:rsidRPr="004C0B84" w14:paraId="5D3AB08C" w14:textId="77777777">
        <w:trPr>
          <w:cnfStyle w:val="100000000000" w:firstRow="1" w:lastRow="0" w:firstColumn="0" w:lastColumn="0" w:oddVBand="0" w:evenVBand="0" w:oddHBand="0" w:evenHBand="0" w:firstRowFirstColumn="0" w:firstRowLastColumn="0" w:lastRowFirstColumn="0" w:lastRowLastColumn="0"/>
        </w:trPr>
        <w:tc>
          <w:tcPr>
            <w:tcW w:w="1135" w:type="dxa"/>
          </w:tcPr>
          <w:p w14:paraId="7CBDAC4C" w14:textId="206CB93C" w:rsidR="002252DB" w:rsidRPr="004C0B84" w:rsidRDefault="001C2970">
            <w:pPr>
              <w:pStyle w:val="011TableHeading8pt"/>
              <w:rPr>
                <w:lang w:val="en-US"/>
              </w:rPr>
            </w:pPr>
            <w:r>
              <w:rPr>
                <w:lang w:val="en-US"/>
              </w:rPr>
              <w:t>Study</w:t>
            </w:r>
            <w:r w:rsidR="002252DB" w:rsidRPr="004C0B84">
              <w:rPr>
                <w:lang w:val="en-US"/>
              </w:rPr>
              <w:t xml:space="preserve"> ID</w:t>
            </w:r>
          </w:p>
        </w:tc>
        <w:tc>
          <w:tcPr>
            <w:tcW w:w="8503" w:type="dxa"/>
          </w:tcPr>
          <w:p w14:paraId="1387D673" w14:textId="77777777" w:rsidR="002252DB" w:rsidRPr="004C0B84" w:rsidRDefault="002252DB">
            <w:pPr>
              <w:pStyle w:val="011TableHeading8pt"/>
              <w:rPr>
                <w:lang w:val="en-US"/>
              </w:rPr>
            </w:pPr>
            <w:r w:rsidRPr="004C0B84">
              <w:rPr>
                <w:lang w:val="en-US"/>
              </w:rPr>
              <w:t>Title</w:t>
            </w:r>
          </w:p>
        </w:tc>
      </w:tr>
      <w:tr w:rsidR="002252DB" w:rsidRPr="004C0B84" w14:paraId="695E2ECA" w14:textId="77777777">
        <w:tc>
          <w:tcPr>
            <w:tcW w:w="1135" w:type="dxa"/>
          </w:tcPr>
          <w:p w14:paraId="2F93E299" w14:textId="77777777" w:rsidR="002252DB" w:rsidRPr="004C0B84" w:rsidRDefault="002252DB">
            <w:pPr>
              <w:pStyle w:val="051Tabletext228pt"/>
              <w:rPr>
                <w:lang w:val="en-US"/>
              </w:rPr>
            </w:pPr>
            <w:proofErr w:type="spellStart"/>
            <w:r w:rsidRPr="004C0B84">
              <w:rPr>
                <w:lang w:val="en-US"/>
              </w:rPr>
              <w:t>Goudman</w:t>
            </w:r>
            <w:proofErr w:type="spellEnd"/>
            <w:r w:rsidRPr="004C0B84">
              <w:rPr>
                <w:lang w:val="en-US"/>
              </w:rPr>
              <w:t xml:space="preserve"> 2022</w:t>
            </w:r>
          </w:p>
        </w:tc>
        <w:tc>
          <w:tcPr>
            <w:tcW w:w="8503" w:type="dxa"/>
          </w:tcPr>
          <w:p w14:paraId="5768C519" w14:textId="77777777" w:rsidR="002252DB" w:rsidRPr="004C0B84" w:rsidRDefault="002252DB">
            <w:pPr>
              <w:pStyle w:val="051Tabletext228pt"/>
              <w:rPr>
                <w:lang w:val="en-US"/>
              </w:rPr>
            </w:pPr>
            <w:r w:rsidRPr="004C0B84">
              <w:rPr>
                <w:lang w:val="en-US"/>
              </w:rPr>
              <w:t>Patient Selection for Spinal Cord Stimulation in Treatment of Pain: Sequential Decision-Making Model — A Narrative Review</w:t>
            </w:r>
          </w:p>
        </w:tc>
      </w:tr>
      <w:tr w:rsidR="002252DB" w:rsidRPr="004C0B84" w14:paraId="69A8CA63" w14:textId="77777777">
        <w:tc>
          <w:tcPr>
            <w:tcW w:w="1135" w:type="dxa"/>
          </w:tcPr>
          <w:p w14:paraId="5D35EC00" w14:textId="77777777" w:rsidR="002252DB" w:rsidRPr="004C0B84" w:rsidRDefault="002252DB">
            <w:pPr>
              <w:pStyle w:val="051Tabletext228pt"/>
              <w:rPr>
                <w:lang w:val="en-US"/>
              </w:rPr>
            </w:pPr>
            <w:r w:rsidRPr="004C0B84">
              <w:rPr>
                <w:lang w:val="en-US"/>
              </w:rPr>
              <w:t>Gould 2021</w:t>
            </w:r>
          </w:p>
        </w:tc>
        <w:tc>
          <w:tcPr>
            <w:tcW w:w="8503" w:type="dxa"/>
          </w:tcPr>
          <w:p w14:paraId="78AB9610" w14:textId="77777777" w:rsidR="002252DB" w:rsidRPr="004C0B84" w:rsidRDefault="002252DB">
            <w:pPr>
              <w:pStyle w:val="051Tabletext228pt"/>
              <w:rPr>
                <w:lang w:val="en-US"/>
              </w:rPr>
            </w:pPr>
            <w:r w:rsidRPr="004C0B84">
              <w:rPr>
                <w:lang w:val="en-US"/>
              </w:rPr>
              <w:t>Psychosocial characteristics of candidates for implantable pain devices: Validation of an assessment model</w:t>
            </w:r>
          </w:p>
        </w:tc>
      </w:tr>
      <w:tr w:rsidR="002252DB" w:rsidRPr="004C0B84" w14:paraId="7E3C1438" w14:textId="77777777">
        <w:tc>
          <w:tcPr>
            <w:tcW w:w="1135" w:type="dxa"/>
          </w:tcPr>
          <w:p w14:paraId="0B692B6F" w14:textId="77777777" w:rsidR="002252DB" w:rsidRPr="004C0B84" w:rsidRDefault="002252DB">
            <w:pPr>
              <w:pStyle w:val="051Tabletext228pt"/>
              <w:rPr>
                <w:lang w:val="en-US"/>
              </w:rPr>
            </w:pPr>
            <w:r w:rsidRPr="004C0B84">
              <w:rPr>
                <w:lang w:val="en-US"/>
              </w:rPr>
              <w:t>Grinberg 2019</w:t>
            </w:r>
          </w:p>
        </w:tc>
        <w:tc>
          <w:tcPr>
            <w:tcW w:w="8503" w:type="dxa"/>
          </w:tcPr>
          <w:p w14:paraId="5CB3F147" w14:textId="77777777" w:rsidR="002252DB" w:rsidRPr="004C0B84" w:rsidRDefault="002252DB">
            <w:pPr>
              <w:pStyle w:val="051Tabletext228pt"/>
              <w:rPr>
                <w:lang w:val="en-US"/>
              </w:rPr>
            </w:pPr>
            <w:r w:rsidRPr="004C0B84">
              <w:rPr>
                <w:lang w:val="en-US"/>
              </w:rPr>
              <w:t>A revised psychosocial assessment model for implantable pain devices to improve their evidence basis and consensus with updated pain management guidelines</w:t>
            </w:r>
          </w:p>
        </w:tc>
      </w:tr>
      <w:tr w:rsidR="002252DB" w:rsidRPr="00DC5F95" w14:paraId="375BDA76" w14:textId="77777777">
        <w:tc>
          <w:tcPr>
            <w:tcW w:w="1135" w:type="dxa"/>
          </w:tcPr>
          <w:p w14:paraId="61E0A9F8" w14:textId="77777777" w:rsidR="002252DB" w:rsidRPr="004C0B84" w:rsidRDefault="002252DB">
            <w:pPr>
              <w:pStyle w:val="051Tabletext228pt"/>
              <w:rPr>
                <w:lang w:val="en-US"/>
              </w:rPr>
            </w:pPr>
            <w:r w:rsidRPr="004C0B84">
              <w:rPr>
                <w:lang w:val="en-US"/>
              </w:rPr>
              <w:t>Thomson 2020</w:t>
            </w:r>
          </w:p>
        </w:tc>
        <w:tc>
          <w:tcPr>
            <w:tcW w:w="8503" w:type="dxa"/>
          </w:tcPr>
          <w:p w14:paraId="02E5723A" w14:textId="77777777" w:rsidR="002252DB" w:rsidRPr="00DC5F95" w:rsidRDefault="002252DB">
            <w:pPr>
              <w:pStyle w:val="051Tabletext228pt"/>
              <w:rPr>
                <w:lang w:val="en-US"/>
              </w:rPr>
            </w:pPr>
            <w:r w:rsidRPr="004C0B84">
              <w:rPr>
                <w:lang w:val="en-US"/>
              </w:rPr>
              <w:t>Appropriate referral and selection of patients with chronic pain for spinal cord stimulation: European consensus recommendations and e-health tool</w:t>
            </w:r>
          </w:p>
        </w:tc>
      </w:tr>
    </w:tbl>
    <w:p w14:paraId="59D8ADF8" w14:textId="77777777" w:rsidR="002252DB" w:rsidRDefault="002252DB" w:rsidP="002252DB">
      <w:pPr>
        <w:pStyle w:val="111Tablefootnoteslast-nostick8pt"/>
      </w:pPr>
    </w:p>
    <w:p w14:paraId="6896F069" w14:textId="2647B8CF" w:rsidR="002252DB" w:rsidRDefault="00B13FD9" w:rsidP="00B13FD9">
      <w:pPr>
        <w:pStyle w:val="Caption"/>
        <w:rPr>
          <w:lang w:val="en-US"/>
        </w:rPr>
      </w:pPr>
      <w:bookmarkStart w:id="192" w:name="_Ref134459065"/>
      <w:r>
        <w:t xml:space="preserve">Table App </w:t>
      </w:r>
      <w:fldSimple w:instr=" SEQ Table_App \* ARABIC ">
        <w:r w:rsidR="00CE6ACA">
          <w:rPr>
            <w:noProof/>
          </w:rPr>
          <w:t>20</w:t>
        </w:r>
      </w:fldSimple>
      <w:bookmarkEnd w:id="192"/>
      <w:r w:rsidR="002252DB">
        <w:tab/>
        <w:t>SCS technical studies from stakeholder submissions</w:t>
      </w:r>
    </w:p>
    <w:tbl>
      <w:tblPr>
        <w:tblStyle w:val="TableGrid"/>
        <w:tblW w:w="0" w:type="auto"/>
        <w:tblLayout w:type="fixed"/>
        <w:tblLook w:val="04A0" w:firstRow="1" w:lastRow="0" w:firstColumn="1" w:lastColumn="0" w:noHBand="0" w:noVBand="1"/>
        <w:tblCaption w:val="SCS technical studies from stakeholder submissions"/>
        <w:tblDescription w:val="Table showing the SCS technical studies from stakeholder submissions"/>
      </w:tblPr>
      <w:tblGrid>
        <w:gridCol w:w="1288"/>
        <w:gridCol w:w="8350"/>
      </w:tblGrid>
      <w:tr w:rsidR="002252DB" w:rsidRPr="006B3097" w14:paraId="6438B8FD" w14:textId="77777777">
        <w:trPr>
          <w:cnfStyle w:val="100000000000" w:firstRow="1" w:lastRow="0" w:firstColumn="0" w:lastColumn="0" w:oddVBand="0" w:evenVBand="0" w:oddHBand="0" w:evenHBand="0" w:firstRowFirstColumn="0" w:firstRowLastColumn="0" w:lastRowFirstColumn="0" w:lastRowLastColumn="0"/>
        </w:trPr>
        <w:tc>
          <w:tcPr>
            <w:tcW w:w="1288" w:type="dxa"/>
          </w:tcPr>
          <w:p w14:paraId="0191ECE0" w14:textId="5E59D571" w:rsidR="002252DB" w:rsidRPr="006B3097" w:rsidRDefault="00E05A89">
            <w:pPr>
              <w:pStyle w:val="011TableHeading8pt"/>
              <w:rPr>
                <w:lang w:val="en-US"/>
              </w:rPr>
            </w:pPr>
            <w:r>
              <w:rPr>
                <w:lang w:val="en-US"/>
              </w:rPr>
              <w:t>Study</w:t>
            </w:r>
            <w:r w:rsidR="002252DB" w:rsidRPr="006B3097">
              <w:rPr>
                <w:lang w:val="en-US"/>
              </w:rPr>
              <w:t xml:space="preserve"> ID</w:t>
            </w:r>
          </w:p>
        </w:tc>
        <w:tc>
          <w:tcPr>
            <w:tcW w:w="8350" w:type="dxa"/>
          </w:tcPr>
          <w:p w14:paraId="56390319" w14:textId="77777777" w:rsidR="002252DB" w:rsidRPr="006B3097" w:rsidRDefault="002252DB">
            <w:pPr>
              <w:pStyle w:val="011TableHeading8pt"/>
              <w:rPr>
                <w:lang w:val="en-US"/>
              </w:rPr>
            </w:pPr>
            <w:r w:rsidRPr="006B3097">
              <w:rPr>
                <w:lang w:val="en-US"/>
              </w:rPr>
              <w:t>Title</w:t>
            </w:r>
          </w:p>
        </w:tc>
      </w:tr>
      <w:tr w:rsidR="002252DB" w:rsidRPr="006B3097" w14:paraId="1B643D18" w14:textId="77777777">
        <w:tc>
          <w:tcPr>
            <w:tcW w:w="1288" w:type="dxa"/>
          </w:tcPr>
          <w:p w14:paraId="6F1D9E38" w14:textId="77777777" w:rsidR="002252DB" w:rsidRPr="006B3097" w:rsidRDefault="002252DB">
            <w:pPr>
              <w:pStyle w:val="051Tabletext228pt"/>
              <w:rPr>
                <w:lang w:val="en-US"/>
              </w:rPr>
            </w:pPr>
            <w:r w:rsidRPr="006B3097">
              <w:rPr>
                <w:lang w:val="en-US"/>
              </w:rPr>
              <w:t>Al-</w:t>
            </w:r>
            <w:proofErr w:type="spellStart"/>
            <w:r w:rsidRPr="006B3097">
              <w:rPr>
                <w:lang w:val="en-US"/>
              </w:rPr>
              <w:t>Kaisy</w:t>
            </w:r>
            <w:proofErr w:type="spellEnd"/>
            <w:r w:rsidRPr="006B3097">
              <w:rPr>
                <w:lang w:val="en-US"/>
              </w:rPr>
              <w:t xml:space="preserve"> 2020</w:t>
            </w:r>
          </w:p>
        </w:tc>
        <w:tc>
          <w:tcPr>
            <w:tcW w:w="8350" w:type="dxa"/>
          </w:tcPr>
          <w:p w14:paraId="5E4BC227" w14:textId="77777777" w:rsidR="002252DB" w:rsidRPr="006B3097" w:rsidRDefault="002252DB">
            <w:pPr>
              <w:pStyle w:val="051Tabletext228pt"/>
              <w:rPr>
                <w:lang w:val="en-US"/>
              </w:rPr>
            </w:pPr>
            <w:r w:rsidRPr="006B3097">
              <w:rPr>
                <w:lang w:val="en-US"/>
              </w:rPr>
              <w:t>Comparison of Paresthesia Mapping to Anatomical Placement in Burst Spinal Cord Stimulation: Initial Trial Results of the Prospective, Multicenter, Randomized, Double-Blinded, Crossover, CRISP Study</w:t>
            </w:r>
          </w:p>
        </w:tc>
      </w:tr>
      <w:tr w:rsidR="002252DB" w:rsidRPr="006B3097" w14:paraId="6F2115F1" w14:textId="77777777">
        <w:tc>
          <w:tcPr>
            <w:tcW w:w="1288" w:type="dxa"/>
          </w:tcPr>
          <w:p w14:paraId="6F887CE9" w14:textId="77777777" w:rsidR="002252DB" w:rsidRPr="006B3097" w:rsidRDefault="002252DB">
            <w:pPr>
              <w:pStyle w:val="051Tabletext228pt"/>
              <w:rPr>
                <w:lang w:val="en-US"/>
              </w:rPr>
            </w:pPr>
            <w:r w:rsidRPr="006B3097">
              <w:rPr>
                <w:lang w:val="en-US"/>
              </w:rPr>
              <w:t>Al-</w:t>
            </w:r>
            <w:proofErr w:type="spellStart"/>
            <w:r w:rsidRPr="006B3097">
              <w:rPr>
                <w:lang w:val="en-US"/>
              </w:rPr>
              <w:t>Kaisy</w:t>
            </w:r>
            <w:proofErr w:type="spellEnd"/>
            <w:r w:rsidRPr="006B3097">
              <w:rPr>
                <w:lang w:val="en-US"/>
              </w:rPr>
              <w:t xml:space="preserve"> 2022</w:t>
            </w:r>
          </w:p>
        </w:tc>
        <w:tc>
          <w:tcPr>
            <w:tcW w:w="8350" w:type="dxa"/>
          </w:tcPr>
          <w:p w14:paraId="622CE383" w14:textId="77777777" w:rsidR="002252DB" w:rsidRPr="006B3097" w:rsidRDefault="002252DB">
            <w:pPr>
              <w:pStyle w:val="051Tabletext228pt"/>
              <w:rPr>
                <w:lang w:val="en-US"/>
              </w:rPr>
            </w:pPr>
            <w:r w:rsidRPr="006B3097">
              <w:rPr>
                <w:lang w:val="en-US"/>
              </w:rPr>
              <w:t>Comparison of Paresthesia Mapping With Anatomic Placement in Burst Spinal Cord Stimulation: Long-Term Results of the Prospective, Multicenter, Randomized, Double-Blind, Crossover CRISP Study</w:t>
            </w:r>
          </w:p>
        </w:tc>
      </w:tr>
      <w:tr w:rsidR="002252DB" w:rsidRPr="006B3097" w14:paraId="532E67DC" w14:textId="77777777">
        <w:tc>
          <w:tcPr>
            <w:tcW w:w="1288" w:type="dxa"/>
          </w:tcPr>
          <w:p w14:paraId="6353BA55" w14:textId="77777777" w:rsidR="002252DB" w:rsidRPr="006B3097" w:rsidRDefault="002252DB">
            <w:pPr>
              <w:pStyle w:val="051Tabletext228pt"/>
              <w:rPr>
                <w:lang w:val="en-US"/>
              </w:rPr>
            </w:pPr>
            <w:r w:rsidRPr="006B3097">
              <w:rPr>
                <w:lang w:val="en-US"/>
              </w:rPr>
              <w:t>Chakravarthy 2020</w:t>
            </w:r>
          </w:p>
        </w:tc>
        <w:tc>
          <w:tcPr>
            <w:tcW w:w="8350" w:type="dxa"/>
          </w:tcPr>
          <w:p w14:paraId="1E202B6B" w14:textId="77777777" w:rsidR="002252DB" w:rsidRPr="006B3097" w:rsidRDefault="002252DB">
            <w:pPr>
              <w:pStyle w:val="051Tabletext228pt"/>
              <w:rPr>
                <w:lang w:val="en-US"/>
              </w:rPr>
            </w:pPr>
            <w:r w:rsidRPr="006B3097">
              <w:rPr>
                <w:lang w:val="en-US"/>
              </w:rPr>
              <w:t>Sensing evoked compound action potentials from the spinal cord: Novel preclinical and clinical considerations for the pain management researcher and clinician</w:t>
            </w:r>
          </w:p>
        </w:tc>
      </w:tr>
      <w:tr w:rsidR="002252DB" w:rsidRPr="006B3097" w14:paraId="4A95DE33" w14:textId="77777777">
        <w:tc>
          <w:tcPr>
            <w:tcW w:w="1288" w:type="dxa"/>
          </w:tcPr>
          <w:p w14:paraId="36534168" w14:textId="77777777" w:rsidR="002252DB" w:rsidRPr="006B3097" w:rsidRDefault="002252DB">
            <w:pPr>
              <w:pStyle w:val="051Tabletext228pt"/>
              <w:rPr>
                <w:lang w:val="en-US"/>
              </w:rPr>
            </w:pPr>
            <w:r w:rsidRPr="006B3097">
              <w:rPr>
                <w:lang w:val="en-US"/>
              </w:rPr>
              <w:lastRenderedPageBreak/>
              <w:t>Chakravarthy 2022</w:t>
            </w:r>
          </w:p>
        </w:tc>
        <w:tc>
          <w:tcPr>
            <w:tcW w:w="8350" w:type="dxa"/>
          </w:tcPr>
          <w:p w14:paraId="33010E7F" w14:textId="77777777" w:rsidR="002252DB" w:rsidRPr="006B3097" w:rsidRDefault="002252DB">
            <w:pPr>
              <w:pStyle w:val="051Tabletext228pt"/>
              <w:rPr>
                <w:lang w:val="en-US"/>
              </w:rPr>
            </w:pPr>
            <w:r w:rsidRPr="006B3097">
              <w:rPr>
                <w:lang w:val="en-US"/>
              </w:rPr>
              <w:t>A Clinical Feasibility Study of Spinal Evoked Compound Action Potential Estimation Methods</w:t>
            </w:r>
          </w:p>
        </w:tc>
      </w:tr>
      <w:tr w:rsidR="002252DB" w:rsidRPr="006B3097" w14:paraId="21589DCF" w14:textId="77777777">
        <w:tc>
          <w:tcPr>
            <w:tcW w:w="1288" w:type="dxa"/>
          </w:tcPr>
          <w:p w14:paraId="727A2FFA" w14:textId="77777777" w:rsidR="002252DB" w:rsidRPr="006B3097" w:rsidRDefault="002252DB">
            <w:pPr>
              <w:pStyle w:val="051Tabletext228pt"/>
              <w:rPr>
                <w:lang w:val="en-US"/>
              </w:rPr>
            </w:pPr>
            <w:r w:rsidRPr="006B3097">
              <w:rPr>
                <w:lang w:val="en-US"/>
              </w:rPr>
              <w:t xml:space="preserve">De </w:t>
            </w:r>
            <w:proofErr w:type="spellStart"/>
            <w:r w:rsidRPr="006B3097">
              <w:rPr>
                <w:lang w:val="en-US"/>
              </w:rPr>
              <w:t>Carolis</w:t>
            </w:r>
            <w:proofErr w:type="spellEnd"/>
            <w:r w:rsidRPr="006B3097">
              <w:rPr>
                <w:lang w:val="en-US"/>
              </w:rPr>
              <w:t xml:space="preserve"> 2017</w:t>
            </w:r>
          </w:p>
        </w:tc>
        <w:tc>
          <w:tcPr>
            <w:tcW w:w="8350" w:type="dxa"/>
          </w:tcPr>
          <w:p w14:paraId="548F87C6" w14:textId="77777777" w:rsidR="002252DB" w:rsidRPr="006B3097" w:rsidRDefault="002252DB">
            <w:pPr>
              <w:pStyle w:val="051Tabletext228pt"/>
              <w:rPr>
                <w:lang w:val="en-US"/>
              </w:rPr>
            </w:pPr>
            <w:r w:rsidRPr="006B3097">
              <w:rPr>
                <w:lang w:val="en-US"/>
              </w:rPr>
              <w:t>Paresthesia-independence: An assessment of technical factors related to 10 kHz paresthesia-free spinal cord stimulation</w:t>
            </w:r>
          </w:p>
        </w:tc>
      </w:tr>
      <w:tr w:rsidR="002252DB" w:rsidRPr="006B3097" w14:paraId="7A3F7ABA" w14:textId="77777777">
        <w:tc>
          <w:tcPr>
            <w:tcW w:w="1288" w:type="dxa"/>
          </w:tcPr>
          <w:p w14:paraId="5FAAD0BC" w14:textId="77777777" w:rsidR="002252DB" w:rsidRPr="006B3097" w:rsidRDefault="002252DB">
            <w:pPr>
              <w:pStyle w:val="051Tabletext228pt"/>
              <w:rPr>
                <w:lang w:val="en-US"/>
              </w:rPr>
            </w:pPr>
            <w:r w:rsidRPr="006B3097">
              <w:rPr>
                <w:lang w:val="en-US"/>
              </w:rPr>
              <w:t>El-Naggar 2021</w:t>
            </w:r>
          </w:p>
        </w:tc>
        <w:tc>
          <w:tcPr>
            <w:tcW w:w="8350" w:type="dxa"/>
          </w:tcPr>
          <w:p w14:paraId="3716A187" w14:textId="77777777" w:rsidR="002252DB" w:rsidRPr="006B3097" w:rsidRDefault="002252DB">
            <w:pPr>
              <w:pStyle w:val="051Tabletext228pt"/>
              <w:rPr>
                <w:lang w:val="en-US"/>
              </w:rPr>
            </w:pPr>
            <w:r w:rsidRPr="006B3097">
              <w:rPr>
                <w:lang w:val="en-US"/>
              </w:rPr>
              <w:t>Using Lower Amplitudes to Maintain Effective High Dose Spinal Cord Stimulation Therapy (SCS Dosing Pilot Study)</w:t>
            </w:r>
          </w:p>
        </w:tc>
      </w:tr>
      <w:tr w:rsidR="002252DB" w:rsidRPr="006B3097" w14:paraId="3D8FB64E" w14:textId="77777777">
        <w:tc>
          <w:tcPr>
            <w:tcW w:w="1288" w:type="dxa"/>
          </w:tcPr>
          <w:p w14:paraId="705424BC" w14:textId="77777777" w:rsidR="002252DB" w:rsidRPr="006B3097" w:rsidRDefault="002252DB">
            <w:pPr>
              <w:pStyle w:val="051Tabletext228pt"/>
              <w:rPr>
                <w:lang w:val="en-US"/>
              </w:rPr>
            </w:pPr>
            <w:proofErr w:type="spellStart"/>
            <w:r w:rsidRPr="006B3097">
              <w:rPr>
                <w:lang w:val="en-US"/>
              </w:rPr>
              <w:t>Pilitsis</w:t>
            </w:r>
            <w:proofErr w:type="spellEnd"/>
            <w:r w:rsidRPr="006B3097">
              <w:rPr>
                <w:lang w:val="en-US"/>
              </w:rPr>
              <w:t xml:space="preserve"> 2021</w:t>
            </w:r>
          </w:p>
        </w:tc>
        <w:tc>
          <w:tcPr>
            <w:tcW w:w="8350" w:type="dxa"/>
          </w:tcPr>
          <w:p w14:paraId="6712212D" w14:textId="77777777" w:rsidR="002252DB" w:rsidRPr="006B3097" w:rsidRDefault="002252DB">
            <w:pPr>
              <w:pStyle w:val="051Tabletext228pt"/>
              <w:rPr>
                <w:lang w:val="en-US"/>
              </w:rPr>
            </w:pPr>
            <w:r w:rsidRPr="006B3097">
              <w:rPr>
                <w:lang w:val="en-US"/>
              </w:rPr>
              <w:t>The Evoked Compound Action Potential as a Predictor for Perception in Chronic Pain Patients: Tools for Automatic Spinal Cord Stimulator Programming and Control</w:t>
            </w:r>
          </w:p>
        </w:tc>
      </w:tr>
      <w:tr w:rsidR="002252DB" w:rsidRPr="006B3097" w14:paraId="1EDB1F2A" w14:textId="77777777">
        <w:tc>
          <w:tcPr>
            <w:tcW w:w="1288" w:type="dxa"/>
          </w:tcPr>
          <w:p w14:paraId="4D51AAF2" w14:textId="77777777" w:rsidR="002252DB" w:rsidRPr="006B3097" w:rsidRDefault="002252DB">
            <w:pPr>
              <w:pStyle w:val="051Tabletext228pt"/>
              <w:rPr>
                <w:lang w:val="en-US"/>
              </w:rPr>
            </w:pPr>
            <w:r w:rsidRPr="006B3097">
              <w:rPr>
                <w:lang w:val="en-US"/>
              </w:rPr>
              <w:t>Pope 2020</w:t>
            </w:r>
          </w:p>
        </w:tc>
        <w:tc>
          <w:tcPr>
            <w:tcW w:w="8350" w:type="dxa"/>
          </w:tcPr>
          <w:p w14:paraId="5117F33C" w14:textId="77777777" w:rsidR="002252DB" w:rsidRPr="006B3097" w:rsidRDefault="002252DB">
            <w:pPr>
              <w:pStyle w:val="051Tabletext228pt"/>
              <w:rPr>
                <w:lang w:val="en-US"/>
              </w:rPr>
            </w:pPr>
            <w:r w:rsidRPr="006B3097">
              <w:rPr>
                <w:lang w:val="en-US"/>
              </w:rPr>
              <w:t>Anatomic Lead Placement Without Paresthesia Mapping Provides Effective and Predictable Therapy During the Trial Evaluation Period: Results From the Prospective, Multicenter, Randomized, DELIVERY Study</w:t>
            </w:r>
          </w:p>
        </w:tc>
      </w:tr>
      <w:tr w:rsidR="002252DB" w:rsidRPr="006B3097" w14:paraId="1BD35E35" w14:textId="77777777">
        <w:tc>
          <w:tcPr>
            <w:tcW w:w="1288" w:type="dxa"/>
          </w:tcPr>
          <w:p w14:paraId="574743FB" w14:textId="77777777" w:rsidR="002252DB" w:rsidRPr="006B3097" w:rsidRDefault="002252DB">
            <w:pPr>
              <w:pStyle w:val="051Tabletext228pt"/>
              <w:rPr>
                <w:lang w:val="en-US"/>
              </w:rPr>
            </w:pPr>
            <w:r w:rsidRPr="006B3097">
              <w:rPr>
                <w:lang w:val="en-US"/>
              </w:rPr>
              <w:t>Vallejo 2021</w:t>
            </w:r>
          </w:p>
        </w:tc>
        <w:tc>
          <w:tcPr>
            <w:tcW w:w="8350" w:type="dxa"/>
          </w:tcPr>
          <w:p w14:paraId="6407D716" w14:textId="77777777" w:rsidR="002252DB" w:rsidRPr="006B3097" w:rsidRDefault="002252DB">
            <w:pPr>
              <w:pStyle w:val="051Tabletext228pt"/>
              <w:rPr>
                <w:lang w:val="en-US"/>
              </w:rPr>
            </w:pPr>
            <w:r w:rsidRPr="006B3097">
              <w:rPr>
                <w:lang w:val="en-US"/>
              </w:rPr>
              <w:t>A New Direction for Closed-Loop Spinal Cord Stimulation: Combining Contemporary Therapy Paradigms with Evoked Compound Action Potential Sensing</w:t>
            </w:r>
          </w:p>
        </w:tc>
      </w:tr>
    </w:tbl>
    <w:p w14:paraId="16D1CA5C" w14:textId="29C74916" w:rsidR="002252DB" w:rsidRDefault="00E05A89" w:rsidP="002252DB">
      <w:pPr>
        <w:pStyle w:val="111Tablefootnoteslast-nostick8pt"/>
      </w:pPr>
      <w:r>
        <w:t>Abbreviations: kHz, kilohertz</w:t>
      </w:r>
    </w:p>
    <w:p w14:paraId="094CDA41" w14:textId="7740F88A" w:rsidR="002252DB" w:rsidRPr="00950B56" w:rsidRDefault="00B13FD9" w:rsidP="00B13FD9">
      <w:pPr>
        <w:pStyle w:val="Caption"/>
        <w:rPr>
          <w:lang w:val="en-US"/>
        </w:rPr>
      </w:pPr>
      <w:bookmarkStart w:id="193" w:name="_Ref134459076"/>
      <w:r>
        <w:t xml:space="preserve">Table App </w:t>
      </w:r>
      <w:fldSimple w:instr=" SEQ Table_App \* ARABIC ">
        <w:r w:rsidR="00CE6ACA">
          <w:rPr>
            <w:noProof/>
          </w:rPr>
          <w:t>21</w:t>
        </w:r>
      </w:fldSimple>
      <w:bookmarkEnd w:id="193"/>
      <w:r w:rsidR="002252DB">
        <w:tab/>
        <w:t>Critiques and position statement from stakeholder submissions</w:t>
      </w:r>
    </w:p>
    <w:tbl>
      <w:tblPr>
        <w:tblStyle w:val="TableGrid"/>
        <w:tblW w:w="0" w:type="auto"/>
        <w:tblLayout w:type="fixed"/>
        <w:tblLook w:val="04A0" w:firstRow="1" w:lastRow="0" w:firstColumn="1" w:lastColumn="0" w:noHBand="0" w:noVBand="1"/>
        <w:tblCaption w:val="Critiques and position statement from stakeholder submissions"/>
        <w:tblDescription w:val="Table showing the critiques and position statement from stakeholder submissions"/>
      </w:tblPr>
      <w:tblGrid>
        <w:gridCol w:w="947"/>
        <w:gridCol w:w="8691"/>
      </w:tblGrid>
      <w:tr w:rsidR="002252DB" w:rsidRPr="00950B56" w14:paraId="45E7D985" w14:textId="77777777">
        <w:trPr>
          <w:cnfStyle w:val="100000000000" w:firstRow="1" w:lastRow="0" w:firstColumn="0" w:lastColumn="0" w:oddVBand="0" w:evenVBand="0" w:oddHBand="0" w:evenHBand="0" w:firstRowFirstColumn="0" w:firstRowLastColumn="0" w:lastRowFirstColumn="0" w:lastRowLastColumn="0"/>
        </w:trPr>
        <w:tc>
          <w:tcPr>
            <w:tcW w:w="947" w:type="dxa"/>
          </w:tcPr>
          <w:p w14:paraId="645DB73E" w14:textId="12768E1F" w:rsidR="002252DB" w:rsidRPr="00950B56" w:rsidRDefault="001D15CF">
            <w:pPr>
              <w:pStyle w:val="011TableHeading8pt"/>
              <w:rPr>
                <w:lang w:val="en-US"/>
              </w:rPr>
            </w:pPr>
            <w:r>
              <w:rPr>
                <w:lang w:val="en-US"/>
              </w:rPr>
              <w:t>Study</w:t>
            </w:r>
            <w:r w:rsidR="002252DB" w:rsidRPr="00950B56">
              <w:rPr>
                <w:lang w:val="en-US"/>
              </w:rPr>
              <w:t xml:space="preserve"> ID</w:t>
            </w:r>
          </w:p>
        </w:tc>
        <w:tc>
          <w:tcPr>
            <w:tcW w:w="8691" w:type="dxa"/>
          </w:tcPr>
          <w:p w14:paraId="7A4BB83C" w14:textId="77777777" w:rsidR="002252DB" w:rsidRPr="00950B56" w:rsidRDefault="002252DB">
            <w:pPr>
              <w:pStyle w:val="011TableHeading8pt"/>
              <w:rPr>
                <w:lang w:val="en-US"/>
              </w:rPr>
            </w:pPr>
            <w:r w:rsidRPr="00950B56">
              <w:rPr>
                <w:lang w:val="en-US"/>
              </w:rPr>
              <w:t>Title</w:t>
            </w:r>
          </w:p>
        </w:tc>
      </w:tr>
      <w:tr w:rsidR="002252DB" w:rsidRPr="00950B56" w14:paraId="2C73F6EA" w14:textId="77777777">
        <w:tc>
          <w:tcPr>
            <w:tcW w:w="947" w:type="dxa"/>
          </w:tcPr>
          <w:p w14:paraId="6A90A9BE" w14:textId="77777777" w:rsidR="002252DB" w:rsidRPr="00950B56" w:rsidRDefault="002252DB">
            <w:pPr>
              <w:pStyle w:val="051Tabletext228pt"/>
              <w:rPr>
                <w:lang w:val="en-US"/>
              </w:rPr>
            </w:pPr>
            <w:r w:rsidRPr="00950B56">
              <w:rPr>
                <w:lang w:val="en-US"/>
              </w:rPr>
              <w:t>Deer 2023</w:t>
            </w:r>
          </w:p>
        </w:tc>
        <w:tc>
          <w:tcPr>
            <w:tcW w:w="8691" w:type="dxa"/>
          </w:tcPr>
          <w:p w14:paraId="4ACCC37A" w14:textId="77777777" w:rsidR="002252DB" w:rsidRPr="00950B56" w:rsidRDefault="002252DB">
            <w:pPr>
              <w:pStyle w:val="051Tabletext228pt"/>
              <w:rPr>
                <w:lang w:val="en-US"/>
              </w:rPr>
            </w:pPr>
            <w:r w:rsidRPr="00950B56">
              <w:rPr>
                <w:lang w:val="en-US"/>
              </w:rPr>
              <w:t>Serious Issues in Authorship, Design, and Conclusions of JAMA Neurology Real-World Evidence Study on Spinal Cord Stimulation Outcomes and Costs as Compared to Conventional Medical Therapy</w:t>
            </w:r>
          </w:p>
        </w:tc>
      </w:tr>
      <w:tr w:rsidR="002252DB" w:rsidRPr="00950B56" w14:paraId="34F2BB65" w14:textId="77777777">
        <w:tc>
          <w:tcPr>
            <w:tcW w:w="947" w:type="dxa"/>
          </w:tcPr>
          <w:p w14:paraId="77D42F71" w14:textId="77777777" w:rsidR="002252DB" w:rsidRPr="00950B56" w:rsidRDefault="002252DB">
            <w:pPr>
              <w:pStyle w:val="051Tabletext228pt"/>
              <w:rPr>
                <w:lang w:val="en-US"/>
              </w:rPr>
            </w:pPr>
            <w:r w:rsidRPr="00950B56">
              <w:rPr>
                <w:lang w:val="en-US"/>
              </w:rPr>
              <w:t>Russo 2022</w:t>
            </w:r>
          </w:p>
        </w:tc>
        <w:tc>
          <w:tcPr>
            <w:tcW w:w="8691" w:type="dxa"/>
          </w:tcPr>
          <w:p w14:paraId="222D0A59" w14:textId="77777777" w:rsidR="002252DB" w:rsidRPr="00950B56" w:rsidRDefault="002252DB">
            <w:pPr>
              <w:pStyle w:val="051Tabletext228pt"/>
              <w:rPr>
                <w:lang w:val="en-US"/>
              </w:rPr>
            </w:pPr>
            <w:r w:rsidRPr="00950B56">
              <w:rPr>
                <w:lang w:val="en-US"/>
              </w:rPr>
              <w:t>Response to Recent JAMA Article on Spinal Cord Stimulation</w:t>
            </w:r>
          </w:p>
        </w:tc>
      </w:tr>
      <w:tr w:rsidR="002252DB" w:rsidRPr="004C0B84" w14:paraId="72C278D1" w14:textId="77777777">
        <w:tc>
          <w:tcPr>
            <w:tcW w:w="947" w:type="dxa"/>
          </w:tcPr>
          <w:p w14:paraId="5F0BDAF8" w14:textId="77777777" w:rsidR="002252DB" w:rsidRPr="00950B56" w:rsidRDefault="002252DB">
            <w:pPr>
              <w:pStyle w:val="051Tabletext228pt"/>
              <w:rPr>
                <w:lang w:val="en-US"/>
              </w:rPr>
            </w:pPr>
            <w:r w:rsidRPr="00950B56">
              <w:rPr>
                <w:lang w:val="en-US"/>
              </w:rPr>
              <w:t>Sullivan 2023</w:t>
            </w:r>
          </w:p>
        </w:tc>
        <w:tc>
          <w:tcPr>
            <w:tcW w:w="8691" w:type="dxa"/>
          </w:tcPr>
          <w:p w14:paraId="64DC4EA8" w14:textId="77777777" w:rsidR="002252DB" w:rsidRPr="004C0B84" w:rsidRDefault="002252DB">
            <w:pPr>
              <w:pStyle w:val="051Tabletext228pt"/>
              <w:rPr>
                <w:lang w:val="en-US"/>
              </w:rPr>
            </w:pPr>
            <w:r w:rsidRPr="00950B56">
              <w:rPr>
                <w:lang w:val="en-US"/>
              </w:rPr>
              <w:t>Spinal Cord Stimulator Complications Reported to the Australian Therapeutic Goods Administration</w:t>
            </w:r>
          </w:p>
        </w:tc>
      </w:tr>
    </w:tbl>
    <w:p w14:paraId="29A1D872" w14:textId="4E7A3437" w:rsidR="002252DB" w:rsidRPr="004C0B84" w:rsidRDefault="00115F16" w:rsidP="002252DB">
      <w:pPr>
        <w:pStyle w:val="111Tablefootnoteslast-nostick8pt"/>
      </w:pPr>
      <w:r>
        <w:t>Abbreviations: JAMA, the Journal of the American Medical Association</w:t>
      </w:r>
    </w:p>
    <w:p w14:paraId="36C591F9" w14:textId="389F1EF2" w:rsidR="001D268A" w:rsidRDefault="001D268A" w:rsidP="00583969">
      <w:pPr>
        <w:pStyle w:val="Heading8"/>
      </w:pPr>
      <w:bookmarkStart w:id="194" w:name="_Ref134526242"/>
      <w:bookmarkStart w:id="195" w:name="_Ref134526251"/>
      <w:bookmarkStart w:id="196" w:name="_Ref134526259"/>
      <w:bookmarkStart w:id="197" w:name="_Toc165634701"/>
      <w:r>
        <w:t>Comparati</w:t>
      </w:r>
      <w:r w:rsidR="00FF5033">
        <w:t>ve cost</w:t>
      </w:r>
      <w:r w:rsidR="00E97013">
        <w:t>-</w:t>
      </w:r>
      <w:r w:rsidR="00FF5033">
        <w:t>effectiveness</w:t>
      </w:r>
      <w:bookmarkEnd w:id="194"/>
      <w:bookmarkEnd w:id="195"/>
      <w:bookmarkEnd w:id="196"/>
      <w:bookmarkEnd w:id="197"/>
    </w:p>
    <w:p w14:paraId="049D1028" w14:textId="77777777" w:rsidR="00F04928" w:rsidRDefault="00F04928" w:rsidP="00AB72C8">
      <w:pPr>
        <w:pStyle w:val="Heading9"/>
      </w:pPr>
      <w:r>
        <w:t>Search strings</w:t>
      </w:r>
    </w:p>
    <w:p w14:paraId="5747AD18" w14:textId="6D67E851" w:rsidR="00D75FAF" w:rsidRPr="00D75FAF" w:rsidRDefault="00D75FAF" w:rsidP="00AB72C8">
      <w:pPr>
        <w:pStyle w:val="BodyText"/>
      </w:pPr>
      <w:r w:rsidRPr="00D75FAF">
        <w:t>Following an initial scoping search, the primary search was conducted on 06 February 2023 in EMBASE.com</w:t>
      </w:r>
      <w:r>
        <w:t xml:space="preserve"> using the search string detailed in </w:t>
      </w:r>
      <w:r>
        <w:fldChar w:fldCharType="begin"/>
      </w:r>
      <w:r>
        <w:instrText xml:space="preserve"> REF _Ref134461853 \h </w:instrText>
      </w:r>
      <w:r>
        <w:fldChar w:fldCharType="separate"/>
      </w:r>
      <w:r w:rsidR="00CE6ACA">
        <w:t xml:space="preserve">Table App </w:t>
      </w:r>
      <w:r w:rsidR="00CE6ACA">
        <w:rPr>
          <w:noProof/>
        </w:rPr>
        <w:t>22</w:t>
      </w:r>
      <w:r>
        <w:fldChar w:fldCharType="end"/>
      </w:r>
      <w:r>
        <w:t xml:space="preserve">. </w:t>
      </w:r>
    </w:p>
    <w:p w14:paraId="32826980" w14:textId="2974C5CD" w:rsidR="003F2DCF" w:rsidRPr="00DB674A" w:rsidRDefault="002B395C" w:rsidP="00AB72C8">
      <w:pPr>
        <w:pStyle w:val="Caption"/>
      </w:pPr>
      <w:bookmarkStart w:id="198" w:name="_Ref134461853"/>
      <w:r>
        <w:t xml:space="preserve">Table App </w:t>
      </w:r>
      <w:fldSimple w:instr=" SEQ Table_App \* ARABIC ">
        <w:r w:rsidR="00CE6ACA">
          <w:rPr>
            <w:noProof/>
          </w:rPr>
          <w:t>22</w:t>
        </w:r>
      </w:fldSimple>
      <w:bookmarkEnd w:id="198"/>
      <w:r>
        <w:tab/>
        <w:t>Search strings for cost</w:t>
      </w:r>
      <w:r w:rsidR="002D10C6">
        <w:t>-</w:t>
      </w:r>
      <w:r>
        <w:t>effectiveness search</w:t>
      </w:r>
    </w:p>
    <w:tbl>
      <w:tblPr>
        <w:tblStyle w:val="TableGrid"/>
        <w:tblW w:w="0" w:type="auto"/>
        <w:tblLook w:val="04A0" w:firstRow="1" w:lastRow="0" w:firstColumn="1" w:lastColumn="0" w:noHBand="0" w:noVBand="1"/>
        <w:tblCaption w:val="Search strings for cost-effectiveness search"/>
        <w:tblDescription w:val="Table showing the search strings used for the cost-effectiveness search"/>
      </w:tblPr>
      <w:tblGrid>
        <w:gridCol w:w="993"/>
        <w:gridCol w:w="8645"/>
      </w:tblGrid>
      <w:tr w:rsidR="003F2DCF" w14:paraId="3AD71E6B" w14:textId="77777777" w:rsidTr="008F7EAE">
        <w:trPr>
          <w:cnfStyle w:val="100000000000" w:firstRow="1" w:lastRow="0" w:firstColumn="0" w:lastColumn="0" w:oddVBand="0" w:evenVBand="0" w:oddHBand="0" w:evenHBand="0" w:firstRowFirstColumn="0" w:firstRowLastColumn="0" w:lastRowFirstColumn="0" w:lastRowLastColumn="0"/>
        </w:trPr>
        <w:tc>
          <w:tcPr>
            <w:tcW w:w="993" w:type="dxa"/>
          </w:tcPr>
          <w:p w14:paraId="591D613C" w14:textId="09956C88" w:rsidR="003F2DCF" w:rsidRDefault="008F7EAE" w:rsidP="00AB72C8">
            <w:pPr>
              <w:pStyle w:val="011TableHeading8pt"/>
            </w:pPr>
            <w:r>
              <w:t>Query no.</w:t>
            </w:r>
          </w:p>
        </w:tc>
        <w:tc>
          <w:tcPr>
            <w:tcW w:w="8645" w:type="dxa"/>
          </w:tcPr>
          <w:p w14:paraId="572829C4" w14:textId="435CD099" w:rsidR="003F2DCF" w:rsidRDefault="008F7EAE" w:rsidP="00AB72C8">
            <w:pPr>
              <w:pStyle w:val="011TableHeading8pt"/>
            </w:pPr>
            <w:r>
              <w:t>Search string (EMBASE.com)</w:t>
            </w:r>
          </w:p>
        </w:tc>
      </w:tr>
      <w:tr w:rsidR="00BE7FAF" w14:paraId="6367FAD4" w14:textId="77777777" w:rsidTr="008F7EAE">
        <w:tc>
          <w:tcPr>
            <w:tcW w:w="993" w:type="dxa"/>
          </w:tcPr>
          <w:p w14:paraId="69B6BD05" w14:textId="67118A89" w:rsidR="00BE7FAF" w:rsidRDefault="00BE7FAF" w:rsidP="00AB72C8">
            <w:pPr>
              <w:pStyle w:val="051Tabletext228pt"/>
            </w:pPr>
            <w:r w:rsidRPr="009C01A2">
              <w:t>#1</w:t>
            </w:r>
          </w:p>
        </w:tc>
        <w:tc>
          <w:tcPr>
            <w:tcW w:w="8645" w:type="dxa"/>
          </w:tcPr>
          <w:p w14:paraId="227E53F7" w14:textId="14C63867" w:rsidR="00BE7FAF" w:rsidRDefault="00932957" w:rsidP="00AB72C8">
            <w:pPr>
              <w:pStyle w:val="051Tabletext228pt"/>
            </w:pPr>
            <w:r w:rsidRPr="00932957">
              <w:t>'spinal cord stimulation'/exp</w:t>
            </w:r>
          </w:p>
        </w:tc>
      </w:tr>
      <w:tr w:rsidR="00BE7FAF" w14:paraId="7A5CA817" w14:textId="77777777" w:rsidTr="008F7EAE">
        <w:tc>
          <w:tcPr>
            <w:tcW w:w="993" w:type="dxa"/>
          </w:tcPr>
          <w:p w14:paraId="270E7786" w14:textId="26FCA494" w:rsidR="00BE7FAF" w:rsidRDefault="00BE7FAF" w:rsidP="00AB72C8">
            <w:pPr>
              <w:pStyle w:val="051Tabletext228pt"/>
            </w:pPr>
            <w:r w:rsidRPr="009C01A2">
              <w:t>#2</w:t>
            </w:r>
          </w:p>
        </w:tc>
        <w:tc>
          <w:tcPr>
            <w:tcW w:w="8645" w:type="dxa"/>
          </w:tcPr>
          <w:p w14:paraId="710C27B8" w14:textId="22E1ADDD" w:rsidR="00BE7FAF" w:rsidRDefault="00932957" w:rsidP="00AB72C8">
            <w:pPr>
              <w:pStyle w:val="051Tabletext228pt"/>
            </w:pPr>
            <w:r w:rsidRPr="00932957">
              <w:t>(('spinal cord') NEAR/3 (</w:t>
            </w:r>
            <w:proofErr w:type="spellStart"/>
            <w:r w:rsidRPr="00932957">
              <w:t>stimulat</w:t>
            </w:r>
            <w:proofErr w:type="spellEnd"/>
            <w:r w:rsidRPr="00932957">
              <w:t xml:space="preserve">* OR </w:t>
            </w:r>
            <w:proofErr w:type="spellStart"/>
            <w:r w:rsidRPr="00932957">
              <w:t>electrostimulat</w:t>
            </w:r>
            <w:proofErr w:type="spellEnd"/>
            <w:r w:rsidRPr="00932957">
              <w:t xml:space="preserve">* OR </w:t>
            </w:r>
            <w:proofErr w:type="spellStart"/>
            <w:r w:rsidRPr="00932957">
              <w:t>neurostim</w:t>
            </w:r>
            <w:proofErr w:type="spellEnd"/>
            <w:r w:rsidRPr="00932957">
              <w:t xml:space="preserve">* OR </w:t>
            </w:r>
            <w:proofErr w:type="spellStart"/>
            <w:r w:rsidRPr="00932957">
              <w:t>neuromodulat</w:t>
            </w:r>
            <w:proofErr w:type="spellEnd"/>
            <w:r w:rsidRPr="00932957">
              <w:t>*)):</w:t>
            </w:r>
            <w:proofErr w:type="spellStart"/>
            <w:r w:rsidRPr="00932957">
              <w:t>ti,ab,kw</w:t>
            </w:r>
            <w:proofErr w:type="spellEnd"/>
            <w:r w:rsidRPr="00932957">
              <w:t xml:space="preserve"> OR (('dorsal root' OR 'dorsal root ganglion') NEAR/3 (</w:t>
            </w:r>
            <w:proofErr w:type="spellStart"/>
            <w:r w:rsidRPr="00932957">
              <w:t>stimulat</w:t>
            </w:r>
            <w:proofErr w:type="spellEnd"/>
            <w:r w:rsidRPr="00932957">
              <w:t xml:space="preserve">* OR </w:t>
            </w:r>
            <w:proofErr w:type="spellStart"/>
            <w:r w:rsidRPr="00932957">
              <w:t>electrostimulat</w:t>
            </w:r>
            <w:proofErr w:type="spellEnd"/>
            <w:r w:rsidRPr="00932957">
              <w:t xml:space="preserve">* OR </w:t>
            </w:r>
            <w:proofErr w:type="spellStart"/>
            <w:r w:rsidRPr="00932957">
              <w:t>neurostim</w:t>
            </w:r>
            <w:proofErr w:type="spellEnd"/>
            <w:r w:rsidRPr="00932957">
              <w:t xml:space="preserve">* OR </w:t>
            </w:r>
            <w:proofErr w:type="spellStart"/>
            <w:r w:rsidRPr="00932957">
              <w:t>neuromodulat</w:t>
            </w:r>
            <w:proofErr w:type="spellEnd"/>
            <w:r w:rsidRPr="00932957">
              <w:t>*)):</w:t>
            </w:r>
            <w:proofErr w:type="spellStart"/>
            <w:r w:rsidRPr="00932957">
              <w:t>ti,ab,kw</w:t>
            </w:r>
            <w:proofErr w:type="spellEnd"/>
          </w:p>
        </w:tc>
      </w:tr>
      <w:tr w:rsidR="00BE7FAF" w14:paraId="78923A13" w14:textId="77777777" w:rsidTr="008F7EAE">
        <w:tc>
          <w:tcPr>
            <w:tcW w:w="993" w:type="dxa"/>
          </w:tcPr>
          <w:p w14:paraId="4FA96A13" w14:textId="45429071" w:rsidR="00BE7FAF" w:rsidRDefault="00BE7FAF" w:rsidP="00AB72C8">
            <w:pPr>
              <w:pStyle w:val="051Tabletext228pt"/>
            </w:pPr>
            <w:r w:rsidRPr="009C01A2">
              <w:t>#3</w:t>
            </w:r>
          </w:p>
        </w:tc>
        <w:tc>
          <w:tcPr>
            <w:tcW w:w="8645" w:type="dxa"/>
          </w:tcPr>
          <w:p w14:paraId="31572E26" w14:textId="32E9A2AB" w:rsidR="00BE7FAF" w:rsidRDefault="00315555" w:rsidP="00AB72C8">
            <w:pPr>
              <w:pStyle w:val="051Tabletext228pt"/>
            </w:pPr>
            <w:r>
              <w:t>'</w:t>
            </w:r>
            <w:r w:rsidRPr="00315555">
              <w:t>economic evaluation'/exp OR 'health care cost'/de OR 'economic model'/exp OR 'health utility'/de OR 'economics'/de</w:t>
            </w:r>
          </w:p>
        </w:tc>
      </w:tr>
      <w:tr w:rsidR="00BE7FAF" w14:paraId="7E37A736" w14:textId="77777777" w:rsidTr="008F7EAE">
        <w:tc>
          <w:tcPr>
            <w:tcW w:w="993" w:type="dxa"/>
          </w:tcPr>
          <w:p w14:paraId="1CCAD5AD" w14:textId="25AC0E40" w:rsidR="00BE7FAF" w:rsidRDefault="00BE7FAF" w:rsidP="00AB72C8">
            <w:pPr>
              <w:pStyle w:val="051Tabletext228pt"/>
            </w:pPr>
            <w:r w:rsidRPr="009C01A2">
              <w:t>#4</w:t>
            </w:r>
          </w:p>
        </w:tc>
        <w:tc>
          <w:tcPr>
            <w:tcW w:w="8645" w:type="dxa"/>
          </w:tcPr>
          <w:p w14:paraId="2C74218B" w14:textId="076C4D49" w:rsidR="00BE7FAF" w:rsidRDefault="00A52B5F" w:rsidP="00AB72C8">
            <w:pPr>
              <w:pStyle w:val="051Tabletext228pt"/>
            </w:pPr>
            <w:r w:rsidRPr="00A52B5F">
              <w:t xml:space="preserve">(((cost* OR economic OR </w:t>
            </w:r>
            <w:proofErr w:type="spellStart"/>
            <w:r w:rsidRPr="00A52B5F">
              <w:t>markov</w:t>
            </w:r>
            <w:proofErr w:type="spellEnd"/>
            <w:r w:rsidRPr="00A52B5F">
              <w:t>) NEAR/3 (model OR analysis OR analyses)):</w:t>
            </w:r>
            <w:proofErr w:type="spellStart"/>
            <w:r w:rsidRPr="00A52B5F">
              <w:t>ti,ab,kw</w:t>
            </w:r>
            <w:proofErr w:type="spellEnd"/>
            <w:r w:rsidRPr="00A52B5F">
              <w:t>) OR 'cost impact$':</w:t>
            </w:r>
            <w:proofErr w:type="spellStart"/>
            <w:r w:rsidRPr="00A52B5F">
              <w:t>ti,ab,kw</w:t>
            </w:r>
            <w:proofErr w:type="spellEnd"/>
            <w:r w:rsidRPr="00A52B5F">
              <w:t xml:space="preserve"> OR 'economic impact$':</w:t>
            </w:r>
            <w:proofErr w:type="spellStart"/>
            <w:r w:rsidRPr="00A52B5F">
              <w:t>ti,ab,kw</w:t>
            </w:r>
            <w:proofErr w:type="spellEnd"/>
            <w:r w:rsidRPr="00A52B5F">
              <w:t xml:space="preserve"> OR 'cost outcome$':</w:t>
            </w:r>
            <w:proofErr w:type="spellStart"/>
            <w:r w:rsidRPr="00A52B5F">
              <w:t>ti,ab,kw</w:t>
            </w:r>
            <w:proofErr w:type="spellEnd"/>
            <w:r w:rsidRPr="00A52B5F">
              <w:t xml:space="preserve"> OR 'budget impact$':</w:t>
            </w:r>
            <w:proofErr w:type="spellStart"/>
            <w:r w:rsidRPr="00A52B5F">
              <w:t>ti,ab,kw</w:t>
            </w:r>
            <w:proofErr w:type="spellEnd"/>
          </w:p>
        </w:tc>
      </w:tr>
      <w:tr w:rsidR="00BE7FAF" w14:paraId="559E68FF" w14:textId="77777777" w:rsidTr="008F7EAE">
        <w:tc>
          <w:tcPr>
            <w:tcW w:w="993" w:type="dxa"/>
          </w:tcPr>
          <w:p w14:paraId="3816BB07" w14:textId="54AB86DD" w:rsidR="00BE7FAF" w:rsidRDefault="00BE7FAF" w:rsidP="00AB72C8">
            <w:pPr>
              <w:pStyle w:val="051Tabletext228pt"/>
            </w:pPr>
            <w:r w:rsidRPr="009C01A2">
              <w:t>#5</w:t>
            </w:r>
          </w:p>
        </w:tc>
        <w:tc>
          <w:tcPr>
            <w:tcW w:w="8645" w:type="dxa"/>
          </w:tcPr>
          <w:p w14:paraId="5B11D17C" w14:textId="48F0B2F3" w:rsidR="00BE7FAF" w:rsidRDefault="00031F70" w:rsidP="00AB72C8">
            <w:pPr>
              <w:pStyle w:val="051Tabletext228pt"/>
            </w:pPr>
            <w:r w:rsidRPr="00031F70">
              <w:t>'life year$':</w:t>
            </w:r>
            <w:proofErr w:type="spellStart"/>
            <w:r w:rsidRPr="00031F70">
              <w:t>ti,ab,kw</w:t>
            </w:r>
            <w:proofErr w:type="spellEnd"/>
            <w:r w:rsidRPr="00031F70">
              <w:t xml:space="preserve"> OR </w:t>
            </w:r>
            <w:proofErr w:type="spellStart"/>
            <w:r w:rsidRPr="00031F70">
              <w:t>qaly</w:t>
            </w:r>
            <w:proofErr w:type="spellEnd"/>
            <w:r w:rsidRPr="00031F70">
              <w:t>$:</w:t>
            </w:r>
            <w:proofErr w:type="spellStart"/>
            <w:r w:rsidRPr="00031F70">
              <w:t>ti,ab,kw</w:t>
            </w:r>
            <w:proofErr w:type="spellEnd"/>
          </w:p>
        </w:tc>
      </w:tr>
      <w:tr w:rsidR="00BE7FAF" w14:paraId="5B523284" w14:textId="77777777" w:rsidTr="008F7EAE">
        <w:tc>
          <w:tcPr>
            <w:tcW w:w="993" w:type="dxa"/>
          </w:tcPr>
          <w:p w14:paraId="392EEE81" w14:textId="5361AF6A" w:rsidR="00BE7FAF" w:rsidRDefault="00BE7FAF" w:rsidP="00AB72C8">
            <w:pPr>
              <w:pStyle w:val="051Tabletext228pt"/>
            </w:pPr>
            <w:r w:rsidRPr="009C01A2">
              <w:t>#6</w:t>
            </w:r>
          </w:p>
        </w:tc>
        <w:tc>
          <w:tcPr>
            <w:tcW w:w="8645" w:type="dxa"/>
          </w:tcPr>
          <w:p w14:paraId="5880ABF8" w14:textId="1F72CBF8" w:rsidR="00BE7FAF" w:rsidRDefault="00BF2223" w:rsidP="00AB72C8">
            <w:pPr>
              <w:pStyle w:val="051Tabletext228pt"/>
            </w:pPr>
            <w:r w:rsidRPr="00BF2223">
              <w:t>#1 OR #2</w:t>
            </w:r>
          </w:p>
        </w:tc>
      </w:tr>
      <w:tr w:rsidR="00BE7FAF" w14:paraId="7710CC84" w14:textId="77777777" w:rsidTr="008F7EAE">
        <w:tc>
          <w:tcPr>
            <w:tcW w:w="993" w:type="dxa"/>
          </w:tcPr>
          <w:p w14:paraId="7B68E198" w14:textId="65935B42" w:rsidR="00BE7FAF" w:rsidRDefault="00BE7FAF" w:rsidP="00AB72C8">
            <w:pPr>
              <w:pStyle w:val="051Tabletext228pt"/>
            </w:pPr>
            <w:r w:rsidRPr="009C01A2">
              <w:t>#7</w:t>
            </w:r>
          </w:p>
        </w:tc>
        <w:tc>
          <w:tcPr>
            <w:tcW w:w="8645" w:type="dxa"/>
          </w:tcPr>
          <w:p w14:paraId="01A376CA" w14:textId="56B07EF2" w:rsidR="00BE7FAF" w:rsidRDefault="007006B1" w:rsidP="00AB72C8">
            <w:pPr>
              <w:pStyle w:val="051Tabletext228pt"/>
            </w:pPr>
            <w:r w:rsidRPr="007006B1">
              <w:t>#3 OR #4 OR #5</w:t>
            </w:r>
          </w:p>
        </w:tc>
      </w:tr>
      <w:tr w:rsidR="00BE7FAF" w14:paraId="6FB4A325" w14:textId="77777777" w:rsidTr="008F7EAE">
        <w:tc>
          <w:tcPr>
            <w:tcW w:w="993" w:type="dxa"/>
          </w:tcPr>
          <w:p w14:paraId="638116D3" w14:textId="1B0FE359" w:rsidR="00BE7FAF" w:rsidRPr="009C01A2" w:rsidRDefault="00BE7FAF" w:rsidP="00AB72C8">
            <w:pPr>
              <w:pStyle w:val="051Tabletext228pt"/>
            </w:pPr>
            <w:r>
              <w:t>#8</w:t>
            </w:r>
          </w:p>
        </w:tc>
        <w:tc>
          <w:tcPr>
            <w:tcW w:w="8645" w:type="dxa"/>
          </w:tcPr>
          <w:p w14:paraId="6A559150" w14:textId="61CB0213" w:rsidR="00BE7FAF" w:rsidRDefault="005058AC" w:rsidP="00AB72C8">
            <w:pPr>
              <w:pStyle w:val="051Tabletext228pt"/>
            </w:pPr>
            <w:r w:rsidRPr="005058AC">
              <w:t>#6 AND #7</w:t>
            </w:r>
          </w:p>
        </w:tc>
      </w:tr>
      <w:tr w:rsidR="00BE7FAF" w14:paraId="067F6C18" w14:textId="77777777" w:rsidTr="008F7EAE">
        <w:tc>
          <w:tcPr>
            <w:tcW w:w="993" w:type="dxa"/>
          </w:tcPr>
          <w:p w14:paraId="7676CB9C" w14:textId="2B2F1288" w:rsidR="00BE7FAF" w:rsidRPr="009C01A2" w:rsidRDefault="00BE7FAF" w:rsidP="00AB72C8">
            <w:pPr>
              <w:pStyle w:val="051Tabletext228pt"/>
            </w:pPr>
            <w:r>
              <w:t>#9</w:t>
            </w:r>
          </w:p>
        </w:tc>
        <w:tc>
          <w:tcPr>
            <w:tcW w:w="8645" w:type="dxa"/>
          </w:tcPr>
          <w:p w14:paraId="466E09EC" w14:textId="51395C8A" w:rsidR="00BE7FAF" w:rsidRDefault="00270820" w:rsidP="00AB72C8">
            <w:pPr>
              <w:pStyle w:val="051Tabletext228pt"/>
            </w:pPr>
            <w:r w:rsidRPr="00270820">
              <w:t>#</w:t>
            </w:r>
            <w:r>
              <w:t>8</w:t>
            </w:r>
            <w:r w:rsidRPr="00270820">
              <w:t xml:space="preserve"> NOT ([conference abstract]/</w:t>
            </w:r>
            <w:proofErr w:type="spellStart"/>
            <w:r w:rsidRPr="00270820">
              <w:t>lim</w:t>
            </w:r>
            <w:proofErr w:type="spellEnd"/>
            <w:r w:rsidRPr="00270820">
              <w:t xml:space="preserve"> OR [conference review]/</w:t>
            </w:r>
            <w:proofErr w:type="spellStart"/>
            <w:r w:rsidRPr="00270820">
              <w:t>lim</w:t>
            </w:r>
            <w:proofErr w:type="spellEnd"/>
            <w:r w:rsidRPr="00270820">
              <w:t xml:space="preserve"> OR [letter]/</w:t>
            </w:r>
            <w:proofErr w:type="spellStart"/>
            <w:r w:rsidRPr="00270820">
              <w:t>lim</w:t>
            </w:r>
            <w:proofErr w:type="spellEnd"/>
            <w:r w:rsidRPr="00270820">
              <w:t xml:space="preserve"> OR [editorial]/</w:t>
            </w:r>
            <w:proofErr w:type="spellStart"/>
            <w:r w:rsidRPr="00270820">
              <w:t>lim</w:t>
            </w:r>
            <w:proofErr w:type="spellEnd"/>
            <w:r w:rsidRPr="00270820">
              <w:t>)</w:t>
            </w:r>
          </w:p>
        </w:tc>
      </w:tr>
    </w:tbl>
    <w:p w14:paraId="6E0BC6A9" w14:textId="77777777" w:rsidR="00D75FAF" w:rsidRDefault="00D75FAF" w:rsidP="00AB72C8">
      <w:pPr>
        <w:pStyle w:val="BodyText"/>
        <w:rPr>
          <w:highlight w:val="yellow"/>
        </w:rPr>
      </w:pPr>
    </w:p>
    <w:p w14:paraId="52FA9A00" w14:textId="2D5A3E9B" w:rsidR="0030550C" w:rsidRPr="00D45F3F" w:rsidRDefault="00D45F3F" w:rsidP="00AB72C8">
      <w:pPr>
        <w:pStyle w:val="BodyText"/>
      </w:pPr>
      <w:r>
        <w:t xml:space="preserve">A total of 620 results identified in the literature search were downloaded into an Endnote database for de-duplication. Unique records were then screened for inclusion and underwent informal critical appraisal. The reference lists of included studies were also scanned for any additional relevant studies that might not have been identified in the formal literature search. </w:t>
      </w:r>
    </w:p>
    <w:p w14:paraId="716E1827" w14:textId="5FFB5B4E" w:rsidR="00F04928" w:rsidRPr="00797B2B" w:rsidRDefault="00F04928" w:rsidP="00AB72C8">
      <w:pPr>
        <w:pStyle w:val="Heading9"/>
      </w:pPr>
      <w:bookmarkStart w:id="199" w:name="_Ref134532421"/>
      <w:r>
        <w:t>Included studies</w:t>
      </w:r>
      <w:bookmarkEnd w:id="199"/>
    </w:p>
    <w:p w14:paraId="3AB89944" w14:textId="02DF4F30" w:rsidR="00BA38D5" w:rsidRPr="009C37F4" w:rsidRDefault="003726B9" w:rsidP="00BA38D5">
      <w:pPr>
        <w:pStyle w:val="BodyText"/>
      </w:pPr>
      <w:r>
        <w:t>A tot</w:t>
      </w:r>
      <w:r w:rsidRPr="009C37F4">
        <w:t xml:space="preserve">al of </w:t>
      </w:r>
      <w:r w:rsidR="006364D4" w:rsidRPr="009C37F4">
        <w:t>1</w:t>
      </w:r>
      <w:r w:rsidR="00D75FAF">
        <w:t>1</w:t>
      </w:r>
      <w:r w:rsidR="006364D4" w:rsidRPr="009C37F4">
        <w:t xml:space="preserve">8 </w:t>
      </w:r>
      <w:r w:rsidRPr="009C37F4">
        <w:t xml:space="preserve">studies were </w:t>
      </w:r>
      <w:r w:rsidR="006364D4" w:rsidRPr="009C37F4">
        <w:t xml:space="preserve">identified </w:t>
      </w:r>
      <w:r w:rsidR="00935BA3" w:rsidRPr="009C37F4">
        <w:t>in the literature search</w:t>
      </w:r>
      <w:r w:rsidR="00EC5771" w:rsidRPr="009C37F4">
        <w:t>es</w:t>
      </w:r>
      <w:r w:rsidR="00935BA3" w:rsidRPr="009C37F4">
        <w:t xml:space="preserve"> </w:t>
      </w:r>
      <w:r w:rsidR="006364D4" w:rsidRPr="009C37F4">
        <w:t>for screening</w:t>
      </w:r>
      <w:r w:rsidRPr="009C37F4">
        <w:t xml:space="preserve">. </w:t>
      </w:r>
      <w:r w:rsidR="00935BA3" w:rsidRPr="009C37F4">
        <w:t>Studies provided in stakeholder submissions (</w:t>
      </w:r>
      <w:r w:rsidR="0094245D" w:rsidRPr="009C37F4">
        <w:fldChar w:fldCharType="begin"/>
      </w:r>
      <w:r w:rsidR="0094245D" w:rsidRPr="009C37F4">
        <w:instrText xml:space="preserve"> REF _Ref134458896 \h </w:instrText>
      </w:r>
      <w:r w:rsidR="00C35ABC" w:rsidRPr="009C37F4">
        <w:instrText xml:space="preserve"> \* MERGEFORMAT </w:instrText>
      </w:r>
      <w:r w:rsidR="0094245D" w:rsidRPr="009C37F4">
        <w:fldChar w:fldCharType="separate"/>
      </w:r>
      <w:r w:rsidR="00CE6ACA">
        <w:t xml:space="preserve">Table App </w:t>
      </w:r>
      <w:r w:rsidR="00CE6ACA">
        <w:rPr>
          <w:noProof/>
        </w:rPr>
        <w:t>16</w:t>
      </w:r>
      <w:r w:rsidR="0094245D" w:rsidRPr="009C37F4">
        <w:fldChar w:fldCharType="end"/>
      </w:r>
      <w:r w:rsidR="00935BA3" w:rsidRPr="009C37F4">
        <w:t xml:space="preserve">) were also screened using the same criteria. </w:t>
      </w:r>
      <w:r w:rsidRPr="009C37F4">
        <w:t xml:space="preserve">One </w:t>
      </w:r>
      <w:r w:rsidR="00721DC1">
        <w:t>SR</w:t>
      </w:r>
      <w:r w:rsidRPr="009C37F4">
        <w:t xml:space="preserve"> </w:t>
      </w:r>
      <w:r w:rsidR="00633066">
        <w:t>that assesse</w:t>
      </w:r>
      <w:r w:rsidR="006F5C1B">
        <w:t>d</w:t>
      </w:r>
      <w:r w:rsidR="00633066">
        <w:t xml:space="preserve"> economic evaluations of SCS and DRGS for </w:t>
      </w:r>
      <w:r w:rsidR="005F0FF2">
        <w:t xml:space="preserve">the management a number of chronic pain conditions was </w:t>
      </w:r>
      <w:r w:rsidR="005F0FF2">
        <w:lastRenderedPageBreak/>
        <w:t>retrieved</w:t>
      </w:r>
      <w:r w:rsidR="00E36F7E">
        <w:t xml:space="preserve"> </w:t>
      </w:r>
      <w:r w:rsidR="00E36F7E" w:rsidRPr="009C37F4">
        <w:t>(</w:t>
      </w:r>
      <w:proofErr w:type="spellStart"/>
      <w:r w:rsidR="00E36F7E" w:rsidRPr="009C37F4">
        <w:t>Niyomsri</w:t>
      </w:r>
      <w:proofErr w:type="spellEnd"/>
      <w:r w:rsidR="00E36F7E" w:rsidRPr="009C37F4">
        <w:t xml:space="preserve"> 2020)</w:t>
      </w:r>
      <w:r w:rsidRPr="009C37F4">
        <w:t xml:space="preserve">. A more recent </w:t>
      </w:r>
      <w:r w:rsidR="00721DC1">
        <w:t>SR</w:t>
      </w:r>
      <w:r w:rsidRPr="009C37F4">
        <w:t xml:space="preserve"> was identified (McClure 2021); however, this was excluded because it only reported on patients with FBSS.</w:t>
      </w:r>
      <w:r w:rsidR="008B578E" w:rsidRPr="009C37F4">
        <w:t xml:space="preserve"> A further </w:t>
      </w:r>
      <w:r w:rsidR="00721DC1">
        <w:t>SR</w:t>
      </w:r>
      <w:r w:rsidR="008B578E" w:rsidRPr="009C37F4">
        <w:t xml:space="preserve"> (Bala 2008) was identified but excluded as the </w:t>
      </w:r>
      <w:proofErr w:type="spellStart"/>
      <w:r w:rsidR="005B4EEC" w:rsidRPr="009C37F4">
        <w:t>Niyomsri</w:t>
      </w:r>
      <w:proofErr w:type="spellEnd"/>
      <w:r w:rsidR="005B4EEC" w:rsidRPr="009C37F4">
        <w:t xml:space="preserve"> </w:t>
      </w:r>
      <w:r w:rsidR="00721DC1">
        <w:t>(2020) SR</w:t>
      </w:r>
      <w:r w:rsidR="005B4EEC" w:rsidRPr="009C37F4">
        <w:t xml:space="preserve"> was more recent. </w:t>
      </w:r>
    </w:p>
    <w:p w14:paraId="1358AFB2" w14:textId="44095054" w:rsidR="00580BBA" w:rsidRDefault="003726B9" w:rsidP="00BA38D5">
      <w:pPr>
        <w:pStyle w:val="BodyText"/>
      </w:pPr>
      <w:r w:rsidRPr="009C37F4">
        <w:t xml:space="preserve">All included studies from the search were checked for inclusion in </w:t>
      </w:r>
      <w:proofErr w:type="spellStart"/>
      <w:r w:rsidRPr="009C37F4">
        <w:t>N</w:t>
      </w:r>
      <w:r w:rsidR="009D0528" w:rsidRPr="009C37F4">
        <w:t>i</w:t>
      </w:r>
      <w:r w:rsidRPr="009C37F4">
        <w:t>yomsri</w:t>
      </w:r>
      <w:proofErr w:type="spellEnd"/>
      <w:r w:rsidRPr="009C37F4">
        <w:t xml:space="preserve"> (2020). </w:t>
      </w:r>
      <w:r w:rsidR="0097522A">
        <w:t>One</w:t>
      </w:r>
      <w:r w:rsidRPr="009C37F4">
        <w:t xml:space="preserve"> stud</w:t>
      </w:r>
      <w:r w:rsidR="0097522A">
        <w:t>y</w:t>
      </w:r>
      <w:r w:rsidRPr="009C37F4">
        <w:t xml:space="preserve"> (Rojo 2021) that </w:t>
      </w:r>
      <w:r w:rsidR="0097522A">
        <w:t>was</w:t>
      </w:r>
      <w:r w:rsidRPr="009C37F4">
        <w:t xml:space="preserve"> beyond the search date range of the </w:t>
      </w:r>
      <w:proofErr w:type="spellStart"/>
      <w:r w:rsidR="000C25E3">
        <w:t>Niyomsri</w:t>
      </w:r>
      <w:proofErr w:type="spellEnd"/>
      <w:r w:rsidR="000C25E3" w:rsidRPr="009C37F4">
        <w:t xml:space="preserve"> </w:t>
      </w:r>
      <w:r w:rsidR="000C25E3">
        <w:t>SR</w:t>
      </w:r>
      <w:r w:rsidRPr="009C37F4">
        <w:t xml:space="preserve"> </w:t>
      </w:r>
      <w:r w:rsidR="0097522A">
        <w:t>was</w:t>
      </w:r>
      <w:r w:rsidRPr="009C37F4">
        <w:t xml:space="preserve"> added to supplement the findings of the </w:t>
      </w:r>
      <w:r w:rsidR="000C25E3">
        <w:t>SR</w:t>
      </w:r>
      <w:r w:rsidRPr="009C37F4">
        <w:t xml:space="preserve">. </w:t>
      </w:r>
      <w:r w:rsidR="00580BBA" w:rsidRPr="009C37F4">
        <w:t>The report authored by Deloitte (for the NSANZ, dated March 2019) was also used to supplement data from the included studies.</w:t>
      </w:r>
      <w:r w:rsidR="00580BBA">
        <w:t xml:space="preserve"> </w:t>
      </w:r>
    </w:p>
    <w:p w14:paraId="702EC282" w14:textId="3A899C3C" w:rsidR="00B4025E" w:rsidRPr="009C37F4" w:rsidRDefault="00B4025E" w:rsidP="00B4025E">
      <w:pPr>
        <w:pStyle w:val="BodyText"/>
      </w:pPr>
      <w:r w:rsidRPr="00804543">
        <w:t>The</w:t>
      </w:r>
      <w:r w:rsidR="00671428" w:rsidRPr="00804543">
        <w:t xml:space="preserve"> report authored by</w:t>
      </w:r>
      <w:r w:rsidRPr="00804543">
        <w:t xml:space="preserve"> KPMG</w:t>
      </w:r>
      <w:r w:rsidR="00671428" w:rsidRPr="00804543">
        <w:t xml:space="preserve"> (for the MTAA, dated March 202</w:t>
      </w:r>
      <w:r w:rsidR="00CC6DBD" w:rsidRPr="00804543">
        <w:t>2</w:t>
      </w:r>
      <w:r w:rsidR="00671428" w:rsidRPr="00804543">
        <w:t>)</w:t>
      </w:r>
      <w:r w:rsidRPr="00804543">
        <w:t xml:space="preserve"> was excluded as it </w:t>
      </w:r>
      <w:r w:rsidR="00CC6DBD" w:rsidRPr="00804543">
        <w:t>presented</w:t>
      </w:r>
      <w:r w:rsidRPr="00804543">
        <w:t xml:space="preserve"> a cost analysis only.</w:t>
      </w:r>
    </w:p>
    <w:p w14:paraId="69D23F00" w14:textId="77777777" w:rsidR="008910FA" w:rsidRPr="009C37F4" w:rsidRDefault="008910FA" w:rsidP="008910FA">
      <w:pPr>
        <w:pStyle w:val="BodyText"/>
      </w:pPr>
      <w:r w:rsidRPr="009C37F4">
        <w:t>Other publications were excluded due to:</w:t>
      </w:r>
    </w:p>
    <w:p w14:paraId="41C7CFB9" w14:textId="77777777" w:rsidR="008910FA" w:rsidRPr="009C37F4" w:rsidRDefault="008910FA" w:rsidP="00A26096">
      <w:pPr>
        <w:pStyle w:val="BodyText"/>
        <w:numPr>
          <w:ilvl w:val="0"/>
          <w:numId w:val="8"/>
        </w:numPr>
      </w:pPr>
      <w:r w:rsidRPr="009C37F4">
        <w:t>incorrect comparison (for example, rechargeable v non-rechargeable devices, or comparison of pre- and post-treatment values in a single arm)</w:t>
      </w:r>
    </w:p>
    <w:p w14:paraId="2978B530" w14:textId="77777777" w:rsidR="008910FA" w:rsidRPr="009C37F4" w:rsidRDefault="008910FA" w:rsidP="00A26096">
      <w:pPr>
        <w:pStyle w:val="BodyText"/>
        <w:numPr>
          <w:ilvl w:val="0"/>
          <w:numId w:val="8"/>
        </w:numPr>
      </w:pPr>
      <w:r w:rsidRPr="009C37F4">
        <w:t>non-comparative study (SCS only)</w:t>
      </w:r>
    </w:p>
    <w:p w14:paraId="16CBC922" w14:textId="7619A010" w:rsidR="008910FA" w:rsidRPr="009C37F4" w:rsidRDefault="008910FA" w:rsidP="00A26096">
      <w:pPr>
        <w:pStyle w:val="BodyText"/>
        <w:numPr>
          <w:ilvl w:val="0"/>
          <w:numId w:val="8"/>
        </w:numPr>
      </w:pPr>
      <w:r w:rsidRPr="009C37F4">
        <w:t>cost analysis without cost-effectiveness outcomes</w:t>
      </w:r>
      <w:r w:rsidR="00ED2779">
        <w:t>.</w:t>
      </w:r>
    </w:p>
    <w:p w14:paraId="4EF8ED38" w14:textId="2A64D093" w:rsidR="0097522A" w:rsidRDefault="0097522A" w:rsidP="008910FA">
      <w:pPr>
        <w:pStyle w:val="BodyText"/>
      </w:pPr>
      <w:r>
        <w:t>Two</w:t>
      </w:r>
      <w:r w:rsidR="008910FA" w:rsidRPr="00BA2E9E">
        <w:t xml:space="preserve"> </w:t>
      </w:r>
      <w:r w:rsidR="000638A5" w:rsidRPr="00BA2E9E">
        <w:t>art</w:t>
      </w:r>
      <w:r w:rsidR="000638A5">
        <w:t>i</w:t>
      </w:r>
      <w:r w:rsidR="000638A5" w:rsidRPr="00BA2E9E">
        <w:t>cles</w:t>
      </w:r>
      <w:r w:rsidR="008910FA" w:rsidRPr="00BA2E9E">
        <w:t xml:space="preserve"> appeared to be eligible for inclusion (</w:t>
      </w:r>
      <w:proofErr w:type="spellStart"/>
      <w:r>
        <w:t>Mekhail</w:t>
      </w:r>
      <w:proofErr w:type="spellEnd"/>
      <w:r>
        <w:t xml:space="preserve"> 202</w:t>
      </w:r>
      <w:r w:rsidR="0047253C">
        <w:t>1</w:t>
      </w:r>
      <w:r>
        <w:t xml:space="preserve">; </w:t>
      </w:r>
      <w:r w:rsidR="008910FA" w:rsidRPr="00BA2E9E">
        <w:t xml:space="preserve">Patel 2022) but </w:t>
      </w:r>
      <w:r>
        <w:t xml:space="preserve">were excluded </w:t>
      </w:r>
      <w:r w:rsidR="008910FA" w:rsidRPr="00BA2E9E">
        <w:t>on full text review</w:t>
      </w:r>
      <w:r>
        <w:t>:</w:t>
      </w:r>
    </w:p>
    <w:p w14:paraId="22EFD6E6" w14:textId="74EA2A38" w:rsidR="008910FA" w:rsidRDefault="008D12B0" w:rsidP="00A26096">
      <w:pPr>
        <w:pStyle w:val="BodyText"/>
        <w:numPr>
          <w:ilvl w:val="0"/>
          <w:numId w:val="10"/>
        </w:numPr>
      </w:pPr>
      <w:r>
        <w:t>Patel (2022</w:t>
      </w:r>
      <w:r w:rsidR="004343CF">
        <w:t>)</w:t>
      </w:r>
      <w:r w:rsidR="008910FA" w:rsidRPr="00BA2E9E">
        <w:t xml:space="preserve"> was found to have employed a cross-over design </w:t>
      </w:r>
      <w:r w:rsidR="00594D7B">
        <w:t>that</w:t>
      </w:r>
      <w:r w:rsidR="008910FA" w:rsidRPr="00BA2E9E">
        <w:t xml:space="preserve"> resulted in almost all comparator patients being switched to SCS at 6 months. The cross-over occurred 18 months prior to the collection of data for the primary endpoint</w:t>
      </w:r>
      <w:r w:rsidR="00276770">
        <w:t>,</w:t>
      </w:r>
      <w:r w:rsidR="008910FA" w:rsidRPr="00BA2E9E">
        <w:t xml:space="preserve"> thus rendering the outcome unusable and the article was excluded.</w:t>
      </w:r>
      <w:r w:rsidR="008910FA">
        <w:t xml:space="preserve"> </w:t>
      </w:r>
    </w:p>
    <w:p w14:paraId="2E650D5D" w14:textId="08455991" w:rsidR="008D12B0" w:rsidRDefault="008D12B0" w:rsidP="00A26096">
      <w:pPr>
        <w:pStyle w:val="BodyText"/>
        <w:numPr>
          <w:ilvl w:val="0"/>
          <w:numId w:val="10"/>
        </w:numPr>
      </w:pPr>
      <w:proofErr w:type="spellStart"/>
      <w:r>
        <w:t>Mekhail</w:t>
      </w:r>
      <w:proofErr w:type="spellEnd"/>
      <w:r>
        <w:t xml:space="preserve"> (202</w:t>
      </w:r>
      <w:r w:rsidR="0047253C">
        <w:t>1</w:t>
      </w:r>
      <w:r>
        <w:t xml:space="preserve">) ostensibly presented a three-way comparison of DRGS, SCS and CMM but the values for the CMM ‘arm’ were derived from pre-treatment values </w:t>
      </w:r>
      <w:r w:rsidR="00866F48">
        <w:t xml:space="preserve">for the </w:t>
      </w:r>
      <w:r w:rsidR="002C6E20">
        <w:t xml:space="preserve">treated patients and did not represent a legitimate comparison. </w:t>
      </w:r>
      <w:r w:rsidR="0079021D">
        <w:t xml:space="preserve">This was treated as a longitudinal study and excluded. </w:t>
      </w:r>
    </w:p>
    <w:p w14:paraId="75884319" w14:textId="77777777" w:rsidR="00930965" w:rsidRDefault="00930965" w:rsidP="00930965">
      <w:pPr>
        <w:pStyle w:val="BodyText"/>
      </w:pPr>
    </w:p>
    <w:p w14:paraId="1421D5F6" w14:textId="77777777" w:rsidR="00930965" w:rsidRDefault="00930965" w:rsidP="00930965">
      <w:pPr>
        <w:pStyle w:val="BodyText"/>
        <w:sectPr w:rsidR="00930965" w:rsidSect="000E0564">
          <w:pgSz w:w="11906" w:h="16838"/>
          <w:pgMar w:top="1134" w:right="1134" w:bottom="1134" w:left="1134" w:header="850" w:footer="709" w:gutter="0"/>
          <w:cols w:space="708"/>
          <w:docGrid w:linePitch="360"/>
        </w:sectPr>
      </w:pPr>
    </w:p>
    <w:p w14:paraId="10C61D1C" w14:textId="0FA53CB0" w:rsidR="006E64D2" w:rsidRDefault="00831757" w:rsidP="006E64D2">
      <w:pPr>
        <w:pStyle w:val="Heading7"/>
      </w:pPr>
      <w:bookmarkStart w:id="200" w:name="_Ref134711329"/>
      <w:bookmarkStart w:id="201" w:name="_Toc165634702"/>
      <w:r>
        <w:lastRenderedPageBreak/>
        <w:t>Data</w:t>
      </w:r>
      <w:r w:rsidR="009262F6">
        <w:t xml:space="preserve"> extraction</w:t>
      </w:r>
      <w:bookmarkEnd w:id="200"/>
      <w:bookmarkEnd w:id="201"/>
    </w:p>
    <w:p w14:paraId="2F3811BD" w14:textId="54A07F50" w:rsidR="006E64D2" w:rsidRDefault="006E2224" w:rsidP="00A26096">
      <w:pPr>
        <w:pStyle w:val="Heading8"/>
        <w:keepNext/>
        <w:numPr>
          <w:ilvl w:val="7"/>
          <w:numId w:val="11"/>
        </w:numPr>
      </w:pPr>
      <w:bookmarkStart w:id="202" w:name="_Toc165634703"/>
      <w:r>
        <w:t xml:space="preserve">Included </w:t>
      </w:r>
      <w:r w:rsidR="009417E0">
        <w:t>systematic reviews</w:t>
      </w:r>
      <w:r w:rsidR="00B07323">
        <w:t xml:space="preserve"> </w:t>
      </w:r>
      <w:r w:rsidR="00396227">
        <w:t>on</w:t>
      </w:r>
      <w:r w:rsidR="00B07323">
        <w:t xml:space="preserve"> comparative effectiveness</w:t>
      </w:r>
      <w:bookmarkEnd w:id="202"/>
    </w:p>
    <w:p w14:paraId="26AC9DD9" w14:textId="283DE336" w:rsidR="00831757" w:rsidRDefault="00524807" w:rsidP="00524807">
      <w:pPr>
        <w:pStyle w:val="Caption"/>
      </w:pPr>
      <w:r>
        <w:t xml:space="preserve">Table App </w:t>
      </w:r>
      <w:fldSimple w:instr=" SEQ Table_App \* ARABIC ">
        <w:r w:rsidR="00CE6ACA">
          <w:rPr>
            <w:noProof/>
          </w:rPr>
          <w:t>23</w:t>
        </w:r>
      </w:fldSimple>
      <w:r w:rsidR="00831757">
        <w:tab/>
        <w:t xml:space="preserve">Summary of </w:t>
      </w:r>
      <w:r w:rsidR="00D560C8">
        <w:t>k</w:t>
      </w:r>
      <w:r w:rsidR="00831757">
        <w:t xml:space="preserve">ey </w:t>
      </w:r>
      <w:r w:rsidR="00D560C8">
        <w:t>s</w:t>
      </w:r>
      <w:r w:rsidR="00831757">
        <w:t>ystematic reviews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Caption w:val="Summary of key systematic reviews"/>
        <w:tblDescription w:val="Table showing the research questions, search dates, inclusion/exclusion criteria, results, and authors' conclusions of the included systematic reviews on comparative effectiveness."/>
      </w:tblPr>
      <w:tblGrid>
        <w:gridCol w:w="897"/>
        <w:gridCol w:w="2080"/>
        <w:gridCol w:w="2977"/>
        <w:gridCol w:w="5953"/>
        <w:gridCol w:w="2663"/>
      </w:tblGrid>
      <w:tr w:rsidR="005C21D7" w14:paraId="4B1EBE98" w14:textId="77777777" w:rsidTr="004E3A12">
        <w:trPr>
          <w:tblHeader/>
        </w:trPr>
        <w:tc>
          <w:tcPr>
            <w:tcW w:w="0" w:type="auto"/>
            <w:shd w:val="clear" w:color="auto" w:fill="BFBFBF"/>
          </w:tcPr>
          <w:p w14:paraId="46BF05C9" w14:textId="54E7EC39" w:rsidR="001809F4" w:rsidRDefault="001809F4" w:rsidP="00142361">
            <w:pPr>
              <w:pStyle w:val="011TableHeading8pt"/>
            </w:pPr>
            <w:r>
              <w:t>Study ID</w:t>
            </w:r>
          </w:p>
        </w:tc>
        <w:tc>
          <w:tcPr>
            <w:tcW w:w="2080" w:type="dxa"/>
            <w:shd w:val="clear" w:color="auto" w:fill="BFBFBF"/>
          </w:tcPr>
          <w:p w14:paraId="16362663" w14:textId="77777777" w:rsidR="001809F4" w:rsidRDefault="001809F4" w:rsidP="00930965">
            <w:pPr>
              <w:pStyle w:val="011TableHeading8pt"/>
            </w:pPr>
            <w:r>
              <w:t>Research questions</w:t>
            </w:r>
          </w:p>
        </w:tc>
        <w:tc>
          <w:tcPr>
            <w:tcW w:w="2977" w:type="dxa"/>
            <w:shd w:val="clear" w:color="auto" w:fill="BFBFBF"/>
          </w:tcPr>
          <w:p w14:paraId="7E40F190" w14:textId="691E13A8" w:rsidR="001809F4" w:rsidRDefault="001809F4" w:rsidP="00142361">
            <w:pPr>
              <w:pStyle w:val="011TableHeading8pt"/>
            </w:pPr>
            <w:r>
              <w:t xml:space="preserve">Search </w:t>
            </w:r>
            <w:r w:rsidR="00FE24F9">
              <w:t>d</w:t>
            </w:r>
            <w:r>
              <w:t>ates and inclusion/exclusion criteria</w:t>
            </w:r>
          </w:p>
        </w:tc>
        <w:tc>
          <w:tcPr>
            <w:tcW w:w="5953" w:type="dxa"/>
            <w:shd w:val="clear" w:color="auto" w:fill="BFBFBF"/>
          </w:tcPr>
          <w:p w14:paraId="366B738A" w14:textId="778D8606" w:rsidR="001809F4" w:rsidRDefault="001809F4" w:rsidP="00930965">
            <w:pPr>
              <w:pStyle w:val="011TableHeading8pt"/>
            </w:pPr>
            <w:r>
              <w:t>Results</w:t>
            </w:r>
          </w:p>
        </w:tc>
        <w:tc>
          <w:tcPr>
            <w:tcW w:w="2663" w:type="dxa"/>
            <w:shd w:val="clear" w:color="auto" w:fill="BFBFBF"/>
          </w:tcPr>
          <w:p w14:paraId="533C4B39" w14:textId="77777777" w:rsidR="001809F4" w:rsidRDefault="001809F4" w:rsidP="00930965">
            <w:pPr>
              <w:pStyle w:val="011TableHeading8pt"/>
            </w:pPr>
            <w:r>
              <w:t>Authors’ conclusions</w:t>
            </w:r>
          </w:p>
        </w:tc>
      </w:tr>
      <w:tr w:rsidR="00FF6FB3" w14:paraId="0745E2DD" w14:textId="77777777" w:rsidTr="004E3A12">
        <w:tc>
          <w:tcPr>
            <w:tcW w:w="0" w:type="auto"/>
          </w:tcPr>
          <w:p w14:paraId="68096FE6" w14:textId="77777777" w:rsidR="00FF6FB3" w:rsidRDefault="00FF6FB3" w:rsidP="00142361">
            <w:pPr>
              <w:pStyle w:val="051Tabletext228pt"/>
            </w:pPr>
            <w:proofErr w:type="spellStart"/>
            <w:r>
              <w:t>Traegar</w:t>
            </w:r>
            <w:proofErr w:type="spellEnd"/>
            <w:r>
              <w:t xml:space="preserve"> (2023)</w:t>
            </w:r>
          </w:p>
        </w:tc>
        <w:tc>
          <w:tcPr>
            <w:tcW w:w="2080" w:type="dxa"/>
            <w:shd w:val="clear" w:color="auto" w:fill="auto"/>
          </w:tcPr>
          <w:p w14:paraId="4D16C1EA" w14:textId="77777777" w:rsidR="00FF6FB3" w:rsidRDefault="00FF6FB3" w:rsidP="00AA2AFA">
            <w:pPr>
              <w:pStyle w:val="051Tabletext228pt"/>
            </w:pPr>
            <w:r>
              <w:t>To assess the effects, including benefits and harms, of SCS for</w:t>
            </w:r>
          </w:p>
          <w:p w14:paraId="7D1A1568" w14:textId="77777777" w:rsidR="00FF6FB3" w:rsidRDefault="00FF6FB3" w:rsidP="00AA2AFA">
            <w:pPr>
              <w:pStyle w:val="051Tabletext228pt"/>
            </w:pPr>
            <w:r>
              <w:t>people with low back pain.</w:t>
            </w:r>
          </w:p>
        </w:tc>
        <w:tc>
          <w:tcPr>
            <w:tcW w:w="2977" w:type="dxa"/>
          </w:tcPr>
          <w:p w14:paraId="6CB42A18" w14:textId="77777777" w:rsidR="00FF6FB3" w:rsidRPr="000936DC" w:rsidRDefault="00FF6FB3" w:rsidP="00142361">
            <w:pPr>
              <w:pStyle w:val="051Tabletext228pt"/>
            </w:pPr>
            <w:r>
              <w:t>Inception to 10 June 2022</w:t>
            </w:r>
            <w:r>
              <w:br/>
            </w:r>
            <w:r>
              <w:rPr>
                <w:u w:val="single"/>
              </w:rPr>
              <w:t>Inclusion:</w:t>
            </w:r>
            <w:r>
              <w:t xml:space="preserve"> RCTs; quasi-randomised trials; cross-over trials; participants </w:t>
            </w:r>
            <w:r>
              <w:rPr>
                <w:rFonts w:cs="Calibri"/>
              </w:rPr>
              <w:t>≥</w:t>
            </w:r>
            <w:r>
              <w:t xml:space="preserve">18 </w:t>
            </w:r>
            <w:proofErr w:type="spellStart"/>
            <w:r>
              <w:t>yrs</w:t>
            </w:r>
            <w:proofErr w:type="spellEnd"/>
            <w:r>
              <w:t xml:space="preserve"> of any gender with chronic low back pain (&gt; 12 </w:t>
            </w:r>
            <w:proofErr w:type="spellStart"/>
            <w:r>
              <w:t>wks</w:t>
            </w:r>
            <w:proofErr w:type="spellEnd"/>
            <w:r>
              <w:t>’ pain duration) with or without leg pain and including people with FBSS; studies that compared SCS to placebo or no treatment or assessed SCS as an addition to CMM; studies with SCS procedures of any kind</w:t>
            </w:r>
            <w:r>
              <w:br/>
            </w:r>
            <w:r>
              <w:rPr>
                <w:u w:val="single"/>
              </w:rPr>
              <w:t>Exclusion:</w:t>
            </w:r>
            <w:r>
              <w:t xml:space="preserve"> Participants with pain conditions other than chronic low back pain, with or without leg pain, unless separate data could be obtained for participants with chronic low back pain; participants with chronic low back pain caused by serious spinal pathology; studies comparing SCS to very low amplitude stimulation</w:t>
            </w:r>
          </w:p>
        </w:tc>
        <w:tc>
          <w:tcPr>
            <w:tcW w:w="5953" w:type="dxa"/>
            <w:shd w:val="clear" w:color="auto" w:fill="auto"/>
          </w:tcPr>
          <w:p w14:paraId="56BFC989" w14:textId="304B138C" w:rsidR="00FF6FB3" w:rsidRDefault="00FF6FB3" w:rsidP="00602CA8">
            <w:pPr>
              <w:pStyle w:val="051Tabletext228pt"/>
              <w:rPr>
                <w:u w:val="single"/>
              </w:rPr>
            </w:pPr>
            <w:r>
              <w:rPr>
                <w:b/>
                <w:bCs/>
              </w:rPr>
              <w:t>SCS versus placebo</w:t>
            </w:r>
            <w:r>
              <w:rPr>
                <w:b/>
                <w:bCs/>
              </w:rPr>
              <w:br/>
            </w:r>
            <w:r w:rsidRPr="00F44F26">
              <w:rPr>
                <w:u w:val="single"/>
              </w:rPr>
              <w:t>Medium</w:t>
            </w:r>
            <w:r w:rsidR="0096433C">
              <w:rPr>
                <w:u w:val="single"/>
              </w:rPr>
              <w:t>-</w:t>
            </w:r>
            <w:r w:rsidRPr="00F44F26">
              <w:rPr>
                <w:u w:val="single"/>
              </w:rPr>
              <w:t xml:space="preserve">term </w:t>
            </w:r>
            <w:r>
              <w:rPr>
                <w:u w:val="single"/>
              </w:rPr>
              <w:t>outcomes</w:t>
            </w:r>
          </w:p>
          <w:p w14:paraId="16A37F7D" w14:textId="77777777" w:rsidR="00FF6FB3" w:rsidRDefault="00FF6FB3" w:rsidP="00602CA8">
            <w:pPr>
              <w:pStyle w:val="051Tabletext228pt"/>
            </w:pPr>
            <w:r w:rsidRPr="000F2642">
              <w:rPr>
                <w:i/>
                <w:iCs/>
              </w:rPr>
              <w:t>Pain intensity (VAS)</w:t>
            </w:r>
            <w:r>
              <w:rPr>
                <w:u w:val="single"/>
              </w:rPr>
              <w:br/>
            </w:r>
            <w:r w:rsidRPr="000F2642">
              <w:rPr>
                <w:i/>
                <w:iCs/>
                <w:u w:val="single"/>
              </w:rPr>
              <w:t>SCS:</w:t>
            </w:r>
            <w:r>
              <w:rPr>
                <w:i/>
                <w:iCs/>
              </w:rPr>
              <w:t xml:space="preserve"> </w:t>
            </w:r>
            <w:r>
              <w:t>Mean back pain was 4 points better (8.2 points better to 0.2 points worse) (1 study, N=50)</w:t>
            </w:r>
            <w:r>
              <w:br/>
            </w:r>
            <w:r w:rsidRPr="000F2642">
              <w:rPr>
                <w:i/>
                <w:iCs/>
                <w:u w:val="single"/>
              </w:rPr>
              <w:t>Placebo:</w:t>
            </w:r>
            <w:r>
              <w:rPr>
                <w:i/>
                <w:iCs/>
              </w:rPr>
              <w:t xml:space="preserve"> </w:t>
            </w:r>
            <w:r>
              <w:t>Mean back pain was 61 points (1 study, N=50)</w:t>
            </w:r>
          </w:p>
          <w:p w14:paraId="195E9569" w14:textId="77777777" w:rsidR="00FF6FB3" w:rsidRDefault="00FF6FB3" w:rsidP="00602CA8">
            <w:pPr>
              <w:pStyle w:val="051Tabletext228pt"/>
            </w:pPr>
            <w:r>
              <w:rPr>
                <w:i/>
                <w:iCs/>
              </w:rPr>
              <w:t>Function</w:t>
            </w:r>
            <w:r>
              <w:rPr>
                <w:i/>
                <w:iCs/>
              </w:rPr>
              <w:br/>
            </w:r>
            <w:r>
              <w:rPr>
                <w:i/>
                <w:iCs/>
                <w:u w:val="single"/>
              </w:rPr>
              <w:t>SCS:</w:t>
            </w:r>
            <w:r>
              <w:t xml:space="preserve"> Mean disability was 1.3 points better (3.9 points better to 1.3 points worse) (1 study, N=50)</w:t>
            </w:r>
            <w:r>
              <w:br/>
            </w:r>
            <w:r>
              <w:rPr>
                <w:i/>
                <w:iCs/>
                <w:u w:val="single"/>
              </w:rPr>
              <w:t>Placebo:</w:t>
            </w:r>
            <w:r>
              <w:t xml:space="preserve"> Mean disability was 35.4 points (1 study, N=50)</w:t>
            </w:r>
          </w:p>
          <w:p w14:paraId="5C969D0F" w14:textId="77777777" w:rsidR="00FF6FB3" w:rsidRDefault="00FF6FB3" w:rsidP="00602CA8">
            <w:pPr>
              <w:pStyle w:val="051Tabletext228pt"/>
            </w:pPr>
            <w:proofErr w:type="spellStart"/>
            <w:r>
              <w:rPr>
                <w:i/>
                <w:iCs/>
              </w:rPr>
              <w:t>HRQoL</w:t>
            </w:r>
            <w:proofErr w:type="spellEnd"/>
            <w:r>
              <w:br/>
            </w:r>
            <w:r>
              <w:rPr>
                <w:i/>
                <w:iCs/>
                <w:u w:val="single"/>
              </w:rPr>
              <w:t>SCS:</w:t>
            </w:r>
            <w:r>
              <w:t xml:space="preserve"> Mean QoL was 0.04 points better (0.16 points better to 0.08 points worse) (1 study, N=50)</w:t>
            </w:r>
            <w:r>
              <w:br/>
            </w:r>
            <w:r>
              <w:rPr>
                <w:i/>
                <w:iCs/>
                <w:u w:val="single"/>
              </w:rPr>
              <w:t>Placebo:</w:t>
            </w:r>
            <w:r>
              <w:t xml:space="preserve"> Mean QoL was 0.44 points out of 1</w:t>
            </w:r>
          </w:p>
          <w:p w14:paraId="19141FF8" w14:textId="77777777" w:rsidR="00FF6FB3" w:rsidRDefault="00FF6FB3" w:rsidP="00602CA8">
            <w:pPr>
              <w:pStyle w:val="051Tabletext228pt"/>
            </w:pPr>
            <w:r>
              <w:rPr>
                <w:i/>
                <w:iCs/>
              </w:rPr>
              <w:t>Global assessment of efficacy</w:t>
            </w:r>
            <w:r>
              <w:rPr>
                <w:i/>
                <w:iCs/>
              </w:rPr>
              <w:br/>
            </w:r>
            <w:r>
              <w:t>No data available (0 studies)</w:t>
            </w:r>
          </w:p>
          <w:p w14:paraId="341B2691" w14:textId="77777777" w:rsidR="00FF6FB3" w:rsidRDefault="00FF6FB3" w:rsidP="00602CA8">
            <w:pPr>
              <w:pStyle w:val="051Tabletext228pt"/>
            </w:pPr>
            <w:r>
              <w:rPr>
                <w:i/>
                <w:iCs/>
              </w:rPr>
              <w:t>AEs</w:t>
            </w:r>
            <w:r>
              <w:br/>
              <w:t>No data available (0 studies)</w:t>
            </w:r>
          </w:p>
          <w:p w14:paraId="10A3485E" w14:textId="77777777" w:rsidR="00FF6FB3" w:rsidRDefault="00FF6FB3" w:rsidP="00602CA8">
            <w:pPr>
              <w:pStyle w:val="051Tabletext228pt"/>
            </w:pPr>
            <w:r>
              <w:rPr>
                <w:b/>
                <w:bCs/>
              </w:rPr>
              <w:t>SCS + CMM versus CMM alone</w:t>
            </w:r>
          </w:p>
          <w:p w14:paraId="631C00C2" w14:textId="4B39BCAC" w:rsidR="00FF6FB3" w:rsidRDefault="00FF6FB3" w:rsidP="00602CA8">
            <w:pPr>
              <w:pStyle w:val="051Tabletext228pt"/>
            </w:pPr>
            <w:r>
              <w:rPr>
                <w:u w:val="single"/>
              </w:rPr>
              <w:t>Medium</w:t>
            </w:r>
            <w:r w:rsidR="0096433C">
              <w:rPr>
                <w:u w:val="single"/>
              </w:rPr>
              <w:t>-</w:t>
            </w:r>
            <w:r>
              <w:rPr>
                <w:u w:val="single"/>
              </w:rPr>
              <w:t>term outcomes</w:t>
            </w:r>
          </w:p>
          <w:p w14:paraId="4455FEAC" w14:textId="28DC73FF" w:rsidR="00FF6FB3" w:rsidRPr="00706CD1" w:rsidRDefault="00FF6FB3" w:rsidP="00A10042">
            <w:pPr>
              <w:pStyle w:val="051Tabletext228pt"/>
              <w:rPr>
                <w:rFonts w:cs="Calibri"/>
              </w:rPr>
            </w:pPr>
            <w:r>
              <w:rPr>
                <w:i/>
                <w:iCs/>
              </w:rPr>
              <w:t>Low back pain:</w:t>
            </w:r>
            <w:r>
              <w:t xml:space="preserve"> Mean pain was 26 points better with the addition SCS (95% CI 56.2 points better to 42 points worse, I</w:t>
            </w:r>
            <w:r>
              <w:rPr>
                <w:vertAlign w:val="superscript"/>
              </w:rPr>
              <w:t>2</w:t>
            </w:r>
            <w:r>
              <w:t>=98%) (3 studies, N=430)</w:t>
            </w:r>
            <w:r>
              <w:br/>
            </w:r>
            <w:r>
              <w:rPr>
                <w:i/>
                <w:iCs/>
              </w:rPr>
              <w:t>Leg pain:</w:t>
            </w:r>
            <w:r>
              <w:t xml:space="preserve"> Mean leg pain intensity was 18.8 points better with the addition of SCS (95% CI 33.2 points better to 4.5 points better, I</w:t>
            </w:r>
            <w:r>
              <w:rPr>
                <w:vertAlign w:val="superscript"/>
              </w:rPr>
              <w:t>2</w:t>
            </w:r>
            <w:r>
              <w:t>=82%) (2 studies, N=290)</w:t>
            </w:r>
            <w:r>
              <w:br/>
            </w:r>
            <w:r>
              <w:rPr>
                <w:i/>
                <w:iCs/>
              </w:rPr>
              <w:t>Function:</w:t>
            </w:r>
            <w:r>
              <w:t xml:space="preserve"> Mean function was 16.2 points better with the addition of SCS (95% CI 19.4 points better to 13.0 points better, I</w:t>
            </w:r>
            <w:r>
              <w:rPr>
                <w:vertAlign w:val="superscript"/>
              </w:rPr>
              <w:t>2</w:t>
            </w:r>
            <w:r>
              <w:t>=95%) (3 studies, N=430)</w:t>
            </w:r>
            <w:r>
              <w:br/>
            </w:r>
            <w:proofErr w:type="spellStart"/>
            <w:r>
              <w:rPr>
                <w:i/>
                <w:iCs/>
              </w:rPr>
              <w:t>HRQoL</w:t>
            </w:r>
            <w:proofErr w:type="spellEnd"/>
            <w:r>
              <w:rPr>
                <w:i/>
                <w:iCs/>
              </w:rPr>
              <w:t>:</w:t>
            </w:r>
            <w:r>
              <w:t xml:space="preserve"> Mean </w:t>
            </w:r>
            <w:proofErr w:type="spellStart"/>
            <w:r>
              <w:t>HRQoL</w:t>
            </w:r>
            <w:proofErr w:type="spellEnd"/>
            <w:r>
              <w:t xml:space="preserve"> was 7.6 points better with SCS (95% CI 15.8 points better to 0.6 points worse, I</w:t>
            </w:r>
            <w:r>
              <w:rPr>
                <w:vertAlign w:val="superscript"/>
              </w:rPr>
              <w:t>2</w:t>
            </w:r>
            <w:r>
              <w:t>=53%) (2 studies, N=289)</w:t>
            </w:r>
            <w:r>
              <w:br/>
            </w:r>
            <w:r>
              <w:rPr>
                <w:i/>
                <w:iCs/>
              </w:rPr>
              <w:t>Global assessment of efficacy (</w:t>
            </w:r>
            <w:r>
              <w:rPr>
                <w:rFonts w:cs="Calibri"/>
                <w:i/>
                <w:iCs/>
              </w:rPr>
              <w:t>≥50% better):</w:t>
            </w:r>
            <w:r>
              <w:rPr>
                <w:rFonts w:cs="Calibri"/>
              </w:rPr>
              <w:t xml:space="preserve"> Participants receiving SCS 7.4 times more likely to report 50% or better improvement in pain (95% CI 23.4 times more likely to 2.3 times more likely, I</w:t>
            </w:r>
            <w:r>
              <w:rPr>
                <w:rFonts w:cs="Calibri"/>
                <w:vertAlign w:val="superscript"/>
              </w:rPr>
              <w:t>2</w:t>
            </w:r>
            <w:r>
              <w:rPr>
                <w:rFonts w:cs="Calibri"/>
              </w:rPr>
              <w:t>=70%) (3 studies, N=430)</w:t>
            </w:r>
            <w:r>
              <w:rPr>
                <w:rFonts w:cs="Calibri"/>
              </w:rPr>
              <w:br/>
            </w:r>
            <w:r>
              <w:rPr>
                <w:rFonts w:cs="Calibri"/>
                <w:i/>
                <w:iCs/>
              </w:rPr>
              <w:t>Withdrawals due to AEs:</w:t>
            </w:r>
            <w:r>
              <w:rPr>
                <w:rFonts w:cs="Calibri"/>
              </w:rPr>
              <w:t xml:space="preserve"> 2/30 in HF</w:t>
            </w:r>
            <w:r w:rsidR="005C62FF">
              <w:rPr>
                <w:rFonts w:cs="Calibri"/>
              </w:rPr>
              <w:t>-</w:t>
            </w:r>
            <w:r>
              <w:rPr>
                <w:rFonts w:cs="Calibri"/>
              </w:rPr>
              <w:t>SCS group compared to 0/76 control group (1 study, N=159)</w:t>
            </w:r>
            <w:r>
              <w:rPr>
                <w:rFonts w:cs="Calibri"/>
              </w:rPr>
              <w:br/>
            </w:r>
            <w:r>
              <w:rPr>
                <w:rFonts w:cs="Calibri"/>
                <w:i/>
                <w:iCs/>
              </w:rPr>
              <w:t>AEs:</w:t>
            </w:r>
            <w:r>
              <w:rPr>
                <w:rFonts w:cs="Calibri"/>
              </w:rPr>
              <w:t xml:space="preserve"> 65/157 (41.4%) SCS + CMM group compared to 49/179 (27.4%) CMM alone (RR 2.32, 95% CI 0.39 to 13.79. I</w:t>
            </w:r>
            <w:r>
              <w:rPr>
                <w:rFonts w:cs="Calibri"/>
                <w:vertAlign w:val="superscript"/>
              </w:rPr>
              <w:t>2</w:t>
            </w:r>
            <w:r>
              <w:rPr>
                <w:rFonts w:cs="Calibri"/>
              </w:rPr>
              <w:t xml:space="preserve"> =90%) (2 studies, N=336)</w:t>
            </w:r>
            <w:r>
              <w:rPr>
                <w:rFonts w:cs="Calibri"/>
              </w:rPr>
              <w:br/>
            </w:r>
            <w:r>
              <w:rPr>
                <w:rFonts w:cs="Calibri"/>
                <w:i/>
                <w:iCs/>
              </w:rPr>
              <w:t>SAEs</w:t>
            </w:r>
            <w:r>
              <w:rPr>
                <w:rFonts w:cs="Calibri"/>
              </w:rPr>
              <w:t>: 6/65 HF</w:t>
            </w:r>
            <w:r w:rsidR="005C62FF">
              <w:rPr>
                <w:rFonts w:cs="Calibri"/>
              </w:rPr>
              <w:t>-</w:t>
            </w:r>
            <w:r>
              <w:rPr>
                <w:rFonts w:cs="Calibri"/>
              </w:rPr>
              <w:t xml:space="preserve">SCS group compared to 4/75 control group (RR 1.73, 95% CI 0.51 to 5.87, </w:t>
            </w:r>
            <w:r>
              <w:rPr>
                <w:rFonts w:cs="Calibri"/>
              </w:rPr>
              <w:lastRenderedPageBreak/>
              <w:t>I</w:t>
            </w:r>
            <w:r>
              <w:rPr>
                <w:rFonts w:cs="Calibri"/>
                <w:vertAlign w:val="superscript"/>
              </w:rPr>
              <w:t>2</w:t>
            </w:r>
            <w:r>
              <w:rPr>
                <w:rFonts w:cs="Calibri"/>
              </w:rPr>
              <w:t>=0%) (1 study, N=140)</w:t>
            </w:r>
            <w:r>
              <w:rPr>
                <w:rFonts w:cs="Calibri"/>
              </w:rPr>
              <w:br/>
            </w:r>
            <w:r>
              <w:rPr>
                <w:rFonts w:cs="Calibri"/>
                <w:i/>
                <w:iCs/>
              </w:rPr>
              <w:t xml:space="preserve">Medication use: </w:t>
            </w:r>
            <w:r>
              <w:rPr>
                <w:rFonts w:cs="Calibri"/>
              </w:rPr>
              <w:t>Opioid medicines 15% lower with SCS (95% CI 27% lower to 0% lower, I</w:t>
            </w:r>
            <w:r>
              <w:rPr>
                <w:rFonts w:cs="Calibri"/>
                <w:vertAlign w:val="superscript"/>
              </w:rPr>
              <w:t>2</w:t>
            </w:r>
            <w:r>
              <w:rPr>
                <w:rFonts w:cs="Calibri"/>
              </w:rPr>
              <w:t>=0%) (2 studies, N=290). Daily MMEs 9.4 points lower with SCS (</w:t>
            </w:r>
            <w:r w:rsidRPr="00A10042">
              <w:rPr>
                <w:rFonts w:cs="Calibri"/>
              </w:rPr>
              <w:t>95% CI 19.9 points</w:t>
            </w:r>
            <w:r>
              <w:rPr>
                <w:rFonts w:cs="Calibri"/>
              </w:rPr>
              <w:t xml:space="preserve"> </w:t>
            </w:r>
            <w:r w:rsidRPr="00A10042">
              <w:rPr>
                <w:rFonts w:cs="Calibri"/>
              </w:rPr>
              <w:t>lower to 1.2 points higher; I</w:t>
            </w:r>
            <w:r w:rsidRPr="00A10042">
              <w:rPr>
                <w:rFonts w:cs="Calibri"/>
                <w:vertAlign w:val="superscript"/>
              </w:rPr>
              <w:t>2</w:t>
            </w:r>
            <w:r w:rsidRPr="00A10042">
              <w:rPr>
                <w:rFonts w:cs="Calibri"/>
              </w:rPr>
              <w:t>=0%</w:t>
            </w:r>
            <w:r>
              <w:rPr>
                <w:rFonts w:cs="Calibri"/>
              </w:rPr>
              <w:t>) (3 studies, N=430)</w:t>
            </w:r>
            <w:r>
              <w:rPr>
                <w:rFonts w:cs="Calibri"/>
              </w:rPr>
              <w:br/>
            </w:r>
            <w:r>
              <w:rPr>
                <w:rFonts w:cs="Calibri"/>
                <w:i/>
                <w:iCs/>
              </w:rPr>
              <w:t>Number returning to work:</w:t>
            </w:r>
            <w:r>
              <w:rPr>
                <w:rFonts w:cs="Calibri"/>
              </w:rPr>
              <w:t xml:space="preserve"> 4/52 SCS group compared to 1/48 control group (RR 3.7, 95% CI 0.4 to 31.9) (1 study, N=100)</w:t>
            </w:r>
            <w:r>
              <w:rPr>
                <w:rFonts w:cs="Calibri"/>
              </w:rPr>
              <w:br/>
            </w:r>
            <w:r>
              <w:rPr>
                <w:i/>
                <w:iCs/>
              </w:rPr>
              <w:t>Health care use:</w:t>
            </w:r>
            <w:r>
              <w:t xml:space="preserve"> NR</w:t>
            </w:r>
          </w:p>
          <w:p w14:paraId="3217F16A" w14:textId="2C5AD0BC" w:rsidR="00FF6FB3" w:rsidRPr="00706CD1" w:rsidRDefault="00FF6FB3" w:rsidP="00602CA8">
            <w:pPr>
              <w:pStyle w:val="051Tabletext228pt"/>
            </w:pPr>
            <w:r>
              <w:rPr>
                <w:rFonts w:cs="Calibri"/>
                <w:u w:val="single"/>
              </w:rPr>
              <w:t>Long</w:t>
            </w:r>
            <w:r w:rsidR="000216DC">
              <w:rPr>
                <w:rFonts w:cs="Calibri"/>
                <w:u w:val="single"/>
              </w:rPr>
              <w:t>-</w:t>
            </w:r>
            <w:r>
              <w:rPr>
                <w:rFonts w:cs="Calibri"/>
                <w:u w:val="single"/>
              </w:rPr>
              <w:t>term outcomes</w:t>
            </w:r>
            <w:r>
              <w:rPr>
                <w:rFonts w:cs="Calibri"/>
              </w:rPr>
              <w:br/>
            </w:r>
            <w:r>
              <w:rPr>
                <w:i/>
                <w:iCs/>
              </w:rPr>
              <w:t>Low back pain:</w:t>
            </w:r>
            <w:r>
              <w:t xml:space="preserve"> NR</w:t>
            </w:r>
            <w:r>
              <w:br/>
            </w:r>
            <w:r>
              <w:rPr>
                <w:i/>
                <w:iCs/>
              </w:rPr>
              <w:t>Leg pain:</w:t>
            </w:r>
            <w:r>
              <w:t xml:space="preserve"> NR</w:t>
            </w:r>
            <w:r>
              <w:br/>
            </w:r>
            <w:r>
              <w:rPr>
                <w:i/>
                <w:iCs/>
              </w:rPr>
              <w:t>Function:</w:t>
            </w:r>
            <w:r>
              <w:t xml:space="preserve"> NR</w:t>
            </w:r>
            <w:r>
              <w:br/>
            </w:r>
            <w:r>
              <w:rPr>
                <w:i/>
                <w:iCs/>
              </w:rPr>
              <w:t>Global assessment of efficacy (</w:t>
            </w:r>
            <w:r>
              <w:rPr>
                <w:rFonts w:cs="Calibri"/>
                <w:i/>
                <w:iCs/>
              </w:rPr>
              <w:t xml:space="preserve">≥50% better): </w:t>
            </w:r>
            <w:r>
              <w:rPr>
                <w:rFonts w:cs="Calibri"/>
              </w:rPr>
              <w:t>17/52 participants in SCS group achieved 50% or better improvement compared with 48 participants in the CMM group (RR 1.96, 95% CI 0.93 to 4.12) (1 study</w:t>
            </w:r>
            <w:r w:rsidRPr="00F4575E">
              <w:rPr>
                <w:rFonts w:cs="Calibri"/>
              </w:rPr>
              <w:t>, 52 p</w:t>
            </w:r>
            <w:r>
              <w:rPr>
                <w:rFonts w:cs="Calibri"/>
              </w:rPr>
              <w:t>articipants)</w:t>
            </w:r>
            <w:r>
              <w:rPr>
                <w:rFonts w:cs="Calibri"/>
              </w:rPr>
              <w:br/>
            </w:r>
            <w:r>
              <w:rPr>
                <w:i/>
                <w:iCs/>
              </w:rPr>
              <w:t>Withdrawals due to AE:</w:t>
            </w:r>
            <w:r>
              <w:t xml:space="preserve"> NR</w:t>
            </w:r>
            <w:r>
              <w:br/>
            </w:r>
            <w:r>
              <w:rPr>
                <w:i/>
                <w:iCs/>
              </w:rPr>
              <w:t>AEs:</w:t>
            </w:r>
            <w:r>
              <w:t xml:space="preserve"> Proportion of participants not reported (1 study, 84 participants)</w:t>
            </w:r>
            <w:r>
              <w:br/>
            </w:r>
            <w:r>
              <w:rPr>
                <w:i/>
                <w:iCs/>
              </w:rPr>
              <w:t>SAEs:</w:t>
            </w:r>
            <w:r>
              <w:t xml:space="preserve"> Proportion of participants not reported (1 study, 84 participants)</w:t>
            </w:r>
            <w:r>
              <w:br/>
            </w:r>
            <w:r>
              <w:rPr>
                <w:i/>
                <w:iCs/>
              </w:rPr>
              <w:t>Medication use:</w:t>
            </w:r>
            <w:r>
              <w:t xml:space="preserve"> NR</w:t>
            </w:r>
            <w:r>
              <w:br/>
            </w:r>
            <w:r>
              <w:rPr>
                <w:i/>
                <w:iCs/>
              </w:rPr>
              <w:t>Number returning to work:</w:t>
            </w:r>
            <w:r>
              <w:t xml:space="preserve"> </w:t>
            </w:r>
            <w:r>
              <w:rPr>
                <w:i/>
                <w:iCs/>
              </w:rPr>
              <w:t>NR</w:t>
            </w:r>
            <w:r>
              <w:rPr>
                <w:i/>
                <w:iCs/>
              </w:rPr>
              <w:br/>
              <w:t>Health care use:</w:t>
            </w:r>
            <w:r>
              <w:t xml:space="preserve"> NR</w:t>
            </w:r>
          </w:p>
        </w:tc>
        <w:tc>
          <w:tcPr>
            <w:tcW w:w="2663" w:type="dxa"/>
            <w:shd w:val="clear" w:color="auto" w:fill="auto"/>
          </w:tcPr>
          <w:p w14:paraId="5B953CAF" w14:textId="77777777" w:rsidR="00FF6FB3" w:rsidRDefault="00FF6FB3" w:rsidP="00EB75C1">
            <w:pPr>
              <w:pStyle w:val="051Tabletext228pt"/>
            </w:pPr>
            <w:r>
              <w:lastRenderedPageBreak/>
              <w:t>Data in this review does not support the use of SCS to manage low back pain outside a clinical trial. Current evidence suggests SCS probably does not have sustained clinical benefits that would outweigh the costs and risks of this surgical intervention</w:t>
            </w:r>
          </w:p>
        </w:tc>
      </w:tr>
      <w:tr w:rsidR="005C21D7" w14:paraId="6E0328F1" w14:textId="77777777" w:rsidTr="004E3A12">
        <w:tc>
          <w:tcPr>
            <w:tcW w:w="0" w:type="auto"/>
          </w:tcPr>
          <w:p w14:paraId="34A78F47" w14:textId="00C2A635" w:rsidR="001809F4" w:rsidRDefault="001809F4" w:rsidP="00142361">
            <w:pPr>
              <w:pStyle w:val="051Tabletext228pt"/>
            </w:pPr>
            <w:r>
              <w:t>O’Connell (2021)</w:t>
            </w:r>
          </w:p>
        </w:tc>
        <w:tc>
          <w:tcPr>
            <w:tcW w:w="2080" w:type="dxa"/>
            <w:shd w:val="clear" w:color="auto" w:fill="auto"/>
          </w:tcPr>
          <w:p w14:paraId="408CE6AF" w14:textId="7D2D2B72" w:rsidR="001809F4" w:rsidRDefault="001809F4" w:rsidP="00930965">
            <w:pPr>
              <w:pStyle w:val="051Tabletext228pt"/>
            </w:pPr>
            <w:r>
              <w:t>What are the benefits and risks of electrical spinal cord and dorsal root ganglion stimulation for the treatment of chronic pain in adults?</w:t>
            </w:r>
          </w:p>
        </w:tc>
        <w:tc>
          <w:tcPr>
            <w:tcW w:w="2977" w:type="dxa"/>
          </w:tcPr>
          <w:p w14:paraId="794267BF" w14:textId="77777777" w:rsidR="001809F4" w:rsidRDefault="001809F4" w:rsidP="00142361">
            <w:pPr>
              <w:pStyle w:val="051Tabletext228pt"/>
            </w:pPr>
            <w:r>
              <w:t>October 2020 and updated in September 2021</w:t>
            </w:r>
          </w:p>
          <w:p w14:paraId="04CE0453" w14:textId="55CAC0F6" w:rsidR="001809F4" w:rsidRPr="00930965" w:rsidRDefault="001809F4" w:rsidP="00C33616">
            <w:pPr>
              <w:pStyle w:val="051Tabletext228pt"/>
            </w:pPr>
            <w:r w:rsidRPr="00930965">
              <w:rPr>
                <w:u w:val="single"/>
              </w:rPr>
              <w:t>Inclusion:</w:t>
            </w:r>
            <w:r w:rsidRPr="00930965">
              <w:t xml:space="preserve"> RCTs comparing </w:t>
            </w:r>
            <w:r w:rsidR="00B57BFF">
              <w:t>SCS</w:t>
            </w:r>
            <w:r w:rsidRPr="00930965">
              <w:t xml:space="preserve"> interventions with placebo (sham) stimulation, no treatment or usual care, or comparing </w:t>
            </w:r>
            <w:r w:rsidR="00B57BFF">
              <w:t>SCS</w:t>
            </w:r>
            <w:r w:rsidRPr="00930965">
              <w:t xml:space="preserve"> interventions + another treatment verses that treatment alone.</w:t>
            </w:r>
          </w:p>
          <w:p w14:paraId="6E8888DD" w14:textId="085A8110" w:rsidR="001809F4" w:rsidRPr="00930965" w:rsidRDefault="001809F4" w:rsidP="00C33616">
            <w:pPr>
              <w:pStyle w:val="051Tabletext228pt"/>
            </w:pPr>
            <w:r w:rsidRPr="00930965">
              <w:t xml:space="preserve">Participants ≥18 </w:t>
            </w:r>
            <w:proofErr w:type="spellStart"/>
            <w:r w:rsidR="001C0847">
              <w:t>y</w:t>
            </w:r>
            <w:r w:rsidRPr="00930965">
              <w:t>rs</w:t>
            </w:r>
            <w:proofErr w:type="spellEnd"/>
            <w:r w:rsidRPr="00930965">
              <w:t xml:space="preserve"> old with non-cancer and non-ischaemic pain of &gt;3 </w:t>
            </w:r>
            <w:proofErr w:type="spellStart"/>
            <w:r w:rsidRPr="00930965">
              <w:t>mo</w:t>
            </w:r>
            <w:proofErr w:type="spellEnd"/>
            <w:r w:rsidRPr="00930965">
              <w:t xml:space="preserve"> durations </w:t>
            </w:r>
          </w:p>
          <w:p w14:paraId="43B7B102" w14:textId="3D531A29" w:rsidR="001809F4" w:rsidRDefault="001809F4" w:rsidP="00C33616">
            <w:pPr>
              <w:pStyle w:val="051Tabletext228pt"/>
              <w:rPr>
                <w:b/>
                <w:bCs/>
              </w:rPr>
            </w:pPr>
            <w:r w:rsidRPr="00930965">
              <w:rPr>
                <w:u w:val="single"/>
              </w:rPr>
              <w:t>Exclusion:</w:t>
            </w:r>
            <w:r w:rsidRPr="00930965">
              <w:t xml:space="preserve"> Patients with cancer, ischaemic-related pain, headache of any origin, studies with average baseline (pre</w:t>
            </w:r>
            <w:r>
              <w:t>-</w:t>
            </w:r>
            <w:r w:rsidRPr="00930965">
              <w:t>intervention) pain intensity levels &lt;4/10 or 40/100</w:t>
            </w:r>
          </w:p>
        </w:tc>
        <w:tc>
          <w:tcPr>
            <w:tcW w:w="5953" w:type="dxa"/>
            <w:shd w:val="clear" w:color="auto" w:fill="auto"/>
          </w:tcPr>
          <w:p w14:paraId="3EE75A26" w14:textId="77777777" w:rsidR="00131CFA" w:rsidRDefault="001809F4" w:rsidP="00602CA8">
            <w:pPr>
              <w:pStyle w:val="051Tabletext228pt"/>
              <w:rPr>
                <w:b/>
                <w:bCs/>
              </w:rPr>
            </w:pPr>
            <w:r>
              <w:rPr>
                <w:b/>
                <w:bCs/>
              </w:rPr>
              <w:t>SCS + other intervention vs other intervention alone</w:t>
            </w:r>
          </w:p>
          <w:p w14:paraId="7C10A7F3" w14:textId="33068C22" w:rsidR="001809F4" w:rsidRDefault="00131CFA" w:rsidP="00602CA8">
            <w:pPr>
              <w:pStyle w:val="051Tabletext228pt"/>
            </w:pPr>
            <w:r>
              <w:rPr>
                <w:b/>
                <w:bCs/>
                <w:i/>
                <w:iCs/>
              </w:rPr>
              <w:t>Medium and long</w:t>
            </w:r>
            <w:r w:rsidR="000216DC">
              <w:rPr>
                <w:b/>
                <w:bCs/>
                <w:i/>
                <w:iCs/>
              </w:rPr>
              <w:t>-</w:t>
            </w:r>
            <w:r>
              <w:rPr>
                <w:b/>
                <w:bCs/>
                <w:i/>
                <w:iCs/>
              </w:rPr>
              <w:t>term outcomes only</w:t>
            </w:r>
            <w:r w:rsidR="001809F4">
              <w:rPr>
                <w:b/>
                <w:bCs/>
              </w:rPr>
              <w:br/>
            </w:r>
            <w:r w:rsidR="001809F4">
              <w:rPr>
                <w:u w:val="single"/>
              </w:rPr>
              <w:t>Pain intensity (continuous outcomes)</w:t>
            </w:r>
          </w:p>
          <w:p w14:paraId="2599D3A0" w14:textId="157E7B3F" w:rsidR="001809F4" w:rsidRDefault="001809F4" w:rsidP="007378C2">
            <w:pPr>
              <w:pStyle w:val="051Tabletext228pt"/>
            </w:pPr>
            <w:r>
              <w:t>Medium term: MD -31.22 (95% CI -47 to 34 to -15.10, P &lt; 0.001, I</w:t>
            </w:r>
            <w:r w:rsidRPr="00733C83">
              <w:rPr>
                <w:vertAlign w:val="superscript"/>
              </w:rPr>
              <w:t>2</w:t>
            </w:r>
            <w:r>
              <w:t xml:space="preserve"> = 95%) (5 studies, N=635)</w:t>
            </w:r>
          </w:p>
          <w:p w14:paraId="79F5B9CC" w14:textId="589D1745" w:rsidR="001809F4" w:rsidRDefault="001809F4" w:rsidP="003321F6">
            <w:pPr>
              <w:pStyle w:val="051Tabletext228pt"/>
            </w:pPr>
            <w:r>
              <w:t>Long term: MD -7 (95% CI -24.76 to 10.76, P = 0.44) (1 study, N=44)</w:t>
            </w:r>
          </w:p>
          <w:p w14:paraId="12BD5AA0" w14:textId="2BACA651" w:rsidR="001809F4" w:rsidRDefault="001809F4" w:rsidP="005D02A4">
            <w:pPr>
              <w:pStyle w:val="051Tabletext228pt"/>
            </w:pPr>
            <w:r>
              <w:rPr>
                <w:u w:val="single"/>
              </w:rPr>
              <w:t xml:space="preserve">Pain intensity (proportion with </w:t>
            </w:r>
            <w:r>
              <w:rPr>
                <w:rFonts w:cs="Calibri"/>
                <w:u w:val="single"/>
              </w:rPr>
              <w:t>≥</w:t>
            </w:r>
            <w:r>
              <w:rPr>
                <w:u w:val="single"/>
              </w:rPr>
              <w:t>50% pain relief)</w:t>
            </w:r>
          </w:p>
          <w:p w14:paraId="738CE6F9" w14:textId="37B0EE03" w:rsidR="001809F4" w:rsidRDefault="001809F4" w:rsidP="005773DF">
            <w:pPr>
              <w:pStyle w:val="051Tabletext228pt"/>
            </w:pPr>
            <w:r>
              <w:t>Medium term: RR 7.08 (95% CI 3.40 to 14.71, P &lt; 0.001, I</w:t>
            </w:r>
            <w:r w:rsidRPr="00141304">
              <w:rPr>
                <w:vertAlign w:val="superscript"/>
              </w:rPr>
              <w:t>2</w:t>
            </w:r>
            <w:r>
              <w:t xml:space="preserve"> = 43%); RD 0.43 (95% CI 0.14 to 0.73); NNTB 2.3 (</w:t>
            </w:r>
            <w:r w:rsidRPr="008876E9">
              <w:t xml:space="preserve">95% CI </w:t>
            </w:r>
            <w:r>
              <w:t>1.4 to 7.7) (5 studies, N=597)</w:t>
            </w:r>
          </w:p>
          <w:p w14:paraId="0CE51CAA" w14:textId="4BFADF8A" w:rsidR="001809F4" w:rsidRPr="005D02A4" w:rsidRDefault="001809F4" w:rsidP="00FE1419">
            <w:pPr>
              <w:pStyle w:val="051Tabletext228pt"/>
            </w:pPr>
            <w:r>
              <w:t>Long term: RR 15.15 (95% CI 2.11 to 108.91, P = 0.007); RD 0.35 (95% CI 0.2 to 0.49); NNTB 2.86 (95% CI 2.04 to 5) (1 study, N=87)</w:t>
            </w:r>
          </w:p>
          <w:p w14:paraId="054A5929" w14:textId="1EB38544" w:rsidR="001809F4" w:rsidRDefault="001809F4" w:rsidP="00930965">
            <w:pPr>
              <w:pStyle w:val="051Tabletext228pt"/>
            </w:pPr>
            <w:r>
              <w:rPr>
                <w:u w:val="single"/>
              </w:rPr>
              <w:t>AEs</w:t>
            </w:r>
            <w:r>
              <w:br/>
              <w:t>Inconsistently reported in the trials.</w:t>
            </w:r>
          </w:p>
          <w:p w14:paraId="72A05D36" w14:textId="77777777" w:rsidR="001809F4" w:rsidRDefault="001809F4" w:rsidP="00F813D6">
            <w:pPr>
              <w:pStyle w:val="051Tabletext228pt"/>
            </w:pPr>
            <w:r>
              <w:t xml:space="preserve">Medium term: </w:t>
            </w:r>
          </w:p>
          <w:p w14:paraId="6C59AF0C" w14:textId="628A3864" w:rsidR="001809F4" w:rsidRDefault="001809F4" w:rsidP="00F813D6">
            <w:pPr>
              <w:pStyle w:val="051Tabletext228pt"/>
            </w:pPr>
            <w:r>
              <w:t>Lead failure: RD 0.04 (95% CI -0.04 to 0.11, P = 0.31, I</w:t>
            </w:r>
            <w:r w:rsidRPr="00F813D6">
              <w:rPr>
                <w:vertAlign w:val="superscript"/>
              </w:rPr>
              <w:t>2</w:t>
            </w:r>
            <w:r>
              <w:t xml:space="preserve"> = 64%) (3 studies, N=330)</w:t>
            </w:r>
          </w:p>
          <w:p w14:paraId="646B5A23" w14:textId="7D111983" w:rsidR="001809F4" w:rsidRDefault="001809F4" w:rsidP="009607B9">
            <w:pPr>
              <w:pStyle w:val="051Tabletext228pt"/>
            </w:pPr>
            <w:r>
              <w:t>Infections: RD 0.04 (95% CI 0.01 to 0.07, P = 0.003, I</w:t>
            </w:r>
            <w:r w:rsidRPr="009607B9">
              <w:rPr>
                <w:vertAlign w:val="superscript"/>
              </w:rPr>
              <w:t>2</w:t>
            </w:r>
            <w:r>
              <w:t xml:space="preserve"> 0%); NNTH 25 (95% CI</w:t>
            </w:r>
          </w:p>
          <w:p w14:paraId="5B72A2CB" w14:textId="5689BA54" w:rsidR="001809F4" w:rsidRDefault="001809F4" w:rsidP="009607B9">
            <w:pPr>
              <w:pStyle w:val="051Tabletext228pt"/>
            </w:pPr>
            <w:r>
              <w:t>14.29 to 100) (4 studies, N=548)</w:t>
            </w:r>
          </w:p>
          <w:p w14:paraId="00F1D30C" w14:textId="484A02CF" w:rsidR="001809F4" w:rsidRDefault="001809F4" w:rsidP="009748BC">
            <w:pPr>
              <w:pStyle w:val="051Tabletext228pt"/>
            </w:pPr>
            <w:r>
              <w:t>Repeated implantation/reoperation: RD 0.11 (95% CI 0.02 to 0.21, P = 0.02, I</w:t>
            </w:r>
            <w:r w:rsidRPr="009748BC">
              <w:rPr>
                <w:vertAlign w:val="superscript"/>
              </w:rPr>
              <w:t>2</w:t>
            </w:r>
            <w:r>
              <w:t xml:space="preserve"> = 86%); NNTH 9.1 (95% CI 4.8 to 50) (4 studies, N=548)</w:t>
            </w:r>
          </w:p>
          <w:p w14:paraId="77118327" w14:textId="77777777" w:rsidR="001809F4" w:rsidRDefault="001809F4" w:rsidP="000E3718">
            <w:pPr>
              <w:pStyle w:val="051Tabletext228pt"/>
            </w:pPr>
            <w:r>
              <w:t xml:space="preserve">Long term: </w:t>
            </w:r>
          </w:p>
          <w:p w14:paraId="2E08B20E" w14:textId="75E16EEB" w:rsidR="001809F4" w:rsidRDefault="001809F4" w:rsidP="000E3718">
            <w:pPr>
              <w:pStyle w:val="051Tabletext228pt"/>
            </w:pPr>
            <w:r>
              <w:t>Lead repositioning/replacement RD 0.55 (95% CI 0.35 to 0.75, P &lt; 0.001); NNTH 1.8 (95% CI 1.3 to 2.9) (1 study, N=44)</w:t>
            </w:r>
          </w:p>
          <w:p w14:paraId="304B8611" w14:textId="4E5CA83F" w:rsidR="001809F4" w:rsidRPr="0039735D" w:rsidRDefault="001809F4" w:rsidP="00230E0E">
            <w:pPr>
              <w:pStyle w:val="051Tabletext228pt"/>
            </w:pPr>
            <w:r>
              <w:lastRenderedPageBreak/>
              <w:t>Repeated implantation/reoperation: RD 0.94 (95% CI 0.80 to 1.07, P &lt; 0.001); NNTH of 1.05 (95% CI 0.93 to 1.25) (1 study, N=44)</w:t>
            </w:r>
          </w:p>
          <w:p w14:paraId="104B33BE" w14:textId="4891FD51" w:rsidR="001809F4" w:rsidRDefault="001809F4" w:rsidP="005F570B">
            <w:pPr>
              <w:pStyle w:val="051Tabletext228pt"/>
            </w:pPr>
            <w:r>
              <w:rPr>
                <w:u w:val="single"/>
              </w:rPr>
              <w:t>Secondary outcomes</w:t>
            </w:r>
            <w:r>
              <w:rPr>
                <w:u w:val="single"/>
              </w:rPr>
              <w:br/>
            </w:r>
            <w:r w:rsidR="00CF23AA">
              <w:t>Disability</w:t>
            </w:r>
          </w:p>
          <w:p w14:paraId="2F5AE248" w14:textId="0A6F82A3" w:rsidR="00552DFC" w:rsidRDefault="00552DFC" w:rsidP="00552DFC">
            <w:pPr>
              <w:pStyle w:val="051Tabletext228pt"/>
            </w:pPr>
            <w:r>
              <w:t>Medium term: MD -15.93 (95% CI -35.99 to 4.13, P = 0.12, I</w:t>
            </w:r>
            <w:r w:rsidRPr="00552DFC">
              <w:rPr>
                <w:vertAlign w:val="superscript"/>
              </w:rPr>
              <w:t>2</w:t>
            </w:r>
            <w:r>
              <w:rPr>
                <w:vertAlign w:val="superscript"/>
              </w:rPr>
              <w:t xml:space="preserve"> </w:t>
            </w:r>
            <w:r>
              <w:t>92%)</w:t>
            </w:r>
            <w:r w:rsidR="005172D8">
              <w:t xml:space="preserve"> (2 studies, N=312)</w:t>
            </w:r>
          </w:p>
          <w:p w14:paraId="7C7DCEE2" w14:textId="092B4A15" w:rsidR="005172D8" w:rsidRDefault="005172D8" w:rsidP="00552DFC">
            <w:pPr>
              <w:pStyle w:val="051Tabletext228pt"/>
            </w:pPr>
            <w:proofErr w:type="spellStart"/>
            <w:r>
              <w:t>HRQoL</w:t>
            </w:r>
            <w:proofErr w:type="spellEnd"/>
          </w:p>
          <w:p w14:paraId="275D3B5B" w14:textId="60D93D66" w:rsidR="005172D8" w:rsidRDefault="005172D8" w:rsidP="00D94F33">
            <w:pPr>
              <w:pStyle w:val="051Tabletext228pt"/>
            </w:pPr>
            <w:r>
              <w:t>Medium term</w:t>
            </w:r>
            <w:r w:rsidR="00D94F33">
              <w:t>: SMD 0.73 (95% CI 0.46 to 0.99, P &lt; 0.001, I</w:t>
            </w:r>
            <w:r w:rsidR="00D94F33" w:rsidRPr="00D94F33">
              <w:rPr>
                <w:vertAlign w:val="superscript"/>
              </w:rPr>
              <w:t>2</w:t>
            </w:r>
            <w:r w:rsidR="00D94F33">
              <w:t xml:space="preserve"> = 54%</w:t>
            </w:r>
            <w:r w:rsidR="009F2E39">
              <w:t>) (5 studies, N=595)</w:t>
            </w:r>
          </w:p>
          <w:p w14:paraId="12E7AC87" w14:textId="0C0D58BE" w:rsidR="009F2E39" w:rsidRDefault="009F2E39" w:rsidP="00D94F33">
            <w:pPr>
              <w:pStyle w:val="051Tabletext228pt"/>
            </w:pPr>
            <w:r>
              <w:t xml:space="preserve">Long term: </w:t>
            </w:r>
            <w:r w:rsidRPr="009F2E39">
              <w:t>MD -0.09</w:t>
            </w:r>
            <w:r>
              <w:t xml:space="preserve"> (</w:t>
            </w:r>
            <w:r w:rsidRPr="009F2E39">
              <w:t>95% CI -0.74 to 0.56)</w:t>
            </w:r>
            <w:r>
              <w:t xml:space="preserve"> (1 study, N=</w:t>
            </w:r>
            <w:r w:rsidR="00930D55">
              <w:t>44)</w:t>
            </w:r>
          </w:p>
          <w:p w14:paraId="0C2C29E7" w14:textId="73072D3F" w:rsidR="00930D55" w:rsidRDefault="00930D55" w:rsidP="00D94F33">
            <w:pPr>
              <w:pStyle w:val="051Tabletext228pt"/>
            </w:pPr>
            <w:r>
              <w:t>Medication use</w:t>
            </w:r>
          </w:p>
          <w:p w14:paraId="74FB7B91" w14:textId="7CA058F8" w:rsidR="00930D55" w:rsidRDefault="00930D55" w:rsidP="00D94F33">
            <w:pPr>
              <w:pStyle w:val="051Tabletext228pt"/>
            </w:pPr>
            <w:r>
              <w:t xml:space="preserve">Medium term: </w:t>
            </w:r>
            <w:r w:rsidR="00D27397">
              <w:t xml:space="preserve">analgesic use </w:t>
            </w:r>
            <w:r w:rsidR="00891CE3">
              <w:t>(</w:t>
            </w:r>
            <w:r w:rsidR="00200D6F">
              <w:t>2 studies, N=154)</w:t>
            </w:r>
          </w:p>
          <w:p w14:paraId="79C712D7" w14:textId="63677D83" w:rsidR="00A77142" w:rsidRDefault="00A77142" w:rsidP="0058289B">
            <w:pPr>
              <w:pStyle w:val="051Tabletext228pt"/>
            </w:pPr>
            <w:r>
              <w:t xml:space="preserve">Opioids </w:t>
            </w:r>
            <w:r w:rsidR="0058289B">
              <w:t>RR 0.77 (95% CI 0.58 to 1.01, P = 0.06, I</w:t>
            </w:r>
            <w:r w:rsidR="0058289B" w:rsidRPr="0058289B">
              <w:rPr>
                <w:vertAlign w:val="superscript"/>
              </w:rPr>
              <w:t>2</w:t>
            </w:r>
            <w:r w:rsidR="0058289B">
              <w:t xml:space="preserve"> 0%)</w:t>
            </w:r>
          </w:p>
          <w:p w14:paraId="7EB621A1" w14:textId="4AD75D55" w:rsidR="0058289B" w:rsidRPr="00C20530" w:rsidRDefault="00137E1A" w:rsidP="00137E1A">
            <w:pPr>
              <w:pStyle w:val="051Tabletext228pt"/>
            </w:pPr>
            <w:r>
              <w:t>NSAIDS RR 0.69 (95% CI 0.43 to 1.09, P = 0.11, I</w:t>
            </w:r>
            <w:r w:rsidRPr="00137E1A">
              <w:rPr>
                <w:vertAlign w:val="superscript"/>
              </w:rPr>
              <w:t>2</w:t>
            </w:r>
            <w:r>
              <w:t xml:space="preserve"> 0%)</w:t>
            </w:r>
          </w:p>
          <w:p w14:paraId="21979182" w14:textId="77777777" w:rsidR="001809F4" w:rsidRDefault="00E05B70" w:rsidP="00E05B70">
            <w:pPr>
              <w:pStyle w:val="051Tabletext228pt"/>
            </w:pPr>
            <w:r>
              <w:t>Antidepressants RR 0.68 (95% CI 0.46 to 1.00, P = 0.05, I</w:t>
            </w:r>
            <w:r w:rsidRPr="00E05B70">
              <w:rPr>
                <w:vertAlign w:val="superscript"/>
              </w:rPr>
              <w:t>2</w:t>
            </w:r>
            <w:r>
              <w:t xml:space="preserve"> 0%)</w:t>
            </w:r>
          </w:p>
          <w:p w14:paraId="667D7A90" w14:textId="25A94C78" w:rsidR="00891CE3" w:rsidRDefault="00891CE3" w:rsidP="00200D6F">
            <w:pPr>
              <w:pStyle w:val="051Tabletext228pt"/>
            </w:pPr>
            <w:r>
              <w:t xml:space="preserve">Anticonvulsants </w:t>
            </w:r>
            <w:r w:rsidR="00200D6F">
              <w:t>RR 0.80 (95% CI 0.33 to 1.94, P = 0.62, I</w:t>
            </w:r>
            <w:r w:rsidR="00200D6F" w:rsidRPr="001205A6">
              <w:rPr>
                <w:vertAlign w:val="superscript"/>
              </w:rPr>
              <w:t>2</w:t>
            </w:r>
            <w:r w:rsidR="00200D6F">
              <w:t xml:space="preserve"> 75%)</w:t>
            </w:r>
          </w:p>
          <w:p w14:paraId="7566B99D" w14:textId="53FE0C8C" w:rsidR="00891CE3" w:rsidRPr="00137E1A" w:rsidRDefault="00891CE3" w:rsidP="00E05B70">
            <w:pPr>
              <w:pStyle w:val="051Tabletext228pt"/>
            </w:pPr>
            <w:r>
              <w:t>Paracetamol</w:t>
            </w:r>
            <w:r w:rsidR="001205A6">
              <w:t xml:space="preserve"> </w:t>
            </w:r>
            <w:r w:rsidR="00653955" w:rsidRPr="00653955">
              <w:t>RR 0.58</w:t>
            </w:r>
            <w:r w:rsidR="00653955">
              <w:t xml:space="preserve"> (</w:t>
            </w:r>
            <w:r w:rsidR="00653955" w:rsidRPr="00653955">
              <w:t>95% CI 0.23 to 1.51, P = 0.27</w:t>
            </w:r>
            <w:r w:rsidR="00653955">
              <w:t>) (1 study, N=60)</w:t>
            </w:r>
          </w:p>
        </w:tc>
        <w:tc>
          <w:tcPr>
            <w:tcW w:w="2663" w:type="dxa"/>
            <w:shd w:val="clear" w:color="auto" w:fill="auto"/>
          </w:tcPr>
          <w:p w14:paraId="00EBB81F" w14:textId="2F28D4CD" w:rsidR="001809F4" w:rsidRDefault="001809F4" w:rsidP="00930965">
            <w:pPr>
              <w:pStyle w:val="051Tabletext228pt"/>
            </w:pPr>
            <w:r>
              <w:lastRenderedPageBreak/>
              <w:t xml:space="preserve">We found very low-certainty evidence that SCS may not provide clinically important benefits on pain intensity compared to placebo stimulation. We found low- to very low-certainty evidence that </w:t>
            </w:r>
            <w:r w:rsidR="00B57BFF">
              <w:t>SCS</w:t>
            </w:r>
            <w:r>
              <w:t xml:space="preserve"> interventions may provide clinically important benefits for pain intensity when added to conventional medical management or physical therapy. SCS is associated with complications including infection, electrode lead migration/failure and a need for reoperation/re-implantation. The level of certainty regarding the size of those risks is very low.  S</w:t>
            </w:r>
            <w:r w:rsidR="00B57BFF">
              <w:t>CS</w:t>
            </w:r>
            <w:r>
              <w:t xml:space="preserve"> may lead to serious AEs, including death.  No evidence was found to support or refute the use of DRGs for chronic pain.</w:t>
            </w:r>
          </w:p>
        </w:tc>
      </w:tr>
      <w:tr w:rsidR="002430CC" w14:paraId="38F59D78" w14:textId="77777777" w:rsidTr="004E3A12">
        <w:tc>
          <w:tcPr>
            <w:tcW w:w="0" w:type="auto"/>
          </w:tcPr>
          <w:p w14:paraId="5C6DB848" w14:textId="2D60B945" w:rsidR="002430CC" w:rsidRDefault="002430CC" w:rsidP="00142361">
            <w:pPr>
              <w:pStyle w:val="051Tabletext228pt"/>
            </w:pPr>
            <w:r>
              <w:t>NICE 2008</w:t>
            </w:r>
          </w:p>
        </w:tc>
        <w:tc>
          <w:tcPr>
            <w:tcW w:w="2080" w:type="dxa"/>
            <w:shd w:val="clear" w:color="auto" w:fill="auto"/>
          </w:tcPr>
          <w:p w14:paraId="7DB01866" w14:textId="57CBCF72" w:rsidR="009321AE" w:rsidRDefault="003C61A0" w:rsidP="00AA017C">
            <w:pPr>
              <w:pStyle w:val="071Tablebullet8pt"/>
              <w:numPr>
                <w:ilvl w:val="0"/>
                <w:numId w:val="0"/>
              </w:numPr>
            </w:pPr>
            <w:r>
              <w:t xml:space="preserve">• </w:t>
            </w:r>
            <w:r w:rsidR="009321AE">
              <w:t>To evaluate the clinical effectiveness and side-effects of SCS in terms of pain, health-related quality of life and physical and functional abilities;</w:t>
            </w:r>
          </w:p>
          <w:p w14:paraId="67A50ED1" w14:textId="77777777" w:rsidR="009321AE" w:rsidRDefault="009321AE" w:rsidP="009321AE">
            <w:pPr>
              <w:pStyle w:val="051Tabletext228pt"/>
            </w:pPr>
            <w:r>
              <w:t>• To estimate the incremental cost-effectiveness of SCS compared with current standard therapy;</w:t>
            </w:r>
          </w:p>
          <w:p w14:paraId="78438476" w14:textId="42365B3E" w:rsidR="002430CC" w:rsidRDefault="009321AE" w:rsidP="009321AE">
            <w:pPr>
              <w:pStyle w:val="051Tabletext228pt"/>
            </w:pPr>
            <w:r>
              <w:t>• To estimate the potential overall cost to the NHS in England and Wales.</w:t>
            </w:r>
          </w:p>
        </w:tc>
        <w:tc>
          <w:tcPr>
            <w:tcW w:w="2977" w:type="dxa"/>
          </w:tcPr>
          <w:p w14:paraId="3698B7A5" w14:textId="77777777" w:rsidR="002430CC" w:rsidRDefault="004765DF" w:rsidP="00142361">
            <w:pPr>
              <w:pStyle w:val="051Tabletext228pt"/>
            </w:pPr>
            <w:r>
              <w:t>To September 2007</w:t>
            </w:r>
          </w:p>
          <w:p w14:paraId="513D88B2" w14:textId="5D587377" w:rsidR="009840EE" w:rsidRPr="009840EE" w:rsidRDefault="009840EE" w:rsidP="00142361">
            <w:pPr>
              <w:pStyle w:val="051Tabletext228pt"/>
            </w:pPr>
            <w:r>
              <w:rPr>
                <w:u w:val="single"/>
              </w:rPr>
              <w:t>Inclusion:</w:t>
            </w:r>
            <w:r>
              <w:t xml:space="preserve"> RCTs of SCS</w:t>
            </w:r>
            <w:r w:rsidR="00061527">
              <w:t xml:space="preserve"> in patients with chronic ischaemic pain</w:t>
            </w:r>
          </w:p>
        </w:tc>
        <w:tc>
          <w:tcPr>
            <w:tcW w:w="5953" w:type="dxa"/>
            <w:shd w:val="clear" w:color="auto" w:fill="auto"/>
          </w:tcPr>
          <w:p w14:paraId="7ED70095" w14:textId="1D3ACFA7" w:rsidR="005B2CF1" w:rsidRPr="006A0F68" w:rsidRDefault="00433C41" w:rsidP="00602CA8">
            <w:pPr>
              <w:pStyle w:val="051Tabletext228pt"/>
              <w:rPr>
                <w:b/>
              </w:rPr>
            </w:pPr>
            <w:r w:rsidRPr="006A0F68">
              <w:rPr>
                <w:b/>
              </w:rPr>
              <w:t>CLI</w:t>
            </w:r>
            <w:r w:rsidR="006A0F68">
              <w:rPr>
                <w:b/>
                <w:bCs/>
              </w:rPr>
              <w:br/>
            </w:r>
            <w:r w:rsidRPr="006A0F68">
              <w:rPr>
                <w:u w:val="single"/>
              </w:rPr>
              <w:t>Pain</w:t>
            </w:r>
            <w:r w:rsidR="006A0F68">
              <w:rPr>
                <w:b/>
                <w:u w:val="single"/>
              </w:rPr>
              <w:br/>
            </w:r>
            <w:r w:rsidR="00961B7E" w:rsidRPr="00B91318">
              <w:t>Non-significant at 6, 12 and 24 months</w:t>
            </w:r>
            <w:r w:rsidR="00961B7E">
              <w:t xml:space="preserve"> (1 study)</w:t>
            </w:r>
            <w:r w:rsidR="006A0F68">
              <w:br/>
            </w:r>
            <w:r w:rsidR="00961B7E" w:rsidRPr="006A0F68">
              <w:rPr>
                <w:u w:val="single"/>
              </w:rPr>
              <w:t>Limb survival</w:t>
            </w:r>
            <w:r w:rsidR="006A0F68">
              <w:rPr>
                <w:b/>
                <w:u w:val="single"/>
              </w:rPr>
              <w:br/>
            </w:r>
            <w:r w:rsidR="00F835E1">
              <w:t>N</w:t>
            </w:r>
            <w:r w:rsidR="00F835E1" w:rsidRPr="00F835E1">
              <w:t>on</w:t>
            </w:r>
            <w:r w:rsidR="00826ED6">
              <w:t>-significant</w:t>
            </w:r>
            <w:r w:rsidR="00F835E1" w:rsidRPr="00F835E1">
              <w:t xml:space="preserve"> relative risk of amputation at 18 months of 0.80 (95%CI 0.60 to 1.06) (risk difference -0.07 (95%CI -0.17 to 0.03) for SCS with reference to control)</w:t>
            </w:r>
            <w:r w:rsidR="00F835E1">
              <w:t xml:space="preserve"> (4 studies)</w:t>
            </w:r>
            <w:r w:rsidR="006A0F68">
              <w:br/>
            </w:r>
            <w:proofErr w:type="spellStart"/>
            <w:r w:rsidR="005B2CF1" w:rsidRPr="006A0F68">
              <w:rPr>
                <w:u w:val="single"/>
              </w:rPr>
              <w:t>HRQoL</w:t>
            </w:r>
            <w:proofErr w:type="spellEnd"/>
            <w:r w:rsidR="006A0F68">
              <w:rPr>
                <w:u w:val="single"/>
              </w:rPr>
              <w:br/>
            </w:r>
            <w:r w:rsidR="005B2CF1">
              <w:t>Non-significant difference at 6 and 18 months (1 trial)</w:t>
            </w:r>
          </w:p>
          <w:p w14:paraId="4C5462FB" w14:textId="181CA6A0" w:rsidR="003F7109" w:rsidRPr="006A0F68" w:rsidRDefault="005B2CF1" w:rsidP="00602CA8">
            <w:pPr>
              <w:pStyle w:val="051Tabletext228pt"/>
              <w:rPr>
                <w:b/>
              </w:rPr>
            </w:pPr>
            <w:r w:rsidRPr="006A0F68">
              <w:rPr>
                <w:b/>
              </w:rPr>
              <w:t>Angina</w:t>
            </w:r>
            <w:r w:rsidR="006A0F68">
              <w:rPr>
                <w:b/>
                <w:bCs/>
              </w:rPr>
              <w:br/>
            </w:r>
            <w:r w:rsidR="004412FE" w:rsidRPr="006A0F68">
              <w:rPr>
                <w:u w:val="single"/>
              </w:rPr>
              <w:t>Pain</w:t>
            </w:r>
            <w:r w:rsidR="006A0F68">
              <w:rPr>
                <w:b/>
                <w:u w:val="single"/>
              </w:rPr>
              <w:br/>
            </w:r>
            <w:r w:rsidR="004412FE">
              <w:t>Non-significant difference at 6-weeks (1 trial)</w:t>
            </w:r>
            <w:r w:rsidR="006A0F68">
              <w:rPr>
                <w:b/>
              </w:rPr>
              <w:br/>
            </w:r>
            <w:r w:rsidR="002B0C6F" w:rsidRPr="006A0F68">
              <w:rPr>
                <w:u w:val="single"/>
              </w:rPr>
              <w:t>Angina attacks</w:t>
            </w:r>
            <w:r w:rsidR="006A0F68">
              <w:rPr>
                <w:b/>
                <w:u w:val="single"/>
              </w:rPr>
              <w:br/>
            </w:r>
            <w:r w:rsidR="001B162C">
              <w:t>S</w:t>
            </w:r>
            <w:r w:rsidR="00761495" w:rsidRPr="00761495">
              <w:t xml:space="preserve">ignificantly reduced frequency of angina attacks in the SCS group compared with the </w:t>
            </w:r>
            <w:r w:rsidR="006A0F68">
              <w:t>n</w:t>
            </w:r>
            <w:r w:rsidR="00761495" w:rsidRPr="00761495">
              <w:t>o SCS group (p&lt;0.05) at 6-8 weeks (</w:t>
            </w:r>
            <w:proofErr w:type="spellStart"/>
            <w:r w:rsidR="00761495" w:rsidRPr="00761495">
              <w:t>deJongste</w:t>
            </w:r>
            <w:proofErr w:type="spellEnd"/>
            <w:r w:rsidR="00761495" w:rsidRPr="00761495">
              <w:t xml:space="preserve">), and the SCS compared with </w:t>
            </w:r>
            <w:r w:rsidR="00934D3A">
              <w:t>i</w:t>
            </w:r>
            <w:r w:rsidR="00761495" w:rsidRPr="00761495">
              <w:t>nactive stimulator at 6 weeks (p=0.01) (</w:t>
            </w:r>
            <w:proofErr w:type="spellStart"/>
            <w:r w:rsidR="00761495" w:rsidRPr="00761495">
              <w:t>Hautvast</w:t>
            </w:r>
            <w:proofErr w:type="spellEnd"/>
            <w:r w:rsidR="00761495" w:rsidRPr="00761495">
              <w:t xml:space="preserve">). </w:t>
            </w:r>
            <w:r w:rsidR="001B162C">
              <w:t>N</w:t>
            </w:r>
            <w:r w:rsidR="00761495" w:rsidRPr="00761495">
              <w:t>o difference between treatment groups, with a significant reduction in angina attacks for both the SCS and CABG groups at 6 months</w:t>
            </w:r>
            <w:r w:rsidR="005B4983">
              <w:t xml:space="preserve"> (ESBY)</w:t>
            </w:r>
            <w:r w:rsidR="00761495" w:rsidRPr="00761495">
              <w:t>.</w:t>
            </w:r>
            <w:r w:rsidR="006A0F68">
              <w:rPr>
                <w:b/>
              </w:rPr>
              <w:br/>
            </w:r>
            <w:r w:rsidR="003F7109" w:rsidRPr="003F7109">
              <w:t xml:space="preserve">Exercise testing of time to angina was significantly more improved in SCS than </w:t>
            </w:r>
            <w:r w:rsidR="00934D3A">
              <w:t>n</w:t>
            </w:r>
            <w:r w:rsidR="003F7109" w:rsidRPr="003F7109">
              <w:t>o SCS group (p&lt;0.05) (</w:t>
            </w:r>
            <w:proofErr w:type="spellStart"/>
            <w:r w:rsidR="003F7109" w:rsidRPr="003F7109">
              <w:t>deJongste</w:t>
            </w:r>
            <w:proofErr w:type="spellEnd"/>
            <w:r w:rsidR="003F7109" w:rsidRPr="003F7109">
              <w:t xml:space="preserve">), and in SCS than </w:t>
            </w:r>
            <w:r w:rsidR="00934D3A">
              <w:t>i</w:t>
            </w:r>
            <w:r w:rsidR="003F7109" w:rsidRPr="003F7109">
              <w:t>nactive stimulator (p=0.01) (</w:t>
            </w:r>
            <w:proofErr w:type="spellStart"/>
            <w:r w:rsidR="003F7109" w:rsidRPr="003F7109">
              <w:t>Hautvast</w:t>
            </w:r>
            <w:proofErr w:type="spellEnd"/>
            <w:r w:rsidR="003F7109" w:rsidRPr="003F7109">
              <w:t>), and in SCS than PMR at 3 months (p=0.028) although not significantly different at 12 months (</w:t>
            </w:r>
            <w:proofErr w:type="spellStart"/>
            <w:r w:rsidR="003F7109" w:rsidRPr="003F7109">
              <w:t>SPiRiT</w:t>
            </w:r>
            <w:proofErr w:type="spellEnd"/>
            <w:r w:rsidR="003F7109" w:rsidRPr="003F7109">
              <w:t>).</w:t>
            </w:r>
          </w:p>
          <w:p w14:paraId="40B1E8CF" w14:textId="3EFD3304" w:rsidR="003F7109" w:rsidRPr="00FF26AB" w:rsidRDefault="003F7109" w:rsidP="00602CA8">
            <w:pPr>
              <w:pStyle w:val="051Tabletext228pt"/>
              <w:rPr>
                <w:u w:val="single"/>
              </w:rPr>
            </w:pPr>
            <w:proofErr w:type="spellStart"/>
            <w:r w:rsidRPr="00FF26AB">
              <w:rPr>
                <w:u w:val="single"/>
              </w:rPr>
              <w:t>HRQoL</w:t>
            </w:r>
            <w:proofErr w:type="spellEnd"/>
            <w:r w:rsidR="00FF26AB">
              <w:rPr>
                <w:u w:val="single"/>
              </w:rPr>
              <w:br/>
            </w:r>
            <w:r w:rsidR="005C615D">
              <w:t>No significant difference between SCS and comparator (4 trials)</w:t>
            </w:r>
          </w:p>
        </w:tc>
        <w:tc>
          <w:tcPr>
            <w:tcW w:w="2663" w:type="dxa"/>
            <w:shd w:val="clear" w:color="auto" w:fill="auto"/>
          </w:tcPr>
          <w:p w14:paraId="600E7589" w14:textId="455E7716" w:rsidR="002430CC" w:rsidRDefault="00EF5510" w:rsidP="00EB75C1">
            <w:pPr>
              <w:pStyle w:val="051Tabletext228pt"/>
            </w:pPr>
            <w:r w:rsidRPr="00EF5510">
              <w:t>Trial evidence failed to demonstrate that pain relief in CLI was better for SCS than for CMM. Trial evidence suggested that SCS was effective in delaying angina pain onset during exercise at short-term follow-up, though not more so than coronary artery bypass grafting for those patients eligible for that surgery, although SCS was a relatively safe alternative to CABG.</w:t>
            </w:r>
          </w:p>
          <w:p w14:paraId="043D265E" w14:textId="3A691512" w:rsidR="003802D9" w:rsidRDefault="003802D9" w:rsidP="00EB75C1">
            <w:pPr>
              <w:pStyle w:val="051Tabletext228pt"/>
            </w:pPr>
            <w:r w:rsidRPr="003802D9">
              <w:t>Spinal cord stimulation is not recommended as a treatment option for adults with chronic pain of ischaemic origin except in the context of research as part of a clinical trial. Such research should be designed to generate robust evidence about the benefits of spinal cord stimulation (including pain relief, functional outcomes and quality of life) compared with standard care.</w:t>
            </w:r>
          </w:p>
        </w:tc>
      </w:tr>
    </w:tbl>
    <w:p w14:paraId="145C5AD6" w14:textId="128CFE13" w:rsidR="007D23E1" w:rsidRDefault="00F6305D" w:rsidP="009417E0">
      <w:pPr>
        <w:pStyle w:val="111Tablefootnoteslast-nostick8pt"/>
      </w:pPr>
      <w:r>
        <w:t xml:space="preserve">Abbreviations: </w:t>
      </w:r>
      <w:r w:rsidR="005425E6">
        <w:t xml:space="preserve">AEs, adverse events; </w:t>
      </w:r>
      <w:r w:rsidR="00934056">
        <w:t xml:space="preserve">CABG; </w:t>
      </w:r>
      <w:r w:rsidR="00A05A01">
        <w:t>coronary artery bypass grafting</w:t>
      </w:r>
      <w:r w:rsidR="005425E6">
        <w:t xml:space="preserve">; CI, confidence interval; </w:t>
      </w:r>
      <w:r w:rsidR="007473DA">
        <w:t xml:space="preserve">CLI, critical limb </w:t>
      </w:r>
      <w:proofErr w:type="spellStart"/>
      <w:r w:rsidR="007473DA">
        <w:t>ischaemia</w:t>
      </w:r>
      <w:proofErr w:type="spellEnd"/>
      <w:r w:rsidR="007473DA">
        <w:t xml:space="preserve">; </w:t>
      </w:r>
      <w:r w:rsidR="00AB25B8">
        <w:t xml:space="preserve">CMM, conventional medical management; </w:t>
      </w:r>
      <w:r w:rsidR="00F11C2B">
        <w:t xml:space="preserve">DRGS, dorsal root ganglion stimulation; </w:t>
      </w:r>
      <w:r w:rsidR="00AB25B8">
        <w:t xml:space="preserve">FBSS, failed back surgery syndrome; </w:t>
      </w:r>
      <w:r w:rsidR="00BA649B">
        <w:t>HF, high</w:t>
      </w:r>
      <w:r w:rsidR="002E524D">
        <w:t>-</w:t>
      </w:r>
      <w:r w:rsidR="00BA649B">
        <w:t xml:space="preserve">frequency; </w:t>
      </w:r>
      <w:proofErr w:type="spellStart"/>
      <w:r w:rsidR="007628C5">
        <w:t>HRQoL</w:t>
      </w:r>
      <w:proofErr w:type="spellEnd"/>
      <w:r w:rsidR="007628C5">
        <w:t>, health</w:t>
      </w:r>
      <w:r w:rsidR="00340CE3">
        <w:t>-</w:t>
      </w:r>
      <w:r w:rsidR="007628C5">
        <w:t xml:space="preserve">related quality of life; </w:t>
      </w:r>
      <w:r w:rsidR="00F315A4">
        <w:t xml:space="preserve">MD, mean difference; </w:t>
      </w:r>
      <w:r w:rsidR="00DE227C">
        <w:t xml:space="preserve">MMEs, morphine equivalents; </w:t>
      </w:r>
      <w:proofErr w:type="spellStart"/>
      <w:r w:rsidR="00AB25B8">
        <w:t>mo</w:t>
      </w:r>
      <w:proofErr w:type="spellEnd"/>
      <w:r w:rsidR="00AB25B8">
        <w:t xml:space="preserve">, months; </w:t>
      </w:r>
      <w:r w:rsidR="00F315A4">
        <w:t xml:space="preserve">N, population; </w:t>
      </w:r>
      <w:r w:rsidR="007473DA">
        <w:t xml:space="preserve">NHS, National Health Service; </w:t>
      </w:r>
      <w:r w:rsidR="00C87DF2">
        <w:t xml:space="preserve">NNTB, number needed to treat for an additional beneficial outcome; </w:t>
      </w:r>
      <w:r w:rsidR="003533EA">
        <w:t xml:space="preserve">NNTH, </w:t>
      </w:r>
      <w:r w:rsidR="00A05662">
        <w:t xml:space="preserve">number needed to treat for an </w:t>
      </w:r>
      <w:r w:rsidR="00DE0705">
        <w:t xml:space="preserve">additional harmful outcome; </w:t>
      </w:r>
      <w:r w:rsidR="007348AF">
        <w:t xml:space="preserve">NSAIDs, </w:t>
      </w:r>
      <w:r w:rsidR="00492AC7">
        <w:t xml:space="preserve">non-steroidal anti-inflammatory drugs; </w:t>
      </w:r>
      <w:r w:rsidR="00934056">
        <w:t>PMR, p</w:t>
      </w:r>
      <w:r w:rsidR="00934056" w:rsidRPr="00E83048">
        <w:t>olymyalgia rheumatica</w:t>
      </w:r>
      <w:r w:rsidR="00934056">
        <w:t xml:space="preserve">; </w:t>
      </w:r>
      <w:r w:rsidR="005D1065">
        <w:t>RCT, randomi</w:t>
      </w:r>
      <w:r w:rsidR="00375593">
        <w:t>s</w:t>
      </w:r>
      <w:r w:rsidR="005D1065">
        <w:t xml:space="preserve">ed controlled trial; </w:t>
      </w:r>
      <w:r w:rsidR="001E64DB">
        <w:t xml:space="preserve">RD, risk difference; </w:t>
      </w:r>
      <w:r w:rsidR="00F315A4">
        <w:t xml:space="preserve">RR, risk ratio; </w:t>
      </w:r>
      <w:r w:rsidR="00130F70">
        <w:t xml:space="preserve">SCS, spinal cord stimulation; </w:t>
      </w:r>
      <w:r w:rsidR="00577AB3">
        <w:t xml:space="preserve">VAS, visual analogue scale; </w:t>
      </w:r>
      <w:proofErr w:type="spellStart"/>
      <w:r w:rsidR="00AB25B8">
        <w:t>wks</w:t>
      </w:r>
      <w:proofErr w:type="spellEnd"/>
      <w:r w:rsidR="00AB25B8">
        <w:t xml:space="preserve">, weeks; </w:t>
      </w:r>
      <w:proofErr w:type="spellStart"/>
      <w:r w:rsidR="001C0847">
        <w:t>yrs</w:t>
      </w:r>
      <w:proofErr w:type="spellEnd"/>
      <w:r w:rsidR="001C0847">
        <w:t>, years</w:t>
      </w:r>
    </w:p>
    <w:p w14:paraId="7698AD06" w14:textId="62E9EEA2" w:rsidR="00B023A3" w:rsidRDefault="00892EFE" w:rsidP="00B023A3">
      <w:pPr>
        <w:pStyle w:val="Heading7"/>
      </w:pPr>
      <w:bookmarkStart w:id="203" w:name="_Ref134820176"/>
      <w:bookmarkStart w:id="204" w:name="_Toc165634704"/>
      <w:r>
        <w:lastRenderedPageBreak/>
        <w:t>Patient selection and management</w:t>
      </w:r>
      <w:bookmarkEnd w:id="203"/>
      <w:bookmarkEnd w:id="204"/>
    </w:p>
    <w:p w14:paraId="6FBF3CAE" w14:textId="736C1501" w:rsidR="00892EFE" w:rsidRDefault="00773DB9" w:rsidP="00134F9B">
      <w:pPr>
        <w:pStyle w:val="Heading8"/>
      </w:pPr>
      <w:bookmarkStart w:id="205" w:name="_Ref165633428"/>
      <w:bookmarkStart w:id="206" w:name="_Toc165634705"/>
      <w:r>
        <w:t>Included publications</w:t>
      </w:r>
      <w:bookmarkEnd w:id="205"/>
      <w:bookmarkEnd w:id="206"/>
    </w:p>
    <w:p w14:paraId="14E02951" w14:textId="757D24E9" w:rsidR="009F28E3" w:rsidRPr="009F28E3" w:rsidRDefault="009F28E3" w:rsidP="009F28E3">
      <w:pPr>
        <w:pStyle w:val="Caption"/>
      </w:pPr>
      <w:bookmarkStart w:id="207" w:name="_Ref134441613"/>
      <w:r>
        <w:t xml:space="preserve">Table App </w:t>
      </w:r>
      <w:fldSimple w:instr=" SEQ Table_App \* ARABIC ">
        <w:r w:rsidR="00CE6ACA">
          <w:rPr>
            <w:noProof/>
          </w:rPr>
          <w:t>24</w:t>
        </w:r>
      </w:fldSimple>
      <w:bookmarkEnd w:id="207"/>
      <w:r w:rsidR="00352F94">
        <w:tab/>
      </w:r>
      <w:r w:rsidR="00CD59D5">
        <w:t>Summary of included publications</w:t>
      </w:r>
      <w:r w:rsidR="00275244">
        <w:t xml:space="preserve"> for patient selection and management</w:t>
      </w:r>
    </w:p>
    <w:tbl>
      <w:tblPr>
        <w:tblStyle w:val="TableGrid"/>
        <w:tblW w:w="5000" w:type="pct"/>
        <w:tblLook w:val="04A0" w:firstRow="1" w:lastRow="0" w:firstColumn="1" w:lastColumn="0" w:noHBand="0" w:noVBand="1"/>
        <w:tblCaption w:val="Summary of included publications for patient selection and management"/>
        <w:tblDescription w:val="Table showing the industry funding, treatment, population, recommendation type, and development methodology of the included publications on patient selection and management."/>
      </w:tblPr>
      <w:tblGrid>
        <w:gridCol w:w="1702"/>
        <w:gridCol w:w="3401"/>
        <w:gridCol w:w="2127"/>
        <w:gridCol w:w="4933"/>
        <w:gridCol w:w="2407"/>
      </w:tblGrid>
      <w:tr w:rsidR="00636B2A" w14:paraId="636A379B" w14:textId="5FC32C4B" w:rsidTr="00890DB9">
        <w:trPr>
          <w:cnfStyle w:val="100000000000" w:firstRow="1" w:lastRow="0" w:firstColumn="0" w:lastColumn="0" w:oddVBand="0" w:evenVBand="0" w:oddHBand="0" w:evenHBand="0" w:firstRowFirstColumn="0" w:firstRowLastColumn="0" w:lastRowFirstColumn="0" w:lastRowLastColumn="0"/>
        </w:trPr>
        <w:tc>
          <w:tcPr>
            <w:tcW w:w="584" w:type="pct"/>
          </w:tcPr>
          <w:p w14:paraId="11B9838B" w14:textId="77777777" w:rsidR="00636B2A" w:rsidRDefault="00636B2A" w:rsidP="00D40D59">
            <w:pPr>
              <w:pStyle w:val="011TableHeading8pt"/>
            </w:pPr>
            <w:r>
              <w:t>Developer (Year)</w:t>
            </w:r>
            <w:r>
              <w:br/>
              <w:t>Country</w:t>
            </w:r>
          </w:p>
        </w:tc>
        <w:tc>
          <w:tcPr>
            <w:tcW w:w="1167" w:type="pct"/>
          </w:tcPr>
          <w:p w14:paraId="14F82844" w14:textId="3DC34F84" w:rsidR="00636B2A" w:rsidRDefault="00636B2A" w:rsidP="00D40D59">
            <w:pPr>
              <w:pStyle w:val="011TableHeading8pt"/>
            </w:pPr>
            <w:r>
              <w:t>Title</w:t>
            </w:r>
            <w:r>
              <w:br/>
              <w:t>Industry funding</w:t>
            </w:r>
          </w:p>
        </w:tc>
        <w:tc>
          <w:tcPr>
            <w:tcW w:w="730" w:type="pct"/>
          </w:tcPr>
          <w:p w14:paraId="3750F8EC" w14:textId="0B8260F4" w:rsidR="00636B2A" w:rsidRDefault="00185F57" w:rsidP="00D40D59">
            <w:pPr>
              <w:pStyle w:val="011TableHeading8pt"/>
            </w:pPr>
            <w:r>
              <w:t>Treatment</w:t>
            </w:r>
            <w:r w:rsidR="00636B2A">
              <w:br/>
              <w:t>Population</w:t>
            </w:r>
          </w:p>
        </w:tc>
        <w:tc>
          <w:tcPr>
            <w:tcW w:w="1693" w:type="pct"/>
          </w:tcPr>
          <w:p w14:paraId="0F2D7819" w14:textId="68BB6523" w:rsidR="00636B2A" w:rsidRDefault="00636B2A" w:rsidP="00D40D59">
            <w:pPr>
              <w:pStyle w:val="011TableHeading8pt"/>
            </w:pPr>
            <w:r>
              <w:t>Recommendation type</w:t>
            </w:r>
            <w:r>
              <w:br/>
              <w:t>Development methodology</w:t>
            </w:r>
          </w:p>
        </w:tc>
        <w:tc>
          <w:tcPr>
            <w:tcW w:w="826" w:type="pct"/>
          </w:tcPr>
          <w:p w14:paraId="5D872D75" w14:textId="5CF18C07" w:rsidR="00636B2A" w:rsidRDefault="00296093" w:rsidP="00D40D59">
            <w:pPr>
              <w:pStyle w:val="011TableHeading8pt"/>
            </w:pPr>
            <w:r>
              <w:t>Recommendation</w:t>
            </w:r>
            <w:r w:rsidR="00992167">
              <w:t xml:space="preserve"> category in report</w:t>
            </w:r>
          </w:p>
        </w:tc>
      </w:tr>
      <w:tr w:rsidR="00636B2A" w14:paraId="206C66BF" w14:textId="7CCA1266" w:rsidTr="00890DB9">
        <w:tc>
          <w:tcPr>
            <w:tcW w:w="584" w:type="pct"/>
          </w:tcPr>
          <w:p w14:paraId="7CE418BC" w14:textId="2F7875C5" w:rsidR="00636B2A" w:rsidRDefault="00636B2A" w:rsidP="00D40D59">
            <w:pPr>
              <w:pStyle w:val="051Tabletext228pt"/>
            </w:pPr>
            <w:r>
              <w:t>ASPN (202</w:t>
            </w:r>
            <w:r w:rsidR="005525CD">
              <w:t>2</w:t>
            </w:r>
            <w:r>
              <w:t>)</w:t>
            </w:r>
          </w:p>
          <w:p w14:paraId="5595E5EC" w14:textId="5B37BEFE" w:rsidR="00636B2A" w:rsidRDefault="00636B2A" w:rsidP="00D40D59">
            <w:pPr>
              <w:pStyle w:val="051Tabletext228pt"/>
              <w:rPr>
                <w:i/>
                <w:iCs/>
              </w:rPr>
            </w:pPr>
            <w:r>
              <w:rPr>
                <w:i/>
                <w:iCs/>
              </w:rPr>
              <w:t>(Sayed 202</w:t>
            </w:r>
            <w:r w:rsidR="0092434B">
              <w:rPr>
                <w:i/>
                <w:iCs/>
              </w:rPr>
              <w:t>2</w:t>
            </w:r>
            <w:r>
              <w:rPr>
                <w:i/>
                <w:iCs/>
              </w:rPr>
              <w:t>)</w:t>
            </w:r>
          </w:p>
          <w:p w14:paraId="72A271DD" w14:textId="77777777" w:rsidR="00636B2A" w:rsidRPr="0081388A" w:rsidRDefault="00636B2A" w:rsidP="00D40D59">
            <w:pPr>
              <w:pStyle w:val="051Tabletext228pt"/>
            </w:pPr>
            <w:r>
              <w:t>USA</w:t>
            </w:r>
          </w:p>
        </w:tc>
        <w:tc>
          <w:tcPr>
            <w:tcW w:w="1167" w:type="pct"/>
          </w:tcPr>
          <w:p w14:paraId="5CF71109" w14:textId="4B545999" w:rsidR="00636B2A" w:rsidRDefault="00636B2A" w:rsidP="00D40D59">
            <w:pPr>
              <w:pStyle w:val="051Tabletext228pt"/>
            </w:pPr>
            <w:r w:rsidRPr="00613098">
              <w:t xml:space="preserve">The American Society of Pain and Neuroscience (ASPN) </w:t>
            </w:r>
            <w:r w:rsidR="00613CC2">
              <w:t>e</w:t>
            </w:r>
            <w:r w:rsidRPr="00613098">
              <w:t>vidence-</w:t>
            </w:r>
            <w:r w:rsidR="00613CC2">
              <w:t>b</w:t>
            </w:r>
            <w:r w:rsidRPr="00613098">
              <w:t xml:space="preserve">ased </w:t>
            </w:r>
            <w:r w:rsidR="00613CC2">
              <w:t>c</w:t>
            </w:r>
            <w:r w:rsidRPr="00613098">
              <w:t xml:space="preserve">linical </w:t>
            </w:r>
            <w:r w:rsidR="00613CC2">
              <w:t>g</w:t>
            </w:r>
            <w:r w:rsidRPr="00613098">
              <w:t xml:space="preserve">uideline of </w:t>
            </w:r>
            <w:r w:rsidR="00613CC2">
              <w:t>i</w:t>
            </w:r>
            <w:r w:rsidRPr="00613098">
              <w:t xml:space="preserve">nterventional </w:t>
            </w:r>
            <w:r w:rsidR="00613CC2">
              <w:t>t</w:t>
            </w:r>
            <w:r w:rsidRPr="00613098">
              <w:t xml:space="preserve">reatments for </w:t>
            </w:r>
            <w:r w:rsidR="00613CC2">
              <w:t>l</w:t>
            </w:r>
            <w:r w:rsidRPr="00613098">
              <w:t xml:space="preserve">ow </w:t>
            </w:r>
            <w:r w:rsidR="00613CC2">
              <w:t>b</w:t>
            </w:r>
            <w:r w:rsidRPr="00613098">
              <w:t xml:space="preserve">ack </w:t>
            </w:r>
            <w:r w:rsidR="00613CC2">
              <w:t>p</w:t>
            </w:r>
            <w:r w:rsidRPr="00613098">
              <w:t>ain</w:t>
            </w:r>
          </w:p>
          <w:p w14:paraId="0D5579E3" w14:textId="77777777" w:rsidR="00636B2A" w:rsidRPr="00397AFA" w:rsidRDefault="00636B2A" w:rsidP="00D40D59">
            <w:pPr>
              <w:pStyle w:val="051Tabletext228pt"/>
              <w:rPr>
                <w:i/>
                <w:iCs/>
              </w:rPr>
            </w:pPr>
            <w:r>
              <w:rPr>
                <w:i/>
                <w:iCs/>
              </w:rPr>
              <w:t>No industry funding</w:t>
            </w:r>
          </w:p>
        </w:tc>
        <w:tc>
          <w:tcPr>
            <w:tcW w:w="730" w:type="pct"/>
          </w:tcPr>
          <w:p w14:paraId="142DAF06" w14:textId="77777777" w:rsidR="00185F57" w:rsidRDefault="00185F57" w:rsidP="00D40D59">
            <w:pPr>
              <w:pStyle w:val="051Tabletext228pt"/>
            </w:pPr>
            <w:r>
              <w:t>Suite of treatment options including SCS</w:t>
            </w:r>
          </w:p>
          <w:p w14:paraId="4FEBFC4A" w14:textId="35D3AA01" w:rsidR="00636B2A" w:rsidRDefault="003E5A25" w:rsidP="00D40D59">
            <w:pPr>
              <w:pStyle w:val="051Tabletext228pt"/>
            </w:pPr>
            <w:r>
              <w:t>LBP</w:t>
            </w:r>
          </w:p>
        </w:tc>
        <w:tc>
          <w:tcPr>
            <w:tcW w:w="1693" w:type="pct"/>
          </w:tcPr>
          <w:p w14:paraId="2331B75C" w14:textId="0BF62023" w:rsidR="00636B2A" w:rsidRDefault="00636B2A" w:rsidP="00D40D59">
            <w:pPr>
              <w:pStyle w:val="051Tabletext228pt"/>
            </w:pPr>
            <w:r>
              <w:t>Evidence-based</w:t>
            </w:r>
            <w:r>
              <w:br/>
            </w:r>
            <w:r w:rsidR="0029150B">
              <w:t xml:space="preserve">Recommendations from the </w:t>
            </w:r>
            <w:r w:rsidR="008B6A68" w:rsidRPr="00234582">
              <w:t>ASPN Back Group</w:t>
            </w:r>
            <w:r w:rsidR="008B6A68">
              <w:t xml:space="preserve"> (a multidisciplinary group of physicians)</w:t>
            </w:r>
            <w:r w:rsidR="006E67DB">
              <w:t>.</w:t>
            </w:r>
            <w:r>
              <w:br/>
            </w:r>
            <w:r w:rsidR="004B48AE">
              <w:t>A literature search i</w:t>
            </w:r>
            <w:r w:rsidRPr="00AC77E3">
              <w:t xml:space="preserve">dentified peer-reviewed literature </w:t>
            </w:r>
            <w:r w:rsidR="00632A54">
              <w:t xml:space="preserve">that </w:t>
            </w:r>
            <w:r w:rsidRPr="00AC77E3">
              <w:t>was critiqued using USPSTF criteria for quality of evidence, with modifications for interventional pain studies</w:t>
            </w:r>
            <w:r>
              <w:t xml:space="preserve">. </w:t>
            </w:r>
            <w:r w:rsidR="00EC43ED">
              <w:br/>
            </w:r>
            <w:r w:rsidR="005D4EC9">
              <w:t xml:space="preserve">RCT evidence was considered the </w:t>
            </w:r>
            <w:r w:rsidR="00632A54">
              <w:t>highest quality of evidence.</w:t>
            </w:r>
            <w:r w:rsidRPr="00234582">
              <w:t xml:space="preserve"> </w:t>
            </w:r>
          </w:p>
        </w:tc>
        <w:tc>
          <w:tcPr>
            <w:tcW w:w="826" w:type="pct"/>
          </w:tcPr>
          <w:p w14:paraId="2C6D788A" w14:textId="31BCD88D" w:rsidR="00636B2A" w:rsidRDefault="00824A0A" w:rsidP="00D40D59">
            <w:pPr>
              <w:pStyle w:val="051Tabletext228pt"/>
            </w:pPr>
            <w:r>
              <w:fldChar w:fldCharType="begin"/>
            </w:r>
            <w:r>
              <w:instrText xml:space="preserve"> REF _Ref134018103 \r \h </w:instrText>
            </w:r>
            <w:r>
              <w:fldChar w:fldCharType="separate"/>
            </w:r>
            <w:r w:rsidR="00CE6ACA">
              <w:t>5.2.1</w:t>
            </w:r>
            <w:r>
              <w:fldChar w:fldCharType="end"/>
            </w:r>
            <w:r>
              <w:t xml:space="preserve"> Clinical indications</w:t>
            </w:r>
          </w:p>
          <w:p w14:paraId="6F30DF8B" w14:textId="5BF75E81" w:rsidR="00824A0A" w:rsidRDefault="007A6E1F" w:rsidP="00D40D59">
            <w:pPr>
              <w:pStyle w:val="051Tabletext228pt"/>
            </w:pPr>
            <w:r>
              <w:fldChar w:fldCharType="begin"/>
            </w:r>
            <w:r>
              <w:instrText xml:space="preserve"> REF _Ref134521649 \h </w:instrText>
            </w:r>
            <w:r>
              <w:fldChar w:fldCharType="separate"/>
            </w:r>
            <w:r w:rsidR="00CE6ACA">
              <w:rPr>
                <w:rFonts w:eastAsia="Batang"/>
                <w:lang w:eastAsia="en-AU"/>
              </w:rPr>
              <w:t>Additional indications</w:t>
            </w:r>
            <w:r>
              <w:fldChar w:fldCharType="end"/>
            </w:r>
          </w:p>
        </w:tc>
      </w:tr>
      <w:tr w:rsidR="00636B2A" w14:paraId="5FFABB54" w14:textId="69BF96E7" w:rsidTr="00890DB9">
        <w:tc>
          <w:tcPr>
            <w:tcW w:w="584" w:type="pct"/>
          </w:tcPr>
          <w:p w14:paraId="79AE6043" w14:textId="0063C0D6" w:rsidR="00636B2A" w:rsidRDefault="00636B2A" w:rsidP="00D40D59">
            <w:pPr>
              <w:pStyle w:val="051Tabletext228pt"/>
            </w:pPr>
            <w:r>
              <w:t xml:space="preserve">Ziegler </w:t>
            </w:r>
            <w:r w:rsidR="002410E7">
              <w:t>(</w:t>
            </w:r>
            <w:r>
              <w:t>2022</w:t>
            </w:r>
            <w:r w:rsidR="000E1F52">
              <w:t>)</w:t>
            </w:r>
            <w:r w:rsidR="003123A2">
              <w:rPr>
                <w:vertAlign w:val="superscript"/>
              </w:rPr>
              <w:t>a</w:t>
            </w:r>
          </w:p>
          <w:p w14:paraId="31AFD0FE" w14:textId="77777777" w:rsidR="00636B2A" w:rsidRPr="00746348" w:rsidRDefault="00636B2A" w:rsidP="00D40D59">
            <w:pPr>
              <w:pStyle w:val="051Tabletext228pt"/>
              <w:rPr>
                <w:i/>
                <w:iCs/>
              </w:rPr>
            </w:pPr>
            <w:r>
              <w:t>Germany</w:t>
            </w:r>
          </w:p>
        </w:tc>
        <w:tc>
          <w:tcPr>
            <w:tcW w:w="1167" w:type="pct"/>
          </w:tcPr>
          <w:p w14:paraId="40F1746B" w14:textId="77777777" w:rsidR="00636B2A" w:rsidRDefault="00636B2A" w:rsidP="00D40D59">
            <w:pPr>
              <w:pStyle w:val="051Tabletext228pt"/>
            </w:pPr>
            <w:r w:rsidRPr="00065D88">
              <w:t>Screening, diagnosis and management of diabetic sensorimotor polyneuropathy in clinical practice: International expert consensus recommendations</w:t>
            </w:r>
          </w:p>
          <w:p w14:paraId="0A0C060A" w14:textId="77777777" w:rsidR="00636B2A" w:rsidRPr="00537F53" w:rsidRDefault="00636B2A" w:rsidP="00D40D59">
            <w:pPr>
              <w:pStyle w:val="051Tabletext228pt"/>
              <w:rPr>
                <w:i/>
                <w:iCs/>
              </w:rPr>
            </w:pPr>
            <w:r>
              <w:rPr>
                <w:i/>
                <w:iCs/>
              </w:rPr>
              <w:t xml:space="preserve">Sponsored by </w:t>
            </w:r>
            <w:proofErr w:type="spellStart"/>
            <w:r>
              <w:rPr>
                <w:i/>
                <w:iCs/>
              </w:rPr>
              <w:t>Worwag</w:t>
            </w:r>
            <w:proofErr w:type="spellEnd"/>
            <w:r>
              <w:rPr>
                <w:i/>
                <w:iCs/>
              </w:rPr>
              <w:t xml:space="preserve"> Pharma</w:t>
            </w:r>
          </w:p>
        </w:tc>
        <w:tc>
          <w:tcPr>
            <w:tcW w:w="730" w:type="pct"/>
          </w:tcPr>
          <w:p w14:paraId="3DAC3751" w14:textId="77777777" w:rsidR="005331B3" w:rsidRDefault="005331B3" w:rsidP="005331B3">
            <w:pPr>
              <w:pStyle w:val="051Tabletext228pt"/>
            </w:pPr>
            <w:r>
              <w:t>Suite of treatment options including SCS</w:t>
            </w:r>
          </w:p>
          <w:p w14:paraId="774BB1E0" w14:textId="69B51C28" w:rsidR="00636B2A" w:rsidRPr="003E570A" w:rsidRDefault="006E762F" w:rsidP="00D40D59">
            <w:pPr>
              <w:pStyle w:val="051Tabletext228pt"/>
              <w:rPr>
                <w:highlight w:val="yellow"/>
              </w:rPr>
            </w:pPr>
            <w:r w:rsidRPr="009D046F">
              <w:t>Diabetic sensorimotor polyneuropathy</w:t>
            </w:r>
          </w:p>
        </w:tc>
        <w:tc>
          <w:tcPr>
            <w:tcW w:w="1693" w:type="pct"/>
          </w:tcPr>
          <w:p w14:paraId="0A5066F5" w14:textId="45BC16CC" w:rsidR="00636B2A" w:rsidRDefault="00E462FC" w:rsidP="00D40D59">
            <w:pPr>
              <w:pStyle w:val="051Tabletext228pt"/>
            </w:pPr>
            <w:r>
              <w:t>Evidence-informed</w:t>
            </w:r>
            <w:r w:rsidR="00530185">
              <w:br/>
            </w:r>
            <w:r w:rsidR="0029150B">
              <w:t>Recommendations from a</w:t>
            </w:r>
            <w:r w:rsidR="00530185">
              <w:t xml:space="preserve"> panel of 14 diabetologists and 1 </w:t>
            </w:r>
            <w:r w:rsidR="006E67DB">
              <w:t>neurologist.</w:t>
            </w:r>
            <w:r w:rsidR="00636B2A">
              <w:br/>
              <w:t>Consensus recommendations were made from published data, where available, and</w:t>
            </w:r>
            <w:r w:rsidR="00636B2A" w:rsidDel="00CC73B3">
              <w:t xml:space="preserve"> </w:t>
            </w:r>
            <w:r w:rsidR="00CC73B3">
              <w:t xml:space="preserve">using </w:t>
            </w:r>
            <w:r w:rsidR="00636B2A">
              <w:t xml:space="preserve">the participating experts’ own clinical experience where evidence from clinical trials </w:t>
            </w:r>
            <w:r w:rsidR="00CC73B3">
              <w:t>wa</w:t>
            </w:r>
            <w:r w:rsidR="00636B2A">
              <w:t xml:space="preserve">s lacking. </w:t>
            </w:r>
            <w:r w:rsidR="00EC43ED">
              <w:br/>
            </w:r>
            <w:r w:rsidR="003123A2">
              <w:t>H</w:t>
            </w:r>
            <w:r w:rsidR="00EC43ED">
              <w:t>ierarchical approach considering evidence from systematic reviews, meta-analyses, single RCTs</w:t>
            </w:r>
            <w:r w:rsidR="006E67DB">
              <w:t>.</w:t>
            </w:r>
            <w:r w:rsidR="00EC43ED">
              <w:t xml:space="preserve"> </w:t>
            </w:r>
            <w:r w:rsidR="00001532">
              <w:br/>
              <w:t>The Delphi method was used to reach a consensus</w:t>
            </w:r>
            <w:r w:rsidR="006E67DB">
              <w:t>.</w:t>
            </w:r>
          </w:p>
        </w:tc>
        <w:tc>
          <w:tcPr>
            <w:tcW w:w="826" w:type="pct"/>
          </w:tcPr>
          <w:p w14:paraId="760D0830" w14:textId="27CE9F8F" w:rsidR="00636B2A" w:rsidRPr="003E570A" w:rsidRDefault="007A6E1F" w:rsidP="00D40D59">
            <w:pPr>
              <w:pStyle w:val="051Tabletext228pt"/>
              <w:rPr>
                <w:highlight w:val="yellow"/>
              </w:rPr>
            </w:pPr>
            <w:r>
              <w:fldChar w:fldCharType="begin"/>
            </w:r>
            <w:r>
              <w:rPr>
                <w:highlight w:val="yellow"/>
              </w:rPr>
              <w:instrText xml:space="preserve"> REF _Ref134521649 \h </w:instrText>
            </w:r>
            <w:r>
              <w:fldChar w:fldCharType="separate"/>
            </w:r>
            <w:r w:rsidR="00CE6ACA">
              <w:rPr>
                <w:rFonts w:eastAsia="Batang"/>
                <w:lang w:eastAsia="en-AU"/>
              </w:rPr>
              <w:t>Additional indications</w:t>
            </w:r>
            <w:r>
              <w:fldChar w:fldCharType="end"/>
            </w:r>
          </w:p>
        </w:tc>
      </w:tr>
      <w:tr w:rsidR="00636B2A" w14:paraId="1B32AC6F" w14:textId="16A8AA59" w:rsidTr="00890DB9">
        <w:tc>
          <w:tcPr>
            <w:tcW w:w="584" w:type="pct"/>
          </w:tcPr>
          <w:p w14:paraId="65085690" w14:textId="47C15E87" w:rsidR="000A2514" w:rsidRDefault="000A2514" w:rsidP="00D40D59">
            <w:pPr>
              <w:pStyle w:val="051Tabletext228pt"/>
            </w:pPr>
            <w:r>
              <w:t>Dutch Consensus</w:t>
            </w:r>
          </w:p>
          <w:p w14:paraId="30F170F7" w14:textId="681AB19C" w:rsidR="00636B2A" w:rsidRPr="00D77AFF" w:rsidRDefault="00D77AFF" w:rsidP="00D40D59">
            <w:pPr>
              <w:pStyle w:val="051Tabletext228pt"/>
              <w:rPr>
                <w:i/>
              </w:rPr>
            </w:pPr>
            <w:r w:rsidRPr="00D77AFF">
              <w:rPr>
                <w:i/>
                <w:iCs/>
              </w:rPr>
              <w:t>(</w:t>
            </w:r>
            <w:proofErr w:type="spellStart"/>
            <w:r w:rsidR="00636B2A" w:rsidRPr="00D77AFF">
              <w:rPr>
                <w:i/>
              </w:rPr>
              <w:t>Edelbroek</w:t>
            </w:r>
            <w:proofErr w:type="spellEnd"/>
            <w:r w:rsidR="00636B2A" w:rsidRPr="00D77AFF">
              <w:rPr>
                <w:i/>
              </w:rPr>
              <w:t xml:space="preserve"> 2022</w:t>
            </w:r>
            <w:r w:rsidR="000E1F52" w:rsidRPr="00D77AFF">
              <w:rPr>
                <w:i/>
              </w:rPr>
              <w:t>)</w:t>
            </w:r>
          </w:p>
          <w:p w14:paraId="39877957" w14:textId="77777777" w:rsidR="00636B2A" w:rsidRDefault="00636B2A" w:rsidP="00D40D59">
            <w:pPr>
              <w:pStyle w:val="051Tabletext228pt"/>
            </w:pPr>
            <w:r>
              <w:t>The Netherlands</w:t>
            </w:r>
          </w:p>
        </w:tc>
        <w:tc>
          <w:tcPr>
            <w:tcW w:w="1167" w:type="pct"/>
          </w:tcPr>
          <w:p w14:paraId="1D46CEA2" w14:textId="5239F1B7" w:rsidR="00636B2A" w:rsidRDefault="00636B2A" w:rsidP="00D40D59">
            <w:pPr>
              <w:pStyle w:val="051Tabletext228pt"/>
            </w:pPr>
            <w:r w:rsidRPr="00851808">
              <w:t xml:space="preserve">Dutch Consensus Paper: A </w:t>
            </w:r>
            <w:r w:rsidR="00613CC2">
              <w:t>c</w:t>
            </w:r>
            <w:r w:rsidRPr="00851808">
              <w:t xml:space="preserve">onsensus </w:t>
            </w:r>
            <w:r w:rsidR="00613CC2">
              <w:t>v</w:t>
            </w:r>
            <w:r w:rsidRPr="00851808">
              <w:t xml:space="preserve">iew on the </w:t>
            </w:r>
            <w:r w:rsidR="00613CC2">
              <w:t>p</w:t>
            </w:r>
            <w:r w:rsidRPr="00851808">
              <w:t xml:space="preserve">lace of </w:t>
            </w:r>
            <w:r w:rsidR="00613CC2">
              <w:t>n</w:t>
            </w:r>
            <w:r w:rsidRPr="00851808">
              <w:t xml:space="preserve">eurostimulation </w:t>
            </w:r>
            <w:r w:rsidR="00613CC2">
              <w:t>w</w:t>
            </w:r>
            <w:r w:rsidRPr="00851808">
              <w:t xml:space="preserve">ithin the </w:t>
            </w:r>
            <w:r w:rsidR="00613CC2">
              <w:t>t</w:t>
            </w:r>
            <w:r w:rsidRPr="00851808">
              <w:t xml:space="preserve">reatment </w:t>
            </w:r>
            <w:r w:rsidR="00613CC2">
              <w:t>a</w:t>
            </w:r>
            <w:r w:rsidRPr="00851808">
              <w:t xml:space="preserve">rsenal of </w:t>
            </w:r>
            <w:r w:rsidR="00613CC2">
              <w:t>f</w:t>
            </w:r>
            <w:r w:rsidRPr="00851808">
              <w:t xml:space="preserve">ive </w:t>
            </w:r>
            <w:r w:rsidR="00613CC2">
              <w:t>r</w:t>
            </w:r>
            <w:r w:rsidRPr="00851808">
              <w:t xml:space="preserve">eimbursed </w:t>
            </w:r>
            <w:r w:rsidR="00613CC2">
              <w:t>i</w:t>
            </w:r>
            <w:r w:rsidRPr="00851808">
              <w:t xml:space="preserve">ndications for </w:t>
            </w:r>
            <w:r w:rsidR="00613CC2">
              <w:t>n</w:t>
            </w:r>
            <w:r w:rsidRPr="00851808">
              <w:t>eurostimulation in The Netherlands</w:t>
            </w:r>
          </w:p>
          <w:p w14:paraId="4071D007" w14:textId="77777777" w:rsidR="00636B2A" w:rsidRPr="006D3EDE" w:rsidRDefault="00636B2A" w:rsidP="00D40D59">
            <w:pPr>
              <w:pStyle w:val="051Tabletext228pt"/>
              <w:rPr>
                <w:i/>
                <w:iCs/>
              </w:rPr>
            </w:pPr>
            <w:r>
              <w:rPr>
                <w:i/>
                <w:iCs/>
              </w:rPr>
              <w:t>No industry funding</w:t>
            </w:r>
          </w:p>
        </w:tc>
        <w:tc>
          <w:tcPr>
            <w:tcW w:w="730" w:type="pct"/>
          </w:tcPr>
          <w:p w14:paraId="15359828" w14:textId="77777777" w:rsidR="00636B2A" w:rsidRDefault="00207A0E" w:rsidP="00D40D59">
            <w:pPr>
              <w:pStyle w:val="051Tabletext228pt"/>
            </w:pPr>
            <w:r>
              <w:t>Neurostimulation (SCS, DRGS, ONS)</w:t>
            </w:r>
          </w:p>
          <w:p w14:paraId="00EF51D0" w14:textId="12C6E6E7" w:rsidR="00207A0E" w:rsidRDefault="001B4366" w:rsidP="00D40D59">
            <w:pPr>
              <w:pStyle w:val="051Tabletext228pt"/>
            </w:pPr>
            <w:r>
              <w:t>PSPS</w:t>
            </w:r>
            <w:r w:rsidR="00E26F2C">
              <w:t xml:space="preserve"> type 2 with arm or leg pain, CRPS, PDPN, other SFNs, medically refractory chronic cluster headache</w:t>
            </w:r>
          </w:p>
        </w:tc>
        <w:tc>
          <w:tcPr>
            <w:tcW w:w="1693" w:type="pct"/>
          </w:tcPr>
          <w:p w14:paraId="694678B4" w14:textId="7FB11C2B" w:rsidR="00636B2A" w:rsidRDefault="00636B2A" w:rsidP="00D40D59">
            <w:pPr>
              <w:pStyle w:val="051Tabletext228pt"/>
            </w:pPr>
            <w:r>
              <w:t>Consensus-based</w:t>
            </w:r>
            <w:r>
              <w:br/>
            </w:r>
            <w:r w:rsidR="0029150B">
              <w:t xml:space="preserve">Recommendations from a multidisciplinary </w:t>
            </w:r>
            <w:r>
              <w:t>scientific committee</w:t>
            </w:r>
            <w:r w:rsidR="006E67DB">
              <w:t>.</w:t>
            </w:r>
            <w:r w:rsidR="00D97921">
              <w:br/>
            </w:r>
            <w:r>
              <w:t xml:space="preserve">A narrative literature review </w:t>
            </w:r>
            <w:r w:rsidR="00F6073F">
              <w:t xml:space="preserve">and expert opinions were used to form </w:t>
            </w:r>
            <w:r w:rsidR="00CF7280">
              <w:t>a minimum of conservative treatments</w:t>
            </w:r>
          </w:p>
        </w:tc>
        <w:tc>
          <w:tcPr>
            <w:tcW w:w="826" w:type="pct"/>
          </w:tcPr>
          <w:p w14:paraId="41DB9256" w14:textId="7AEC175F" w:rsidR="00636B2A" w:rsidRDefault="00D11B9A" w:rsidP="00D40D59">
            <w:pPr>
              <w:pStyle w:val="051Tabletext228pt"/>
            </w:pPr>
            <w:r>
              <w:fldChar w:fldCharType="begin"/>
            </w:r>
            <w:r>
              <w:instrText xml:space="preserve"> REF _Ref134018103 \r \h </w:instrText>
            </w:r>
            <w:r>
              <w:fldChar w:fldCharType="separate"/>
            </w:r>
            <w:r w:rsidR="00CE6ACA">
              <w:t>5.2.1</w:t>
            </w:r>
            <w:r>
              <w:fldChar w:fldCharType="end"/>
            </w:r>
            <w:r>
              <w:t xml:space="preserve"> Clinical indications</w:t>
            </w:r>
          </w:p>
          <w:p w14:paraId="5F9BD4B9" w14:textId="75F55454" w:rsidR="00D11B9A" w:rsidRDefault="002219FA" w:rsidP="00D40D59">
            <w:pPr>
              <w:pStyle w:val="051Tabletext228pt"/>
            </w:pPr>
            <w:r>
              <w:fldChar w:fldCharType="begin"/>
            </w:r>
            <w:r>
              <w:instrText xml:space="preserve"> REF _Ref134521792 \n \h </w:instrText>
            </w:r>
            <w:r>
              <w:fldChar w:fldCharType="separate"/>
            </w:r>
            <w:r w:rsidR="00CE6ACA">
              <w:t>5.2.2</w:t>
            </w:r>
            <w:r>
              <w:fldChar w:fldCharType="end"/>
            </w:r>
            <w:r w:rsidR="00AB4CEF">
              <w:t xml:space="preserve"> </w:t>
            </w:r>
            <w:r w:rsidR="00F17D0B">
              <w:t>Eligibility criteria</w:t>
            </w:r>
          </w:p>
        </w:tc>
      </w:tr>
      <w:tr w:rsidR="00636B2A" w14:paraId="7732EC80" w14:textId="238836C6" w:rsidTr="00890DB9">
        <w:tc>
          <w:tcPr>
            <w:tcW w:w="584" w:type="pct"/>
          </w:tcPr>
          <w:p w14:paraId="020DD1CE" w14:textId="77777777" w:rsidR="00636B2A" w:rsidRDefault="00636B2A" w:rsidP="00D40D59">
            <w:pPr>
              <w:pStyle w:val="051Tabletext228pt"/>
            </w:pPr>
            <w:r>
              <w:t>NACC (2022)</w:t>
            </w:r>
          </w:p>
          <w:p w14:paraId="67367724" w14:textId="77777777" w:rsidR="00636B2A" w:rsidRDefault="00636B2A" w:rsidP="00D40D59">
            <w:pPr>
              <w:pStyle w:val="051Tabletext228pt"/>
              <w:rPr>
                <w:i/>
                <w:iCs/>
              </w:rPr>
            </w:pPr>
            <w:r>
              <w:rPr>
                <w:i/>
                <w:iCs/>
              </w:rPr>
              <w:t>(Deer 2022)</w:t>
            </w:r>
          </w:p>
          <w:p w14:paraId="2F859FD6" w14:textId="77777777" w:rsidR="00636B2A" w:rsidRPr="00CF3B89" w:rsidRDefault="00636B2A" w:rsidP="00D40D59">
            <w:pPr>
              <w:pStyle w:val="051Tabletext228pt"/>
            </w:pPr>
            <w:r>
              <w:t>USA</w:t>
            </w:r>
          </w:p>
        </w:tc>
        <w:tc>
          <w:tcPr>
            <w:tcW w:w="1167" w:type="pct"/>
          </w:tcPr>
          <w:p w14:paraId="3451939C" w14:textId="3A2ED3F2" w:rsidR="00636B2A" w:rsidRDefault="00636B2A" w:rsidP="00D40D59">
            <w:pPr>
              <w:pStyle w:val="051Tabletext228pt"/>
            </w:pPr>
            <w:r w:rsidRPr="001362B2">
              <w:t xml:space="preserve">The Neurostimulation Appropriateness Consensus Committee (NACC): Recommendations on </w:t>
            </w:r>
            <w:r w:rsidR="00613CC2">
              <w:t>b</w:t>
            </w:r>
            <w:r w:rsidRPr="001362B2">
              <w:t xml:space="preserve">est </w:t>
            </w:r>
            <w:r w:rsidR="00613CC2">
              <w:t>p</w:t>
            </w:r>
            <w:r w:rsidRPr="001362B2">
              <w:t xml:space="preserve">ractices for </w:t>
            </w:r>
            <w:r w:rsidR="00613CC2">
              <w:t>c</w:t>
            </w:r>
            <w:r w:rsidRPr="001362B2">
              <w:t xml:space="preserve">ervical </w:t>
            </w:r>
            <w:r w:rsidR="00613CC2">
              <w:t>n</w:t>
            </w:r>
            <w:r w:rsidRPr="001362B2">
              <w:t>eurostimulation</w:t>
            </w:r>
          </w:p>
          <w:p w14:paraId="38988A5C" w14:textId="77777777" w:rsidR="00636B2A" w:rsidRPr="00954CBA" w:rsidRDefault="00636B2A" w:rsidP="00D40D59">
            <w:pPr>
              <w:pStyle w:val="051Tabletext228pt"/>
              <w:rPr>
                <w:i/>
                <w:iCs/>
              </w:rPr>
            </w:pPr>
            <w:r>
              <w:rPr>
                <w:i/>
                <w:iCs/>
              </w:rPr>
              <w:t>Funded by the INS</w:t>
            </w:r>
          </w:p>
        </w:tc>
        <w:tc>
          <w:tcPr>
            <w:tcW w:w="730" w:type="pct"/>
          </w:tcPr>
          <w:p w14:paraId="3DDB8E92" w14:textId="77777777" w:rsidR="00636B2A" w:rsidRDefault="00D73E0B" w:rsidP="00D40D59">
            <w:pPr>
              <w:pStyle w:val="051Tabletext228pt"/>
            </w:pPr>
            <w:r>
              <w:t>Cervical SCS, cervical DRGS</w:t>
            </w:r>
          </w:p>
          <w:p w14:paraId="302C0FC4" w14:textId="17BFB593" w:rsidR="00131A73" w:rsidRDefault="00E94C53" w:rsidP="00D40D59">
            <w:pPr>
              <w:pStyle w:val="051Tabletext228pt"/>
            </w:pPr>
            <w:r>
              <w:t>Pain syndromes</w:t>
            </w:r>
          </w:p>
        </w:tc>
        <w:tc>
          <w:tcPr>
            <w:tcW w:w="1693" w:type="pct"/>
          </w:tcPr>
          <w:p w14:paraId="4F00B839" w14:textId="5BD82DB1" w:rsidR="00636B2A" w:rsidRDefault="001F6392" w:rsidP="00D40D59">
            <w:pPr>
              <w:pStyle w:val="051Tabletext228pt"/>
            </w:pPr>
            <w:r>
              <w:t>Evidence-</w:t>
            </w:r>
            <w:r w:rsidR="00F87300">
              <w:t>based</w:t>
            </w:r>
            <w:r w:rsidR="00636B2A">
              <w:br/>
            </w:r>
            <w:r w:rsidR="00EE671E">
              <w:t>A l</w:t>
            </w:r>
            <w:r w:rsidR="00636B2A">
              <w:t>iterature search was conducted from the last NACC published guidelines (2017)</w:t>
            </w:r>
            <w:r w:rsidR="00775A44">
              <w:br/>
            </w:r>
            <w:r w:rsidR="003F1717">
              <w:t>A literature search i</w:t>
            </w:r>
            <w:r w:rsidR="003F1717" w:rsidRPr="00AC77E3">
              <w:t xml:space="preserve">dentified peer-reviewed literature </w:t>
            </w:r>
            <w:r w:rsidR="003F1717">
              <w:t xml:space="preserve">that </w:t>
            </w:r>
            <w:r w:rsidR="003F1717" w:rsidRPr="00AC77E3">
              <w:t>was critiqued</w:t>
            </w:r>
            <w:r w:rsidR="00636B2A">
              <w:t xml:space="preserve"> using </w:t>
            </w:r>
            <w:r w:rsidR="00FC64D7">
              <w:t>USPSTF</w:t>
            </w:r>
            <w:r w:rsidR="00636B2A">
              <w:t xml:space="preserve"> criteria for </w:t>
            </w:r>
            <w:r w:rsidR="003F1717" w:rsidRPr="00AC77E3">
              <w:t xml:space="preserve">quality of </w:t>
            </w:r>
            <w:r w:rsidR="00636B2A">
              <w:t>evidence</w:t>
            </w:r>
            <w:r w:rsidR="003F1717" w:rsidRPr="00AC77E3">
              <w:t xml:space="preserve">, with modifications for </w:t>
            </w:r>
            <w:r w:rsidR="003F1717">
              <w:t>neurostimulation studies</w:t>
            </w:r>
            <w:r w:rsidR="00BD4215">
              <w:t>.</w:t>
            </w:r>
            <w:r w:rsidR="00775A44">
              <w:br/>
            </w:r>
            <w:r w:rsidR="00636B2A">
              <w:t xml:space="preserve">Recommendations </w:t>
            </w:r>
            <w:r w:rsidR="00EE671E">
              <w:t>we</w:t>
            </w:r>
            <w:r w:rsidR="00636B2A">
              <w:t xml:space="preserve">re based on the strength of evidence </w:t>
            </w:r>
            <w:r w:rsidR="004607B9">
              <w:t>(high, moderate low)</w:t>
            </w:r>
            <w:r w:rsidR="00636B2A">
              <w:t xml:space="preserve"> or consensus when evidence was scant</w:t>
            </w:r>
            <w:r w:rsidR="00EE671E">
              <w:t>.</w:t>
            </w:r>
          </w:p>
        </w:tc>
        <w:tc>
          <w:tcPr>
            <w:tcW w:w="826" w:type="pct"/>
          </w:tcPr>
          <w:p w14:paraId="424B65BC" w14:textId="469BB07F" w:rsidR="00BE1EA3" w:rsidRDefault="00BE1EA3" w:rsidP="00D40D59">
            <w:pPr>
              <w:pStyle w:val="051Tabletext228pt"/>
            </w:pPr>
            <w:r>
              <w:fldChar w:fldCharType="begin"/>
            </w:r>
            <w:r>
              <w:instrText xml:space="preserve"> REF _Ref134521649 \h </w:instrText>
            </w:r>
            <w:r>
              <w:fldChar w:fldCharType="separate"/>
            </w:r>
            <w:r w:rsidR="00CE6ACA">
              <w:rPr>
                <w:rFonts w:eastAsia="Batang"/>
                <w:lang w:eastAsia="en-AU"/>
              </w:rPr>
              <w:t>Additional indications</w:t>
            </w:r>
            <w:r>
              <w:fldChar w:fldCharType="end"/>
            </w:r>
          </w:p>
          <w:p w14:paraId="3BAA189B" w14:textId="61EA1A89" w:rsidR="007D0801" w:rsidRDefault="00EA5C98" w:rsidP="00D40D59">
            <w:pPr>
              <w:pStyle w:val="051Tabletext228pt"/>
            </w:pPr>
            <w:r>
              <w:fldChar w:fldCharType="begin"/>
            </w:r>
            <w:r>
              <w:instrText xml:space="preserve"> REF _Ref134020307 \r \h </w:instrText>
            </w:r>
            <w:r>
              <w:fldChar w:fldCharType="separate"/>
            </w:r>
            <w:r w:rsidR="00CE6ACA">
              <w:t>5.3.2</w:t>
            </w:r>
            <w:r>
              <w:fldChar w:fldCharType="end"/>
            </w:r>
            <w:r>
              <w:t xml:space="preserve"> Trial stimulation</w:t>
            </w:r>
          </w:p>
        </w:tc>
      </w:tr>
      <w:tr w:rsidR="00636B2A" w14:paraId="375A8AF2" w14:textId="3866283D" w:rsidTr="00890DB9">
        <w:tc>
          <w:tcPr>
            <w:tcW w:w="584" w:type="pct"/>
          </w:tcPr>
          <w:p w14:paraId="77A7EAA0" w14:textId="77777777" w:rsidR="00636B2A" w:rsidRDefault="00636B2A" w:rsidP="00D40D59">
            <w:pPr>
              <w:pStyle w:val="051Tabletext228pt"/>
            </w:pPr>
            <w:r>
              <w:t>FDA (2020)</w:t>
            </w:r>
          </w:p>
          <w:p w14:paraId="7FE0ED57" w14:textId="77777777" w:rsidR="00636B2A" w:rsidRPr="0067626B" w:rsidRDefault="00636B2A" w:rsidP="00D40D59">
            <w:pPr>
              <w:pStyle w:val="051Tabletext228pt"/>
            </w:pPr>
            <w:r>
              <w:t>USA</w:t>
            </w:r>
          </w:p>
        </w:tc>
        <w:tc>
          <w:tcPr>
            <w:tcW w:w="1167" w:type="pct"/>
          </w:tcPr>
          <w:p w14:paraId="72FE0E20" w14:textId="466FD99C" w:rsidR="00636B2A" w:rsidRDefault="00636B2A" w:rsidP="00D40D59">
            <w:pPr>
              <w:pStyle w:val="051Tabletext228pt"/>
            </w:pPr>
            <w:r w:rsidRPr="007D5368">
              <w:t xml:space="preserve">Conduct a </w:t>
            </w:r>
            <w:r w:rsidR="001E2D82">
              <w:t>t</w:t>
            </w:r>
            <w:r w:rsidRPr="007D5368">
              <w:t xml:space="preserve">rial </w:t>
            </w:r>
            <w:r w:rsidR="001E2D82">
              <w:t>s</w:t>
            </w:r>
            <w:r w:rsidRPr="007D5368">
              <w:t xml:space="preserve">timulation </w:t>
            </w:r>
            <w:r w:rsidR="00613CC2">
              <w:t>p</w:t>
            </w:r>
            <w:r w:rsidRPr="007D5368">
              <w:t xml:space="preserve">eriod </w:t>
            </w:r>
            <w:r w:rsidR="00613CC2">
              <w:t>b</w:t>
            </w:r>
            <w:r w:rsidRPr="007D5368">
              <w:t xml:space="preserve">efore </w:t>
            </w:r>
            <w:r w:rsidR="00613CC2">
              <w:t>i</w:t>
            </w:r>
            <w:r w:rsidRPr="007D5368">
              <w:t xml:space="preserve">mplanting a </w:t>
            </w:r>
            <w:r w:rsidR="00613CC2">
              <w:t>s</w:t>
            </w:r>
            <w:r w:rsidRPr="007D5368">
              <w:t xml:space="preserve">pinal </w:t>
            </w:r>
            <w:r w:rsidR="00613CC2">
              <w:t>c</w:t>
            </w:r>
            <w:r w:rsidRPr="007D5368">
              <w:t xml:space="preserve">ord </w:t>
            </w:r>
            <w:r w:rsidR="00613CC2">
              <w:t>s</w:t>
            </w:r>
            <w:r w:rsidRPr="007D5368">
              <w:t>timulator (SCS)</w:t>
            </w:r>
          </w:p>
          <w:p w14:paraId="1770D4A5" w14:textId="77777777" w:rsidR="00636B2A" w:rsidRPr="008263E6" w:rsidRDefault="00636B2A" w:rsidP="00D40D59">
            <w:pPr>
              <w:pStyle w:val="051Tabletext228pt"/>
              <w:rPr>
                <w:i/>
                <w:iCs/>
              </w:rPr>
            </w:pPr>
            <w:r>
              <w:rPr>
                <w:i/>
                <w:iCs/>
              </w:rPr>
              <w:t>NR</w:t>
            </w:r>
          </w:p>
        </w:tc>
        <w:tc>
          <w:tcPr>
            <w:tcW w:w="730" w:type="pct"/>
          </w:tcPr>
          <w:p w14:paraId="2FBA7291" w14:textId="77777777" w:rsidR="00513AA3" w:rsidRDefault="00513AA3" w:rsidP="00D40D59">
            <w:pPr>
              <w:pStyle w:val="051Tabletext228pt"/>
            </w:pPr>
            <w:r>
              <w:t>SCS</w:t>
            </w:r>
          </w:p>
          <w:p w14:paraId="1B9AFF16" w14:textId="6BCE29E1" w:rsidR="00962DEE" w:rsidRDefault="00962DEE" w:rsidP="00D40D59">
            <w:pPr>
              <w:pStyle w:val="051Tabletext228pt"/>
            </w:pPr>
            <w:r>
              <w:t>Chro</w:t>
            </w:r>
            <w:r w:rsidR="001E30AF">
              <w:t>nic pain of the trunk and limbs</w:t>
            </w:r>
          </w:p>
        </w:tc>
        <w:tc>
          <w:tcPr>
            <w:tcW w:w="1693" w:type="pct"/>
          </w:tcPr>
          <w:p w14:paraId="5E9A6A86" w14:textId="726A79C9" w:rsidR="00636B2A" w:rsidRDefault="00636B2A" w:rsidP="00D40D59">
            <w:pPr>
              <w:pStyle w:val="051Tabletext228pt"/>
            </w:pPr>
            <w:r>
              <w:t>Regulatory advice</w:t>
            </w:r>
            <w:r>
              <w:br/>
              <w:t xml:space="preserve">The FDA recently reviewed the MDRs received between </w:t>
            </w:r>
            <w:r w:rsidR="00925700">
              <w:t xml:space="preserve">27 </w:t>
            </w:r>
            <w:r>
              <w:t>July</w:t>
            </w:r>
            <w:r w:rsidDel="00925700">
              <w:t xml:space="preserve"> </w:t>
            </w:r>
            <w:r>
              <w:t xml:space="preserve">2016 and </w:t>
            </w:r>
            <w:r w:rsidR="00925700">
              <w:t xml:space="preserve">27 </w:t>
            </w:r>
            <w:r>
              <w:t>July</w:t>
            </w:r>
            <w:r w:rsidDel="00925700">
              <w:t xml:space="preserve"> </w:t>
            </w:r>
            <w:r>
              <w:t xml:space="preserve">2020 associated with </w:t>
            </w:r>
            <w:r w:rsidR="00925700">
              <w:t>SCS</w:t>
            </w:r>
            <w:r>
              <w:t xml:space="preserve"> devices intended for pain</w:t>
            </w:r>
            <w:r w:rsidR="00925700">
              <w:t>.</w:t>
            </w:r>
          </w:p>
        </w:tc>
        <w:tc>
          <w:tcPr>
            <w:tcW w:w="826" w:type="pct"/>
          </w:tcPr>
          <w:p w14:paraId="42226B8D" w14:textId="07B06D94" w:rsidR="00636B2A" w:rsidRDefault="00C2201E" w:rsidP="00D40D59">
            <w:pPr>
              <w:pStyle w:val="051Tabletext228pt"/>
            </w:pPr>
            <w:r>
              <w:fldChar w:fldCharType="begin"/>
            </w:r>
            <w:r>
              <w:instrText xml:space="preserve"> REF _Ref134020307 \r \h </w:instrText>
            </w:r>
            <w:r>
              <w:fldChar w:fldCharType="separate"/>
            </w:r>
            <w:r w:rsidR="00CE6ACA">
              <w:t>5.3.2</w:t>
            </w:r>
            <w:r>
              <w:fldChar w:fldCharType="end"/>
            </w:r>
            <w:r>
              <w:t xml:space="preserve"> Trial stimulation</w:t>
            </w:r>
          </w:p>
        </w:tc>
      </w:tr>
      <w:tr w:rsidR="00D57FC8" w14:paraId="06069B96" w14:textId="77777777" w:rsidTr="00890DB9">
        <w:tc>
          <w:tcPr>
            <w:tcW w:w="584" w:type="pct"/>
          </w:tcPr>
          <w:p w14:paraId="4B587EC7" w14:textId="573E036D" w:rsidR="00D57FC8" w:rsidRDefault="00D57FC8" w:rsidP="00D40D59">
            <w:pPr>
              <w:pStyle w:val="051Tabletext228pt"/>
            </w:pPr>
            <w:r>
              <w:t xml:space="preserve">Bates </w:t>
            </w:r>
            <w:r w:rsidR="000E1F52">
              <w:t>(</w:t>
            </w:r>
            <w:r>
              <w:t>2019</w:t>
            </w:r>
            <w:r w:rsidR="000E1F52">
              <w:t>)</w:t>
            </w:r>
          </w:p>
          <w:p w14:paraId="679137A6" w14:textId="5058C3D8" w:rsidR="00452068" w:rsidRDefault="00FE60E6" w:rsidP="00D40D59">
            <w:pPr>
              <w:pStyle w:val="051Tabletext228pt"/>
            </w:pPr>
            <w:r>
              <w:t>Australia</w:t>
            </w:r>
          </w:p>
        </w:tc>
        <w:tc>
          <w:tcPr>
            <w:tcW w:w="1167" w:type="pct"/>
          </w:tcPr>
          <w:p w14:paraId="74B3DDE9" w14:textId="73EDB328" w:rsidR="00D57FC8" w:rsidRDefault="00F50B5F" w:rsidP="00D40D59">
            <w:pPr>
              <w:pStyle w:val="051Tabletext228pt"/>
            </w:pPr>
            <w:r w:rsidRPr="00F50B5F">
              <w:t xml:space="preserve">A </w:t>
            </w:r>
            <w:r w:rsidR="001E2D82">
              <w:t>c</w:t>
            </w:r>
            <w:r w:rsidRPr="00F50B5F">
              <w:t xml:space="preserve">omprehensive </w:t>
            </w:r>
            <w:r w:rsidR="001E2D82">
              <w:t>a</w:t>
            </w:r>
            <w:r w:rsidRPr="00F50B5F">
              <w:t xml:space="preserve">lgorithm for </w:t>
            </w:r>
            <w:r w:rsidR="001E2D82">
              <w:t>m</w:t>
            </w:r>
            <w:r w:rsidRPr="00F50B5F">
              <w:t xml:space="preserve">anagement of </w:t>
            </w:r>
            <w:r w:rsidR="001E2D82">
              <w:t>n</w:t>
            </w:r>
            <w:r w:rsidRPr="00F50B5F">
              <w:t xml:space="preserve">europathic </w:t>
            </w:r>
            <w:r w:rsidR="001E2D82">
              <w:t>p</w:t>
            </w:r>
            <w:r w:rsidRPr="00F50B5F">
              <w:t>ain</w:t>
            </w:r>
          </w:p>
          <w:p w14:paraId="4910BECF" w14:textId="49AE0EDE" w:rsidR="00382962" w:rsidRPr="00382962" w:rsidRDefault="00382962" w:rsidP="00D40D59">
            <w:pPr>
              <w:pStyle w:val="051Tabletext228pt"/>
              <w:rPr>
                <w:i/>
                <w:iCs/>
              </w:rPr>
            </w:pPr>
            <w:r>
              <w:rPr>
                <w:i/>
                <w:iCs/>
              </w:rPr>
              <w:t>Funded by Abbott</w:t>
            </w:r>
          </w:p>
        </w:tc>
        <w:tc>
          <w:tcPr>
            <w:tcW w:w="730" w:type="pct"/>
          </w:tcPr>
          <w:p w14:paraId="20B03E29" w14:textId="77777777" w:rsidR="00D57FC8" w:rsidRDefault="00587F36" w:rsidP="00D40D59">
            <w:pPr>
              <w:pStyle w:val="051Tabletext228pt"/>
            </w:pPr>
            <w:r>
              <w:t>SCS</w:t>
            </w:r>
          </w:p>
          <w:p w14:paraId="2274ED6F" w14:textId="43D435A3" w:rsidR="00587F36" w:rsidRDefault="00587F36" w:rsidP="00D40D59">
            <w:pPr>
              <w:pStyle w:val="051Tabletext228pt"/>
            </w:pPr>
            <w:r>
              <w:t>Neuropathic pain</w:t>
            </w:r>
          </w:p>
        </w:tc>
        <w:tc>
          <w:tcPr>
            <w:tcW w:w="1693" w:type="pct"/>
          </w:tcPr>
          <w:p w14:paraId="7AC573D1" w14:textId="73310100" w:rsidR="00587F36" w:rsidRDefault="00587F36" w:rsidP="00BD06CF">
            <w:pPr>
              <w:pStyle w:val="051Tabletext228pt"/>
            </w:pPr>
            <w:r>
              <w:t>Adaptations from recommendations</w:t>
            </w:r>
            <w:r>
              <w:br/>
            </w:r>
            <w:r w:rsidR="00BD06CF">
              <w:t>All guidelines focused on the assessment of neuropathic pain</w:t>
            </w:r>
            <w:r w:rsidR="0095662A">
              <w:t>.</w:t>
            </w:r>
          </w:p>
        </w:tc>
        <w:tc>
          <w:tcPr>
            <w:tcW w:w="826" w:type="pct"/>
          </w:tcPr>
          <w:p w14:paraId="03F9177C" w14:textId="42629FF8" w:rsidR="00D57FC8" w:rsidRDefault="008547D1" w:rsidP="00D40D59">
            <w:pPr>
              <w:pStyle w:val="051Tabletext228pt"/>
            </w:pPr>
            <w:r>
              <w:fldChar w:fldCharType="begin"/>
            </w:r>
            <w:r>
              <w:instrText xml:space="preserve"> REF _Ref134204369 \n \h </w:instrText>
            </w:r>
            <w:r>
              <w:fldChar w:fldCharType="separate"/>
            </w:r>
            <w:r w:rsidR="00CE6ACA">
              <w:t>5.3</w:t>
            </w:r>
            <w:r>
              <w:fldChar w:fldCharType="end"/>
            </w:r>
            <w:r>
              <w:t xml:space="preserve"> </w:t>
            </w:r>
            <w:r w:rsidR="00A44D18">
              <w:t>Management pathways</w:t>
            </w:r>
          </w:p>
        </w:tc>
      </w:tr>
      <w:tr w:rsidR="00636B2A" w14:paraId="72BAC22E" w14:textId="7F4F4205" w:rsidTr="00890DB9">
        <w:tc>
          <w:tcPr>
            <w:tcW w:w="584" w:type="pct"/>
          </w:tcPr>
          <w:p w14:paraId="2791380A" w14:textId="77777777" w:rsidR="00636B2A" w:rsidRDefault="00636B2A" w:rsidP="00D40D59">
            <w:pPr>
              <w:pStyle w:val="051Tabletext228pt"/>
            </w:pPr>
            <w:r>
              <w:lastRenderedPageBreak/>
              <w:t>NACC (2019)</w:t>
            </w:r>
          </w:p>
          <w:p w14:paraId="091F8E1C" w14:textId="77777777" w:rsidR="00636B2A" w:rsidRDefault="00636B2A" w:rsidP="00D40D59">
            <w:pPr>
              <w:pStyle w:val="051Tabletext228pt"/>
              <w:rPr>
                <w:i/>
                <w:iCs/>
              </w:rPr>
            </w:pPr>
            <w:r>
              <w:rPr>
                <w:i/>
                <w:iCs/>
              </w:rPr>
              <w:t>(Deer 2019)</w:t>
            </w:r>
          </w:p>
          <w:p w14:paraId="1A9B7DAC" w14:textId="77777777" w:rsidR="00636B2A" w:rsidRPr="00C73B89" w:rsidRDefault="00636B2A" w:rsidP="00D40D59">
            <w:pPr>
              <w:pStyle w:val="051Tabletext228pt"/>
            </w:pPr>
            <w:r w:rsidRPr="00C73B89">
              <w:t>USA</w:t>
            </w:r>
          </w:p>
        </w:tc>
        <w:tc>
          <w:tcPr>
            <w:tcW w:w="1167" w:type="pct"/>
          </w:tcPr>
          <w:p w14:paraId="63FBCB51" w14:textId="6FED606B" w:rsidR="00636B2A" w:rsidRDefault="00636B2A" w:rsidP="00D40D59">
            <w:pPr>
              <w:pStyle w:val="051Tabletext228pt"/>
            </w:pPr>
            <w:r w:rsidRPr="006D3EDE">
              <w:t xml:space="preserve">The Neuromodulation Appropriateness Consensus Committee on </w:t>
            </w:r>
            <w:r w:rsidR="006324C5">
              <w:t>b</w:t>
            </w:r>
            <w:r w:rsidRPr="006D3EDE">
              <w:t xml:space="preserve">est </w:t>
            </w:r>
            <w:r w:rsidR="006324C5">
              <w:t>p</w:t>
            </w:r>
            <w:r w:rsidRPr="006D3EDE">
              <w:t xml:space="preserve">ractices for </w:t>
            </w:r>
            <w:r w:rsidR="001E2D82">
              <w:t>d</w:t>
            </w:r>
            <w:r w:rsidRPr="006D3EDE">
              <w:t xml:space="preserve">orsal </w:t>
            </w:r>
            <w:r w:rsidR="001E2D82">
              <w:t>r</w:t>
            </w:r>
            <w:r w:rsidRPr="006D3EDE">
              <w:t xml:space="preserve">oot </w:t>
            </w:r>
            <w:r w:rsidR="001E2D82">
              <w:t>g</w:t>
            </w:r>
            <w:r w:rsidRPr="006D3EDE">
              <w:t xml:space="preserve">anglion </w:t>
            </w:r>
            <w:r w:rsidR="001E2D82">
              <w:t>s</w:t>
            </w:r>
            <w:r w:rsidRPr="006D3EDE">
              <w:t>timulation</w:t>
            </w:r>
          </w:p>
          <w:p w14:paraId="5A30FD7C" w14:textId="447D88E6" w:rsidR="00A814B9" w:rsidRDefault="00A814B9" w:rsidP="00D40D59">
            <w:pPr>
              <w:pStyle w:val="051Tabletext228pt"/>
            </w:pPr>
            <w:r>
              <w:rPr>
                <w:i/>
                <w:iCs/>
              </w:rPr>
              <w:t>Funded by the INS</w:t>
            </w:r>
          </w:p>
        </w:tc>
        <w:tc>
          <w:tcPr>
            <w:tcW w:w="730" w:type="pct"/>
          </w:tcPr>
          <w:p w14:paraId="4D1AAAB7" w14:textId="77777777" w:rsidR="00010638" w:rsidRDefault="00626A4C" w:rsidP="00D40D59">
            <w:pPr>
              <w:pStyle w:val="051Tabletext228pt"/>
            </w:pPr>
            <w:r>
              <w:t>DRGS</w:t>
            </w:r>
          </w:p>
          <w:p w14:paraId="58C1BCC9" w14:textId="6E22E428" w:rsidR="00636B2A" w:rsidRDefault="006F16FC" w:rsidP="00D40D59">
            <w:pPr>
              <w:pStyle w:val="051Tabletext228pt"/>
            </w:pPr>
            <w:r>
              <w:t xml:space="preserve">CRPS, DPN, </w:t>
            </w:r>
            <w:r w:rsidR="00BB3686">
              <w:t>other peripheral neuropathies, post</w:t>
            </w:r>
            <w:r w:rsidR="00A60D5E">
              <w:t>-surgical</w:t>
            </w:r>
            <w:r w:rsidR="00BB3686">
              <w:t xml:space="preserve"> pain</w:t>
            </w:r>
            <w:r w:rsidR="000E6C7A">
              <w:t xml:space="preserve">, pelvic pain, groin pain, phantom limb and stump pain, </w:t>
            </w:r>
            <w:r w:rsidR="001D2020">
              <w:t>postherp</w:t>
            </w:r>
            <w:r w:rsidR="00A73530">
              <w:t>etic neuralgia</w:t>
            </w:r>
          </w:p>
        </w:tc>
        <w:tc>
          <w:tcPr>
            <w:tcW w:w="1693" w:type="pct"/>
          </w:tcPr>
          <w:p w14:paraId="24795B42" w14:textId="2A9CD040" w:rsidR="00636B2A" w:rsidRDefault="000D50B2" w:rsidP="0035271D">
            <w:pPr>
              <w:pStyle w:val="051Tabletext228pt"/>
            </w:pPr>
            <w:r>
              <w:t>Evidence-based</w:t>
            </w:r>
            <w:r w:rsidR="00290AF3">
              <w:br/>
            </w:r>
            <w:r w:rsidR="00532C7D">
              <w:t xml:space="preserve">Recommendations from </w:t>
            </w:r>
            <w:r w:rsidR="00AA3353">
              <w:t>an international multidisci</w:t>
            </w:r>
            <w:r w:rsidR="00702218">
              <w:t>plinary panel of experts.</w:t>
            </w:r>
            <w:r w:rsidR="002C6523">
              <w:br/>
            </w:r>
            <w:r w:rsidR="00F33367">
              <w:t>A comprehensive literature</w:t>
            </w:r>
            <w:r w:rsidR="0035271D">
              <w:t xml:space="preserve"> search and </w:t>
            </w:r>
            <w:r w:rsidR="00C1296C">
              <w:t>systematic evaluation</w:t>
            </w:r>
            <w:r w:rsidR="0035271D">
              <w:t xml:space="preserve"> of evidence </w:t>
            </w:r>
            <w:r w:rsidR="008A2CBF">
              <w:t xml:space="preserve">identified studies </w:t>
            </w:r>
            <w:r w:rsidR="00C1296C">
              <w:t xml:space="preserve">that </w:t>
            </w:r>
            <w:r w:rsidR="00C1296C" w:rsidRPr="00AC77E3">
              <w:t>w</w:t>
            </w:r>
            <w:r w:rsidR="008A2CBF">
              <w:t>ere</w:t>
            </w:r>
            <w:r w:rsidR="00C1296C" w:rsidRPr="00AC77E3">
              <w:t xml:space="preserve"> critiqued</w:t>
            </w:r>
            <w:r w:rsidR="00C1296C">
              <w:t xml:space="preserve"> using</w:t>
            </w:r>
            <w:r w:rsidR="00F20092">
              <w:t xml:space="preserve"> modified Pain Physician</w:t>
            </w:r>
            <w:r w:rsidR="00086DE6">
              <w:t xml:space="preserve"> </w:t>
            </w:r>
            <w:r w:rsidR="0035271D">
              <w:t xml:space="preserve">criteria </w:t>
            </w:r>
            <w:r w:rsidR="00635556">
              <w:t>and</w:t>
            </w:r>
            <w:r w:rsidR="00C1296C">
              <w:t xml:space="preserve"> </w:t>
            </w:r>
            <w:r w:rsidR="00BE2F2F">
              <w:t>USPSTF</w:t>
            </w:r>
            <w:r w:rsidR="00C1296C">
              <w:t xml:space="preserve"> criteria for </w:t>
            </w:r>
            <w:r w:rsidR="00C1296C" w:rsidRPr="00AC77E3">
              <w:t xml:space="preserve">quality of </w:t>
            </w:r>
            <w:r w:rsidR="00C1296C">
              <w:t>evidence</w:t>
            </w:r>
            <w:r w:rsidR="00571409">
              <w:t>.</w:t>
            </w:r>
          </w:p>
        </w:tc>
        <w:tc>
          <w:tcPr>
            <w:tcW w:w="826" w:type="pct"/>
          </w:tcPr>
          <w:p w14:paraId="1C15AAAD" w14:textId="799C851D" w:rsidR="00636B2A" w:rsidRDefault="00E0328C" w:rsidP="00D40D59">
            <w:pPr>
              <w:pStyle w:val="051Tabletext228pt"/>
            </w:pPr>
            <w:r>
              <w:fldChar w:fldCharType="begin"/>
            </w:r>
            <w:r>
              <w:instrText xml:space="preserve"> REF _Ref134018103 \r \h </w:instrText>
            </w:r>
            <w:r>
              <w:fldChar w:fldCharType="separate"/>
            </w:r>
            <w:r w:rsidR="00CE6ACA">
              <w:t>5.2.1</w:t>
            </w:r>
            <w:r>
              <w:fldChar w:fldCharType="end"/>
            </w:r>
            <w:r w:rsidR="002409C5">
              <w:t xml:space="preserve"> Clinical indications</w:t>
            </w:r>
          </w:p>
          <w:p w14:paraId="3A1A7446" w14:textId="45EF6830" w:rsidR="002409C5" w:rsidRDefault="00C008BF" w:rsidP="00D40D59">
            <w:pPr>
              <w:pStyle w:val="051Tabletext228pt"/>
            </w:pPr>
            <w:r>
              <w:fldChar w:fldCharType="begin"/>
            </w:r>
            <w:r>
              <w:instrText xml:space="preserve"> REF _Ref134522106 \n \h </w:instrText>
            </w:r>
            <w:r>
              <w:fldChar w:fldCharType="separate"/>
            </w:r>
            <w:r w:rsidR="00CE6ACA">
              <w:t>5.2.2</w:t>
            </w:r>
            <w:r>
              <w:fldChar w:fldCharType="end"/>
            </w:r>
            <w:r>
              <w:t xml:space="preserve"> </w:t>
            </w:r>
            <w:r w:rsidR="002409C5">
              <w:t>Eligibility criteria</w:t>
            </w:r>
          </w:p>
          <w:p w14:paraId="7DF2B766" w14:textId="2A3E0DED" w:rsidR="002409C5" w:rsidRDefault="00157386" w:rsidP="00D40D59">
            <w:pPr>
              <w:pStyle w:val="051Tabletext228pt"/>
            </w:pPr>
            <w:r>
              <w:fldChar w:fldCharType="begin"/>
            </w:r>
            <w:r>
              <w:instrText xml:space="preserve"> REF _Ref134023625 \r \h </w:instrText>
            </w:r>
            <w:r>
              <w:fldChar w:fldCharType="separate"/>
            </w:r>
            <w:r w:rsidR="00CE6ACA">
              <w:t>5.2.3</w:t>
            </w:r>
            <w:r>
              <w:fldChar w:fldCharType="end"/>
            </w:r>
            <w:r>
              <w:t xml:space="preserve"> Patients unsuitable for </w:t>
            </w:r>
            <w:r w:rsidR="00CE3EDE">
              <w:t>spinal cord stimulation</w:t>
            </w:r>
          </w:p>
          <w:p w14:paraId="661E97D6" w14:textId="53F3889D" w:rsidR="00157386" w:rsidRDefault="00B61E07" w:rsidP="00D40D59">
            <w:pPr>
              <w:pStyle w:val="051Tabletext228pt"/>
            </w:pPr>
            <w:r>
              <w:fldChar w:fldCharType="begin"/>
            </w:r>
            <w:r>
              <w:instrText xml:space="preserve"> REF _Ref134023667 \r \h </w:instrText>
            </w:r>
            <w:r>
              <w:fldChar w:fldCharType="separate"/>
            </w:r>
            <w:r w:rsidR="00CE6ACA">
              <w:t>5.3.1</w:t>
            </w:r>
            <w:r>
              <w:fldChar w:fldCharType="end"/>
            </w:r>
            <w:r>
              <w:t xml:space="preserve"> Types of spinal cord stimulation</w:t>
            </w:r>
          </w:p>
          <w:p w14:paraId="1EA4BB72" w14:textId="0B68695E" w:rsidR="00B61E07" w:rsidRDefault="00CE3EDE" w:rsidP="00D40D59">
            <w:pPr>
              <w:pStyle w:val="051Tabletext228pt"/>
            </w:pPr>
            <w:r>
              <w:fldChar w:fldCharType="begin"/>
            </w:r>
            <w:r>
              <w:instrText xml:space="preserve"> REF _Ref134020307 \r \h </w:instrText>
            </w:r>
            <w:r>
              <w:fldChar w:fldCharType="separate"/>
            </w:r>
            <w:r w:rsidR="00CE6ACA">
              <w:t>5.3.2</w:t>
            </w:r>
            <w:r>
              <w:fldChar w:fldCharType="end"/>
            </w:r>
            <w:r>
              <w:t xml:space="preserve"> Trial stimulation</w:t>
            </w:r>
          </w:p>
        </w:tc>
      </w:tr>
      <w:tr w:rsidR="00636B2A" w14:paraId="4F039E11" w14:textId="4A0E8D55" w:rsidTr="00890DB9">
        <w:tc>
          <w:tcPr>
            <w:tcW w:w="584" w:type="pct"/>
          </w:tcPr>
          <w:p w14:paraId="0120AFF9" w14:textId="77777777" w:rsidR="00636B2A" w:rsidRDefault="00405827" w:rsidP="00D40D59">
            <w:pPr>
              <w:pStyle w:val="051Tabletext228pt"/>
            </w:pPr>
            <w:r>
              <w:t>NICE</w:t>
            </w:r>
            <w:r w:rsidR="00C73B89">
              <w:t xml:space="preserve"> (2019)</w:t>
            </w:r>
          </w:p>
          <w:p w14:paraId="01B8642A" w14:textId="7C990CC8" w:rsidR="00C73B89" w:rsidRDefault="00C73B89" w:rsidP="00D40D59">
            <w:pPr>
              <w:pStyle w:val="051Tabletext228pt"/>
            </w:pPr>
            <w:r>
              <w:t>UK</w:t>
            </w:r>
          </w:p>
        </w:tc>
        <w:tc>
          <w:tcPr>
            <w:tcW w:w="1167" w:type="pct"/>
          </w:tcPr>
          <w:p w14:paraId="2AA48E5D" w14:textId="77777777" w:rsidR="00636B2A" w:rsidRDefault="006D3EA4" w:rsidP="00D40D59">
            <w:pPr>
              <w:pStyle w:val="051Tabletext228pt"/>
            </w:pPr>
            <w:r w:rsidRPr="006D3EA4">
              <w:t>Senza spinal cord stimulation system for delivering HF10 therapy to treat chronic neuropathic pain</w:t>
            </w:r>
          </w:p>
          <w:p w14:paraId="19E73FB4" w14:textId="6682909B" w:rsidR="005E089B" w:rsidRPr="005E089B" w:rsidRDefault="00ED00B5" w:rsidP="00D40D59">
            <w:pPr>
              <w:pStyle w:val="051Tabletext228pt"/>
              <w:rPr>
                <w:i/>
                <w:iCs/>
              </w:rPr>
            </w:pPr>
            <w:r>
              <w:rPr>
                <w:i/>
                <w:iCs/>
              </w:rPr>
              <w:t xml:space="preserve">UK </w:t>
            </w:r>
            <w:r w:rsidR="00080906">
              <w:rPr>
                <w:i/>
                <w:iCs/>
              </w:rPr>
              <w:t>Government</w:t>
            </w:r>
          </w:p>
        </w:tc>
        <w:tc>
          <w:tcPr>
            <w:tcW w:w="730" w:type="pct"/>
          </w:tcPr>
          <w:p w14:paraId="57AB94B8" w14:textId="77777777" w:rsidR="00010638" w:rsidRDefault="001D64AC" w:rsidP="00D40D59">
            <w:pPr>
              <w:pStyle w:val="051Tabletext228pt"/>
            </w:pPr>
            <w:r>
              <w:t>Senza HF10 SCS system</w:t>
            </w:r>
          </w:p>
          <w:p w14:paraId="20487BBB" w14:textId="057E41B6" w:rsidR="00636B2A" w:rsidRDefault="001D64AC" w:rsidP="00D40D59">
            <w:pPr>
              <w:pStyle w:val="051Tabletext228pt"/>
            </w:pPr>
            <w:r>
              <w:t>Chronic neuropathic pain</w:t>
            </w:r>
          </w:p>
        </w:tc>
        <w:tc>
          <w:tcPr>
            <w:tcW w:w="1693" w:type="pct"/>
          </w:tcPr>
          <w:p w14:paraId="5783A8D2" w14:textId="1A17AC7F" w:rsidR="00636B2A" w:rsidRDefault="00587EE7" w:rsidP="00D40D59">
            <w:pPr>
              <w:pStyle w:val="051Tabletext228pt"/>
            </w:pPr>
            <w:r>
              <w:t>Evidence-based</w:t>
            </w:r>
            <w:r w:rsidR="00BF6B12">
              <w:br/>
            </w:r>
            <w:r w:rsidR="0067276C">
              <w:t xml:space="preserve">A </w:t>
            </w:r>
            <w:r w:rsidR="00743051">
              <w:t>com</w:t>
            </w:r>
            <w:r w:rsidR="00BD68D2">
              <w:t xml:space="preserve">prehensive </w:t>
            </w:r>
            <w:r w:rsidR="0067276C">
              <w:t xml:space="preserve">literature </w:t>
            </w:r>
            <w:r w:rsidR="005D6800">
              <w:t>review</w:t>
            </w:r>
            <w:r w:rsidR="0067276C">
              <w:t xml:space="preserve"> </w:t>
            </w:r>
            <w:r w:rsidR="001965E3">
              <w:t>to identify the highest quality available published evidence relating to the clinical effectiveness of the medical technology.</w:t>
            </w:r>
            <w:r w:rsidR="001965E3">
              <w:br/>
            </w:r>
            <w:r w:rsidR="00BD68D2" w:rsidRPr="002F585D">
              <w:rPr>
                <w:rFonts w:eastAsia="Calibri"/>
              </w:rPr>
              <w:t>Economic analyses were performed to model cost</w:t>
            </w:r>
            <w:r w:rsidR="002D10C6">
              <w:rPr>
                <w:rFonts w:eastAsia="Calibri"/>
              </w:rPr>
              <w:t>-</w:t>
            </w:r>
            <w:r w:rsidR="00BD68D2" w:rsidRPr="002F585D">
              <w:rPr>
                <w:rFonts w:eastAsia="Calibri"/>
              </w:rPr>
              <w:t>effectiveness and cost</w:t>
            </w:r>
            <w:r w:rsidR="008870A5">
              <w:rPr>
                <w:rFonts w:eastAsia="Calibri"/>
              </w:rPr>
              <w:t>-</w:t>
            </w:r>
            <w:r w:rsidR="00BD68D2" w:rsidRPr="002F585D">
              <w:rPr>
                <w:rFonts w:eastAsia="Calibri"/>
              </w:rPr>
              <w:t>utility.</w:t>
            </w:r>
            <w:r w:rsidR="001965E3">
              <w:br/>
            </w:r>
            <w:r w:rsidR="00717EED">
              <w:t>Critical appraisal of the evidence using an assessment form suitable for the type of evidence.</w:t>
            </w:r>
            <w:r w:rsidR="00BD68D2">
              <w:br/>
              <w:t xml:space="preserve">Consideration by a multidisciplinary panel and broad </w:t>
            </w:r>
            <w:r w:rsidR="00FB241B">
              <w:t>consultation</w:t>
            </w:r>
            <w:r w:rsidR="00717EED">
              <w:t>.</w:t>
            </w:r>
          </w:p>
        </w:tc>
        <w:tc>
          <w:tcPr>
            <w:tcW w:w="826" w:type="pct"/>
          </w:tcPr>
          <w:p w14:paraId="2B50CC33" w14:textId="529C3A9C" w:rsidR="00636B2A" w:rsidRDefault="00625012" w:rsidP="00D40D59">
            <w:pPr>
              <w:pStyle w:val="051Tabletext228pt"/>
            </w:pPr>
            <w:r>
              <w:fldChar w:fldCharType="begin"/>
            </w:r>
            <w:r>
              <w:instrText xml:space="preserve"> REF _Ref134024977 \r \h </w:instrText>
            </w:r>
            <w:r>
              <w:fldChar w:fldCharType="separate"/>
            </w:r>
            <w:r w:rsidR="00CE6ACA">
              <w:t>5.3.1</w:t>
            </w:r>
            <w:r>
              <w:fldChar w:fldCharType="end"/>
            </w:r>
            <w:r>
              <w:t xml:space="preserve"> </w:t>
            </w:r>
            <w:r w:rsidR="004D46F3">
              <w:t>Types of spinal cord stimulation</w:t>
            </w:r>
          </w:p>
        </w:tc>
      </w:tr>
      <w:tr w:rsidR="004D46F3" w14:paraId="274281C6" w14:textId="77777777" w:rsidTr="00890DB9">
        <w:tc>
          <w:tcPr>
            <w:tcW w:w="584" w:type="pct"/>
          </w:tcPr>
          <w:p w14:paraId="6EEC2336" w14:textId="77777777" w:rsidR="004D46F3" w:rsidRDefault="005649C4" w:rsidP="00D40D59">
            <w:pPr>
              <w:pStyle w:val="051Tabletext228pt"/>
            </w:pPr>
            <w:r>
              <w:t>SIGN (2018)</w:t>
            </w:r>
          </w:p>
          <w:p w14:paraId="076753CD" w14:textId="3D30CD13" w:rsidR="005649C4" w:rsidRDefault="005649C4" w:rsidP="00D40D59">
            <w:pPr>
              <w:pStyle w:val="051Tabletext228pt"/>
            </w:pPr>
            <w:r>
              <w:t>UK</w:t>
            </w:r>
          </w:p>
        </w:tc>
        <w:tc>
          <w:tcPr>
            <w:tcW w:w="1167" w:type="pct"/>
          </w:tcPr>
          <w:p w14:paraId="1D589BAD" w14:textId="77777777" w:rsidR="004D46F3" w:rsidRDefault="005649C4" w:rsidP="00D40D59">
            <w:pPr>
              <w:pStyle w:val="051Tabletext228pt"/>
            </w:pPr>
            <w:r w:rsidRPr="005649C4">
              <w:t>Management of stable angina</w:t>
            </w:r>
          </w:p>
          <w:p w14:paraId="220688C3" w14:textId="05E4D323" w:rsidR="00F521C6" w:rsidRPr="00F521C6" w:rsidRDefault="00866020" w:rsidP="00D40D59">
            <w:pPr>
              <w:pStyle w:val="051Tabletext228pt"/>
              <w:rPr>
                <w:i/>
                <w:iCs/>
              </w:rPr>
            </w:pPr>
            <w:r w:rsidRPr="00866020">
              <w:rPr>
                <w:i/>
                <w:iCs/>
              </w:rPr>
              <w:t>Scottish Government</w:t>
            </w:r>
          </w:p>
        </w:tc>
        <w:tc>
          <w:tcPr>
            <w:tcW w:w="730" w:type="pct"/>
          </w:tcPr>
          <w:p w14:paraId="559EDCA2" w14:textId="77777777" w:rsidR="004D46F3" w:rsidRDefault="004D1C97" w:rsidP="00D40D59">
            <w:pPr>
              <w:pStyle w:val="051Tabletext228pt"/>
            </w:pPr>
            <w:r>
              <w:t>Suite of treatment options including SCS</w:t>
            </w:r>
          </w:p>
          <w:p w14:paraId="6FB95789" w14:textId="3D7D3DE5" w:rsidR="002F1421" w:rsidRDefault="002F1421" w:rsidP="00D40D59">
            <w:pPr>
              <w:pStyle w:val="051Tabletext228pt"/>
            </w:pPr>
            <w:r>
              <w:t>Stable angina</w:t>
            </w:r>
          </w:p>
        </w:tc>
        <w:tc>
          <w:tcPr>
            <w:tcW w:w="1693" w:type="pct"/>
          </w:tcPr>
          <w:p w14:paraId="3460138A" w14:textId="3C40199A" w:rsidR="004D46F3" w:rsidRDefault="00E04BF0" w:rsidP="00B82ABA">
            <w:pPr>
              <w:pStyle w:val="051Tabletext228pt"/>
            </w:pPr>
            <w:r>
              <w:t>Evidence-based</w:t>
            </w:r>
            <w:r>
              <w:br/>
            </w:r>
            <w:r w:rsidR="00AA27B4">
              <w:t xml:space="preserve">Recommendations from a </w:t>
            </w:r>
            <w:r w:rsidR="00B82ABA">
              <w:t xml:space="preserve">multidisciplinary </w:t>
            </w:r>
            <w:r w:rsidR="00AA27B4">
              <w:t>group</w:t>
            </w:r>
            <w:r w:rsidR="00962E47">
              <w:t xml:space="preserve"> </w:t>
            </w:r>
            <w:r w:rsidR="00B82ABA">
              <w:t>of healthcare professionals</w:t>
            </w:r>
            <w:r w:rsidR="00FA57F6">
              <w:t>.</w:t>
            </w:r>
            <w:r w:rsidR="00AA27B4">
              <w:br/>
            </w:r>
            <w:r w:rsidR="00FA57F6">
              <w:t>Standard</w:t>
            </w:r>
            <w:r w:rsidR="00B82ABA">
              <w:t xml:space="preserve"> systematic review of the</w:t>
            </w:r>
            <w:r w:rsidR="00962E47">
              <w:t xml:space="preserve"> </w:t>
            </w:r>
            <w:r w:rsidR="00B82ABA">
              <w:t>evidence</w:t>
            </w:r>
            <w:r w:rsidR="00742621">
              <w:t>.</w:t>
            </w:r>
          </w:p>
        </w:tc>
        <w:tc>
          <w:tcPr>
            <w:tcW w:w="826" w:type="pct"/>
          </w:tcPr>
          <w:p w14:paraId="64DA56D8" w14:textId="53E7D22A" w:rsidR="004D46F3" w:rsidRDefault="00CD0C70" w:rsidP="00D40D59">
            <w:pPr>
              <w:pStyle w:val="051Tabletext228pt"/>
            </w:pPr>
            <w:r>
              <w:fldChar w:fldCharType="begin"/>
            </w:r>
            <w:r>
              <w:instrText xml:space="preserve"> REF _Ref134023625 \r \h </w:instrText>
            </w:r>
            <w:r>
              <w:fldChar w:fldCharType="separate"/>
            </w:r>
            <w:r w:rsidR="00CE6ACA">
              <w:t>5.2.3</w:t>
            </w:r>
            <w:r>
              <w:fldChar w:fldCharType="end"/>
            </w:r>
            <w:r>
              <w:t xml:space="preserve"> Patients unsuitable for spinal cord stimulation</w:t>
            </w:r>
          </w:p>
        </w:tc>
      </w:tr>
      <w:tr w:rsidR="00835699" w14:paraId="46F38DD7" w14:textId="77777777" w:rsidTr="00890DB9">
        <w:tc>
          <w:tcPr>
            <w:tcW w:w="584" w:type="pct"/>
          </w:tcPr>
          <w:p w14:paraId="4CF5CE22" w14:textId="47D26943" w:rsidR="00A22622" w:rsidRDefault="000006B2" w:rsidP="00D40D59">
            <w:pPr>
              <w:pStyle w:val="051Tabletext228pt"/>
            </w:pPr>
            <w:r>
              <w:t xml:space="preserve">EAN </w:t>
            </w:r>
            <w:r w:rsidR="00214F13">
              <w:t>(2016)</w:t>
            </w:r>
          </w:p>
          <w:p w14:paraId="6A66D909" w14:textId="6AC51D94" w:rsidR="00835699" w:rsidRPr="00214F13" w:rsidRDefault="00214F13" w:rsidP="00D40D59">
            <w:pPr>
              <w:pStyle w:val="051Tabletext228pt"/>
              <w:rPr>
                <w:i/>
              </w:rPr>
            </w:pPr>
            <w:r w:rsidRPr="00214F13">
              <w:rPr>
                <w:i/>
                <w:iCs/>
              </w:rPr>
              <w:t>(</w:t>
            </w:r>
            <w:proofErr w:type="spellStart"/>
            <w:r w:rsidR="00680B2C" w:rsidRPr="00214F13">
              <w:rPr>
                <w:i/>
              </w:rPr>
              <w:t>Cruccu</w:t>
            </w:r>
            <w:proofErr w:type="spellEnd"/>
            <w:r w:rsidR="00680B2C" w:rsidRPr="00214F13">
              <w:rPr>
                <w:i/>
              </w:rPr>
              <w:t xml:space="preserve"> 2016)</w:t>
            </w:r>
          </w:p>
          <w:p w14:paraId="5E53C548" w14:textId="4F231EC1" w:rsidR="00680B2C" w:rsidRDefault="00167729" w:rsidP="00D40D59">
            <w:pPr>
              <w:pStyle w:val="051Tabletext228pt"/>
            </w:pPr>
            <w:r>
              <w:t>Europe</w:t>
            </w:r>
          </w:p>
        </w:tc>
        <w:tc>
          <w:tcPr>
            <w:tcW w:w="1167" w:type="pct"/>
          </w:tcPr>
          <w:p w14:paraId="29615A19" w14:textId="77777777" w:rsidR="00835699" w:rsidRDefault="005F2121" w:rsidP="00D40D59">
            <w:pPr>
              <w:pStyle w:val="051Tabletext228pt"/>
            </w:pPr>
            <w:r w:rsidRPr="005F2121">
              <w:t>EAN guidelines on central neurostimulation therapy in chronic pain conditions</w:t>
            </w:r>
          </w:p>
          <w:p w14:paraId="4EC43D50" w14:textId="33F0936F" w:rsidR="005F2121" w:rsidRPr="005F2121" w:rsidRDefault="005F2121" w:rsidP="00D40D59">
            <w:pPr>
              <w:pStyle w:val="051Tabletext228pt"/>
              <w:rPr>
                <w:i/>
                <w:iCs/>
              </w:rPr>
            </w:pPr>
            <w:r>
              <w:rPr>
                <w:i/>
                <w:iCs/>
              </w:rPr>
              <w:t xml:space="preserve">Funded by </w:t>
            </w:r>
            <w:r w:rsidR="0035598C">
              <w:rPr>
                <w:i/>
                <w:iCs/>
              </w:rPr>
              <w:t>EFNS-</w:t>
            </w:r>
            <w:r>
              <w:rPr>
                <w:i/>
                <w:iCs/>
              </w:rPr>
              <w:t>EAN</w:t>
            </w:r>
          </w:p>
        </w:tc>
        <w:tc>
          <w:tcPr>
            <w:tcW w:w="730" w:type="pct"/>
          </w:tcPr>
          <w:p w14:paraId="1AE5C17E" w14:textId="77777777" w:rsidR="00C93CA5" w:rsidRDefault="0052246B" w:rsidP="00D40D59">
            <w:pPr>
              <w:pStyle w:val="051Tabletext228pt"/>
            </w:pPr>
            <w:r>
              <w:t>Neurostimulation including SCS</w:t>
            </w:r>
          </w:p>
          <w:p w14:paraId="5970FDF4" w14:textId="01C57B08" w:rsidR="00C93CA5" w:rsidRDefault="00C93CA5" w:rsidP="00D40D59">
            <w:pPr>
              <w:pStyle w:val="051Tabletext228pt"/>
            </w:pPr>
            <w:r>
              <w:t>Chronic pain conditions</w:t>
            </w:r>
          </w:p>
        </w:tc>
        <w:tc>
          <w:tcPr>
            <w:tcW w:w="1693" w:type="pct"/>
          </w:tcPr>
          <w:p w14:paraId="5ECB55F3" w14:textId="5A8D8AC7" w:rsidR="00835699" w:rsidRDefault="00DC6E59" w:rsidP="009C09EA">
            <w:pPr>
              <w:pStyle w:val="051Tabletext228pt"/>
            </w:pPr>
            <w:r>
              <w:t>Evidence-based</w:t>
            </w:r>
            <w:r w:rsidR="009C09EA">
              <w:br/>
              <w:t xml:space="preserve">A systematic review and meta-analysis of trials published was conducted. </w:t>
            </w:r>
            <w:r w:rsidR="00564DBB">
              <w:br/>
            </w:r>
            <w:r w:rsidR="009C09EA">
              <w:t>GRADE was used to assess quality of evidence and propose recommendations.</w:t>
            </w:r>
          </w:p>
        </w:tc>
        <w:tc>
          <w:tcPr>
            <w:tcW w:w="826" w:type="pct"/>
          </w:tcPr>
          <w:p w14:paraId="74DCA769" w14:textId="7C858FC7" w:rsidR="00835699" w:rsidRDefault="00AC684D" w:rsidP="00D40D59">
            <w:pPr>
              <w:pStyle w:val="051Tabletext228pt"/>
            </w:pPr>
            <w:r>
              <w:fldChar w:fldCharType="begin"/>
            </w:r>
            <w:r>
              <w:instrText xml:space="preserve"> REF _Ref134206344 \n \h </w:instrText>
            </w:r>
            <w:r>
              <w:fldChar w:fldCharType="separate"/>
            </w:r>
            <w:r w:rsidR="00CE6ACA">
              <w:t>5.2.1</w:t>
            </w:r>
            <w:r>
              <w:fldChar w:fldCharType="end"/>
            </w:r>
            <w:r>
              <w:t xml:space="preserve"> Clinical indications</w:t>
            </w:r>
          </w:p>
          <w:p w14:paraId="39AD4317" w14:textId="652DAC2D" w:rsidR="00AC684D" w:rsidRDefault="00C008BF" w:rsidP="00D40D59">
            <w:pPr>
              <w:pStyle w:val="051Tabletext228pt"/>
            </w:pPr>
            <w:r>
              <w:fldChar w:fldCharType="begin"/>
            </w:r>
            <w:r>
              <w:instrText xml:space="preserve"> REF _Ref134522129 \n \h </w:instrText>
            </w:r>
            <w:r>
              <w:fldChar w:fldCharType="separate"/>
            </w:r>
            <w:r w:rsidR="00CE6ACA">
              <w:t>5.2.2</w:t>
            </w:r>
            <w:r>
              <w:fldChar w:fldCharType="end"/>
            </w:r>
            <w:r>
              <w:t xml:space="preserve"> </w:t>
            </w:r>
            <w:r w:rsidR="007A77AC">
              <w:t>Eligibility criteria</w:t>
            </w:r>
          </w:p>
        </w:tc>
      </w:tr>
      <w:tr w:rsidR="00151E78" w14:paraId="1F26369D" w14:textId="77777777" w:rsidTr="00890DB9">
        <w:tc>
          <w:tcPr>
            <w:tcW w:w="584" w:type="pct"/>
          </w:tcPr>
          <w:p w14:paraId="13DE38AA" w14:textId="77777777" w:rsidR="00151E78" w:rsidRDefault="009A46E0" w:rsidP="00D40D59">
            <w:pPr>
              <w:pStyle w:val="051Tabletext228pt"/>
            </w:pPr>
            <w:r>
              <w:t>NACC (2014)</w:t>
            </w:r>
          </w:p>
          <w:p w14:paraId="4116ED9D" w14:textId="77777777" w:rsidR="009A46E0" w:rsidRDefault="009A46E0" w:rsidP="00D40D59">
            <w:pPr>
              <w:pStyle w:val="051Tabletext228pt"/>
              <w:rPr>
                <w:i/>
                <w:iCs/>
              </w:rPr>
            </w:pPr>
            <w:r>
              <w:rPr>
                <w:i/>
                <w:iCs/>
              </w:rPr>
              <w:t>(Deer 2014)</w:t>
            </w:r>
          </w:p>
          <w:p w14:paraId="08C61B5F" w14:textId="3D5832B0" w:rsidR="009A46E0" w:rsidRPr="009A46E0" w:rsidRDefault="009A46E0" w:rsidP="00D40D59">
            <w:pPr>
              <w:pStyle w:val="051Tabletext228pt"/>
            </w:pPr>
            <w:r>
              <w:t>USA</w:t>
            </w:r>
          </w:p>
        </w:tc>
        <w:tc>
          <w:tcPr>
            <w:tcW w:w="1167" w:type="pct"/>
          </w:tcPr>
          <w:p w14:paraId="26E995C6" w14:textId="3E2255A9" w:rsidR="00151E78" w:rsidRDefault="00355989" w:rsidP="00D40D59">
            <w:pPr>
              <w:pStyle w:val="051Tabletext228pt"/>
            </w:pPr>
            <w:r w:rsidRPr="00355989">
              <w:t xml:space="preserve">The appropriate use of neurostimulation of the spinal cord and peripheral nervous system for the treatment of chronic pain and ischemic diseases: The </w:t>
            </w:r>
            <w:r w:rsidR="003975C0">
              <w:t>N</w:t>
            </w:r>
            <w:r w:rsidRPr="00355989">
              <w:t xml:space="preserve">euromodulation </w:t>
            </w:r>
            <w:r w:rsidR="003975C0">
              <w:t>A</w:t>
            </w:r>
            <w:r w:rsidRPr="00355989">
              <w:t xml:space="preserve">ppropriateness </w:t>
            </w:r>
            <w:r w:rsidR="003975C0">
              <w:t>C</w:t>
            </w:r>
            <w:r w:rsidRPr="00355989">
              <w:t xml:space="preserve">onsensus </w:t>
            </w:r>
            <w:r w:rsidR="003975C0">
              <w:t>C</w:t>
            </w:r>
            <w:r w:rsidRPr="00355989">
              <w:t>ommittee</w:t>
            </w:r>
          </w:p>
          <w:p w14:paraId="3314B759" w14:textId="70D0B2A1" w:rsidR="006A3C48" w:rsidRPr="006A3C48" w:rsidRDefault="006A3C48" w:rsidP="00D40D59">
            <w:pPr>
              <w:pStyle w:val="051Tabletext228pt"/>
              <w:rPr>
                <w:i/>
                <w:iCs/>
              </w:rPr>
            </w:pPr>
            <w:r>
              <w:rPr>
                <w:i/>
                <w:iCs/>
              </w:rPr>
              <w:t>NR</w:t>
            </w:r>
          </w:p>
        </w:tc>
        <w:tc>
          <w:tcPr>
            <w:tcW w:w="730" w:type="pct"/>
          </w:tcPr>
          <w:p w14:paraId="0F8749A1" w14:textId="694FF843" w:rsidR="00151E78" w:rsidRDefault="00861398" w:rsidP="00D40D59">
            <w:pPr>
              <w:pStyle w:val="051Tabletext228pt"/>
            </w:pPr>
            <w:r>
              <w:t xml:space="preserve">SCS, </w:t>
            </w:r>
            <w:r w:rsidR="004F5643">
              <w:t xml:space="preserve">DRGS, </w:t>
            </w:r>
            <w:r>
              <w:t>PNS</w:t>
            </w:r>
          </w:p>
          <w:p w14:paraId="3CCA8EC6" w14:textId="04252946" w:rsidR="00861398" w:rsidRDefault="00611CD3" w:rsidP="00D40D59">
            <w:pPr>
              <w:pStyle w:val="051Tabletext228pt"/>
            </w:pPr>
            <w:r>
              <w:t>Chronic pain and ischaemic diseases</w:t>
            </w:r>
          </w:p>
        </w:tc>
        <w:tc>
          <w:tcPr>
            <w:tcW w:w="1693" w:type="pct"/>
          </w:tcPr>
          <w:p w14:paraId="41D419AC" w14:textId="163897E5" w:rsidR="000F5A84" w:rsidRDefault="000F5A84" w:rsidP="00244914">
            <w:pPr>
              <w:pStyle w:val="051Tabletext228pt"/>
            </w:pPr>
            <w:r>
              <w:t>Evidence-based</w:t>
            </w:r>
            <w:r>
              <w:br/>
            </w:r>
            <w:r w:rsidR="003A048B">
              <w:t>A literature search iden</w:t>
            </w:r>
            <w:r w:rsidR="00FA74CB">
              <w:t xml:space="preserve">tified </w:t>
            </w:r>
            <w:r w:rsidR="00244914">
              <w:t xml:space="preserve">Practice Parameters for the </w:t>
            </w:r>
            <w:r w:rsidR="00472F99">
              <w:t>u</w:t>
            </w:r>
            <w:r w:rsidR="00244914">
              <w:t xml:space="preserve">se of </w:t>
            </w:r>
            <w:r w:rsidR="00472F99">
              <w:t>SCS</w:t>
            </w:r>
            <w:r w:rsidR="00244914">
              <w:t xml:space="preserve"> in the </w:t>
            </w:r>
            <w:r w:rsidR="00472F99">
              <w:t>t</w:t>
            </w:r>
            <w:r w:rsidR="00244914">
              <w:t xml:space="preserve">reatment of </w:t>
            </w:r>
            <w:r w:rsidR="00472F99">
              <w:t>n</w:t>
            </w:r>
            <w:r w:rsidR="00244914">
              <w:t xml:space="preserve">europathic </w:t>
            </w:r>
            <w:r w:rsidR="00472F99">
              <w:t>p</w:t>
            </w:r>
            <w:r w:rsidR="00244914">
              <w:t xml:space="preserve">ain, systematic reviews, and prospective trials </w:t>
            </w:r>
            <w:r w:rsidR="008B5C91">
              <w:t>and RCTs.</w:t>
            </w:r>
            <w:r w:rsidR="006B7932">
              <w:br/>
              <w:t xml:space="preserve">USPSTF criteria was used to </w:t>
            </w:r>
            <w:r w:rsidR="00E27A28">
              <w:t>assess quality of the evidence</w:t>
            </w:r>
            <w:r w:rsidR="00527BA5">
              <w:t>. C</w:t>
            </w:r>
            <w:r w:rsidR="003D444A">
              <w:t>linical experience and expert opin</w:t>
            </w:r>
            <w:r w:rsidR="00245F62">
              <w:t>ion</w:t>
            </w:r>
            <w:r w:rsidR="00127F30">
              <w:t xml:space="preserve"> were </w:t>
            </w:r>
            <w:r w:rsidR="00245F62">
              <w:t xml:space="preserve">used when </w:t>
            </w:r>
            <w:r w:rsidR="00527BA5">
              <w:t>literature was lacking</w:t>
            </w:r>
            <w:r w:rsidR="00381F1C">
              <w:t>.</w:t>
            </w:r>
          </w:p>
        </w:tc>
        <w:tc>
          <w:tcPr>
            <w:tcW w:w="826" w:type="pct"/>
          </w:tcPr>
          <w:p w14:paraId="07AAF7BA" w14:textId="580196F1" w:rsidR="00151E78" w:rsidRDefault="00077F61" w:rsidP="00D40D59">
            <w:pPr>
              <w:pStyle w:val="051Tabletext228pt"/>
            </w:pPr>
            <w:r>
              <w:fldChar w:fldCharType="begin"/>
            </w:r>
            <w:r>
              <w:instrText xml:space="preserve"> REF _Ref134018103 \r \h </w:instrText>
            </w:r>
            <w:r>
              <w:fldChar w:fldCharType="separate"/>
            </w:r>
            <w:r w:rsidR="00CE6ACA">
              <w:t>5.2.1</w:t>
            </w:r>
            <w:r>
              <w:fldChar w:fldCharType="end"/>
            </w:r>
            <w:r w:rsidR="006E1382">
              <w:t xml:space="preserve"> Clinical indications</w:t>
            </w:r>
          </w:p>
          <w:p w14:paraId="147CDE87" w14:textId="260790C0" w:rsidR="006E1382" w:rsidRDefault="00F61A2E" w:rsidP="00D40D59">
            <w:pPr>
              <w:pStyle w:val="051Tabletext228pt"/>
            </w:pPr>
            <w:r>
              <w:fldChar w:fldCharType="begin"/>
            </w:r>
            <w:r>
              <w:instrText xml:space="preserve"> REF _Ref134521649 \h </w:instrText>
            </w:r>
            <w:r>
              <w:fldChar w:fldCharType="separate"/>
            </w:r>
            <w:r w:rsidR="00CE6ACA">
              <w:rPr>
                <w:rFonts w:eastAsia="Batang"/>
                <w:lang w:eastAsia="en-AU"/>
              </w:rPr>
              <w:t>Additional indications</w:t>
            </w:r>
            <w:r>
              <w:fldChar w:fldCharType="end"/>
            </w:r>
          </w:p>
          <w:p w14:paraId="50B6B061" w14:textId="040314BC" w:rsidR="0067547E" w:rsidRDefault="0067547E" w:rsidP="00D40D59">
            <w:pPr>
              <w:pStyle w:val="051Tabletext228pt"/>
            </w:pPr>
            <w:r>
              <w:fldChar w:fldCharType="begin"/>
            </w:r>
            <w:r>
              <w:instrText xml:space="preserve"> REF _Ref134023625 \r \h </w:instrText>
            </w:r>
            <w:r>
              <w:fldChar w:fldCharType="separate"/>
            </w:r>
            <w:r w:rsidR="00CE6ACA">
              <w:t>5.2.3</w:t>
            </w:r>
            <w:r>
              <w:fldChar w:fldCharType="end"/>
            </w:r>
            <w:r>
              <w:t xml:space="preserve"> Patients unsuitable for spinal cord stimulation</w:t>
            </w:r>
          </w:p>
          <w:p w14:paraId="38149FAF" w14:textId="636E878A" w:rsidR="0067547E" w:rsidRDefault="00933CCE" w:rsidP="00D40D59">
            <w:pPr>
              <w:pStyle w:val="051Tabletext228pt"/>
            </w:pPr>
            <w:r>
              <w:fldChar w:fldCharType="begin"/>
            </w:r>
            <w:r>
              <w:instrText xml:space="preserve"> REF _Ref134028353 \r \h </w:instrText>
            </w:r>
            <w:r>
              <w:fldChar w:fldCharType="separate"/>
            </w:r>
            <w:r w:rsidR="00CE6ACA">
              <w:t>5.3</w:t>
            </w:r>
            <w:r>
              <w:fldChar w:fldCharType="end"/>
            </w:r>
            <w:r>
              <w:t xml:space="preserve"> Management pathways</w:t>
            </w:r>
          </w:p>
          <w:p w14:paraId="561834D8" w14:textId="55A942F2" w:rsidR="00933CCE" w:rsidRDefault="00703F62" w:rsidP="00D40D59">
            <w:pPr>
              <w:pStyle w:val="051Tabletext228pt"/>
            </w:pPr>
            <w:r>
              <w:fldChar w:fldCharType="begin"/>
            </w:r>
            <w:r>
              <w:instrText xml:space="preserve"> REF _Ref134028449 \r \h </w:instrText>
            </w:r>
            <w:r>
              <w:fldChar w:fldCharType="separate"/>
            </w:r>
            <w:r w:rsidR="00CE6ACA">
              <w:t>5.3.1</w:t>
            </w:r>
            <w:r>
              <w:fldChar w:fldCharType="end"/>
            </w:r>
            <w:r>
              <w:t xml:space="preserve"> Types of spinal cord stimulation</w:t>
            </w:r>
          </w:p>
          <w:p w14:paraId="00E9A9DD" w14:textId="3E01E0DC" w:rsidR="00703F62" w:rsidRDefault="00703F62" w:rsidP="00D40D59">
            <w:pPr>
              <w:pStyle w:val="051Tabletext228pt"/>
            </w:pPr>
            <w:r>
              <w:fldChar w:fldCharType="begin"/>
            </w:r>
            <w:r>
              <w:instrText xml:space="preserve"> REF _Ref134020307 \r \h </w:instrText>
            </w:r>
            <w:r>
              <w:fldChar w:fldCharType="separate"/>
            </w:r>
            <w:r w:rsidR="00CE6ACA">
              <w:t>5.3.2</w:t>
            </w:r>
            <w:r>
              <w:fldChar w:fldCharType="end"/>
            </w:r>
            <w:r>
              <w:t xml:space="preserve"> Tr</w:t>
            </w:r>
            <w:r w:rsidR="008D1F5A">
              <w:t>ial stimulation</w:t>
            </w:r>
          </w:p>
        </w:tc>
      </w:tr>
      <w:tr w:rsidR="008D1F5A" w14:paraId="2D161DEA" w14:textId="77777777" w:rsidTr="00890DB9">
        <w:tc>
          <w:tcPr>
            <w:tcW w:w="584" w:type="pct"/>
          </w:tcPr>
          <w:p w14:paraId="6E8E0233" w14:textId="581F4896" w:rsidR="00CE2859" w:rsidRDefault="00EA30AD" w:rsidP="00D40D59">
            <w:pPr>
              <w:pStyle w:val="051Tabletext228pt"/>
            </w:pPr>
            <w:r>
              <w:t xml:space="preserve">ASIPP </w:t>
            </w:r>
            <w:r w:rsidR="00CE2859">
              <w:t xml:space="preserve">IPM Guidelines </w:t>
            </w:r>
            <w:r w:rsidR="00A01734">
              <w:t>(2013)</w:t>
            </w:r>
          </w:p>
          <w:p w14:paraId="763251D8" w14:textId="175ED3B7" w:rsidR="008D1F5A" w:rsidRDefault="00EA32FF" w:rsidP="00D40D59">
            <w:pPr>
              <w:pStyle w:val="051Tabletext228pt"/>
              <w:rPr>
                <w:i/>
                <w:iCs/>
              </w:rPr>
            </w:pPr>
            <w:r>
              <w:rPr>
                <w:i/>
                <w:iCs/>
              </w:rPr>
              <w:t>(</w:t>
            </w:r>
            <w:proofErr w:type="spellStart"/>
            <w:r w:rsidR="00765491" w:rsidRPr="00A01734">
              <w:rPr>
                <w:i/>
                <w:iCs/>
              </w:rPr>
              <w:t>Manchikanti</w:t>
            </w:r>
            <w:proofErr w:type="spellEnd"/>
            <w:r w:rsidR="00765491" w:rsidRPr="00A01734">
              <w:rPr>
                <w:i/>
                <w:iCs/>
              </w:rPr>
              <w:t xml:space="preserve"> 2013</w:t>
            </w:r>
            <w:r>
              <w:rPr>
                <w:i/>
                <w:iCs/>
              </w:rPr>
              <w:t>)</w:t>
            </w:r>
          </w:p>
          <w:p w14:paraId="37E3DC4B" w14:textId="11FD0C8F" w:rsidR="00EA32FF" w:rsidRPr="00EA32FF" w:rsidRDefault="00A64BDD" w:rsidP="00D40D59">
            <w:pPr>
              <w:pStyle w:val="051Tabletext228pt"/>
            </w:pPr>
            <w:r>
              <w:t>USA</w:t>
            </w:r>
          </w:p>
          <w:p w14:paraId="1229281A" w14:textId="2E6B05F2" w:rsidR="00765491" w:rsidRDefault="00765491" w:rsidP="00D40D59">
            <w:pPr>
              <w:pStyle w:val="051Tabletext228pt"/>
            </w:pPr>
          </w:p>
        </w:tc>
        <w:tc>
          <w:tcPr>
            <w:tcW w:w="1167" w:type="pct"/>
          </w:tcPr>
          <w:p w14:paraId="5BABC012" w14:textId="77777777" w:rsidR="008D1F5A" w:rsidRDefault="00765491" w:rsidP="00D40D59">
            <w:pPr>
              <w:pStyle w:val="051Tabletext228pt"/>
            </w:pPr>
            <w:r w:rsidRPr="00765491">
              <w:t>An update of comprehensive evidence-based guidelines for interventional techniques in chronic spinal pain. Part II: guidance and recommendations</w:t>
            </w:r>
          </w:p>
          <w:p w14:paraId="4FF4336E" w14:textId="4F5C1379" w:rsidR="00900127" w:rsidRPr="00900127" w:rsidRDefault="00900127" w:rsidP="00D40D59">
            <w:pPr>
              <w:pStyle w:val="051Tabletext228pt"/>
              <w:rPr>
                <w:i/>
                <w:iCs/>
              </w:rPr>
            </w:pPr>
            <w:r>
              <w:rPr>
                <w:i/>
                <w:iCs/>
              </w:rPr>
              <w:t>N</w:t>
            </w:r>
            <w:r w:rsidR="00BC5F12">
              <w:rPr>
                <w:i/>
                <w:iCs/>
              </w:rPr>
              <w:t>o industry funding</w:t>
            </w:r>
          </w:p>
        </w:tc>
        <w:tc>
          <w:tcPr>
            <w:tcW w:w="730" w:type="pct"/>
          </w:tcPr>
          <w:p w14:paraId="0DF53286" w14:textId="77777777" w:rsidR="00DB5100" w:rsidRDefault="00DB5100" w:rsidP="00DB5100">
            <w:pPr>
              <w:pStyle w:val="051Tabletext228pt"/>
            </w:pPr>
            <w:r>
              <w:t>Suite of treatment options including SCS</w:t>
            </w:r>
          </w:p>
          <w:p w14:paraId="6665E677" w14:textId="2D5DC238" w:rsidR="008D1F5A" w:rsidRDefault="007042FC" w:rsidP="00D40D59">
            <w:pPr>
              <w:pStyle w:val="051Tabletext228pt"/>
            </w:pPr>
            <w:r>
              <w:t>Chronic spinal pain</w:t>
            </w:r>
          </w:p>
        </w:tc>
        <w:tc>
          <w:tcPr>
            <w:tcW w:w="1693" w:type="pct"/>
          </w:tcPr>
          <w:p w14:paraId="6E474575" w14:textId="55143A52" w:rsidR="008D1F5A" w:rsidRPr="002F585D" w:rsidRDefault="00873850" w:rsidP="001F287D">
            <w:pPr>
              <w:pStyle w:val="051Tabletext228pt"/>
              <w:rPr>
                <w:rFonts w:eastAsia="Calibri"/>
              </w:rPr>
            </w:pPr>
            <w:r w:rsidRPr="002F585D">
              <w:rPr>
                <w:rFonts w:eastAsia="Calibri"/>
              </w:rPr>
              <w:t>Evidence-based</w:t>
            </w:r>
            <w:r w:rsidR="00EA0A08" w:rsidRPr="002F585D">
              <w:rPr>
                <w:rFonts w:eastAsia="Calibri"/>
              </w:rPr>
              <w:br/>
            </w:r>
            <w:r w:rsidR="0086547D">
              <w:rPr>
                <w:rFonts w:eastAsia="Calibri"/>
              </w:rPr>
              <w:t>Systematic review</w:t>
            </w:r>
            <w:r w:rsidR="007966A9">
              <w:rPr>
                <w:rFonts w:eastAsia="Calibri"/>
              </w:rPr>
              <w:t xml:space="preserve"> and</w:t>
            </w:r>
            <w:r w:rsidR="0086547D">
              <w:rPr>
                <w:rFonts w:eastAsia="Calibri"/>
              </w:rPr>
              <w:t xml:space="preserve"> </w:t>
            </w:r>
            <w:r w:rsidR="00DA5FAA">
              <w:rPr>
                <w:rFonts w:eastAsia="Calibri"/>
              </w:rPr>
              <w:t xml:space="preserve">meta-analysis </w:t>
            </w:r>
            <w:r w:rsidR="0086547D">
              <w:rPr>
                <w:rFonts w:eastAsia="Calibri"/>
              </w:rPr>
              <w:t>of evidence.</w:t>
            </w:r>
            <w:r w:rsidR="0086547D">
              <w:rPr>
                <w:rFonts w:eastAsia="Calibri"/>
              </w:rPr>
              <w:br/>
            </w:r>
            <w:r w:rsidR="0087155C">
              <w:rPr>
                <w:rFonts w:eastAsia="Calibri"/>
              </w:rPr>
              <w:t>A</w:t>
            </w:r>
            <w:r w:rsidR="0086547D">
              <w:rPr>
                <w:rFonts w:eastAsia="Calibri"/>
              </w:rPr>
              <w:t xml:space="preserve">ssessment of evidence </w:t>
            </w:r>
            <w:r w:rsidR="002E2114">
              <w:rPr>
                <w:rFonts w:eastAsia="Calibri"/>
              </w:rPr>
              <w:t>was conducted using USPSTF</w:t>
            </w:r>
            <w:r w:rsidR="0087155C">
              <w:rPr>
                <w:rFonts w:eastAsia="Calibri"/>
              </w:rPr>
              <w:t xml:space="preserve"> criteria.</w:t>
            </w:r>
          </w:p>
        </w:tc>
        <w:tc>
          <w:tcPr>
            <w:tcW w:w="826" w:type="pct"/>
          </w:tcPr>
          <w:p w14:paraId="6062E55F" w14:textId="7A576FE1" w:rsidR="008D1F5A" w:rsidRDefault="00F162F1" w:rsidP="00D40D59">
            <w:pPr>
              <w:pStyle w:val="051Tabletext228pt"/>
            </w:pPr>
            <w:r>
              <w:fldChar w:fldCharType="begin"/>
            </w:r>
            <w:r>
              <w:instrText xml:space="preserve"> REF _Ref134018103 \r \h </w:instrText>
            </w:r>
            <w:r w:rsidR="002F585D">
              <w:instrText xml:space="preserve"> \* MERGEFORMAT </w:instrText>
            </w:r>
            <w:r>
              <w:fldChar w:fldCharType="separate"/>
            </w:r>
            <w:r w:rsidR="00CE6ACA">
              <w:t>5.2.1</w:t>
            </w:r>
            <w:r>
              <w:fldChar w:fldCharType="end"/>
            </w:r>
            <w:r>
              <w:t xml:space="preserve"> Clinical </w:t>
            </w:r>
            <w:r w:rsidR="00F92E50">
              <w:t>indications</w:t>
            </w:r>
          </w:p>
          <w:p w14:paraId="3F409EBA" w14:textId="54EA085F" w:rsidR="00F92E50" w:rsidRDefault="00F444AB" w:rsidP="00D40D59">
            <w:pPr>
              <w:pStyle w:val="051Tabletext228pt"/>
            </w:pPr>
            <w:r>
              <w:fldChar w:fldCharType="begin"/>
            </w:r>
            <w:r>
              <w:instrText xml:space="preserve"> REF _Ref134522243 \n \h </w:instrText>
            </w:r>
            <w:r w:rsidR="002F585D">
              <w:instrText xml:space="preserve"> \* MERGEFORMAT </w:instrText>
            </w:r>
            <w:r>
              <w:fldChar w:fldCharType="separate"/>
            </w:r>
            <w:r w:rsidR="00CE6ACA">
              <w:t>5.2.2</w:t>
            </w:r>
            <w:r>
              <w:fldChar w:fldCharType="end"/>
            </w:r>
            <w:r>
              <w:t xml:space="preserve"> </w:t>
            </w:r>
            <w:r w:rsidR="00F92E50">
              <w:t>Eligibility criteria</w:t>
            </w:r>
          </w:p>
        </w:tc>
      </w:tr>
      <w:tr w:rsidR="00FD4213" w14:paraId="60D9AB93" w14:textId="77777777" w:rsidTr="00890DB9">
        <w:tc>
          <w:tcPr>
            <w:tcW w:w="584" w:type="pct"/>
          </w:tcPr>
          <w:p w14:paraId="0D26618D" w14:textId="4B2ABA44" w:rsidR="00FD4213" w:rsidRDefault="00EB7C21" w:rsidP="00D40D59">
            <w:pPr>
              <w:pStyle w:val="051Tabletext228pt"/>
            </w:pPr>
            <w:r>
              <w:lastRenderedPageBreak/>
              <w:t xml:space="preserve">NICE (2008 </w:t>
            </w:r>
            <w:r w:rsidR="00514F2F">
              <w:t>–</w:t>
            </w:r>
            <w:r>
              <w:t xml:space="preserve"> </w:t>
            </w:r>
            <w:r w:rsidR="00A40BB6">
              <w:rPr>
                <w:i/>
                <w:iCs/>
              </w:rPr>
              <w:t>considered for review</w:t>
            </w:r>
            <w:r w:rsidR="00514F2F">
              <w:rPr>
                <w:i/>
                <w:iCs/>
              </w:rPr>
              <w:t xml:space="preserve"> in 2014</w:t>
            </w:r>
            <w:r w:rsidR="00A40BB6">
              <w:rPr>
                <w:i/>
                <w:iCs/>
              </w:rPr>
              <w:t xml:space="preserve"> and moved to ‘static guidance list’</w:t>
            </w:r>
            <w:r w:rsidR="00514F2F">
              <w:rPr>
                <w:i/>
                <w:iCs/>
              </w:rPr>
              <w:t>)</w:t>
            </w:r>
          </w:p>
          <w:p w14:paraId="10B1726B" w14:textId="03DC8F60" w:rsidR="00514F2F" w:rsidRPr="00514F2F" w:rsidRDefault="00514F2F" w:rsidP="00D40D59">
            <w:pPr>
              <w:pStyle w:val="051Tabletext228pt"/>
            </w:pPr>
            <w:r>
              <w:t>UK</w:t>
            </w:r>
          </w:p>
        </w:tc>
        <w:tc>
          <w:tcPr>
            <w:tcW w:w="1167" w:type="pct"/>
          </w:tcPr>
          <w:p w14:paraId="077BB583" w14:textId="77777777" w:rsidR="00FD4213" w:rsidRDefault="00514F2F" w:rsidP="00D40D59">
            <w:pPr>
              <w:pStyle w:val="051Tabletext228pt"/>
            </w:pPr>
            <w:r w:rsidRPr="00514F2F">
              <w:t>Spinal cord stimulation for chronic pain of neuropathic or ischaemic origin</w:t>
            </w:r>
          </w:p>
          <w:p w14:paraId="027F22AE" w14:textId="4133527D" w:rsidR="00514F2F" w:rsidRPr="00514F2F" w:rsidRDefault="0019700B" w:rsidP="00D40D59">
            <w:pPr>
              <w:pStyle w:val="051Tabletext228pt"/>
              <w:rPr>
                <w:i/>
                <w:iCs/>
              </w:rPr>
            </w:pPr>
            <w:r>
              <w:rPr>
                <w:i/>
                <w:iCs/>
              </w:rPr>
              <w:t>UK Government</w:t>
            </w:r>
          </w:p>
        </w:tc>
        <w:tc>
          <w:tcPr>
            <w:tcW w:w="730" w:type="pct"/>
          </w:tcPr>
          <w:p w14:paraId="06DEA813" w14:textId="77777777" w:rsidR="00FD4213" w:rsidRDefault="00552469" w:rsidP="00DB5100">
            <w:pPr>
              <w:pStyle w:val="051Tabletext228pt"/>
            </w:pPr>
            <w:r>
              <w:t>SCS</w:t>
            </w:r>
          </w:p>
          <w:p w14:paraId="62621C57" w14:textId="4A19C853" w:rsidR="00552469" w:rsidRDefault="00552469" w:rsidP="00DB5100">
            <w:pPr>
              <w:pStyle w:val="051Tabletext228pt"/>
            </w:pPr>
            <w:r>
              <w:t>Chronic pain of neuropathic or ischaemic origin</w:t>
            </w:r>
          </w:p>
        </w:tc>
        <w:tc>
          <w:tcPr>
            <w:tcW w:w="1693" w:type="pct"/>
          </w:tcPr>
          <w:p w14:paraId="68E6191C" w14:textId="5A938C44" w:rsidR="00FD4213" w:rsidRPr="002F585D" w:rsidRDefault="00552469" w:rsidP="007E6C3C">
            <w:pPr>
              <w:pStyle w:val="051Tabletext228pt"/>
              <w:rPr>
                <w:rFonts w:eastAsia="Calibri"/>
              </w:rPr>
            </w:pPr>
            <w:r w:rsidRPr="002F585D">
              <w:rPr>
                <w:rFonts w:eastAsia="Calibri"/>
              </w:rPr>
              <w:t>Evidence</w:t>
            </w:r>
            <w:r w:rsidR="00A3037F" w:rsidRPr="002F585D">
              <w:rPr>
                <w:rFonts w:eastAsia="Calibri"/>
              </w:rPr>
              <w:t>-based</w:t>
            </w:r>
            <w:r w:rsidR="0027656D" w:rsidRPr="002F585D">
              <w:rPr>
                <w:rFonts w:eastAsia="Calibri"/>
              </w:rPr>
              <w:br/>
            </w:r>
            <w:r w:rsidR="007E6C3C" w:rsidRPr="002F585D">
              <w:rPr>
                <w:rFonts w:eastAsia="Calibri"/>
              </w:rPr>
              <w:t>A systematic review of literature with medical or treatment appropriate to condition</w:t>
            </w:r>
            <w:r w:rsidR="0044084E">
              <w:rPr>
                <w:rFonts w:eastAsia="Calibri"/>
              </w:rPr>
              <w:t xml:space="preserve"> as the comparator.</w:t>
            </w:r>
            <w:r w:rsidR="0044084E">
              <w:rPr>
                <w:rFonts w:eastAsia="Calibri"/>
              </w:rPr>
              <w:br/>
            </w:r>
            <w:r w:rsidR="007E6C3C" w:rsidRPr="002F585D">
              <w:rPr>
                <w:rFonts w:eastAsia="Calibri"/>
              </w:rPr>
              <w:t>Economic analyses were performed to model cost</w:t>
            </w:r>
            <w:r w:rsidR="002D10C6">
              <w:rPr>
                <w:rFonts w:eastAsia="Calibri"/>
              </w:rPr>
              <w:t>-</w:t>
            </w:r>
            <w:r w:rsidR="007E6C3C" w:rsidRPr="002F585D">
              <w:rPr>
                <w:rFonts w:eastAsia="Calibri"/>
              </w:rPr>
              <w:t>effectiveness and cost</w:t>
            </w:r>
            <w:r w:rsidR="008870A5">
              <w:rPr>
                <w:rFonts w:eastAsia="Calibri"/>
              </w:rPr>
              <w:t>-</w:t>
            </w:r>
            <w:r w:rsidR="007E6C3C" w:rsidRPr="002F585D">
              <w:rPr>
                <w:rFonts w:eastAsia="Calibri"/>
              </w:rPr>
              <w:t>utility</w:t>
            </w:r>
            <w:r w:rsidR="00210D0C" w:rsidRPr="002F585D">
              <w:rPr>
                <w:rFonts w:eastAsia="Calibri"/>
              </w:rPr>
              <w:t>.</w:t>
            </w:r>
            <w:r w:rsidR="0061086B">
              <w:rPr>
                <w:rFonts w:eastAsia="Calibri"/>
              </w:rPr>
              <w:br/>
              <w:t xml:space="preserve">Quality of studies was assessed according to criteria based on NHS CRD </w:t>
            </w:r>
            <w:r w:rsidR="00762D78">
              <w:rPr>
                <w:rFonts w:eastAsia="Calibri"/>
              </w:rPr>
              <w:t>r</w:t>
            </w:r>
            <w:r w:rsidR="0061086B">
              <w:rPr>
                <w:rFonts w:eastAsia="Calibri"/>
              </w:rPr>
              <w:t>eport No.4</w:t>
            </w:r>
          </w:p>
        </w:tc>
        <w:tc>
          <w:tcPr>
            <w:tcW w:w="826" w:type="pct"/>
          </w:tcPr>
          <w:p w14:paraId="5B0E8AD8" w14:textId="661CA603" w:rsidR="00FD4213" w:rsidRDefault="00A80A47" w:rsidP="00D40D59">
            <w:pPr>
              <w:pStyle w:val="051Tabletext228pt"/>
            </w:pPr>
            <w:r>
              <w:fldChar w:fldCharType="begin"/>
            </w:r>
            <w:r>
              <w:instrText xml:space="preserve"> REF _Ref134018103 \r \h </w:instrText>
            </w:r>
            <w:r w:rsidR="002F585D">
              <w:instrText xml:space="preserve"> \* MERGEFORMAT </w:instrText>
            </w:r>
            <w:r>
              <w:fldChar w:fldCharType="separate"/>
            </w:r>
            <w:r w:rsidR="00CE6ACA">
              <w:t>5.2.1</w:t>
            </w:r>
            <w:r>
              <w:fldChar w:fldCharType="end"/>
            </w:r>
            <w:r>
              <w:t xml:space="preserve"> Clinical indications</w:t>
            </w:r>
          </w:p>
          <w:p w14:paraId="658C078B" w14:textId="15B849DE" w:rsidR="00A80A47" w:rsidRDefault="003A7AB5" w:rsidP="00D40D59">
            <w:pPr>
              <w:pStyle w:val="051Tabletext228pt"/>
            </w:pPr>
            <w:r>
              <w:fldChar w:fldCharType="begin"/>
            </w:r>
            <w:r>
              <w:instrText xml:space="preserve"> REF _Ref134522399 \n \h </w:instrText>
            </w:r>
            <w:r w:rsidR="002F585D">
              <w:instrText xml:space="preserve"> \* MERGEFORMAT </w:instrText>
            </w:r>
            <w:r>
              <w:fldChar w:fldCharType="separate"/>
            </w:r>
            <w:r w:rsidR="00CE6ACA">
              <w:t>5.2.2</w:t>
            </w:r>
            <w:r>
              <w:fldChar w:fldCharType="end"/>
            </w:r>
            <w:r>
              <w:t xml:space="preserve"> </w:t>
            </w:r>
            <w:r w:rsidR="00060558">
              <w:t>Eligibility criteria</w:t>
            </w:r>
          </w:p>
          <w:p w14:paraId="3BD7C853" w14:textId="62BA68CF" w:rsidR="00A80A47" w:rsidRDefault="006944A9" w:rsidP="00D40D59">
            <w:pPr>
              <w:pStyle w:val="051Tabletext228pt"/>
            </w:pPr>
            <w:r>
              <w:fldChar w:fldCharType="begin"/>
            </w:r>
            <w:r>
              <w:instrText xml:space="preserve"> REF _Ref134023625 \r \h </w:instrText>
            </w:r>
            <w:r w:rsidR="002F585D">
              <w:instrText xml:space="preserve"> \* MERGEFORMAT </w:instrText>
            </w:r>
            <w:r>
              <w:fldChar w:fldCharType="separate"/>
            </w:r>
            <w:r w:rsidR="00CE6ACA">
              <w:t>5.2.3</w:t>
            </w:r>
            <w:r>
              <w:fldChar w:fldCharType="end"/>
            </w:r>
            <w:r>
              <w:t xml:space="preserve"> Patients unsuitable for spinal cord stimulation</w:t>
            </w:r>
          </w:p>
          <w:p w14:paraId="6CB31106" w14:textId="3B161B75" w:rsidR="001F3EC9" w:rsidRDefault="001F3EC9" w:rsidP="00D40D59">
            <w:pPr>
              <w:pStyle w:val="051Tabletext228pt"/>
            </w:pPr>
            <w:r>
              <w:fldChar w:fldCharType="begin"/>
            </w:r>
            <w:r>
              <w:instrText xml:space="preserve"> REF _Ref134033096 \r \h </w:instrText>
            </w:r>
            <w:r w:rsidR="002F585D">
              <w:instrText xml:space="preserve"> \* MERGEFORMAT </w:instrText>
            </w:r>
            <w:r>
              <w:fldChar w:fldCharType="separate"/>
            </w:r>
            <w:r w:rsidR="00CE6ACA">
              <w:t>5.3</w:t>
            </w:r>
            <w:r>
              <w:fldChar w:fldCharType="end"/>
            </w:r>
            <w:r>
              <w:t xml:space="preserve"> Management pathways</w:t>
            </w:r>
          </w:p>
          <w:p w14:paraId="5E5E4068" w14:textId="5144E24C" w:rsidR="001F3EC9" w:rsidRDefault="001F3EC9" w:rsidP="00D40D59">
            <w:pPr>
              <w:pStyle w:val="051Tabletext228pt"/>
            </w:pPr>
            <w:r>
              <w:fldChar w:fldCharType="begin"/>
            </w:r>
            <w:r>
              <w:instrText xml:space="preserve"> REF _Ref134020307 \r \h </w:instrText>
            </w:r>
            <w:r w:rsidR="002F585D">
              <w:instrText xml:space="preserve"> \* MERGEFORMAT </w:instrText>
            </w:r>
            <w:r>
              <w:fldChar w:fldCharType="separate"/>
            </w:r>
            <w:r w:rsidR="00CE6ACA">
              <w:t>5.3.2</w:t>
            </w:r>
            <w:r>
              <w:fldChar w:fldCharType="end"/>
            </w:r>
            <w:r>
              <w:t xml:space="preserve"> Trial stimulation</w:t>
            </w:r>
          </w:p>
        </w:tc>
      </w:tr>
    </w:tbl>
    <w:p w14:paraId="7A24293F" w14:textId="1E47D685" w:rsidR="00773DB9" w:rsidRDefault="00A7678E" w:rsidP="00A7678E">
      <w:pPr>
        <w:pStyle w:val="111Tablefootnoteslast-nostick8pt"/>
      </w:pPr>
      <w:r>
        <w:t xml:space="preserve">Abbreviations: </w:t>
      </w:r>
      <w:r w:rsidR="00813F1D">
        <w:t>ASPN,</w:t>
      </w:r>
      <w:r w:rsidR="00813F1D" w:rsidDel="001F185A">
        <w:t xml:space="preserve"> </w:t>
      </w:r>
      <w:r w:rsidR="00813F1D">
        <w:t xml:space="preserve">American </w:t>
      </w:r>
      <w:r w:rsidR="00313797">
        <w:t>Society</w:t>
      </w:r>
      <w:r w:rsidR="00813F1D">
        <w:t xml:space="preserve"> of Pain and Neuroscience; </w:t>
      </w:r>
      <w:r w:rsidR="0053220C">
        <w:rPr>
          <w:rFonts w:eastAsia="Batang"/>
          <w:lang w:eastAsia="en-AU"/>
        </w:rPr>
        <w:t xml:space="preserve">ASIPP, American Society of Interventional Pain Physicians; </w:t>
      </w:r>
      <w:r w:rsidR="00C61056">
        <w:t xml:space="preserve">CRPS, </w:t>
      </w:r>
      <w:r w:rsidR="00D43F91">
        <w:t xml:space="preserve">complex regional pain syndrome; </w:t>
      </w:r>
      <w:r w:rsidR="00187B71">
        <w:t>DPN</w:t>
      </w:r>
      <w:r w:rsidR="00A00007">
        <w:t>, diabetic p</w:t>
      </w:r>
      <w:r w:rsidR="00FB0CBE">
        <w:t xml:space="preserve">eripheral neuropathy; </w:t>
      </w:r>
      <w:r w:rsidR="00813F1D">
        <w:t xml:space="preserve">DRGS, dorsal root ganglion stimulation; </w:t>
      </w:r>
      <w:r w:rsidR="003831DA">
        <w:t xml:space="preserve">EAN, European Academy of Neurology; </w:t>
      </w:r>
      <w:r w:rsidR="003D7694">
        <w:t xml:space="preserve">EFNS, European Federation of Neurological Societies; </w:t>
      </w:r>
      <w:r w:rsidR="00301DE2">
        <w:t xml:space="preserve">FDA, </w:t>
      </w:r>
      <w:r w:rsidR="006F3F1D">
        <w:t>US Food and Drug Administration;</w:t>
      </w:r>
      <w:r w:rsidR="00813F1D">
        <w:t xml:space="preserve"> </w:t>
      </w:r>
      <w:r w:rsidR="00812C53">
        <w:t xml:space="preserve">GRADE, </w:t>
      </w:r>
      <w:r w:rsidR="0014770F" w:rsidRPr="0014770F">
        <w:t>Grading of Recommendations, Assessment, Development, and Evaluations</w:t>
      </w:r>
      <w:r w:rsidR="0014770F">
        <w:t>;</w:t>
      </w:r>
      <w:r w:rsidR="0014770F" w:rsidRPr="0014770F">
        <w:t xml:space="preserve"> </w:t>
      </w:r>
      <w:r w:rsidR="00D64E58">
        <w:t>HF, high</w:t>
      </w:r>
      <w:r w:rsidR="002E524D">
        <w:t>-</w:t>
      </w:r>
      <w:r w:rsidR="00D64E58">
        <w:t xml:space="preserve">frequency; </w:t>
      </w:r>
      <w:proofErr w:type="spellStart"/>
      <w:r w:rsidR="0005316F">
        <w:t>HRQoL</w:t>
      </w:r>
      <w:proofErr w:type="spellEnd"/>
      <w:r w:rsidR="0005316F">
        <w:t xml:space="preserve">, health-related quality of life; </w:t>
      </w:r>
      <w:r w:rsidR="007E5BFD">
        <w:t xml:space="preserve">INS, International Neuromodulation Society; </w:t>
      </w:r>
      <w:r w:rsidR="005F14D3">
        <w:t xml:space="preserve">IPM, Interventional Pain Management; </w:t>
      </w:r>
      <w:r w:rsidR="00813F1D">
        <w:t xml:space="preserve">LBP, low back pain; </w:t>
      </w:r>
      <w:r w:rsidR="005F3CBD">
        <w:t xml:space="preserve">MDR, Medical Device Reports; </w:t>
      </w:r>
      <w:r w:rsidR="00EE399B">
        <w:t>NACC, Neuromodulation Appropria</w:t>
      </w:r>
      <w:r w:rsidR="00574F4A">
        <w:t xml:space="preserve">teness Consensus Committee/ the Neurostimulation Appropriateness Consensus Committee; </w:t>
      </w:r>
      <w:r w:rsidR="008905EA">
        <w:t xml:space="preserve">NHS, National Health Service; </w:t>
      </w:r>
      <w:r w:rsidR="00E16426">
        <w:t>N</w:t>
      </w:r>
      <w:r w:rsidR="00EE595C">
        <w:t xml:space="preserve">ICE, National </w:t>
      </w:r>
      <w:r w:rsidR="00E16426">
        <w:t>Institute for Health and Care</w:t>
      </w:r>
      <w:r w:rsidR="000807C4">
        <w:t xml:space="preserve"> Excellence; </w:t>
      </w:r>
      <w:r w:rsidR="007E5BFD">
        <w:t>NR, not reported;</w:t>
      </w:r>
      <w:r w:rsidR="00D11507">
        <w:t xml:space="preserve"> ONS, occipital nerve stimulation; </w:t>
      </w:r>
      <w:r w:rsidR="00D43F91">
        <w:t xml:space="preserve">PDPN, </w:t>
      </w:r>
      <w:r w:rsidR="00583124">
        <w:t xml:space="preserve">painful diabetic polyneuropathy; </w:t>
      </w:r>
      <w:r w:rsidR="003D7694">
        <w:t>PNS, peripheral nerve stimulation;</w:t>
      </w:r>
      <w:r w:rsidR="00583124">
        <w:t xml:space="preserve"> </w:t>
      </w:r>
      <w:r w:rsidR="00D11507">
        <w:t xml:space="preserve">PSPS, </w:t>
      </w:r>
      <w:r w:rsidR="004D3C92">
        <w:t>persistent spinal pain</w:t>
      </w:r>
      <w:r w:rsidR="00774878">
        <w:t>;</w:t>
      </w:r>
      <w:r w:rsidR="00813F1D">
        <w:t xml:space="preserve"> RCT, randomi</w:t>
      </w:r>
      <w:r w:rsidR="00D53924">
        <w:t>s</w:t>
      </w:r>
      <w:r w:rsidR="00813F1D">
        <w:t xml:space="preserve">ed controlled trial; SCS, spinal cord stimulation; </w:t>
      </w:r>
      <w:r w:rsidR="00313797">
        <w:t xml:space="preserve">SFN, small </w:t>
      </w:r>
      <w:proofErr w:type="spellStart"/>
      <w:r w:rsidR="00313797">
        <w:t>fib</w:t>
      </w:r>
      <w:r w:rsidR="00293348">
        <w:t>re</w:t>
      </w:r>
      <w:proofErr w:type="spellEnd"/>
      <w:r w:rsidR="00313797">
        <w:t xml:space="preserve"> neuropathies; SIGN, Scottish Intercollegiate Guidelines Network</w:t>
      </w:r>
      <w:r w:rsidR="001F185A">
        <w:t xml:space="preserve">; USPSTF, </w:t>
      </w:r>
      <w:r w:rsidR="001F185A" w:rsidRPr="00AC77E3">
        <w:t>United States Preventive Services Task Force</w:t>
      </w:r>
      <w:r w:rsidR="001F185A">
        <w:t>.</w:t>
      </w:r>
      <w:r w:rsidR="003123A2">
        <w:br/>
      </w:r>
      <w:r w:rsidR="003123A2">
        <w:rPr>
          <w:b/>
          <w:bCs/>
        </w:rPr>
        <w:t>a</w:t>
      </w:r>
      <w:r w:rsidR="003123A2">
        <w:t xml:space="preserve"> </w:t>
      </w:r>
      <w:r w:rsidR="00762D78">
        <w:t>Report</w:t>
      </w:r>
      <w:r w:rsidR="00FC77F9">
        <w:t xml:space="preserve"> originated from an International Consensus Conference on diagnosis and treatment of </w:t>
      </w:r>
      <w:r w:rsidR="005E4C12">
        <w:t>diabetic sensorimotor polyneuropathy in clinical practice</w:t>
      </w:r>
    </w:p>
    <w:p w14:paraId="14451A3A" w14:textId="77777777" w:rsidR="00A7678E" w:rsidRDefault="00A7678E" w:rsidP="00773DB9">
      <w:pPr>
        <w:pStyle w:val="BodyText"/>
      </w:pPr>
    </w:p>
    <w:p w14:paraId="05A53049" w14:textId="77777777" w:rsidR="0033756F" w:rsidRDefault="0033756F" w:rsidP="00773DB9">
      <w:pPr>
        <w:pStyle w:val="BodyText"/>
        <w:sectPr w:rsidR="0033756F" w:rsidSect="000E0564">
          <w:pgSz w:w="16838" w:h="11906" w:orient="landscape"/>
          <w:pgMar w:top="1134" w:right="1134" w:bottom="1134" w:left="1134" w:header="850" w:footer="709" w:gutter="0"/>
          <w:cols w:space="708"/>
          <w:docGrid w:linePitch="360"/>
        </w:sectPr>
      </w:pPr>
    </w:p>
    <w:p w14:paraId="69FB4762" w14:textId="50C4E85D" w:rsidR="00AF6CD8" w:rsidRDefault="0033756F" w:rsidP="0033756F">
      <w:pPr>
        <w:pStyle w:val="Heading8"/>
      </w:pPr>
      <w:bookmarkStart w:id="208" w:name="_Ref165633464"/>
      <w:bookmarkStart w:id="209" w:name="_Toc165634706"/>
      <w:r>
        <w:lastRenderedPageBreak/>
        <w:t>SCS device indications and patient populations</w:t>
      </w:r>
      <w:bookmarkEnd w:id="208"/>
      <w:bookmarkEnd w:id="209"/>
    </w:p>
    <w:p w14:paraId="155F8761" w14:textId="628169C0" w:rsidR="0033756F" w:rsidRPr="0033756F" w:rsidRDefault="0033756F" w:rsidP="0033756F">
      <w:pPr>
        <w:pStyle w:val="Caption"/>
      </w:pPr>
      <w:bookmarkStart w:id="210" w:name="_Ref134453088"/>
      <w:r>
        <w:t xml:space="preserve">Table App </w:t>
      </w:r>
      <w:fldSimple w:instr=" SEQ Table_App \* ARABIC ">
        <w:r w:rsidR="00CE6ACA">
          <w:rPr>
            <w:noProof/>
          </w:rPr>
          <w:t>25</w:t>
        </w:r>
      </w:fldSimple>
      <w:bookmarkEnd w:id="210"/>
      <w:r>
        <w:tab/>
        <w:t>Device clinical indications and patient populations for SCS systems</w:t>
      </w:r>
    </w:p>
    <w:tbl>
      <w:tblPr>
        <w:tblStyle w:val="TableGrid"/>
        <w:tblW w:w="5000" w:type="pct"/>
        <w:tblLook w:val="04A0" w:firstRow="1" w:lastRow="0" w:firstColumn="1" w:lastColumn="0" w:noHBand="0" w:noVBand="1"/>
        <w:tblCaption w:val="Device clinical indications and patient populations for SCS systems"/>
        <w:tblDescription w:val="Table showing the clinical indication/patient population of the SCS systems listed on the PL."/>
      </w:tblPr>
      <w:tblGrid>
        <w:gridCol w:w="810"/>
        <w:gridCol w:w="1530"/>
        <w:gridCol w:w="2701"/>
        <w:gridCol w:w="9529"/>
      </w:tblGrid>
      <w:tr w:rsidR="00CB01C1" w14:paraId="6B65677C" w14:textId="77777777" w:rsidTr="003E41B8">
        <w:trPr>
          <w:cnfStyle w:val="100000000000" w:firstRow="1" w:lastRow="0" w:firstColumn="0" w:lastColumn="0" w:oddVBand="0" w:evenVBand="0" w:oddHBand="0" w:evenHBand="0" w:firstRowFirstColumn="0" w:firstRowLastColumn="0" w:lastRowFirstColumn="0" w:lastRowLastColumn="0"/>
        </w:trPr>
        <w:tc>
          <w:tcPr>
            <w:tcW w:w="278" w:type="pct"/>
          </w:tcPr>
          <w:p w14:paraId="44F3EC2A" w14:textId="77777777" w:rsidR="0033756F" w:rsidRDefault="0033756F">
            <w:pPr>
              <w:pStyle w:val="011TableHeading8pt"/>
              <w:rPr>
                <w:rFonts w:eastAsia="Batang"/>
                <w:lang w:eastAsia="en-AU"/>
              </w:rPr>
            </w:pPr>
            <w:r>
              <w:rPr>
                <w:rFonts w:eastAsia="Batang"/>
                <w:lang w:eastAsia="en-AU"/>
              </w:rPr>
              <w:t>Billing Code</w:t>
            </w:r>
          </w:p>
        </w:tc>
        <w:tc>
          <w:tcPr>
            <w:tcW w:w="525" w:type="pct"/>
          </w:tcPr>
          <w:p w14:paraId="5CB7E66A" w14:textId="77777777" w:rsidR="0033756F" w:rsidRDefault="0033756F">
            <w:pPr>
              <w:pStyle w:val="011TableHeading8pt"/>
              <w:rPr>
                <w:rFonts w:eastAsia="Batang"/>
                <w:lang w:eastAsia="en-AU"/>
              </w:rPr>
            </w:pPr>
            <w:r>
              <w:rPr>
                <w:rFonts w:eastAsia="Batang"/>
                <w:lang w:eastAsia="en-AU"/>
              </w:rPr>
              <w:t>Sponsor</w:t>
            </w:r>
          </w:p>
        </w:tc>
        <w:tc>
          <w:tcPr>
            <w:tcW w:w="927" w:type="pct"/>
          </w:tcPr>
          <w:p w14:paraId="160F6493" w14:textId="77777777" w:rsidR="0033756F" w:rsidRDefault="0033756F">
            <w:pPr>
              <w:pStyle w:val="011TableHeading8pt"/>
              <w:rPr>
                <w:rFonts w:eastAsia="Batang"/>
                <w:lang w:eastAsia="en-AU"/>
              </w:rPr>
            </w:pPr>
            <w:r>
              <w:rPr>
                <w:rFonts w:eastAsia="Batang"/>
                <w:lang w:eastAsia="en-AU"/>
              </w:rPr>
              <w:t>Device name</w:t>
            </w:r>
          </w:p>
        </w:tc>
        <w:tc>
          <w:tcPr>
            <w:tcW w:w="3270" w:type="pct"/>
          </w:tcPr>
          <w:p w14:paraId="67921CBD" w14:textId="77777777" w:rsidR="0033756F" w:rsidRDefault="0033756F">
            <w:pPr>
              <w:pStyle w:val="011TableHeading8pt"/>
              <w:rPr>
                <w:rFonts w:eastAsia="Batang"/>
                <w:lang w:eastAsia="en-AU"/>
              </w:rPr>
            </w:pPr>
            <w:r>
              <w:rPr>
                <w:rFonts w:eastAsia="Batang"/>
                <w:lang w:eastAsia="en-AU"/>
              </w:rPr>
              <w:t>Clinical indication/patient population</w:t>
            </w:r>
          </w:p>
        </w:tc>
      </w:tr>
      <w:tr w:rsidR="00CB01C1" w14:paraId="74A9C932" w14:textId="77777777" w:rsidTr="003E41B8">
        <w:tc>
          <w:tcPr>
            <w:tcW w:w="278" w:type="pct"/>
          </w:tcPr>
          <w:p w14:paraId="2C3FDE4F" w14:textId="77777777" w:rsidR="0033756F" w:rsidRDefault="0033756F">
            <w:pPr>
              <w:pStyle w:val="051Tabletext228pt"/>
              <w:rPr>
                <w:rFonts w:eastAsia="Batang"/>
                <w:lang w:eastAsia="en-AU"/>
              </w:rPr>
            </w:pPr>
            <w:r w:rsidRPr="007B011E">
              <w:t>BS322</w:t>
            </w:r>
          </w:p>
        </w:tc>
        <w:tc>
          <w:tcPr>
            <w:tcW w:w="525" w:type="pct"/>
          </w:tcPr>
          <w:p w14:paraId="294043A8" w14:textId="77777777" w:rsidR="0033756F" w:rsidRDefault="0033756F">
            <w:pPr>
              <w:pStyle w:val="051Tabletext228pt"/>
              <w:rPr>
                <w:rFonts w:eastAsia="Batang"/>
                <w:lang w:eastAsia="en-AU"/>
              </w:rPr>
            </w:pPr>
            <w:r w:rsidRPr="00EF02CA">
              <w:t xml:space="preserve">Boston Scientific </w:t>
            </w:r>
          </w:p>
        </w:tc>
        <w:tc>
          <w:tcPr>
            <w:tcW w:w="927" w:type="pct"/>
          </w:tcPr>
          <w:p w14:paraId="21705E66" w14:textId="77777777" w:rsidR="0033756F" w:rsidRDefault="0033756F">
            <w:pPr>
              <w:pStyle w:val="051Tabletext228pt"/>
              <w:rPr>
                <w:rFonts w:eastAsia="Batang"/>
                <w:lang w:eastAsia="en-AU"/>
              </w:rPr>
            </w:pPr>
            <w:r w:rsidRPr="00AC3F54">
              <w:t>Precision Novi IPG</w:t>
            </w:r>
          </w:p>
        </w:tc>
        <w:tc>
          <w:tcPr>
            <w:tcW w:w="3270" w:type="pct"/>
          </w:tcPr>
          <w:p w14:paraId="6EE224C7" w14:textId="179F60CB" w:rsidR="0033756F" w:rsidRDefault="0033756F">
            <w:pPr>
              <w:pStyle w:val="051Tabletext228pt"/>
              <w:rPr>
                <w:rFonts w:eastAsia="Batang"/>
                <w:lang w:eastAsia="en-AU"/>
              </w:rPr>
            </w:pPr>
            <w:r w:rsidRPr="00CE4BDB">
              <w:rPr>
                <w:rFonts w:eastAsia="Batang"/>
                <w:lang w:eastAsia="en-AU"/>
              </w:rPr>
              <w:t xml:space="preserve">Chronic intractable pain of the trunk and/or limbs including unilateral or bilateral pain associated with the following: </w:t>
            </w:r>
            <w:r w:rsidR="00814B96">
              <w:rPr>
                <w:rFonts w:eastAsia="Batang"/>
                <w:lang w:eastAsia="en-AU"/>
              </w:rPr>
              <w:t>FBSS</w:t>
            </w:r>
            <w:r w:rsidRPr="00CE4BDB">
              <w:rPr>
                <w:rFonts w:eastAsia="Batang"/>
                <w:lang w:eastAsia="en-AU"/>
              </w:rPr>
              <w:t xml:space="preserve">, CRPS Types I and II, intractable </w:t>
            </w:r>
            <w:r w:rsidR="00DF6270">
              <w:rPr>
                <w:rFonts w:eastAsia="Batang"/>
                <w:lang w:eastAsia="en-AU"/>
              </w:rPr>
              <w:t xml:space="preserve">LBP </w:t>
            </w:r>
            <w:r w:rsidRPr="00CE4BDB">
              <w:rPr>
                <w:rFonts w:eastAsia="Batang"/>
                <w:lang w:eastAsia="en-AU"/>
              </w:rPr>
              <w:t>and leg pain</w:t>
            </w:r>
          </w:p>
        </w:tc>
      </w:tr>
      <w:tr w:rsidR="00CB01C1" w14:paraId="7C59BC5C" w14:textId="77777777" w:rsidTr="003E41B8">
        <w:tc>
          <w:tcPr>
            <w:tcW w:w="278" w:type="pct"/>
          </w:tcPr>
          <w:p w14:paraId="30987A60" w14:textId="77777777" w:rsidR="0033756F" w:rsidRDefault="0033756F">
            <w:pPr>
              <w:pStyle w:val="051Tabletext228pt"/>
              <w:rPr>
                <w:rFonts w:eastAsia="Batang"/>
                <w:lang w:eastAsia="en-AU"/>
              </w:rPr>
            </w:pPr>
            <w:r w:rsidRPr="007B011E">
              <w:t>BS383</w:t>
            </w:r>
          </w:p>
        </w:tc>
        <w:tc>
          <w:tcPr>
            <w:tcW w:w="525" w:type="pct"/>
          </w:tcPr>
          <w:p w14:paraId="649B8E6A" w14:textId="77777777" w:rsidR="0033756F" w:rsidRDefault="0033756F">
            <w:pPr>
              <w:pStyle w:val="051Tabletext228pt"/>
              <w:rPr>
                <w:rFonts w:eastAsia="Batang"/>
                <w:lang w:eastAsia="en-AU"/>
              </w:rPr>
            </w:pPr>
            <w:r w:rsidRPr="00EF02CA">
              <w:t xml:space="preserve">Boston Scientific </w:t>
            </w:r>
          </w:p>
        </w:tc>
        <w:tc>
          <w:tcPr>
            <w:tcW w:w="927" w:type="pct"/>
          </w:tcPr>
          <w:p w14:paraId="3EB354AC" w14:textId="77777777" w:rsidR="0033756F" w:rsidRDefault="0033756F">
            <w:pPr>
              <w:pStyle w:val="051Tabletext228pt"/>
              <w:rPr>
                <w:rFonts w:eastAsia="Batang"/>
                <w:lang w:eastAsia="en-AU"/>
              </w:rPr>
            </w:pPr>
            <w:proofErr w:type="spellStart"/>
            <w:r w:rsidRPr="00AC3F54">
              <w:t>WaveWriter</w:t>
            </w:r>
            <w:proofErr w:type="spellEnd"/>
            <w:r w:rsidRPr="00AC3F54">
              <w:t xml:space="preserve"> Alpha</w:t>
            </w:r>
          </w:p>
        </w:tc>
        <w:tc>
          <w:tcPr>
            <w:tcW w:w="3270" w:type="pct"/>
          </w:tcPr>
          <w:p w14:paraId="00C40E00" w14:textId="33189C39" w:rsidR="0033756F" w:rsidRDefault="0033756F">
            <w:pPr>
              <w:pStyle w:val="051Tabletext228pt"/>
              <w:rPr>
                <w:rFonts w:eastAsia="Batang"/>
                <w:lang w:eastAsia="en-AU"/>
              </w:rPr>
            </w:pPr>
            <w:r w:rsidRPr="00CD0BDD">
              <w:rPr>
                <w:rFonts w:eastAsia="Batang"/>
                <w:lang w:eastAsia="en-AU"/>
              </w:rPr>
              <w:t xml:space="preserve">Chronic intractable pain of the trunk and/or limbs including unilateral or bilateral pain associated with the following: </w:t>
            </w:r>
            <w:r w:rsidR="00814B96">
              <w:rPr>
                <w:rFonts w:eastAsia="Batang"/>
                <w:lang w:eastAsia="en-AU"/>
              </w:rPr>
              <w:t>FBSS</w:t>
            </w:r>
            <w:r w:rsidRPr="00CD0BDD">
              <w:rPr>
                <w:rFonts w:eastAsia="Batang"/>
                <w:lang w:eastAsia="en-AU"/>
              </w:rPr>
              <w:t xml:space="preserve">, CRPS Types I and II, intractable </w:t>
            </w:r>
            <w:r w:rsidR="00DF6270">
              <w:rPr>
                <w:rFonts w:eastAsia="Batang"/>
                <w:lang w:eastAsia="en-AU"/>
              </w:rPr>
              <w:t>LBP</w:t>
            </w:r>
            <w:r w:rsidRPr="00CD0BDD">
              <w:rPr>
                <w:rFonts w:eastAsia="Batang"/>
                <w:lang w:eastAsia="en-AU"/>
              </w:rPr>
              <w:t xml:space="preserve"> and leg pain</w:t>
            </w:r>
          </w:p>
        </w:tc>
      </w:tr>
      <w:tr w:rsidR="00CB01C1" w14:paraId="58A9E5D3" w14:textId="77777777" w:rsidTr="003E41B8">
        <w:tc>
          <w:tcPr>
            <w:tcW w:w="278" w:type="pct"/>
          </w:tcPr>
          <w:p w14:paraId="199C15A1" w14:textId="77777777" w:rsidR="0033756F" w:rsidRDefault="0033756F">
            <w:pPr>
              <w:pStyle w:val="051Tabletext228pt"/>
              <w:rPr>
                <w:rFonts w:eastAsia="Batang"/>
                <w:lang w:eastAsia="en-AU"/>
              </w:rPr>
            </w:pPr>
            <w:r w:rsidRPr="007B011E">
              <w:t>SJ379</w:t>
            </w:r>
          </w:p>
        </w:tc>
        <w:tc>
          <w:tcPr>
            <w:tcW w:w="525" w:type="pct"/>
          </w:tcPr>
          <w:p w14:paraId="13F6786A" w14:textId="77777777" w:rsidR="0033756F" w:rsidRDefault="0033756F">
            <w:pPr>
              <w:pStyle w:val="051Tabletext228pt"/>
              <w:rPr>
                <w:rFonts w:eastAsia="Batang"/>
                <w:lang w:eastAsia="en-AU"/>
              </w:rPr>
            </w:pPr>
            <w:r w:rsidRPr="00EF02CA">
              <w:t xml:space="preserve">Abbott Medical </w:t>
            </w:r>
          </w:p>
        </w:tc>
        <w:tc>
          <w:tcPr>
            <w:tcW w:w="927" w:type="pct"/>
          </w:tcPr>
          <w:p w14:paraId="71763373" w14:textId="77777777" w:rsidR="0033756F" w:rsidRDefault="0033756F">
            <w:pPr>
              <w:pStyle w:val="051Tabletext228pt"/>
              <w:rPr>
                <w:rFonts w:eastAsia="Batang"/>
                <w:lang w:eastAsia="en-AU"/>
              </w:rPr>
            </w:pPr>
            <w:r w:rsidRPr="00AC3F54">
              <w:t>Proclaim IPG</w:t>
            </w:r>
          </w:p>
        </w:tc>
        <w:tc>
          <w:tcPr>
            <w:tcW w:w="3270" w:type="pct"/>
          </w:tcPr>
          <w:p w14:paraId="5EA0C4C7" w14:textId="48246BBC" w:rsidR="0033756F" w:rsidRDefault="0033756F">
            <w:pPr>
              <w:pStyle w:val="051Tabletext228pt"/>
              <w:rPr>
                <w:rFonts w:eastAsia="Batang"/>
                <w:lang w:eastAsia="en-AU"/>
              </w:rPr>
            </w:pPr>
            <w:r w:rsidRPr="000A7F60">
              <w:rPr>
                <w:rFonts w:eastAsia="Batang"/>
                <w:lang w:eastAsia="en-AU"/>
              </w:rPr>
              <w:t xml:space="preserve">Chronic, intractable pain of the trunk and/or limbs, including unilateral or bilateral pain associated with the following: </w:t>
            </w:r>
            <w:r w:rsidR="00D85036">
              <w:rPr>
                <w:rFonts w:eastAsia="Batang"/>
                <w:lang w:eastAsia="en-AU"/>
              </w:rPr>
              <w:t>FBSS</w:t>
            </w:r>
            <w:r w:rsidRPr="000A7F60">
              <w:rPr>
                <w:rFonts w:eastAsia="Batang"/>
                <w:lang w:eastAsia="en-AU"/>
              </w:rPr>
              <w:t xml:space="preserve"> and intractable low back and leg pain</w:t>
            </w:r>
          </w:p>
        </w:tc>
      </w:tr>
      <w:tr w:rsidR="00CB01C1" w14:paraId="2AB1495F" w14:textId="77777777" w:rsidTr="003E41B8">
        <w:tc>
          <w:tcPr>
            <w:tcW w:w="278" w:type="pct"/>
          </w:tcPr>
          <w:p w14:paraId="08E2C033" w14:textId="77777777" w:rsidR="0033756F" w:rsidRDefault="0033756F">
            <w:pPr>
              <w:pStyle w:val="051Tabletext228pt"/>
              <w:rPr>
                <w:rFonts w:eastAsia="Batang"/>
                <w:lang w:eastAsia="en-AU"/>
              </w:rPr>
            </w:pPr>
            <w:r w:rsidRPr="007B011E">
              <w:t>SJ432</w:t>
            </w:r>
          </w:p>
        </w:tc>
        <w:tc>
          <w:tcPr>
            <w:tcW w:w="525" w:type="pct"/>
          </w:tcPr>
          <w:p w14:paraId="7DF41142" w14:textId="77777777" w:rsidR="0033756F" w:rsidRDefault="0033756F">
            <w:pPr>
              <w:pStyle w:val="051Tabletext228pt"/>
              <w:rPr>
                <w:rFonts w:eastAsia="Batang"/>
                <w:lang w:eastAsia="en-AU"/>
              </w:rPr>
            </w:pPr>
            <w:r w:rsidRPr="00EF02CA">
              <w:t>Abbott Medical</w:t>
            </w:r>
          </w:p>
        </w:tc>
        <w:tc>
          <w:tcPr>
            <w:tcW w:w="927" w:type="pct"/>
          </w:tcPr>
          <w:p w14:paraId="1746FBAD" w14:textId="77777777" w:rsidR="0033756F" w:rsidRDefault="0033756F">
            <w:pPr>
              <w:pStyle w:val="051Tabletext228pt"/>
              <w:rPr>
                <w:rFonts w:eastAsia="Batang"/>
                <w:lang w:eastAsia="en-AU"/>
              </w:rPr>
            </w:pPr>
            <w:r w:rsidRPr="00AC3F54">
              <w:t>Proclaim XR IPG</w:t>
            </w:r>
          </w:p>
        </w:tc>
        <w:tc>
          <w:tcPr>
            <w:tcW w:w="3270" w:type="pct"/>
          </w:tcPr>
          <w:p w14:paraId="1931E881" w14:textId="3845ECB4" w:rsidR="0033756F" w:rsidRDefault="0033756F">
            <w:pPr>
              <w:pStyle w:val="051Tabletext228pt"/>
              <w:rPr>
                <w:rFonts w:eastAsia="Batang"/>
                <w:lang w:eastAsia="en-AU"/>
              </w:rPr>
            </w:pPr>
            <w:r w:rsidRPr="000A7F60">
              <w:rPr>
                <w:rFonts w:eastAsia="Batang"/>
                <w:lang w:eastAsia="en-AU"/>
              </w:rPr>
              <w:t xml:space="preserve">Chronic, intractable pain of the trunk and/or limbs, including unilateral or bilateral pain associated with the following: </w:t>
            </w:r>
            <w:r w:rsidR="00D85036">
              <w:rPr>
                <w:rFonts w:eastAsia="Batang"/>
                <w:lang w:eastAsia="en-AU"/>
              </w:rPr>
              <w:t>FBSS</w:t>
            </w:r>
            <w:r w:rsidRPr="000A7F60">
              <w:rPr>
                <w:rFonts w:eastAsia="Batang"/>
                <w:lang w:eastAsia="en-AU"/>
              </w:rPr>
              <w:t xml:space="preserve"> and intractable low back and leg pain</w:t>
            </w:r>
          </w:p>
        </w:tc>
      </w:tr>
      <w:tr w:rsidR="00CB01C1" w14:paraId="7F7EEB3F" w14:textId="77777777" w:rsidTr="003E41B8">
        <w:tc>
          <w:tcPr>
            <w:tcW w:w="278" w:type="pct"/>
          </w:tcPr>
          <w:p w14:paraId="6E58974D" w14:textId="77777777" w:rsidR="0033756F" w:rsidRDefault="0033756F">
            <w:pPr>
              <w:pStyle w:val="051Tabletext228pt"/>
              <w:rPr>
                <w:rFonts w:eastAsia="Batang"/>
                <w:lang w:eastAsia="en-AU"/>
              </w:rPr>
            </w:pPr>
            <w:r w:rsidRPr="007B011E">
              <w:t>MI135</w:t>
            </w:r>
          </w:p>
        </w:tc>
        <w:tc>
          <w:tcPr>
            <w:tcW w:w="525" w:type="pct"/>
          </w:tcPr>
          <w:p w14:paraId="57B1645A" w14:textId="77777777" w:rsidR="0033756F" w:rsidRDefault="0033756F">
            <w:pPr>
              <w:pStyle w:val="051Tabletext228pt"/>
              <w:rPr>
                <w:rFonts w:eastAsia="Batang"/>
                <w:lang w:eastAsia="en-AU"/>
              </w:rPr>
            </w:pPr>
            <w:r w:rsidRPr="00EF02CA">
              <w:t>Medtronic</w:t>
            </w:r>
          </w:p>
        </w:tc>
        <w:tc>
          <w:tcPr>
            <w:tcW w:w="927" w:type="pct"/>
          </w:tcPr>
          <w:p w14:paraId="4B63A271" w14:textId="77777777" w:rsidR="0033756F" w:rsidRDefault="0033756F">
            <w:pPr>
              <w:pStyle w:val="051Tabletext228pt"/>
              <w:rPr>
                <w:rFonts w:eastAsia="Batang"/>
                <w:lang w:eastAsia="en-AU"/>
              </w:rPr>
            </w:pPr>
            <w:proofErr w:type="spellStart"/>
            <w:r w:rsidRPr="00AC3F54">
              <w:t>PrimeAdvanced</w:t>
            </w:r>
            <w:proofErr w:type="spellEnd"/>
            <w:r w:rsidRPr="00AC3F54">
              <w:t xml:space="preserve"> </w:t>
            </w:r>
            <w:proofErr w:type="spellStart"/>
            <w:r w:rsidRPr="00AC3F54">
              <w:t>Surescan</w:t>
            </w:r>
            <w:proofErr w:type="spellEnd"/>
            <w:r w:rsidRPr="00AC3F54">
              <w:t xml:space="preserve"> MRI Neurostimulator</w:t>
            </w:r>
          </w:p>
        </w:tc>
        <w:tc>
          <w:tcPr>
            <w:tcW w:w="3270" w:type="pct"/>
          </w:tcPr>
          <w:p w14:paraId="485BA969" w14:textId="77777777" w:rsidR="0033756F" w:rsidRDefault="0033756F">
            <w:pPr>
              <w:pStyle w:val="051Tabletext228pt"/>
              <w:rPr>
                <w:rFonts w:eastAsia="Batang"/>
                <w:lang w:eastAsia="en-AU"/>
              </w:rPr>
            </w:pPr>
            <w:r w:rsidRPr="000A7F60">
              <w:rPr>
                <w:rFonts w:eastAsia="Batang"/>
                <w:lang w:eastAsia="en-AU"/>
              </w:rPr>
              <w:t>Chronic, intractable pain of the trunk and/or limbs-including unilateral or bilateral pain</w:t>
            </w:r>
          </w:p>
        </w:tc>
      </w:tr>
      <w:tr w:rsidR="00CB01C1" w14:paraId="55A07DF3" w14:textId="77777777" w:rsidTr="003E41B8">
        <w:tc>
          <w:tcPr>
            <w:tcW w:w="278" w:type="pct"/>
          </w:tcPr>
          <w:p w14:paraId="4313C261" w14:textId="77777777" w:rsidR="0033756F" w:rsidRDefault="0033756F">
            <w:pPr>
              <w:pStyle w:val="051Tabletext228pt"/>
              <w:rPr>
                <w:rFonts w:eastAsia="Batang"/>
                <w:lang w:eastAsia="en-AU"/>
              </w:rPr>
            </w:pPr>
            <w:r w:rsidRPr="007B011E">
              <w:t>MI132</w:t>
            </w:r>
          </w:p>
        </w:tc>
        <w:tc>
          <w:tcPr>
            <w:tcW w:w="525" w:type="pct"/>
          </w:tcPr>
          <w:p w14:paraId="6814CBB1" w14:textId="77777777" w:rsidR="0033756F" w:rsidRDefault="0033756F">
            <w:pPr>
              <w:pStyle w:val="051Tabletext228pt"/>
              <w:rPr>
                <w:rFonts w:eastAsia="Batang"/>
                <w:lang w:eastAsia="en-AU"/>
              </w:rPr>
            </w:pPr>
            <w:r w:rsidRPr="00EF02CA">
              <w:t>Medtronic</w:t>
            </w:r>
          </w:p>
        </w:tc>
        <w:tc>
          <w:tcPr>
            <w:tcW w:w="927" w:type="pct"/>
          </w:tcPr>
          <w:p w14:paraId="00D737F2" w14:textId="77777777" w:rsidR="0033756F" w:rsidRDefault="0033756F">
            <w:pPr>
              <w:pStyle w:val="051Tabletext228pt"/>
              <w:rPr>
                <w:rFonts w:eastAsia="Batang"/>
                <w:lang w:eastAsia="en-AU"/>
              </w:rPr>
            </w:pPr>
            <w:proofErr w:type="spellStart"/>
            <w:r w:rsidRPr="00AC3F54">
              <w:t>RestoreSensor</w:t>
            </w:r>
            <w:proofErr w:type="spellEnd"/>
            <w:r w:rsidRPr="00AC3F54">
              <w:t xml:space="preserve"> </w:t>
            </w:r>
            <w:proofErr w:type="spellStart"/>
            <w:r w:rsidRPr="00AC3F54">
              <w:t>Surescan</w:t>
            </w:r>
            <w:proofErr w:type="spellEnd"/>
            <w:r w:rsidRPr="00AC3F54">
              <w:t xml:space="preserve"> MRI Neurostimulator</w:t>
            </w:r>
          </w:p>
        </w:tc>
        <w:tc>
          <w:tcPr>
            <w:tcW w:w="3270" w:type="pct"/>
          </w:tcPr>
          <w:p w14:paraId="5B89EEF1" w14:textId="5EF396E7" w:rsidR="0033756F" w:rsidRDefault="0033756F">
            <w:pPr>
              <w:pStyle w:val="051Tabletext228pt"/>
              <w:rPr>
                <w:rFonts w:eastAsia="Batang"/>
                <w:lang w:eastAsia="en-AU"/>
              </w:rPr>
            </w:pPr>
            <w:r w:rsidRPr="00443731">
              <w:rPr>
                <w:rFonts w:eastAsia="Batang"/>
                <w:lang w:eastAsia="en-AU"/>
              </w:rPr>
              <w:t xml:space="preserve">Chronic, intractable pain of the trunk and/or limbs — including unilateral or bilateral pain associated with the following conditions: </w:t>
            </w:r>
            <w:r w:rsidRPr="00443731" w:rsidDel="00D67227">
              <w:rPr>
                <w:rFonts w:eastAsia="Batang"/>
                <w:lang w:eastAsia="en-AU"/>
              </w:rPr>
              <w:t>F</w:t>
            </w:r>
            <w:r w:rsidRPr="00443731">
              <w:rPr>
                <w:rFonts w:eastAsia="Batang"/>
                <w:lang w:eastAsia="en-AU"/>
              </w:rPr>
              <w:t>B</w:t>
            </w:r>
            <w:r w:rsidR="004D3095">
              <w:rPr>
                <w:rFonts w:eastAsia="Batang"/>
                <w:lang w:eastAsia="en-AU"/>
              </w:rPr>
              <w:t>S</w:t>
            </w:r>
            <w:r w:rsidRPr="00443731">
              <w:rPr>
                <w:rFonts w:eastAsia="Batang"/>
                <w:lang w:eastAsia="en-AU"/>
              </w:rPr>
              <w:t xml:space="preserve">S or low back syndrome or failed back, radicular pain syndrome or radiculopathies resulting in pain secondary to </w:t>
            </w:r>
            <w:r w:rsidRPr="004D3095">
              <w:rPr>
                <w:rFonts w:eastAsia="Batang"/>
                <w:lang w:eastAsia="en-AU"/>
              </w:rPr>
              <w:t>FB</w:t>
            </w:r>
            <w:r w:rsidR="004D3095" w:rsidRPr="003E41B8">
              <w:rPr>
                <w:rFonts w:eastAsia="Batang"/>
                <w:lang w:eastAsia="en-AU"/>
              </w:rPr>
              <w:t>S</w:t>
            </w:r>
            <w:r w:rsidRPr="004D3095">
              <w:rPr>
                <w:rFonts w:eastAsia="Batang"/>
                <w:lang w:eastAsia="en-AU"/>
              </w:rPr>
              <w:t>S or</w:t>
            </w:r>
            <w:r w:rsidRPr="00443731">
              <w:rPr>
                <w:rFonts w:eastAsia="Batang"/>
                <w:lang w:eastAsia="en-AU"/>
              </w:rPr>
              <w:t xml:space="preserve"> herniated disk, post</w:t>
            </w:r>
            <w:r w:rsidR="004B437C">
              <w:rPr>
                <w:rFonts w:eastAsia="Batang"/>
                <w:lang w:eastAsia="en-AU"/>
              </w:rPr>
              <w:t>-</w:t>
            </w:r>
            <w:r w:rsidRPr="00443731">
              <w:rPr>
                <w:rFonts w:eastAsia="Batang"/>
                <w:lang w:eastAsia="en-AU"/>
              </w:rPr>
              <w:t>laminectomy pain, multiple back operations, unsuccessful disk surgery, DDD/herniated disk pain refractory to conservative and surgical interventions, peripheral causalgia, epidural fibrosis, arachnoiditis or lumbar adhesive arachnoiditis, CRPS, RSD, or causalgia</w:t>
            </w:r>
          </w:p>
        </w:tc>
      </w:tr>
      <w:tr w:rsidR="00CB01C1" w14:paraId="27972470" w14:textId="77777777" w:rsidTr="003E41B8">
        <w:tc>
          <w:tcPr>
            <w:tcW w:w="278" w:type="pct"/>
          </w:tcPr>
          <w:p w14:paraId="090CB5E3" w14:textId="77777777" w:rsidR="0033756F" w:rsidRDefault="0033756F">
            <w:pPr>
              <w:pStyle w:val="051Tabletext228pt"/>
              <w:rPr>
                <w:rFonts w:eastAsia="Batang"/>
                <w:lang w:eastAsia="en-AU"/>
              </w:rPr>
            </w:pPr>
            <w:r w:rsidRPr="007B011E">
              <w:t>MI274</w:t>
            </w:r>
          </w:p>
        </w:tc>
        <w:tc>
          <w:tcPr>
            <w:tcW w:w="525" w:type="pct"/>
          </w:tcPr>
          <w:p w14:paraId="47AA7A70" w14:textId="77777777" w:rsidR="0033756F" w:rsidRDefault="0033756F">
            <w:pPr>
              <w:pStyle w:val="051Tabletext228pt"/>
              <w:rPr>
                <w:rFonts w:eastAsia="Batang"/>
                <w:lang w:eastAsia="en-AU"/>
              </w:rPr>
            </w:pPr>
            <w:r w:rsidRPr="00EF02CA">
              <w:t xml:space="preserve">Medtronic </w:t>
            </w:r>
          </w:p>
        </w:tc>
        <w:tc>
          <w:tcPr>
            <w:tcW w:w="927" w:type="pct"/>
          </w:tcPr>
          <w:p w14:paraId="722804A2" w14:textId="77777777" w:rsidR="0033756F" w:rsidRDefault="0033756F">
            <w:pPr>
              <w:pStyle w:val="051Tabletext228pt"/>
              <w:rPr>
                <w:rFonts w:eastAsia="Batang"/>
                <w:lang w:eastAsia="en-AU"/>
              </w:rPr>
            </w:pPr>
            <w:proofErr w:type="spellStart"/>
            <w:r w:rsidRPr="00AC3F54">
              <w:t>Intellis</w:t>
            </w:r>
            <w:proofErr w:type="spellEnd"/>
            <w:r w:rsidRPr="00AC3F54">
              <w:t xml:space="preserve"> </w:t>
            </w:r>
            <w:proofErr w:type="spellStart"/>
            <w:r w:rsidRPr="00AC3F54">
              <w:t>AdaptiveStim</w:t>
            </w:r>
            <w:proofErr w:type="spellEnd"/>
            <w:r w:rsidRPr="00AC3F54">
              <w:t xml:space="preserve"> Neurostimulator</w:t>
            </w:r>
          </w:p>
        </w:tc>
        <w:tc>
          <w:tcPr>
            <w:tcW w:w="3270" w:type="pct"/>
          </w:tcPr>
          <w:p w14:paraId="0446B4EA" w14:textId="77777777" w:rsidR="0033756F" w:rsidRDefault="0033756F">
            <w:pPr>
              <w:pStyle w:val="051Tabletext228pt"/>
              <w:rPr>
                <w:rFonts w:eastAsia="Batang"/>
                <w:lang w:eastAsia="en-AU"/>
              </w:rPr>
            </w:pPr>
            <w:r w:rsidRPr="00465342">
              <w:rPr>
                <w:rFonts w:eastAsia="Batang"/>
                <w:lang w:eastAsia="en-AU"/>
              </w:rPr>
              <w:t>Chronic, intractable pain of the trunk and/or limbs-including unilateral or bilateral pain</w:t>
            </w:r>
          </w:p>
        </w:tc>
      </w:tr>
      <w:tr w:rsidR="00CB01C1" w14:paraId="2F03CCBF" w14:textId="77777777" w:rsidTr="003E41B8">
        <w:tc>
          <w:tcPr>
            <w:tcW w:w="278" w:type="pct"/>
          </w:tcPr>
          <w:p w14:paraId="6C5DB5B3" w14:textId="77777777" w:rsidR="0033756F" w:rsidRDefault="0033756F">
            <w:pPr>
              <w:pStyle w:val="051Tabletext228pt"/>
              <w:rPr>
                <w:rFonts w:eastAsia="Batang"/>
                <w:lang w:eastAsia="en-AU"/>
              </w:rPr>
            </w:pPr>
            <w:r w:rsidRPr="007B011E">
              <w:t>UY003</w:t>
            </w:r>
          </w:p>
        </w:tc>
        <w:tc>
          <w:tcPr>
            <w:tcW w:w="525" w:type="pct"/>
          </w:tcPr>
          <w:p w14:paraId="62108C23" w14:textId="77777777" w:rsidR="0033756F" w:rsidRDefault="0033756F">
            <w:pPr>
              <w:pStyle w:val="051Tabletext228pt"/>
              <w:rPr>
                <w:rFonts w:eastAsia="Batang"/>
                <w:lang w:eastAsia="en-AU"/>
              </w:rPr>
            </w:pPr>
            <w:r w:rsidRPr="00EF02CA">
              <w:t>Saluda</w:t>
            </w:r>
          </w:p>
        </w:tc>
        <w:tc>
          <w:tcPr>
            <w:tcW w:w="927" w:type="pct"/>
          </w:tcPr>
          <w:p w14:paraId="2FDCFB26" w14:textId="1251B1A8" w:rsidR="0033756F" w:rsidRDefault="0033756F">
            <w:pPr>
              <w:pStyle w:val="051Tabletext228pt"/>
              <w:rPr>
                <w:rFonts w:eastAsia="Batang"/>
                <w:lang w:eastAsia="en-AU"/>
              </w:rPr>
            </w:pPr>
            <w:r w:rsidRPr="00AC3F54">
              <w:t>Evoke Closed Loop Stimulator (CLS</w:t>
            </w:r>
            <w:r w:rsidR="009C7EEC">
              <w:t>)</w:t>
            </w:r>
            <w:r w:rsidRPr="00AC3F54">
              <w:t xml:space="preserve"> </w:t>
            </w:r>
          </w:p>
        </w:tc>
        <w:tc>
          <w:tcPr>
            <w:tcW w:w="3270" w:type="pct"/>
          </w:tcPr>
          <w:p w14:paraId="4B9BB1E0" w14:textId="2C2441C6" w:rsidR="0033756F" w:rsidRDefault="0033756F">
            <w:pPr>
              <w:pStyle w:val="051Tabletext228pt"/>
              <w:rPr>
                <w:rFonts w:eastAsia="Batang"/>
                <w:lang w:eastAsia="en-AU"/>
              </w:rPr>
            </w:pPr>
            <w:r w:rsidRPr="00465342">
              <w:rPr>
                <w:rFonts w:eastAsia="Batang"/>
                <w:lang w:eastAsia="en-AU"/>
              </w:rPr>
              <w:t xml:space="preserve">Chronic intractable pain of the trunk and/or limbs, including unilateral or bilateral pain associated with the following: </w:t>
            </w:r>
            <w:r w:rsidR="004B437C">
              <w:rPr>
                <w:rFonts w:eastAsia="Batang"/>
                <w:lang w:eastAsia="en-AU"/>
              </w:rPr>
              <w:t>FBSS</w:t>
            </w:r>
            <w:r w:rsidRPr="00465342">
              <w:rPr>
                <w:rFonts w:eastAsia="Batang"/>
                <w:lang w:eastAsia="en-AU"/>
              </w:rPr>
              <w:t xml:space="preserve">, intractable </w:t>
            </w:r>
            <w:r w:rsidR="00C920D5">
              <w:rPr>
                <w:rFonts w:eastAsia="Batang"/>
                <w:lang w:eastAsia="en-AU"/>
              </w:rPr>
              <w:t>LBP</w:t>
            </w:r>
            <w:r w:rsidRPr="00465342">
              <w:rPr>
                <w:rFonts w:eastAsia="Batang"/>
                <w:lang w:eastAsia="en-AU"/>
              </w:rPr>
              <w:t xml:space="preserve"> and leg pain</w:t>
            </w:r>
          </w:p>
        </w:tc>
      </w:tr>
      <w:tr w:rsidR="00CB01C1" w14:paraId="48EB804A" w14:textId="77777777" w:rsidTr="003E41B8">
        <w:tc>
          <w:tcPr>
            <w:tcW w:w="278" w:type="pct"/>
          </w:tcPr>
          <w:p w14:paraId="3FD28438" w14:textId="77777777" w:rsidR="0033756F" w:rsidRDefault="0033756F">
            <w:pPr>
              <w:pStyle w:val="051Tabletext228pt"/>
              <w:rPr>
                <w:rFonts w:eastAsia="Batang"/>
                <w:lang w:eastAsia="en-AU"/>
              </w:rPr>
            </w:pPr>
            <w:r w:rsidRPr="007B011E">
              <w:t>BS254</w:t>
            </w:r>
          </w:p>
        </w:tc>
        <w:tc>
          <w:tcPr>
            <w:tcW w:w="525" w:type="pct"/>
          </w:tcPr>
          <w:p w14:paraId="0A27211A" w14:textId="77777777" w:rsidR="0033756F" w:rsidRDefault="0033756F">
            <w:pPr>
              <w:pStyle w:val="051Tabletext228pt"/>
              <w:rPr>
                <w:rFonts w:eastAsia="Batang"/>
                <w:lang w:eastAsia="en-AU"/>
              </w:rPr>
            </w:pPr>
            <w:r w:rsidRPr="00EF02CA">
              <w:t xml:space="preserve">Boston Scientific </w:t>
            </w:r>
          </w:p>
        </w:tc>
        <w:tc>
          <w:tcPr>
            <w:tcW w:w="927" w:type="pct"/>
          </w:tcPr>
          <w:p w14:paraId="1A2DA43C" w14:textId="77777777" w:rsidR="0033756F" w:rsidRDefault="0033756F">
            <w:pPr>
              <w:pStyle w:val="051Tabletext228pt"/>
              <w:rPr>
                <w:rFonts w:eastAsia="Batang"/>
                <w:lang w:eastAsia="en-AU"/>
              </w:rPr>
            </w:pPr>
            <w:r w:rsidRPr="00AC3F54">
              <w:t>Precision Spectra IPG</w:t>
            </w:r>
          </w:p>
        </w:tc>
        <w:tc>
          <w:tcPr>
            <w:tcW w:w="3270" w:type="pct"/>
          </w:tcPr>
          <w:p w14:paraId="640257B4" w14:textId="05FC1583" w:rsidR="0033756F" w:rsidRDefault="0033756F">
            <w:pPr>
              <w:pStyle w:val="051Tabletext228pt"/>
              <w:rPr>
                <w:rFonts w:eastAsia="Batang"/>
                <w:lang w:eastAsia="en-AU"/>
              </w:rPr>
            </w:pPr>
            <w:r w:rsidRPr="00026EDC">
              <w:rPr>
                <w:rFonts w:eastAsia="Batang"/>
                <w:lang w:eastAsia="en-AU"/>
              </w:rPr>
              <w:t xml:space="preserve">Chronic intractable pain of the trunk and/or limbs, including unilateral or bilateral pain associated with the following: </w:t>
            </w:r>
            <w:r w:rsidR="00C920D5">
              <w:rPr>
                <w:rFonts w:eastAsia="Batang"/>
                <w:lang w:eastAsia="en-AU"/>
              </w:rPr>
              <w:t>FBSS</w:t>
            </w:r>
            <w:r w:rsidRPr="00026EDC">
              <w:rPr>
                <w:rFonts w:eastAsia="Batang"/>
                <w:lang w:eastAsia="en-AU"/>
              </w:rPr>
              <w:t>, intractable low back and leg pain</w:t>
            </w:r>
          </w:p>
        </w:tc>
      </w:tr>
      <w:tr w:rsidR="00CB01C1" w14:paraId="53A35214" w14:textId="77777777" w:rsidTr="003E41B8">
        <w:tc>
          <w:tcPr>
            <w:tcW w:w="278" w:type="pct"/>
          </w:tcPr>
          <w:p w14:paraId="0DA55FF1" w14:textId="77777777" w:rsidR="0033756F" w:rsidRDefault="0033756F">
            <w:pPr>
              <w:pStyle w:val="051Tabletext228pt"/>
              <w:rPr>
                <w:rFonts w:eastAsia="Batang"/>
                <w:lang w:eastAsia="en-AU"/>
              </w:rPr>
            </w:pPr>
            <w:r w:rsidRPr="007B011E">
              <w:t>BS362</w:t>
            </w:r>
          </w:p>
        </w:tc>
        <w:tc>
          <w:tcPr>
            <w:tcW w:w="525" w:type="pct"/>
          </w:tcPr>
          <w:p w14:paraId="1C5E57DA" w14:textId="77777777" w:rsidR="0033756F" w:rsidRDefault="0033756F">
            <w:pPr>
              <w:pStyle w:val="051Tabletext228pt"/>
              <w:rPr>
                <w:rFonts w:eastAsia="Batang"/>
                <w:lang w:eastAsia="en-AU"/>
              </w:rPr>
            </w:pPr>
            <w:r w:rsidRPr="00EF02CA">
              <w:t xml:space="preserve">Boston Scientific </w:t>
            </w:r>
          </w:p>
        </w:tc>
        <w:tc>
          <w:tcPr>
            <w:tcW w:w="927" w:type="pct"/>
          </w:tcPr>
          <w:p w14:paraId="6A5CFB9E" w14:textId="77777777" w:rsidR="0033756F" w:rsidRDefault="0033756F">
            <w:pPr>
              <w:pStyle w:val="051Tabletext228pt"/>
              <w:rPr>
                <w:rFonts w:eastAsia="Batang"/>
                <w:lang w:eastAsia="en-AU"/>
              </w:rPr>
            </w:pPr>
            <w:r w:rsidRPr="00AC3F54">
              <w:t xml:space="preserve">Precision Spectra </w:t>
            </w:r>
            <w:proofErr w:type="spellStart"/>
            <w:r w:rsidRPr="00AC3F54">
              <w:t>WaveWriter</w:t>
            </w:r>
            <w:proofErr w:type="spellEnd"/>
            <w:r w:rsidRPr="00AC3F54">
              <w:t xml:space="preserve"> IPG</w:t>
            </w:r>
          </w:p>
        </w:tc>
        <w:tc>
          <w:tcPr>
            <w:tcW w:w="3270" w:type="pct"/>
          </w:tcPr>
          <w:p w14:paraId="0C2DC9CC" w14:textId="32D1E821" w:rsidR="0033756F" w:rsidRDefault="0033756F">
            <w:pPr>
              <w:pStyle w:val="051Tabletext228pt"/>
              <w:rPr>
                <w:rFonts w:eastAsia="Batang"/>
                <w:lang w:eastAsia="en-AU"/>
              </w:rPr>
            </w:pPr>
            <w:r w:rsidRPr="00C777ED">
              <w:rPr>
                <w:rFonts w:eastAsia="Batang"/>
                <w:lang w:eastAsia="en-AU"/>
              </w:rPr>
              <w:t xml:space="preserve">Chronic intractable pain of the trunk and/or limbs, including unilateral or bilateral pain associated with the following: </w:t>
            </w:r>
            <w:r w:rsidR="00C920D5">
              <w:rPr>
                <w:rFonts w:eastAsia="Batang"/>
                <w:lang w:eastAsia="en-AU"/>
              </w:rPr>
              <w:t>FBSS</w:t>
            </w:r>
            <w:r w:rsidRPr="00C777ED">
              <w:rPr>
                <w:rFonts w:eastAsia="Batang"/>
                <w:lang w:eastAsia="en-AU"/>
              </w:rPr>
              <w:t>, intractable low back and leg pain</w:t>
            </w:r>
          </w:p>
        </w:tc>
      </w:tr>
      <w:tr w:rsidR="00CB01C1" w14:paraId="46344C84" w14:textId="77777777" w:rsidTr="003E41B8">
        <w:tc>
          <w:tcPr>
            <w:tcW w:w="278" w:type="pct"/>
          </w:tcPr>
          <w:p w14:paraId="3B90A13B" w14:textId="77777777" w:rsidR="0033756F" w:rsidRDefault="0033756F">
            <w:pPr>
              <w:pStyle w:val="051Tabletext228pt"/>
              <w:rPr>
                <w:rFonts w:eastAsia="Batang"/>
                <w:lang w:eastAsia="en-AU"/>
              </w:rPr>
            </w:pPr>
            <w:r w:rsidRPr="007B011E">
              <w:t>BS389</w:t>
            </w:r>
          </w:p>
        </w:tc>
        <w:tc>
          <w:tcPr>
            <w:tcW w:w="525" w:type="pct"/>
          </w:tcPr>
          <w:p w14:paraId="368637B7" w14:textId="77777777" w:rsidR="0033756F" w:rsidRDefault="0033756F">
            <w:pPr>
              <w:pStyle w:val="051Tabletext228pt"/>
              <w:rPr>
                <w:rFonts w:eastAsia="Batang"/>
                <w:lang w:eastAsia="en-AU"/>
              </w:rPr>
            </w:pPr>
            <w:r w:rsidRPr="00EF02CA">
              <w:t xml:space="preserve">Boston Scientific </w:t>
            </w:r>
          </w:p>
        </w:tc>
        <w:tc>
          <w:tcPr>
            <w:tcW w:w="927" w:type="pct"/>
          </w:tcPr>
          <w:p w14:paraId="561434CE" w14:textId="77777777" w:rsidR="0033756F" w:rsidRDefault="0033756F">
            <w:pPr>
              <w:pStyle w:val="051Tabletext228pt"/>
              <w:rPr>
                <w:rFonts w:eastAsia="Batang"/>
                <w:lang w:eastAsia="en-AU"/>
              </w:rPr>
            </w:pPr>
            <w:proofErr w:type="spellStart"/>
            <w:r w:rsidRPr="00AC3F54">
              <w:t>WaveWriter</w:t>
            </w:r>
            <w:proofErr w:type="spellEnd"/>
            <w:r w:rsidRPr="00AC3F54">
              <w:t xml:space="preserve"> Alpha</w:t>
            </w:r>
          </w:p>
        </w:tc>
        <w:tc>
          <w:tcPr>
            <w:tcW w:w="3270" w:type="pct"/>
          </w:tcPr>
          <w:p w14:paraId="603AAE0F" w14:textId="29828EF2" w:rsidR="0033756F" w:rsidRDefault="0033756F">
            <w:pPr>
              <w:pStyle w:val="051Tabletext228pt"/>
              <w:rPr>
                <w:rFonts w:eastAsia="Batang"/>
                <w:lang w:eastAsia="en-AU"/>
              </w:rPr>
            </w:pPr>
            <w:r w:rsidRPr="004C7B46">
              <w:rPr>
                <w:rFonts w:eastAsia="Batang"/>
                <w:lang w:eastAsia="en-AU"/>
              </w:rPr>
              <w:t xml:space="preserve">Chronic intractable pain of the trunk and/or limbs including unilateral or bilateral pain associated with the following: </w:t>
            </w:r>
            <w:r w:rsidR="008743B0">
              <w:rPr>
                <w:rFonts w:eastAsia="Batang"/>
                <w:lang w:eastAsia="en-AU"/>
              </w:rPr>
              <w:t>FBSS</w:t>
            </w:r>
            <w:r w:rsidRPr="004C7B46">
              <w:rPr>
                <w:rFonts w:eastAsia="Batang"/>
                <w:lang w:eastAsia="en-AU"/>
              </w:rPr>
              <w:t xml:space="preserve">, CRPS Types I and II, intractable </w:t>
            </w:r>
            <w:r w:rsidR="008743B0">
              <w:rPr>
                <w:rFonts w:eastAsia="Batang"/>
                <w:lang w:eastAsia="en-AU"/>
              </w:rPr>
              <w:t>LBP</w:t>
            </w:r>
            <w:r w:rsidRPr="004C7B46">
              <w:rPr>
                <w:rFonts w:eastAsia="Batang"/>
                <w:lang w:eastAsia="en-AU"/>
              </w:rPr>
              <w:t xml:space="preserve"> and leg pain</w:t>
            </w:r>
          </w:p>
        </w:tc>
      </w:tr>
      <w:tr w:rsidR="00CB01C1" w14:paraId="7D88091F" w14:textId="77777777" w:rsidTr="003E41B8">
        <w:tc>
          <w:tcPr>
            <w:tcW w:w="278" w:type="pct"/>
          </w:tcPr>
          <w:p w14:paraId="5F684057" w14:textId="77777777" w:rsidR="0033756F" w:rsidRDefault="0033756F">
            <w:pPr>
              <w:pStyle w:val="051Tabletext228pt"/>
              <w:rPr>
                <w:rFonts w:eastAsia="Batang"/>
                <w:lang w:eastAsia="en-AU"/>
              </w:rPr>
            </w:pPr>
            <w:r w:rsidRPr="007B011E">
              <w:t>BS330</w:t>
            </w:r>
          </w:p>
        </w:tc>
        <w:tc>
          <w:tcPr>
            <w:tcW w:w="525" w:type="pct"/>
          </w:tcPr>
          <w:p w14:paraId="3D792205" w14:textId="77777777" w:rsidR="0033756F" w:rsidRDefault="0033756F">
            <w:pPr>
              <w:pStyle w:val="051Tabletext228pt"/>
              <w:rPr>
                <w:rFonts w:eastAsia="Batang"/>
                <w:lang w:eastAsia="en-AU"/>
              </w:rPr>
            </w:pPr>
            <w:r w:rsidRPr="00EF02CA">
              <w:t xml:space="preserve">Boston Scientific </w:t>
            </w:r>
          </w:p>
        </w:tc>
        <w:tc>
          <w:tcPr>
            <w:tcW w:w="927" w:type="pct"/>
          </w:tcPr>
          <w:p w14:paraId="6B1B008A" w14:textId="77777777" w:rsidR="0033756F" w:rsidRDefault="0033756F">
            <w:pPr>
              <w:pStyle w:val="051Tabletext228pt"/>
              <w:rPr>
                <w:rFonts w:eastAsia="Batang"/>
                <w:lang w:eastAsia="en-AU"/>
              </w:rPr>
            </w:pPr>
            <w:r w:rsidRPr="00AC3F54">
              <w:t>Precision Montage MRI IPG</w:t>
            </w:r>
          </w:p>
        </w:tc>
        <w:tc>
          <w:tcPr>
            <w:tcW w:w="3270" w:type="pct"/>
          </w:tcPr>
          <w:p w14:paraId="05F0AF77" w14:textId="0386028E" w:rsidR="0033756F" w:rsidRDefault="0033756F">
            <w:pPr>
              <w:pStyle w:val="051Tabletext228pt"/>
              <w:rPr>
                <w:rFonts w:eastAsia="Batang"/>
                <w:lang w:eastAsia="en-AU"/>
              </w:rPr>
            </w:pPr>
            <w:r w:rsidRPr="00E73A82">
              <w:rPr>
                <w:rFonts w:eastAsia="Batang"/>
                <w:lang w:eastAsia="en-AU"/>
              </w:rPr>
              <w:t xml:space="preserve">Chronic intractable pain of the trunk and/or limbs including unilateral or bilateral pain associated with the following: </w:t>
            </w:r>
            <w:r w:rsidR="008743B0">
              <w:rPr>
                <w:rFonts w:eastAsia="Batang"/>
                <w:lang w:eastAsia="en-AU"/>
              </w:rPr>
              <w:t>FBSS</w:t>
            </w:r>
            <w:r w:rsidRPr="00E73A82">
              <w:rPr>
                <w:rFonts w:eastAsia="Batang"/>
                <w:lang w:eastAsia="en-AU"/>
              </w:rPr>
              <w:t xml:space="preserve">, CRPS Types I and II, intractable </w:t>
            </w:r>
            <w:r w:rsidR="008743B0">
              <w:rPr>
                <w:rFonts w:eastAsia="Batang"/>
                <w:lang w:eastAsia="en-AU"/>
              </w:rPr>
              <w:t>LBP</w:t>
            </w:r>
            <w:r w:rsidRPr="00E73A82">
              <w:rPr>
                <w:rFonts w:eastAsia="Batang"/>
                <w:lang w:eastAsia="en-AU"/>
              </w:rPr>
              <w:t xml:space="preserve"> and leg pain</w:t>
            </w:r>
          </w:p>
        </w:tc>
      </w:tr>
      <w:tr w:rsidR="00CB01C1" w14:paraId="3644572E" w14:textId="77777777" w:rsidTr="003E41B8">
        <w:tc>
          <w:tcPr>
            <w:tcW w:w="278" w:type="pct"/>
          </w:tcPr>
          <w:p w14:paraId="66D2E07F" w14:textId="77777777" w:rsidR="0033756F" w:rsidRDefault="0033756F">
            <w:pPr>
              <w:pStyle w:val="051Tabletext228pt"/>
              <w:rPr>
                <w:rFonts w:eastAsia="Batang"/>
                <w:lang w:eastAsia="en-AU"/>
              </w:rPr>
            </w:pPr>
            <w:r w:rsidRPr="007B011E">
              <w:t>SJ374</w:t>
            </w:r>
          </w:p>
        </w:tc>
        <w:tc>
          <w:tcPr>
            <w:tcW w:w="525" w:type="pct"/>
          </w:tcPr>
          <w:p w14:paraId="42FB5A41" w14:textId="77777777" w:rsidR="0033756F" w:rsidRDefault="0033756F">
            <w:pPr>
              <w:pStyle w:val="051Tabletext228pt"/>
              <w:rPr>
                <w:rFonts w:eastAsia="Batang"/>
                <w:lang w:eastAsia="en-AU"/>
              </w:rPr>
            </w:pPr>
            <w:r w:rsidRPr="00EF02CA">
              <w:t>Abbott Medical</w:t>
            </w:r>
          </w:p>
        </w:tc>
        <w:tc>
          <w:tcPr>
            <w:tcW w:w="927" w:type="pct"/>
          </w:tcPr>
          <w:p w14:paraId="3FC23B97" w14:textId="77777777" w:rsidR="0033756F" w:rsidRDefault="0033756F">
            <w:pPr>
              <w:pStyle w:val="051Tabletext228pt"/>
              <w:rPr>
                <w:rFonts w:eastAsia="Batang"/>
                <w:lang w:eastAsia="en-AU"/>
              </w:rPr>
            </w:pPr>
            <w:r w:rsidRPr="00AC3F54">
              <w:t>Prodigy IPG</w:t>
            </w:r>
          </w:p>
        </w:tc>
        <w:tc>
          <w:tcPr>
            <w:tcW w:w="3270" w:type="pct"/>
          </w:tcPr>
          <w:p w14:paraId="1974F0BE" w14:textId="328C01CC" w:rsidR="0033756F" w:rsidRDefault="0033756F">
            <w:pPr>
              <w:pStyle w:val="051Tabletext228pt"/>
              <w:rPr>
                <w:rFonts w:eastAsia="Batang"/>
                <w:lang w:eastAsia="en-AU"/>
              </w:rPr>
            </w:pPr>
            <w:r w:rsidRPr="007D34E9">
              <w:rPr>
                <w:rFonts w:eastAsia="Batang"/>
                <w:lang w:eastAsia="en-AU"/>
              </w:rPr>
              <w:t xml:space="preserve">Chronic, intractable pain of the trunk and/or limbs, including unilateral or bilateral pain associated with the following: </w:t>
            </w:r>
            <w:r w:rsidR="008743B0">
              <w:rPr>
                <w:rFonts w:eastAsia="Batang"/>
                <w:lang w:eastAsia="en-AU"/>
              </w:rPr>
              <w:t>FBSS</w:t>
            </w:r>
            <w:r w:rsidRPr="007D34E9">
              <w:rPr>
                <w:rFonts w:eastAsia="Batang"/>
                <w:lang w:eastAsia="en-AU"/>
              </w:rPr>
              <w:t xml:space="preserve"> and intractable low back and leg pain</w:t>
            </w:r>
          </w:p>
        </w:tc>
      </w:tr>
      <w:tr w:rsidR="00CB01C1" w14:paraId="75C3DCED" w14:textId="77777777" w:rsidTr="003E41B8">
        <w:tc>
          <w:tcPr>
            <w:tcW w:w="278" w:type="pct"/>
          </w:tcPr>
          <w:p w14:paraId="76D1555A" w14:textId="77777777" w:rsidR="0033756F" w:rsidRDefault="0033756F">
            <w:pPr>
              <w:pStyle w:val="051Tabletext228pt"/>
              <w:rPr>
                <w:rFonts w:eastAsia="Batang"/>
                <w:lang w:eastAsia="en-AU"/>
              </w:rPr>
            </w:pPr>
            <w:r w:rsidRPr="007B011E">
              <w:t>MI275</w:t>
            </w:r>
          </w:p>
        </w:tc>
        <w:tc>
          <w:tcPr>
            <w:tcW w:w="525" w:type="pct"/>
          </w:tcPr>
          <w:p w14:paraId="57C44F23" w14:textId="77777777" w:rsidR="0033756F" w:rsidRDefault="0033756F">
            <w:pPr>
              <w:pStyle w:val="051Tabletext228pt"/>
              <w:rPr>
                <w:rFonts w:eastAsia="Batang"/>
                <w:lang w:eastAsia="en-AU"/>
              </w:rPr>
            </w:pPr>
            <w:r w:rsidRPr="00EF02CA">
              <w:t xml:space="preserve">Medtronic </w:t>
            </w:r>
          </w:p>
        </w:tc>
        <w:tc>
          <w:tcPr>
            <w:tcW w:w="927" w:type="pct"/>
          </w:tcPr>
          <w:p w14:paraId="211CCBDB" w14:textId="77777777" w:rsidR="0033756F" w:rsidRDefault="0033756F">
            <w:pPr>
              <w:pStyle w:val="051Tabletext228pt"/>
              <w:rPr>
                <w:rFonts w:eastAsia="Batang"/>
                <w:lang w:eastAsia="en-AU"/>
              </w:rPr>
            </w:pPr>
            <w:proofErr w:type="spellStart"/>
            <w:r w:rsidRPr="00AC3F54">
              <w:t>Intellis</w:t>
            </w:r>
            <w:proofErr w:type="spellEnd"/>
            <w:r w:rsidRPr="00AC3F54">
              <w:t xml:space="preserve"> Neurostimulator</w:t>
            </w:r>
          </w:p>
        </w:tc>
        <w:tc>
          <w:tcPr>
            <w:tcW w:w="3270" w:type="pct"/>
          </w:tcPr>
          <w:p w14:paraId="68C557BD" w14:textId="3FE89050" w:rsidR="0033756F" w:rsidRDefault="007B133B">
            <w:pPr>
              <w:pStyle w:val="051Tabletext228pt"/>
              <w:rPr>
                <w:rFonts w:eastAsia="Batang"/>
                <w:lang w:eastAsia="en-AU"/>
              </w:rPr>
            </w:pPr>
            <w:r>
              <w:rPr>
                <w:rFonts w:eastAsia="Batang"/>
                <w:lang w:eastAsia="en-AU"/>
              </w:rPr>
              <w:t>C</w:t>
            </w:r>
            <w:r w:rsidR="0033756F" w:rsidRPr="00F83F15">
              <w:rPr>
                <w:rFonts w:eastAsia="Batang"/>
                <w:lang w:eastAsia="en-AU"/>
              </w:rPr>
              <w:t>hronic, intractable pain of the trunk and/or limbs, peripheral vascular disease, or intractable angina pectoris</w:t>
            </w:r>
          </w:p>
        </w:tc>
      </w:tr>
      <w:tr w:rsidR="00CB01C1" w14:paraId="13A2CFA4" w14:textId="77777777" w:rsidTr="003E41B8">
        <w:tc>
          <w:tcPr>
            <w:tcW w:w="278" w:type="pct"/>
          </w:tcPr>
          <w:p w14:paraId="75FF662F" w14:textId="77777777" w:rsidR="0033756F" w:rsidRDefault="0033756F">
            <w:pPr>
              <w:pStyle w:val="051Tabletext228pt"/>
              <w:rPr>
                <w:rFonts w:eastAsia="Batang"/>
                <w:lang w:eastAsia="en-AU"/>
              </w:rPr>
            </w:pPr>
            <w:r w:rsidRPr="007B011E">
              <w:t>ER496</w:t>
            </w:r>
          </w:p>
        </w:tc>
        <w:tc>
          <w:tcPr>
            <w:tcW w:w="525" w:type="pct"/>
          </w:tcPr>
          <w:p w14:paraId="61FFFD1A" w14:textId="77777777" w:rsidR="0033756F" w:rsidRDefault="0033756F">
            <w:pPr>
              <w:pStyle w:val="051Tabletext228pt"/>
              <w:rPr>
                <w:rFonts w:eastAsia="Batang"/>
                <w:lang w:eastAsia="en-AU"/>
              </w:rPr>
            </w:pPr>
            <w:r w:rsidRPr="00EF02CA">
              <w:t xml:space="preserve">Emergo Asia </w:t>
            </w:r>
          </w:p>
        </w:tc>
        <w:tc>
          <w:tcPr>
            <w:tcW w:w="927" w:type="pct"/>
          </w:tcPr>
          <w:p w14:paraId="349DBB2B" w14:textId="77777777" w:rsidR="0033756F" w:rsidRDefault="0033756F">
            <w:pPr>
              <w:pStyle w:val="051Tabletext228pt"/>
              <w:rPr>
                <w:rFonts w:eastAsia="Batang"/>
                <w:lang w:eastAsia="en-AU"/>
              </w:rPr>
            </w:pPr>
            <w:r w:rsidRPr="00AC3F54">
              <w:t>Senza II IPG Kit</w:t>
            </w:r>
          </w:p>
        </w:tc>
        <w:tc>
          <w:tcPr>
            <w:tcW w:w="3270" w:type="pct"/>
          </w:tcPr>
          <w:p w14:paraId="2222299A" w14:textId="35EAB650" w:rsidR="0033756F" w:rsidRDefault="0033756F">
            <w:pPr>
              <w:pStyle w:val="051Tabletext228pt"/>
              <w:rPr>
                <w:rFonts w:eastAsia="Batang"/>
                <w:lang w:eastAsia="en-AU"/>
              </w:rPr>
            </w:pPr>
            <w:r w:rsidRPr="00F83F15">
              <w:rPr>
                <w:rFonts w:eastAsia="Batang"/>
                <w:lang w:eastAsia="en-AU"/>
              </w:rPr>
              <w:t xml:space="preserve">Chronic intractable pain of the trunk and/or limbs, including unilateral or bilateral pain associated with </w:t>
            </w:r>
            <w:r w:rsidR="008743B0">
              <w:rPr>
                <w:rFonts w:eastAsia="Batang"/>
                <w:lang w:eastAsia="en-AU"/>
              </w:rPr>
              <w:t>FBSS</w:t>
            </w:r>
            <w:r w:rsidRPr="00F83F15">
              <w:rPr>
                <w:rFonts w:eastAsia="Batang"/>
                <w:lang w:eastAsia="en-AU"/>
              </w:rPr>
              <w:t xml:space="preserve">, intractable </w:t>
            </w:r>
            <w:r w:rsidR="008743B0">
              <w:rPr>
                <w:rFonts w:eastAsia="Batang"/>
                <w:lang w:eastAsia="en-AU"/>
              </w:rPr>
              <w:t>LBP</w:t>
            </w:r>
            <w:r w:rsidRPr="00F83F15">
              <w:rPr>
                <w:rFonts w:eastAsia="Batang"/>
                <w:lang w:eastAsia="en-AU"/>
              </w:rPr>
              <w:t>, upper back pain, leg pain, upper limb and neck pain</w:t>
            </w:r>
          </w:p>
        </w:tc>
      </w:tr>
      <w:tr w:rsidR="00CB01C1" w14:paraId="0ABBBB05" w14:textId="77777777" w:rsidTr="003E41B8">
        <w:tc>
          <w:tcPr>
            <w:tcW w:w="278" w:type="pct"/>
          </w:tcPr>
          <w:p w14:paraId="6804801F" w14:textId="77777777" w:rsidR="0033756F" w:rsidRDefault="0033756F">
            <w:pPr>
              <w:pStyle w:val="051Tabletext228pt"/>
              <w:rPr>
                <w:rFonts w:eastAsia="Batang"/>
                <w:lang w:eastAsia="en-AU"/>
              </w:rPr>
            </w:pPr>
            <w:r w:rsidRPr="007B011E">
              <w:t>ER535</w:t>
            </w:r>
          </w:p>
        </w:tc>
        <w:tc>
          <w:tcPr>
            <w:tcW w:w="525" w:type="pct"/>
          </w:tcPr>
          <w:p w14:paraId="0FB41249" w14:textId="77777777" w:rsidR="0033756F" w:rsidRDefault="0033756F">
            <w:pPr>
              <w:pStyle w:val="051Tabletext228pt"/>
              <w:rPr>
                <w:rFonts w:eastAsia="Batang"/>
                <w:lang w:eastAsia="en-AU"/>
              </w:rPr>
            </w:pPr>
            <w:r w:rsidRPr="00EF02CA">
              <w:t xml:space="preserve">Emergo Asia </w:t>
            </w:r>
          </w:p>
        </w:tc>
        <w:tc>
          <w:tcPr>
            <w:tcW w:w="927" w:type="pct"/>
          </w:tcPr>
          <w:p w14:paraId="0A2E3903" w14:textId="77777777" w:rsidR="0033756F" w:rsidRDefault="0033756F">
            <w:pPr>
              <w:pStyle w:val="051Tabletext228pt"/>
              <w:rPr>
                <w:rFonts w:eastAsia="Batang"/>
                <w:lang w:eastAsia="en-AU"/>
              </w:rPr>
            </w:pPr>
            <w:r w:rsidRPr="00AC3F54">
              <w:t>Senza Omnia IPG Kit</w:t>
            </w:r>
          </w:p>
        </w:tc>
        <w:tc>
          <w:tcPr>
            <w:tcW w:w="3270" w:type="pct"/>
          </w:tcPr>
          <w:p w14:paraId="2A4DEE4D" w14:textId="06C25542" w:rsidR="0033756F" w:rsidRDefault="0033756F">
            <w:pPr>
              <w:pStyle w:val="051Tabletext228pt"/>
              <w:rPr>
                <w:rFonts w:eastAsia="Batang"/>
                <w:lang w:eastAsia="en-AU"/>
              </w:rPr>
            </w:pPr>
            <w:r w:rsidRPr="00801329">
              <w:rPr>
                <w:rFonts w:eastAsia="Batang"/>
                <w:lang w:eastAsia="en-AU"/>
              </w:rPr>
              <w:t xml:space="preserve">Chronic intractable pain of the trunk and/or limbs, including unilateral or bilateral pain associated with </w:t>
            </w:r>
            <w:r w:rsidR="008743B0">
              <w:rPr>
                <w:rFonts w:eastAsia="Batang"/>
                <w:lang w:eastAsia="en-AU"/>
              </w:rPr>
              <w:t>FBSS</w:t>
            </w:r>
            <w:r w:rsidRPr="00801329">
              <w:rPr>
                <w:rFonts w:eastAsia="Batang"/>
                <w:lang w:eastAsia="en-AU"/>
              </w:rPr>
              <w:t xml:space="preserve">, intractable </w:t>
            </w:r>
            <w:r w:rsidR="008743B0">
              <w:rPr>
                <w:rFonts w:eastAsia="Batang"/>
                <w:lang w:eastAsia="en-AU"/>
              </w:rPr>
              <w:t>LBP</w:t>
            </w:r>
            <w:r w:rsidRPr="00801329">
              <w:rPr>
                <w:rFonts w:eastAsia="Batang"/>
                <w:lang w:eastAsia="en-AU"/>
              </w:rPr>
              <w:t>, upper back pain, leg pain, upper limb and neck pain</w:t>
            </w:r>
          </w:p>
        </w:tc>
      </w:tr>
      <w:tr w:rsidR="00CB01C1" w14:paraId="606ECFE4" w14:textId="77777777" w:rsidTr="003E41B8">
        <w:tc>
          <w:tcPr>
            <w:tcW w:w="278" w:type="pct"/>
          </w:tcPr>
          <w:p w14:paraId="5F026763" w14:textId="77777777" w:rsidR="0033756F" w:rsidRDefault="0033756F">
            <w:pPr>
              <w:pStyle w:val="051Tabletext228pt"/>
              <w:rPr>
                <w:rFonts w:eastAsia="Batang"/>
                <w:lang w:eastAsia="en-AU"/>
              </w:rPr>
            </w:pPr>
            <w:r w:rsidRPr="007B011E">
              <w:lastRenderedPageBreak/>
              <w:t>MI495</w:t>
            </w:r>
          </w:p>
        </w:tc>
        <w:tc>
          <w:tcPr>
            <w:tcW w:w="525" w:type="pct"/>
          </w:tcPr>
          <w:p w14:paraId="7A45201F" w14:textId="77777777" w:rsidR="0033756F" w:rsidRDefault="0033756F">
            <w:pPr>
              <w:pStyle w:val="051Tabletext228pt"/>
              <w:rPr>
                <w:rFonts w:eastAsia="Batang"/>
                <w:lang w:eastAsia="en-AU"/>
              </w:rPr>
            </w:pPr>
            <w:r w:rsidRPr="00EF02CA">
              <w:t xml:space="preserve">Medtronic </w:t>
            </w:r>
          </w:p>
        </w:tc>
        <w:tc>
          <w:tcPr>
            <w:tcW w:w="927" w:type="pct"/>
          </w:tcPr>
          <w:p w14:paraId="48EE3953" w14:textId="77777777" w:rsidR="0033756F" w:rsidRDefault="0033756F">
            <w:pPr>
              <w:pStyle w:val="051Tabletext228pt"/>
              <w:rPr>
                <w:rFonts w:eastAsia="Batang"/>
                <w:lang w:eastAsia="en-AU"/>
              </w:rPr>
            </w:pPr>
            <w:proofErr w:type="spellStart"/>
            <w:r w:rsidRPr="00AC3F54">
              <w:t>Vanta</w:t>
            </w:r>
            <w:proofErr w:type="spellEnd"/>
            <w:r w:rsidRPr="00AC3F54">
              <w:t xml:space="preserve">™ Recharge-Free Neurostimulator </w:t>
            </w:r>
          </w:p>
        </w:tc>
        <w:tc>
          <w:tcPr>
            <w:tcW w:w="3270" w:type="pct"/>
          </w:tcPr>
          <w:p w14:paraId="761A0CED" w14:textId="77777777" w:rsidR="0033756F" w:rsidRDefault="0033756F">
            <w:pPr>
              <w:pStyle w:val="051Tabletext228pt"/>
              <w:rPr>
                <w:rFonts w:eastAsia="Batang"/>
                <w:lang w:eastAsia="en-AU"/>
              </w:rPr>
            </w:pPr>
            <w:r w:rsidRPr="00D35C64">
              <w:rPr>
                <w:rFonts w:eastAsia="Batang"/>
                <w:lang w:eastAsia="en-AU"/>
              </w:rPr>
              <w:t>Chronic, intractable pain of the trunk and/or limbs-including unilateral or bilateral pain</w:t>
            </w:r>
          </w:p>
        </w:tc>
      </w:tr>
    </w:tbl>
    <w:p w14:paraId="384022A7" w14:textId="49693F50" w:rsidR="00467BB2" w:rsidRPr="00467BB2" w:rsidRDefault="00820103" w:rsidP="003E41B8">
      <w:pPr>
        <w:pStyle w:val="101Tablefootnotes8pt"/>
        <w:rPr>
          <w:rFonts w:eastAsia="Batang"/>
          <w:lang w:eastAsia="en-AU"/>
        </w:rPr>
      </w:pPr>
      <w:r>
        <w:rPr>
          <w:rFonts w:eastAsia="Batang"/>
          <w:lang w:eastAsia="en-AU"/>
        </w:rPr>
        <w:t xml:space="preserve">Source: </w:t>
      </w:r>
      <w:r w:rsidR="009D20E2">
        <w:rPr>
          <w:rFonts w:eastAsia="Batang"/>
          <w:lang w:eastAsia="en-AU"/>
        </w:rPr>
        <w:t>C</w:t>
      </w:r>
      <w:r>
        <w:rPr>
          <w:rFonts w:eastAsia="Batang"/>
          <w:lang w:eastAsia="en-AU"/>
        </w:rPr>
        <w:t>linical indications and patient populations derived from IFUs and device webpages; Billing Code information derived from November 2022 P</w:t>
      </w:r>
      <w:r w:rsidR="005975D5">
        <w:rPr>
          <w:rFonts w:eastAsia="Batang"/>
          <w:lang w:eastAsia="en-AU"/>
        </w:rPr>
        <w:t>L</w:t>
      </w:r>
    </w:p>
    <w:p w14:paraId="709EA240" w14:textId="6B2BEBD9" w:rsidR="00242654" w:rsidRPr="00242654" w:rsidRDefault="00467BB2" w:rsidP="00A13062">
      <w:pPr>
        <w:pStyle w:val="111Tablefootnoteslast-nostick8pt"/>
        <w:rPr>
          <w:rFonts w:eastAsia="Calibri"/>
        </w:rPr>
      </w:pPr>
      <w:r>
        <w:t>Abbrevia</w:t>
      </w:r>
      <w:r w:rsidR="0030693F">
        <w:t xml:space="preserve">tions: CPRS, </w:t>
      </w:r>
      <w:r w:rsidR="0030693F" w:rsidRPr="0030693F">
        <w:t>complex regional pain syndrome</w:t>
      </w:r>
      <w:r w:rsidR="00D67227">
        <w:t xml:space="preserve">; </w:t>
      </w:r>
      <w:r w:rsidR="009835D9">
        <w:t xml:space="preserve">DDD, </w:t>
      </w:r>
      <w:r w:rsidR="009835D9" w:rsidRPr="00443731">
        <w:rPr>
          <w:rFonts w:eastAsia="Batang"/>
          <w:lang w:eastAsia="en-AU"/>
        </w:rPr>
        <w:t xml:space="preserve">degenerative disk </w:t>
      </w:r>
      <w:r w:rsidR="009835D9">
        <w:rPr>
          <w:rFonts w:eastAsia="Batang"/>
          <w:lang w:eastAsia="en-AU"/>
        </w:rPr>
        <w:t>d</w:t>
      </w:r>
      <w:r w:rsidR="009835D9" w:rsidRPr="00443731">
        <w:rPr>
          <w:rFonts w:eastAsia="Batang"/>
          <w:lang w:eastAsia="en-AU"/>
        </w:rPr>
        <w:t>isease</w:t>
      </w:r>
      <w:r w:rsidR="009835D9">
        <w:rPr>
          <w:rFonts w:eastAsia="Batang"/>
          <w:lang w:eastAsia="en-AU"/>
        </w:rPr>
        <w:t xml:space="preserve">; </w:t>
      </w:r>
      <w:r w:rsidR="00D67227">
        <w:t>FB</w:t>
      </w:r>
      <w:r w:rsidR="00250035">
        <w:t>S</w:t>
      </w:r>
      <w:r w:rsidR="00D67227">
        <w:t xml:space="preserve">S, failed back </w:t>
      </w:r>
      <w:r w:rsidR="00250035">
        <w:t>surgery syndrome</w:t>
      </w:r>
      <w:r w:rsidR="00DF6270">
        <w:t xml:space="preserve">; LBP, </w:t>
      </w:r>
      <w:r w:rsidR="00DF6270" w:rsidRPr="00CE4BDB">
        <w:rPr>
          <w:rFonts w:eastAsia="Batang"/>
          <w:lang w:eastAsia="en-AU"/>
        </w:rPr>
        <w:t>low back pain</w:t>
      </w:r>
      <w:r w:rsidR="00DF6270">
        <w:t xml:space="preserve">; RSD, </w:t>
      </w:r>
      <w:r w:rsidR="00DF6270" w:rsidRPr="00443731">
        <w:rPr>
          <w:rFonts w:eastAsia="Batang"/>
          <w:lang w:eastAsia="en-AU"/>
        </w:rPr>
        <w:t>reflex sympathetic dystrophy</w:t>
      </w:r>
      <w:r w:rsidR="00D67227">
        <w:t>.</w:t>
      </w:r>
      <w:r w:rsidR="00A13062" w:rsidRPr="00242654">
        <w:rPr>
          <w:rFonts w:eastAsia="Calibri"/>
        </w:rPr>
        <w:t xml:space="preserve"> </w:t>
      </w:r>
    </w:p>
    <w:sectPr w:rsidR="00242654" w:rsidRPr="00242654" w:rsidSect="000E0564">
      <w:pgSz w:w="16838" w:h="11906" w:orient="landscape"/>
      <w:pgMar w:top="1134" w:right="1134" w:bottom="1134" w:left="1134"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88F4" w14:textId="77777777" w:rsidR="00022693" w:rsidRDefault="00022693" w:rsidP="0011251C">
      <w:pPr>
        <w:spacing w:after="0" w:line="240" w:lineRule="auto"/>
      </w:pPr>
      <w:r>
        <w:separator/>
      </w:r>
    </w:p>
  </w:endnote>
  <w:endnote w:type="continuationSeparator" w:id="0">
    <w:p w14:paraId="472E3865" w14:textId="77777777" w:rsidR="00022693" w:rsidRDefault="00022693" w:rsidP="0011251C">
      <w:pPr>
        <w:spacing w:after="0" w:line="240" w:lineRule="auto"/>
      </w:pPr>
      <w:r>
        <w:continuationSeparator/>
      </w:r>
    </w:p>
  </w:endnote>
  <w:endnote w:type="continuationNotice" w:id="1">
    <w:p w14:paraId="67A8E7D1" w14:textId="77777777" w:rsidR="00022693" w:rsidRDefault="00022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IDFont+F1">
    <w:altName w:val="Calibri"/>
    <w:panose1 w:val="00000000000000000000"/>
    <w:charset w:val="00"/>
    <w:family w:val="auto"/>
    <w:notTrueType/>
    <w:pitch w:val="default"/>
    <w:sig w:usb0="00000003" w:usb1="00000000" w:usb2="00000000" w:usb3="00000000" w:csb0="00000001" w:csb1="00000000"/>
  </w:font>
  <w:font w:name="AdvHelN-L">
    <w:altName w:val="Calibri"/>
    <w:panose1 w:val="00000000000000000000"/>
    <w:charset w:val="00"/>
    <w:family w:val="swiss"/>
    <w:notTrueType/>
    <w:pitch w:val="default"/>
    <w:sig w:usb0="00000003" w:usb1="00000000" w:usb2="00000000" w:usb3="00000000" w:csb0="00000001" w:csb1="00000000"/>
  </w:font>
  <w:font w:name="AdvPSAED5">
    <w:altName w:val="Calibri"/>
    <w:panose1 w:val="00000000000000000000"/>
    <w:charset w:val="00"/>
    <w:family w:val="swiss"/>
    <w:notTrueType/>
    <w:pitch w:val="default"/>
    <w:sig w:usb0="00000003" w:usb1="00000000" w:usb2="00000000" w:usb3="00000000" w:csb0="00000001" w:csb1="00000000"/>
  </w:font>
  <w:font w:name="ScalaLancetPro">
    <w:altName w:val="Yu Gothic"/>
    <w:panose1 w:val="00000000000000000000"/>
    <w:charset w:val="00"/>
    <w:family w:val="roman"/>
    <w:notTrueType/>
    <w:pitch w:val="default"/>
    <w:sig w:usb0="00000003" w:usb1="00000000" w:usb2="00000000" w:usb3="00000000" w:csb0="00000001" w:csb1="00000000"/>
  </w:font>
  <w:font w:name="MyriadPro-Light">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8A1B" w14:textId="77777777" w:rsidR="00C2542C" w:rsidRDefault="00C2542C" w:rsidP="00AB0471">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22C1" w14:textId="12F013F8" w:rsidR="00C2542C" w:rsidRPr="000438CB" w:rsidRDefault="00C2542C" w:rsidP="000438CB">
    <w:pPr>
      <w:pStyle w:val="Footer"/>
    </w:pPr>
    <w:r w:rsidRPr="000438CB">
      <w:t xml:space="preserve">Prepared by </w:t>
    </w:r>
    <w:proofErr w:type="spellStart"/>
    <w:r w:rsidRPr="000438CB">
      <w:t>hereco</w:t>
    </w:r>
    <w:proofErr w:type="spellEnd"/>
    <w:r w:rsidRPr="000438CB">
      <w:t xml:space="preserve"> for </w:t>
    </w:r>
    <w:r w:rsidR="00D07798">
      <w:t>Department of Health and A</w:t>
    </w:r>
    <w:r w:rsidR="00E02C59">
      <w:t>ged Care</w:t>
    </w:r>
    <w:r w:rsidRPr="000438CB">
      <w:tab/>
      <w:t xml:space="preserve">Page | </w:t>
    </w:r>
    <w:r w:rsidRPr="000438CB">
      <w:fldChar w:fldCharType="begin"/>
    </w:r>
    <w:r w:rsidRPr="000438CB">
      <w:instrText xml:space="preserve"> PAGE   \* MERGEFORMAT </w:instrText>
    </w:r>
    <w:r w:rsidRPr="000438CB">
      <w:fldChar w:fldCharType="separate"/>
    </w:r>
    <w:r w:rsidRPr="000438CB">
      <w:t>20</w:t>
    </w:r>
    <w:r w:rsidRPr="000438C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4ADA" w14:textId="77777777" w:rsidR="002252DB" w:rsidRPr="000438CB" w:rsidRDefault="002252DB" w:rsidP="000438CB">
    <w:pPr>
      <w:pStyle w:val="Footer"/>
    </w:pPr>
    <w:r w:rsidRPr="000438CB">
      <w:t xml:space="preserve">Prepared by </w:t>
    </w:r>
    <w:proofErr w:type="spellStart"/>
    <w:r w:rsidRPr="000438CB">
      <w:t>hereco</w:t>
    </w:r>
    <w:proofErr w:type="spellEnd"/>
    <w:r w:rsidRPr="000438CB">
      <w:t xml:space="preserve"> for </w:t>
    </w:r>
    <w:r>
      <w:t>Department of Health and Aged Care</w:t>
    </w:r>
    <w:r w:rsidRPr="000438CB">
      <w:tab/>
      <w:t xml:space="preserve">Page | </w:t>
    </w:r>
    <w:r w:rsidRPr="000438CB">
      <w:fldChar w:fldCharType="begin"/>
    </w:r>
    <w:r w:rsidRPr="000438CB">
      <w:instrText xml:space="preserve"> PAGE   \* MERGEFORMAT </w:instrText>
    </w:r>
    <w:r w:rsidRPr="000438CB">
      <w:fldChar w:fldCharType="separate"/>
    </w:r>
    <w:r w:rsidRPr="000438CB">
      <w:t>20</w:t>
    </w:r>
    <w:r w:rsidRPr="000438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007D9" w14:textId="77777777" w:rsidR="00022693" w:rsidRDefault="00022693" w:rsidP="0011251C">
      <w:pPr>
        <w:spacing w:after="0" w:line="240" w:lineRule="auto"/>
      </w:pPr>
      <w:r>
        <w:separator/>
      </w:r>
    </w:p>
  </w:footnote>
  <w:footnote w:type="continuationSeparator" w:id="0">
    <w:p w14:paraId="66BE1BD2" w14:textId="77777777" w:rsidR="00022693" w:rsidRDefault="00022693" w:rsidP="0011251C">
      <w:pPr>
        <w:spacing w:after="0" w:line="240" w:lineRule="auto"/>
      </w:pPr>
      <w:r>
        <w:continuationSeparator/>
      </w:r>
    </w:p>
  </w:footnote>
  <w:footnote w:type="continuationNotice" w:id="1">
    <w:p w14:paraId="3DD6839E" w14:textId="77777777" w:rsidR="00022693" w:rsidRDefault="00022693">
      <w:pPr>
        <w:spacing w:after="0" w:line="240" w:lineRule="auto"/>
      </w:pPr>
    </w:p>
  </w:footnote>
  <w:footnote w:id="2">
    <w:p w14:paraId="7C09079B" w14:textId="5779E1B5" w:rsidR="00914541" w:rsidRDefault="00914541" w:rsidP="00914541">
      <w:pPr>
        <w:pStyle w:val="FootnoteText"/>
      </w:pPr>
      <w:r>
        <w:rPr>
          <w:rStyle w:val="FootnoteReference"/>
        </w:rPr>
        <w:footnoteRef/>
      </w:r>
      <w:r>
        <w:t xml:space="preserve"> Available at: </w:t>
      </w:r>
      <w:hyperlink r:id="rId1" w:tooltip="This link goes to the TGA's clinical evidence guidelines for medical devices webpage" w:history="1">
        <w:r w:rsidRPr="00930464">
          <w:rPr>
            <w:rStyle w:val="Hyperlink"/>
          </w:rPr>
          <w:t>https://www.tga.gov.au/sites/default/files/clinical-evidence-guidelines-medical-devices.pdf</w:t>
        </w:r>
      </w:hyperlink>
      <w:r>
        <w:t xml:space="preserve"> </w:t>
      </w:r>
    </w:p>
  </w:footnote>
  <w:footnote w:id="3">
    <w:p w14:paraId="4C884F69" w14:textId="731CB7FB" w:rsidR="00F74E4D" w:rsidRDefault="00F74E4D">
      <w:pPr>
        <w:pStyle w:val="FootnoteText"/>
      </w:pPr>
      <w:r>
        <w:rPr>
          <w:rStyle w:val="FootnoteReference"/>
        </w:rPr>
        <w:footnoteRef/>
      </w:r>
      <w:r>
        <w:t xml:space="preserve"> Avail</w:t>
      </w:r>
      <w:r w:rsidR="00233607">
        <w:t xml:space="preserve">able at: </w:t>
      </w:r>
      <w:hyperlink r:id="rId2" w:tooltip="Weblink to ePPOC information on University of Wollongong website" w:history="1">
        <w:r w:rsidR="00233607" w:rsidRPr="003B3CAE">
          <w:rPr>
            <w:rStyle w:val="Hyperlink"/>
          </w:rPr>
          <w:t>https://www.uow.edu.au/ahsri/eppoc/</w:t>
        </w:r>
      </w:hyperlink>
      <w:r w:rsidR="00233607">
        <w:t xml:space="preserve"> </w:t>
      </w:r>
    </w:p>
  </w:footnote>
  <w:footnote w:id="4">
    <w:p w14:paraId="7C29A451" w14:textId="3C58DB71" w:rsidR="009C28F5" w:rsidRDefault="009C28F5">
      <w:pPr>
        <w:pStyle w:val="FootnoteText"/>
      </w:pPr>
      <w:r>
        <w:rPr>
          <w:rStyle w:val="FootnoteReference"/>
        </w:rPr>
        <w:footnoteRef/>
      </w:r>
      <w:r>
        <w:t xml:space="preserve"> </w:t>
      </w:r>
      <w:r w:rsidR="00156758">
        <w:t xml:space="preserve">Available at: </w:t>
      </w:r>
      <w:hyperlink r:id="rId3" w:tooltip="This link goes to the Prostheses List post-listing review framework webpage" w:history="1">
        <w:r w:rsidR="005A4B34" w:rsidRPr="002074EB">
          <w:rPr>
            <w:rStyle w:val="Hyperlink"/>
          </w:rPr>
          <w:t>https://www.health.gov.au/resources/publications/prostheses-list-post-listing-review-framework</w:t>
        </w:r>
      </w:hyperlink>
      <w:r>
        <w:t xml:space="preserve"> </w:t>
      </w:r>
    </w:p>
  </w:footnote>
  <w:footnote w:id="5">
    <w:p w14:paraId="24BE9EE5" w14:textId="48645F0B" w:rsidR="00E0720E" w:rsidRDefault="00E0720E">
      <w:pPr>
        <w:pStyle w:val="FootnoteText"/>
      </w:pPr>
      <w:r>
        <w:rPr>
          <w:rStyle w:val="FootnoteReference"/>
        </w:rPr>
        <w:footnoteRef/>
      </w:r>
      <w:r>
        <w:t xml:space="preserve"> Data from </w:t>
      </w:r>
      <w:r w:rsidR="00683CAE">
        <w:t>2018 (Deloitte 2019)</w:t>
      </w:r>
    </w:p>
  </w:footnote>
  <w:footnote w:id="6">
    <w:p w14:paraId="30123052" w14:textId="16E049BB" w:rsidR="00F74BFC" w:rsidRPr="00B166A7" w:rsidRDefault="00F74BFC" w:rsidP="00F74BFC">
      <w:pPr>
        <w:pStyle w:val="FootnoteText"/>
      </w:pPr>
      <w:r>
        <w:rPr>
          <w:rStyle w:val="FootnoteReference"/>
        </w:rPr>
        <w:footnoteRef/>
      </w:r>
      <w:r>
        <w:t xml:space="preserve"> </w:t>
      </w:r>
      <w:r w:rsidR="005A4B34">
        <w:t xml:space="preserve">See </w:t>
      </w:r>
      <w:hyperlink r:id="rId4" w:anchor="/http://id.who.int/icd/entity/1581976053" w:tooltip="This link goes to the ICD-11 for Mortality and Morbidity Statistics webpage" w:history="1">
        <w:r w:rsidR="00515909" w:rsidRPr="00930464">
          <w:rPr>
            <w:rStyle w:val="Hyperlink"/>
          </w:rPr>
          <w:t>https://icd.who.int/browse11/l-m/en#/http://id.who.int/icd/entity/1581976053</w:t>
        </w:r>
      </w:hyperlink>
    </w:p>
  </w:footnote>
  <w:footnote w:id="7">
    <w:p w14:paraId="4D8219C0" w14:textId="29E6E3BF" w:rsidR="00145216" w:rsidRDefault="00145216">
      <w:pPr>
        <w:pStyle w:val="FootnoteText"/>
      </w:pPr>
      <w:r>
        <w:rPr>
          <w:rStyle w:val="FootnoteReference"/>
        </w:rPr>
        <w:footnoteRef/>
      </w:r>
      <w:r>
        <w:t xml:space="preserve"> </w:t>
      </w:r>
      <w:hyperlink r:id="rId5" w:tooltip="This link goes to Mainstay Medical's information for Physicians on Reactiv8 webpage" w:history="1">
        <w:r w:rsidRPr="005B3B4B">
          <w:rPr>
            <w:rStyle w:val="Hyperlink"/>
          </w:rPr>
          <w:t>https://mainstaymedical.com/physicians/</w:t>
        </w:r>
      </w:hyperlink>
      <w:r>
        <w:t xml:space="preserve"> </w:t>
      </w:r>
    </w:p>
  </w:footnote>
  <w:footnote w:id="8">
    <w:p w14:paraId="543609BA" w14:textId="5BFBFE3C" w:rsidR="00F51999" w:rsidRDefault="00F51999">
      <w:pPr>
        <w:pStyle w:val="FootnoteText"/>
      </w:pPr>
      <w:r>
        <w:rPr>
          <w:rStyle w:val="FootnoteReference"/>
        </w:rPr>
        <w:footnoteRef/>
      </w:r>
      <w:r>
        <w:t xml:space="preserve"> See </w:t>
      </w:r>
      <w:hyperlink r:id="rId6" w:tooltip="This link goes to the TGA's post-market reciew of SCS devices website" w:history="1">
        <w:r w:rsidR="00AB7E4C" w:rsidRPr="00E64A6D">
          <w:rPr>
            <w:rStyle w:val="Hyperlink"/>
          </w:rPr>
          <w:t>https://www.tga.gov.au/post-market-reviews/post-market-review-spinal-cord-stimulation-scs-devices</w:t>
        </w:r>
      </w:hyperlink>
      <w:r w:rsidR="00AB7E4C">
        <w:t xml:space="preserve"> </w:t>
      </w:r>
    </w:p>
  </w:footnote>
  <w:footnote w:id="9">
    <w:p w14:paraId="44D6202C" w14:textId="7B53A3C6" w:rsidR="000769ED" w:rsidRDefault="000769ED">
      <w:pPr>
        <w:pStyle w:val="FootnoteText"/>
      </w:pPr>
      <w:r>
        <w:rPr>
          <w:rStyle w:val="FootnoteReference"/>
        </w:rPr>
        <w:footnoteRef/>
      </w:r>
      <w:r>
        <w:t xml:space="preserve">  See </w:t>
      </w:r>
      <w:hyperlink r:id="rId7" w:tooltip="This link goes the MBS changes factsheet for changes to implant device procedure MBS items webpage" w:history="1">
        <w:r w:rsidR="00825B8C" w:rsidRPr="003B5A4F">
          <w:rPr>
            <w:rStyle w:val="Hyperlink"/>
          </w:rPr>
          <w:t>http://www.mbsonline.gov.au/internet/mbsonline/publishing.nsf/Content/77B4A4137E501F71CA2587B1007CAC2F/$File/Factsheet-Implanted-Device-Procedure-MBS-changes.12.04.22.pdf</w:t>
        </w:r>
      </w:hyperlink>
      <w:r w:rsidR="00825B8C">
        <w:t xml:space="preserve"> </w:t>
      </w:r>
    </w:p>
  </w:footnote>
  <w:footnote w:id="10">
    <w:p w14:paraId="3AE7300C" w14:textId="03659AC7" w:rsidR="00B71E58" w:rsidRDefault="00B71E58">
      <w:pPr>
        <w:pStyle w:val="FootnoteText"/>
      </w:pPr>
      <w:r>
        <w:rPr>
          <w:rStyle w:val="FootnoteReference"/>
        </w:rPr>
        <w:footnoteRef/>
      </w:r>
      <w:r>
        <w:t xml:space="preserve"> </w:t>
      </w:r>
      <w:r w:rsidR="009C21B9">
        <w:t xml:space="preserve">Available at: </w:t>
      </w:r>
      <w:hyperlink r:id="rId8" w:tooltip="Weblink to MSAC website" w:history="1">
        <w:r w:rsidR="009C21B9" w:rsidRPr="004620DC">
          <w:rPr>
            <w:rStyle w:val="Hyperlink"/>
          </w:rPr>
          <w:t>http://www.msac.gov.au/internet/msac/publishing.nsf/Content/1739-public</w:t>
        </w:r>
      </w:hyperlink>
      <w:r w:rsidR="009C21B9">
        <w:t xml:space="preserve"> </w:t>
      </w:r>
    </w:p>
  </w:footnote>
  <w:footnote w:id="11">
    <w:p w14:paraId="12E6DD3A" w14:textId="32FCC039" w:rsidR="00AE1F59" w:rsidRPr="00AE1F59" w:rsidRDefault="00AE1F59">
      <w:pPr>
        <w:pStyle w:val="FootnoteText"/>
        <w:rPr>
          <w:lang w:val="en-US"/>
        </w:rPr>
      </w:pPr>
      <w:r>
        <w:rPr>
          <w:rStyle w:val="FootnoteReference"/>
        </w:rPr>
        <w:footnoteRef/>
      </w:r>
      <w:r>
        <w:t xml:space="preserve"> </w:t>
      </w:r>
      <w:hyperlink r:id="rId9" w:tooltip="This link goes to the MSAC guidelines for preparing assessments webpage" w:history="1">
        <w:r w:rsidRPr="00023523">
          <w:rPr>
            <w:rStyle w:val="Hyperlink"/>
          </w:rPr>
          <w:t>http://www.msac.gov.au/internet/msac/publishing.nsf/Content/E0D4E4EDDE91EAC8CA2586E0007AFC75/$File/MSAC%20Guidelines-complete-16-FINAL(18May21).pdf</w:t>
        </w:r>
      </w:hyperlink>
      <w:r>
        <w:t xml:space="preserve"> </w:t>
      </w:r>
    </w:p>
  </w:footnote>
  <w:footnote w:id="12">
    <w:p w14:paraId="390ED0CB" w14:textId="74A7D3A5" w:rsidR="00AE1F59" w:rsidRPr="00AE1F59" w:rsidRDefault="00AE1F59">
      <w:pPr>
        <w:pStyle w:val="FootnoteText"/>
        <w:rPr>
          <w:lang w:val="en-US"/>
        </w:rPr>
      </w:pPr>
      <w:r>
        <w:rPr>
          <w:rStyle w:val="FootnoteReference"/>
        </w:rPr>
        <w:footnoteRef/>
      </w:r>
      <w:r>
        <w:t xml:space="preserve"> </w:t>
      </w:r>
      <w:hyperlink r:id="rId10" w:anchor="a-33-determining-which-study-designs-to-include" w:tooltip="This link goes to chapter 3.3 of the Cochrane Handbook for Systematic Reviews of Interventions website" w:history="1">
        <w:r w:rsidRPr="00023523">
          <w:rPr>
            <w:rStyle w:val="Hyperlink"/>
          </w:rPr>
          <w:t>https://training.cochrane.org/handbook/current/chapter-03#a-33-determining-which-study-designs-to-include</w:t>
        </w:r>
      </w:hyperlink>
      <w:r>
        <w:t xml:space="preserve"> </w:t>
      </w:r>
    </w:p>
  </w:footnote>
  <w:footnote w:id="13">
    <w:p w14:paraId="53C0FF15" w14:textId="311CC65D" w:rsidR="00014429" w:rsidRPr="00014429" w:rsidRDefault="00014429" w:rsidP="00014429">
      <w:pPr>
        <w:pStyle w:val="FootnoteText"/>
        <w:rPr>
          <w:lang w:val="en-US"/>
        </w:rPr>
      </w:pPr>
      <w:r>
        <w:rPr>
          <w:rStyle w:val="FootnoteReference"/>
        </w:rPr>
        <w:footnoteRef/>
      </w:r>
      <w:r>
        <w:t xml:space="preserve"> </w:t>
      </w:r>
      <w:hyperlink r:id="rId11" w:tooltip="This link goes to the Haute Autorité De Santé methodology for the clinical development of medical devices guideline webpage" w:history="1">
        <w:r w:rsidR="001E22F2" w:rsidRPr="00023523">
          <w:rPr>
            <w:rStyle w:val="Hyperlink"/>
          </w:rPr>
          <w:t>https://www.has-sante.fr/upload/docs/application/pdf/2021-09/guide_methodology_for_the_clinical_development_of_md.pdf</w:t>
        </w:r>
      </w:hyperlink>
      <w:r w:rsidR="001E22F2">
        <w:t xml:space="preserve"> </w:t>
      </w:r>
    </w:p>
  </w:footnote>
  <w:footnote w:id="14">
    <w:p w14:paraId="34BD8D44" w14:textId="7DAEC085" w:rsidR="006E501F" w:rsidRDefault="006E501F">
      <w:pPr>
        <w:pStyle w:val="FootnoteText"/>
      </w:pPr>
      <w:r>
        <w:rPr>
          <w:rStyle w:val="FootnoteReference"/>
        </w:rPr>
        <w:footnoteRef/>
      </w:r>
      <w:r>
        <w:t xml:space="preserve"> </w:t>
      </w:r>
      <w:r w:rsidR="001630F8">
        <w:t xml:space="preserve">Note: there is an error in </w:t>
      </w:r>
      <w:r w:rsidR="00D24137">
        <w:t>Traeger</w:t>
      </w:r>
      <w:r w:rsidR="001630F8">
        <w:t xml:space="preserve"> (2023) on page </w:t>
      </w:r>
      <w:r w:rsidR="00110578">
        <w:t xml:space="preserve">26 (Figure 9) and page </w:t>
      </w:r>
      <w:r w:rsidR="00497893">
        <w:t>110 (Analysis 2.7) which s</w:t>
      </w:r>
      <w:r w:rsidR="00B46195">
        <w:t>how</w:t>
      </w:r>
      <w:r w:rsidR="00497893">
        <w:t xml:space="preserve"> the effect in favour of medical management. </w:t>
      </w:r>
      <w:r w:rsidR="00B46195">
        <w:t>The Traeger text regarding this outcome is correct and the effect favours SCS.</w:t>
      </w:r>
    </w:p>
  </w:footnote>
  <w:footnote w:id="15">
    <w:p w14:paraId="5C827DF0" w14:textId="70AB55CB" w:rsidR="00670DB2" w:rsidRDefault="00670DB2" w:rsidP="00670DB2">
      <w:pPr>
        <w:pStyle w:val="FootnoteText"/>
      </w:pPr>
      <w:r>
        <w:rPr>
          <w:rStyle w:val="FootnoteReference"/>
        </w:rPr>
        <w:footnoteRef/>
      </w:r>
      <w:r>
        <w:t xml:space="preserve"> A conference abstract for a comparative study was supplied by stakeholders for the use of antibacterial </w:t>
      </w:r>
      <w:r w:rsidR="000E1620">
        <w:t>envelopes but</w:t>
      </w:r>
      <w:r>
        <w:t xml:space="preserve"> is not included here as it does not compare SCS with no SCS or an alternative modality of SCS (Persad 2022). </w:t>
      </w:r>
    </w:p>
  </w:footnote>
  <w:footnote w:id="16">
    <w:p w14:paraId="5AAAA774" w14:textId="36F79DCB" w:rsidR="00F66AE5" w:rsidRDefault="00F66AE5">
      <w:pPr>
        <w:pStyle w:val="FootnoteText"/>
      </w:pPr>
      <w:r>
        <w:rPr>
          <w:rStyle w:val="FootnoteReference"/>
        </w:rPr>
        <w:footnoteRef/>
      </w:r>
      <w:r w:rsidR="002C378F">
        <w:t>For example</w:t>
      </w:r>
      <w:r w:rsidR="001A1388">
        <w:t xml:space="preserve"> on the Neuromodulation Society of Australia and NZ at</w:t>
      </w:r>
      <w:r w:rsidR="001063BD">
        <w:t>:</w:t>
      </w:r>
      <w:r>
        <w:t xml:space="preserve"> </w:t>
      </w:r>
      <w:hyperlink r:id="rId12" w:tooltip="This link goes to NSANZ's response to the recent JAMA article on SCS webpage" w:history="1">
        <w:r w:rsidR="002C378F" w:rsidRPr="003B5A4F">
          <w:rPr>
            <w:rStyle w:val="Hyperlink"/>
          </w:rPr>
          <w:t>https://www.nsanz.org.au/wp-content/uploads/2022/12/Response-to-Recent-JAMA-Article-on-Spinal-Cord-Stimulation.pdf</w:t>
        </w:r>
      </w:hyperlink>
      <w:r w:rsidR="002C378F">
        <w:t xml:space="preserve"> </w:t>
      </w:r>
    </w:p>
  </w:footnote>
  <w:footnote w:id="17">
    <w:p w14:paraId="1EBDC096" w14:textId="7CEA2CFB" w:rsidR="00A7397E" w:rsidRDefault="00A7397E">
      <w:pPr>
        <w:pStyle w:val="FootnoteText"/>
      </w:pPr>
      <w:r>
        <w:rPr>
          <w:rStyle w:val="FootnoteReference"/>
        </w:rPr>
        <w:footnoteRef/>
      </w:r>
      <w:r>
        <w:t xml:space="preserve"> </w:t>
      </w:r>
      <w:r w:rsidR="006A22B7">
        <w:t>Note that De Ridder has the IP on BurstDR</w:t>
      </w:r>
      <w:r w:rsidR="00E96EB8" w:rsidRPr="00E96EB8">
        <w:rPr>
          <w:vertAlign w:val="superscript"/>
        </w:rPr>
        <w:t>TM</w:t>
      </w:r>
      <w:r w:rsidR="00E96EB8">
        <w:rPr>
          <w:vertAlign w:val="superscript"/>
        </w:rPr>
        <w:t xml:space="preserve"> </w:t>
      </w:r>
    </w:p>
  </w:footnote>
  <w:footnote w:id="18">
    <w:p w14:paraId="477C67C0" w14:textId="1C78F72A" w:rsidR="009328CD" w:rsidRDefault="009328CD">
      <w:pPr>
        <w:pStyle w:val="FootnoteText"/>
      </w:pPr>
      <w:r>
        <w:rPr>
          <w:rStyle w:val="FootnoteReference"/>
        </w:rPr>
        <w:footnoteRef/>
      </w:r>
      <w:r>
        <w:t xml:space="preserve"> Noting that the author of </w:t>
      </w:r>
      <w:r w:rsidR="0062356D">
        <w:t xml:space="preserve">Deer (2023) also has conflicts of interest reporting personal fees from Abbott, Boston Scientific and </w:t>
      </w:r>
      <w:r w:rsidR="00B81A69">
        <w:t xml:space="preserve">Saluda amongst others and has a patent for DRG leads </w:t>
      </w:r>
      <w:r w:rsidR="002D1347">
        <w:t>pending to Abbott</w:t>
      </w:r>
      <w:r w:rsidR="0062356D">
        <w:t xml:space="preserve">. </w:t>
      </w:r>
    </w:p>
  </w:footnote>
  <w:footnote w:id="19">
    <w:p w14:paraId="1FF55C20" w14:textId="49FD845F" w:rsidR="006C42BB" w:rsidRDefault="006C42BB" w:rsidP="00527B65">
      <w:pPr>
        <w:pStyle w:val="FootnoteText"/>
      </w:pPr>
      <w:r>
        <w:rPr>
          <w:rStyle w:val="FootnoteReference"/>
        </w:rPr>
        <w:footnoteRef/>
      </w:r>
      <w:r>
        <w:t xml:space="preserve">  See </w:t>
      </w:r>
      <w:hyperlink r:id="rId13" w:tooltip="This link goes to the Advice on the Prostheses List adjusted benefit amounts webpage" w:history="1">
        <w:r w:rsidR="00527B65" w:rsidRPr="005464A0">
          <w:rPr>
            <w:rStyle w:val="Hyperlink"/>
          </w:rPr>
          <w:t>https://www.health.gov.au/resources/publications/advice-on-the-prostheses-list-adjusted-benefit-amounts</w:t>
        </w:r>
      </w:hyperlink>
      <w:r w:rsidR="00527B65">
        <w:t xml:space="preserve"> </w:t>
      </w:r>
    </w:p>
  </w:footnote>
  <w:footnote w:id="20">
    <w:p w14:paraId="684A9828" w14:textId="6AEA285E" w:rsidR="00D10BE9" w:rsidRDefault="00D10BE9">
      <w:pPr>
        <w:pStyle w:val="FootnoteText"/>
      </w:pPr>
      <w:r>
        <w:rPr>
          <w:rStyle w:val="FootnoteReference"/>
        </w:rPr>
        <w:footnoteRef/>
      </w:r>
      <w:r>
        <w:t xml:space="preserve">  </w:t>
      </w:r>
      <w:r w:rsidR="00F0315E">
        <w:t xml:space="preserve">Available at: </w:t>
      </w:r>
      <w:hyperlink r:id="rId14" w:tooltip="This link goes to the Beligum INAMI list of reimbursable devices webpage" w:history="1">
        <w:r w:rsidR="00F0315E" w:rsidRPr="002E232D">
          <w:rPr>
            <w:rStyle w:val="Hyperlink"/>
          </w:rPr>
          <w:t>https://www.riziv.fgov.be/fr/professionnels/sante/fournisseurs-implants/Pages/implants-liste-prestations-nominatives.aspx</w:t>
        </w:r>
      </w:hyperlink>
      <w:r w:rsidR="00F0315E">
        <w:rPr>
          <w:rStyle w:val="Hyperlink"/>
        </w:rPr>
        <w:t xml:space="preserve"> </w:t>
      </w:r>
    </w:p>
  </w:footnote>
  <w:footnote w:id="21">
    <w:p w14:paraId="00A09968" w14:textId="5B1A920A" w:rsidR="00D6101E" w:rsidRDefault="00D6101E">
      <w:pPr>
        <w:pStyle w:val="FootnoteText"/>
      </w:pPr>
      <w:r>
        <w:rPr>
          <w:rStyle w:val="FootnoteReference"/>
        </w:rPr>
        <w:footnoteRef/>
      </w:r>
      <w:r>
        <w:t xml:space="preserve"> </w:t>
      </w:r>
      <w:r w:rsidR="00BB3B2C">
        <w:t xml:space="preserve">National Strategic Action Plan for Pain Management available at: </w:t>
      </w:r>
      <w:hyperlink r:id="rId15" w:tooltip="This link goes to the National Strategic Action Plan for Pain Management webpage" w:history="1">
        <w:r w:rsidR="00BB3B2C" w:rsidRPr="006268ED">
          <w:rPr>
            <w:rStyle w:val="Hyperlink"/>
          </w:rPr>
          <w:t>https://www.painaustralia.org.au/static/uploads/files/national-action-plan-final-02-07-2019-wfpnnlamkiqw.pdf</w:t>
        </w:r>
      </w:hyperlink>
      <w:r w:rsidR="00BB3B2C">
        <w:t xml:space="preserve"> </w:t>
      </w:r>
    </w:p>
  </w:footnote>
  <w:footnote w:id="22">
    <w:p w14:paraId="1881C755" w14:textId="635E3B72" w:rsidR="006F2D16" w:rsidRDefault="006F2D16">
      <w:pPr>
        <w:pStyle w:val="FootnoteText"/>
      </w:pPr>
      <w:r>
        <w:rPr>
          <w:rStyle w:val="FootnoteReference"/>
        </w:rPr>
        <w:footnoteRef/>
      </w:r>
      <w:r>
        <w:t xml:space="preserve"> Available at: </w:t>
      </w:r>
      <w:hyperlink r:id="rId16" w:tooltip="This link goes to the Australian Commission on Safety and Quality in Health Care's Opoid Analgesic Stewardship in Acute Pain Clinical Care Standard (2022) webpage" w:history="1">
        <w:r w:rsidRPr="00930464">
          <w:rPr>
            <w:rStyle w:val="Hyperlink"/>
          </w:rPr>
          <w:t>https://www.safetyandquality.gov.au/publications-and-resources/resource-library/opioid-analgesic-stewardship-acute-pain-clinical-care-standard-2022</w:t>
        </w:r>
      </w:hyperlink>
      <w:r>
        <w:t xml:space="preserve"> </w:t>
      </w:r>
    </w:p>
  </w:footnote>
  <w:footnote w:id="23">
    <w:p w14:paraId="1DC10A10" w14:textId="3B729390" w:rsidR="00575EC7" w:rsidRPr="00575EC7" w:rsidRDefault="00575EC7" w:rsidP="00575EC7">
      <w:pPr>
        <w:pStyle w:val="FootnoteText"/>
      </w:pPr>
      <w:r>
        <w:rPr>
          <w:rStyle w:val="FootnoteReference"/>
        </w:rPr>
        <w:footnoteRef/>
      </w:r>
      <w:r>
        <w:t xml:space="preserve"> Available at: </w:t>
      </w:r>
      <w:hyperlink r:id="rId17" w:tooltip="This link goes to the Australian Commission on Saety and Quality in Health Care's Low Back Pain Clinical Care Standard (2022) webpage" w:history="1">
        <w:r w:rsidRPr="00930464">
          <w:rPr>
            <w:rStyle w:val="Hyperlink"/>
          </w:rPr>
          <w:t>https://www.safetyandquality.gov.au/publications-and-resources/resource-library/low-back-pain-clinical-care-standard-2022</w:t>
        </w:r>
      </w:hyperlink>
      <w:r>
        <w:t xml:space="preserve"> </w:t>
      </w:r>
    </w:p>
  </w:footnote>
  <w:footnote w:id="24">
    <w:p w14:paraId="18C31A1B" w14:textId="3EC03957" w:rsidR="00EF7DD6" w:rsidRDefault="00EF7DD6">
      <w:pPr>
        <w:pStyle w:val="FootnoteText"/>
      </w:pPr>
      <w:r>
        <w:rPr>
          <w:rStyle w:val="FootnoteReference"/>
        </w:rPr>
        <w:footnoteRef/>
      </w:r>
      <w:r>
        <w:t xml:space="preserve"> Available at: </w:t>
      </w:r>
      <w:hyperlink r:id="rId18" w:tooltip="This link goes to the TGA's clinical evidence guidelines for medical devices webpage" w:history="1">
        <w:r w:rsidRPr="00930464">
          <w:rPr>
            <w:rStyle w:val="Hyperlink"/>
          </w:rPr>
          <w:t>https://www.tga.gov.au/sites/default/files/clinical-evidence-guidelines-medical-devices.pdf</w:t>
        </w:r>
      </w:hyperlink>
      <w:r>
        <w:t xml:space="preserve"> </w:t>
      </w:r>
    </w:p>
  </w:footnote>
  <w:footnote w:id="25">
    <w:p w14:paraId="2C43B196" w14:textId="44A8CE49" w:rsidR="005B7BF5" w:rsidRDefault="005B7BF5">
      <w:pPr>
        <w:pStyle w:val="FootnoteText"/>
      </w:pPr>
      <w:r>
        <w:rPr>
          <w:rStyle w:val="FootnoteReference"/>
        </w:rPr>
        <w:footnoteRef/>
      </w:r>
      <w:r>
        <w:t xml:space="preserve"> </w:t>
      </w:r>
      <w:r w:rsidR="00A163C3">
        <w:t xml:space="preserve">See </w:t>
      </w:r>
      <w:hyperlink r:id="rId19" w:tooltip="This link goes to the UK and Ireland's National Neuromodulation Registry webpage" w:history="1">
        <w:r w:rsidR="00A163C3" w:rsidRPr="00930464">
          <w:rPr>
            <w:rStyle w:val="Hyperlink"/>
          </w:rPr>
          <w:t>https://nsuki.memberclicks.net/assets/documents/Patient%20Information%20NNR%20160118.pdf</w:t>
        </w:r>
      </w:hyperlink>
      <w:r w:rsidR="00856E78">
        <w:t xml:space="preserve"> </w:t>
      </w:r>
    </w:p>
  </w:footnote>
  <w:footnote w:id="26">
    <w:p w14:paraId="43F8C0F3" w14:textId="7546C10B" w:rsidR="001D3943" w:rsidRDefault="001D3943">
      <w:pPr>
        <w:pStyle w:val="FootnoteText"/>
      </w:pPr>
      <w:r>
        <w:rPr>
          <w:rStyle w:val="FootnoteReference"/>
        </w:rPr>
        <w:footnoteRef/>
      </w:r>
      <w:r>
        <w:t xml:space="preserve"> </w:t>
      </w:r>
      <w:r w:rsidR="00A163C3">
        <w:t xml:space="preserve">See </w:t>
      </w:r>
      <w:hyperlink r:id="rId20" w:tooltip="This link goes to the electronic Persistent Pain Outcomes Collaboration website" w:history="1">
        <w:r w:rsidR="00B85D7E" w:rsidRPr="00930464">
          <w:rPr>
            <w:rStyle w:val="Hyperlink"/>
          </w:rPr>
          <w:t>https://www.uow.edu.au/ahsri/eppoc/</w:t>
        </w:r>
      </w:hyperlink>
      <w:r w:rsidR="00E845D2">
        <w:t xml:space="preserve"> </w:t>
      </w:r>
    </w:p>
  </w:footnote>
  <w:footnote w:id="27">
    <w:p w14:paraId="129DBBCE" w14:textId="24AE6926" w:rsidR="00363B68" w:rsidRPr="00D042C8" w:rsidRDefault="00363B68" w:rsidP="00E16E73">
      <w:pPr>
        <w:pStyle w:val="FootnoteText"/>
        <w:ind w:left="720" w:hanging="720"/>
      </w:pPr>
      <w:r>
        <w:rPr>
          <w:rStyle w:val="FootnoteReference"/>
        </w:rPr>
        <w:footnoteRef/>
      </w:r>
      <w:r>
        <w:t xml:space="preserve"> </w:t>
      </w:r>
      <w:r w:rsidR="00E16E73">
        <w:t xml:space="preserve">See the ACSQHC for ‘National Arrangements for clinical quality registries’ at </w:t>
      </w:r>
      <w:hyperlink r:id="rId21" w:tooltip="This link goes to the Australian Commission on  Safety and Quality in Health Care's national arrangement for clinical quality registries webpage" w:history="1">
        <w:r w:rsidR="00D626F7" w:rsidRPr="002D51E2">
          <w:rPr>
            <w:rStyle w:val="Hyperlink"/>
          </w:rPr>
          <w:t>https://www.safetyandquality.gov.au/our-work/health-and-human-research/national-arrangements-clinical-quality-registries</w:t>
        </w:r>
      </w:hyperlink>
      <w:r w:rsidR="00E16E73">
        <w:t xml:space="preserve"> and the </w:t>
      </w:r>
      <w:r w:rsidR="002471E5" w:rsidRPr="002471E5">
        <w:t>Clinical Registers for High Risk Implantable Medical Devices – Regulation Impact Statement</w:t>
      </w:r>
      <w:r w:rsidR="002471E5">
        <w:t xml:space="preserve"> at </w:t>
      </w:r>
      <w:hyperlink r:id="rId22" w:tooltip="This link goes the Clincal Registers for High Risk Implantable Medical Devices - Regulation Impact Statement webpage" w:history="1">
        <w:r w:rsidR="00D10752" w:rsidRPr="006268ED">
          <w:rPr>
            <w:rStyle w:val="Hyperlink"/>
          </w:rPr>
          <w:t>https://oia.pmc.gov.au/published-impact-analyses-and-reports/clinical-registers-high-risk-implantable-medical-devices-0</w:t>
        </w:r>
      </w:hyperlink>
      <w:r w:rsidR="00D1075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FE05" w14:textId="77777777" w:rsidR="00C2542C" w:rsidRDefault="00000000">
    <w:pPr>
      <w:pStyle w:val="Header"/>
    </w:pPr>
    <w:r>
      <w:rPr>
        <w:noProof/>
      </w:rPr>
      <w:pict w14:anchorId="2E051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3568" o:spid="_x0000_s1048" type="#_x0000_t136" style="position:absolute;margin-left:0;margin-top:0;width:614.7pt;height:64.7pt;rotation:315;z-index:-251658239;mso-position-horizontal:center;mso-position-horizontal-relative:margin;mso-position-vertical:center;mso-position-vertical-relative:margin" o:allowincell="f" fillcolor="silver" stroked="f">
          <v:fill opacity=".5"/>
          <v:textpath style="font-family:&quot;Century Gothic&quot;;font-size:1pt" string="Draft - In confid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BC2F" w14:textId="77777777" w:rsidR="00C2542C" w:rsidRDefault="00000000">
    <w:pPr>
      <w:pStyle w:val="Header"/>
    </w:pPr>
    <w:r>
      <w:rPr>
        <w:noProof/>
      </w:rPr>
      <w:pict w14:anchorId="147DE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3567" o:spid="_x0000_s1049" type="#_x0000_t136" style="position:absolute;margin-left:0;margin-top:0;width:614.7pt;height:64.7pt;rotation:315;z-index:-251658238;mso-position-horizontal:center;mso-position-horizontal-relative:margin;mso-position-vertical:center;mso-position-vertical-relative:margin" o:allowincell="f" fillcolor="silver" stroked="f">
          <v:fill opacity=".5"/>
          <v:textpath style="font-family:&quot;Century Gothic&quot;;font-size:1pt" string="Draft - In confide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58C2" w14:textId="77777777" w:rsidR="002252DB" w:rsidRDefault="002252DB">
    <w:pPr>
      <w:pStyle w:val="Header"/>
    </w:pPr>
    <w:r>
      <w:rPr>
        <w:noProof/>
      </w:rPr>
      <mc:AlternateContent>
        <mc:Choice Requires="wps">
          <w:drawing>
            <wp:anchor distT="0" distB="0" distL="114300" distR="114300" simplePos="0" relativeHeight="251658240" behindDoc="1" locked="0" layoutInCell="0" allowOverlap="1" wp14:anchorId="59ECBDAD" wp14:editId="6A356E69">
              <wp:simplePos x="0" y="0"/>
              <wp:positionH relativeFrom="margin">
                <wp:align>center</wp:align>
              </wp:positionH>
              <wp:positionV relativeFrom="margin">
                <wp:align>center</wp:align>
              </wp:positionV>
              <wp:extent cx="7806690" cy="821690"/>
              <wp:effectExtent l="0" t="2400300" r="0" b="2464435"/>
              <wp:wrapNone/>
              <wp:docPr id="144613647" name="Text Box 144613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821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9637F1" w14:textId="77777777" w:rsidR="002252DB" w:rsidRDefault="002252DB">
                          <w:pPr>
                            <w:jc w:val="center"/>
                            <w:rPr>
                              <w:rFonts w:ascii="Century Gothic" w:hAnsi="Century Gothic"/>
                              <w:color w:val="C0C0C0"/>
                              <w:sz w:val="2"/>
                              <w:szCs w:val="2"/>
                              <w14:textFill>
                                <w14:solidFill>
                                  <w14:srgbClr w14:val="C0C0C0">
                                    <w14:alpha w14:val="50000"/>
                                  </w14:srgbClr>
                                </w14:solidFill>
                              </w14:textFill>
                            </w:rPr>
                          </w:pPr>
                          <w:r>
                            <w:rPr>
                              <w:rFonts w:ascii="Century Gothic" w:hAnsi="Century Gothic"/>
                              <w:color w:val="C0C0C0"/>
                              <w:sz w:val="2"/>
                              <w:szCs w:val="2"/>
                              <w14:textFill>
                                <w14:solidFill>
                                  <w14:srgbClr w14:val="C0C0C0">
                                    <w14:alpha w14:val="50000"/>
                                  </w14:srgbClr>
                                </w14:solidFill>
                              </w14:textFill>
                            </w:rPr>
                            <w:t>Draft - In confidence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ECBDAD" id="_x0000_t202" coordsize="21600,21600" o:spt="202" path="m,l,21600r21600,l21600,xe">
              <v:stroke joinstyle="miter"/>
              <v:path gradientshapeok="t" o:connecttype="rect"/>
            </v:shapetype>
            <v:shape id="Text Box 144613647" o:spid="_x0000_s1026" type="#_x0000_t202" style="position:absolute;margin-left:0;margin-top:0;width:614.7pt;height:64.7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" o:allowincell="f" filled="f" stroked="f">
              <v:stroke joinstyle="round"/>
              <o:lock v:ext="edit" shapetype="t"/>
              <v:textbox style="mso-fit-shape-to-text:t">
                <w:txbxContent>
                  <w:p w14:paraId="6C9637F1" w14:textId="77777777" w:rsidR="002252DB" w:rsidRDefault="002252DB">
                    <w:pPr>
                      <w:jc w:val="center"/>
                      <w:rPr>
                        <w:rFonts w:ascii="Century Gothic" w:hAnsi="Century Gothic"/>
                        <w:color w:val="C0C0C0"/>
                        <w:sz w:val="2"/>
                        <w:szCs w:val="2"/>
                        <w14:textFill>
                          <w14:solidFill>
                            <w14:srgbClr w14:val="C0C0C0">
                              <w14:alpha w14:val="50000"/>
                            </w14:srgbClr>
                          </w14:solidFill>
                        </w14:textFill>
                      </w:rPr>
                    </w:pPr>
                    <w:r>
                      <w:rPr>
                        <w:rFonts w:ascii="Century Gothic" w:hAnsi="Century Gothic"/>
                        <w:color w:val="C0C0C0"/>
                        <w:sz w:val="2"/>
                        <w:szCs w:val="2"/>
                        <w14:textFill>
                          <w14:solidFill>
                            <w14:srgbClr w14:val="C0C0C0">
                              <w14:alpha w14:val="50000"/>
                            </w14:srgbClr>
                          </w14:solidFill>
                        </w14:textFill>
                      </w:rPr>
                      <w:t>Draft - In confidence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6CC3" w14:textId="77777777" w:rsidR="002252DB" w:rsidRDefault="002252DB">
    <w:pPr>
      <w:pStyle w:val="Header"/>
    </w:pPr>
    <w:r>
      <w:rPr>
        <w:noProof/>
      </w:rPr>
      <mc:AlternateContent>
        <mc:Choice Requires="wps">
          <w:drawing>
            <wp:anchor distT="0" distB="0" distL="114300" distR="114300" simplePos="0" relativeHeight="251658243" behindDoc="1" locked="0" layoutInCell="0" allowOverlap="1" wp14:anchorId="1ED9A6CF" wp14:editId="1EE125EC">
              <wp:simplePos x="0" y="0"/>
              <wp:positionH relativeFrom="margin">
                <wp:align>center</wp:align>
              </wp:positionH>
              <wp:positionV relativeFrom="margin">
                <wp:align>center</wp:align>
              </wp:positionV>
              <wp:extent cx="7806690" cy="821690"/>
              <wp:effectExtent l="0" t="2400300" r="0" b="2464435"/>
              <wp:wrapNone/>
              <wp:docPr id="427268937" name="Text Box 427268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821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ED1707" w14:textId="77777777" w:rsidR="002252DB" w:rsidRDefault="002252DB">
                          <w:pPr>
                            <w:jc w:val="center"/>
                            <w:rPr>
                              <w:rFonts w:ascii="Century Gothic" w:hAnsi="Century Gothic"/>
                              <w:color w:val="C0C0C0"/>
                              <w:sz w:val="2"/>
                              <w:szCs w:val="2"/>
                              <w14:textFill>
                                <w14:solidFill>
                                  <w14:srgbClr w14:val="C0C0C0">
                                    <w14:alpha w14:val="50000"/>
                                  </w14:srgbClr>
                                </w14:solidFill>
                              </w14:textFill>
                            </w:rPr>
                          </w:pPr>
                          <w:r>
                            <w:rPr>
                              <w:rFonts w:ascii="Century Gothic" w:hAnsi="Century Gothic"/>
                              <w:color w:val="C0C0C0"/>
                              <w:sz w:val="2"/>
                              <w:szCs w:val="2"/>
                              <w14:textFill>
                                <w14:solidFill>
                                  <w14:srgbClr w14:val="C0C0C0">
                                    <w14:alpha w14:val="50000"/>
                                  </w14:srgbClr>
                                </w14:solidFill>
                              </w14:textFill>
                            </w:rPr>
                            <w:t>Draft - In confidence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D9A6CF" id="_x0000_t202" coordsize="21600,21600" o:spt="202" path="m,l,21600r21600,l21600,xe">
              <v:stroke joinstyle="miter"/>
              <v:path gradientshapeok="t" o:connecttype="rect"/>
            </v:shapetype>
            <v:shape id="Text Box 427268937" o:spid="_x0000_s1027" type="#_x0000_t202" style="position:absolute;margin-left:0;margin-top:0;width:614.7pt;height:64.7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" o:allowincell="f" filled="f" stroked="f">
              <v:stroke joinstyle="round"/>
              <o:lock v:ext="edit" shapetype="t"/>
              <v:textbox style="mso-fit-shape-to-text:t">
                <w:txbxContent>
                  <w:p w14:paraId="59ED1707" w14:textId="77777777" w:rsidR="002252DB" w:rsidRDefault="002252DB">
                    <w:pPr>
                      <w:jc w:val="center"/>
                      <w:rPr>
                        <w:rFonts w:ascii="Century Gothic" w:hAnsi="Century Gothic"/>
                        <w:color w:val="C0C0C0"/>
                        <w:sz w:val="2"/>
                        <w:szCs w:val="2"/>
                        <w14:textFill>
                          <w14:solidFill>
                            <w14:srgbClr w14:val="C0C0C0">
                              <w14:alpha w14:val="50000"/>
                            </w14:srgbClr>
                          </w14:solidFill>
                        </w14:textFill>
                      </w:rPr>
                    </w:pPr>
                    <w:r>
                      <w:rPr>
                        <w:rFonts w:ascii="Century Gothic" w:hAnsi="Century Gothic"/>
                        <w:color w:val="C0C0C0"/>
                        <w:sz w:val="2"/>
                        <w:szCs w:val="2"/>
                        <w14:textFill>
                          <w14:solidFill>
                            <w14:srgbClr w14:val="C0C0C0">
                              <w14:alpha w14:val="50000"/>
                            </w14:srgbClr>
                          </w14:solidFill>
                        </w14:textFill>
                      </w:rPr>
                      <w:t>Draft - In confidence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C2"/>
    <w:multiLevelType w:val="hybridMultilevel"/>
    <w:tmpl w:val="ABF2F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FC7435"/>
    <w:multiLevelType w:val="hybridMultilevel"/>
    <w:tmpl w:val="A1F0E0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CE1223"/>
    <w:multiLevelType w:val="hybridMultilevel"/>
    <w:tmpl w:val="7898045A"/>
    <w:lvl w:ilvl="0" w:tplc="CFF8E4FE">
      <w:start w:val="4"/>
      <w:numFmt w:val="decimalZero"/>
      <w:lvlText w:val="%1."/>
      <w:lvlJc w:val="left"/>
      <w:pPr>
        <w:ind w:left="720" w:hanging="360"/>
      </w:pPr>
      <w:rPr>
        <w:rFonts w:cs="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11E99"/>
    <w:multiLevelType w:val="hybridMultilevel"/>
    <w:tmpl w:val="86A29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FF59A0"/>
    <w:multiLevelType w:val="hybridMultilevel"/>
    <w:tmpl w:val="2912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5361F1"/>
    <w:multiLevelType w:val="hybridMultilevel"/>
    <w:tmpl w:val="54A49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FC031F"/>
    <w:multiLevelType w:val="hybridMultilevel"/>
    <w:tmpl w:val="CD8E42C4"/>
    <w:lvl w:ilvl="0" w:tplc="C184A09A">
      <w:start w:val="1"/>
      <w:numFmt w:val="bullet"/>
      <w:pStyle w:val="071Tablebullet8p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E74C4D"/>
    <w:multiLevelType w:val="hybridMultilevel"/>
    <w:tmpl w:val="B046E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D00A2F"/>
    <w:multiLevelType w:val="multilevel"/>
    <w:tmpl w:val="BE122A8E"/>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1985" w:hanging="1985"/>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decimal"/>
      <w:pStyle w:val="Heading9"/>
      <w:lvlText w:val="%7.%8.%9"/>
      <w:lvlJc w:val="left"/>
      <w:pPr>
        <w:ind w:left="0" w:firstLine="0"/>
      </w:pPr>
      <w:rPr>
        <w:rFonts w:hint="default"/>
      </w:rPr>
    </w:lvl>
  </w:abstractNum>
  <w:abstractNum w:abstractNumId="9" w15:restartNumberingAfterBreak="0">
    <w:nsid w:val="511A10DA"/>
    <w:multiLevelType w:val="multilevel"/>
    <w:tmpl w:val="F4F2799C"/>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15:restartNumberingAfterBreak="0">
    <w:nsid w:val="54760CC3"/>
    <w:multiLevelType w:val="hybridMultilevel"/>
    <w:tmpl w:val="DCD80B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D34C23"/>
    <w:multiLevelType w:val="hybridMultilevel"/>
    <w:tmpl w:val="B68EDBDA"/>
    <w:lvl w:ilvl="0" w:tplc="F66C3D02">
      <w:start w:val="1"/>
      <w:numFmt w:val="bullet"/>
      <w:pStyle w:val="Bulletpoint"/>
      <w:lvlText w:val=""/>
      <w:lvlJc w:val="left"/>
      <w:pPr>
        <w:ind w:left="729" w:hanging="360"/>
      </w:pPr>
      <w:rPr>
        <w:rFonts w:ascii="Symbol" w:hAnsi="Symbol" w:hint="default"/>
      </w:rPr>
    </w:lvl>
    <w:lvl w:ilvl="1" w:tplc="9AA8C29C">
      <w:start w:val="1"/>
      <w:numFmt w:val="bullet"/>
      <w:pStyle w:val="Bulletpoint2ndlevel"/>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2" w15:restartNumberingAfterBreak="0">
    <w:nsid w:val="64C82710"/>
    <w:multiLevelType w:val="hybridMultilevel"/>
    <w:tmpl w:val="9AA2B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FE428B"/>
    <w:multiLevelType w:val="hybridMultilevel"/>
    <w:tmpl w:val="38744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B328B5"/>
    <w:multiLevelType w:val="hybridMultilevel"/>
    <w:tmpl w:val="09569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435E98"/>
    <w:multiLevelType w:val="hybridMultilevel"/>
    <w:tmpl w:val="6F48B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F75C67"/>
    <w:multiLevelType w:val="hybridMultilevel"/>
    <w:tmpl w:val="1EF4EB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787E2F"/>
    <w:multiLevelType w:val="hybridMultilevel"/>
    <w:tmpl w:val="52AAA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D836B6D"/>
    <w:multiLevelType w:val="hybridMultilevel"/>
    <w:tmpl w:val="A30EF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512374">
    <w:abstractNumId w:val="11"/>
  </w:num>
  <w:num w:numId="2" w16cid:durableId="1500851963">
    <w:abstractNumId w:val="8"/>
  </w:num>
  <w:num w:numId="3" w16cid:durableId="916792410">
    <w:abstractNumId w:val="6"/>
  </w:num>
  <w:num w:numId="4" w16cid:durableId="1276058740">
    <w:abstractNumId w:val="9"/>
  </w:num>
  <w:num w:numId="5" w16cid:durableId="114521817">
    <w:abstractNumId w:val="5"/>
  </w:num>
  <w:num w:numId="6" w16cid:durableId="293173593">
    <w:abstractNumId w:val="18"/>
  </w:num>
  <w:num w:numId="7" w16cid:durableId="47267019">
    <w:abstractNumId w:val="17"/>
  </w:num>
  <w:num w:numId="8" w16cid:durableId="1564560111">
    <w:abstractNumId w:val="0"/>
  </w:num>
  <w:num w:numId="9" w16cid:durableId="529491323">
    <w:abstractNumId w:val="15"/>
  </w:num>
  <w:num w:numId="10" w16cid:durableId="789520311">
    <w:abstractNumId w:val="13"/>
  </w:num>
  <w:num w:numId="11" w16cid:durableId="309359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3976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1440409">
    <w:abstractNumId w:val="4"/>
  </w:num>
  <w:num w:numId="14" w16cid:durableId="1372923281">
    <w:abstractNumId w:val="16"/>
  </w:num>
  <w:num w:numId="15" w16cid:durableId="1369833830">
    <w:abstractNumId w:val="12"/>
  </w:num>
  <w:num w:numId="16" w16cid:durableId="1679384144">
    <w:abstractNumId w:val="14"/>
  </w:num>
  <w:num w:numId="17" w16cid:durableId="316494288">
    <w:abstractNumId w:val="3"/>
  </w:num>
  <w:num w:numId="18" w16cid:durableId="1448085710">
    <w:abstractNumId w:val="10"/>
  </w:num>
  <w:num w:numId="19" w16cid:durableId="1976064657">
    <w:abstractNumId w:val="1"/>
  </w:num>
  <w:num w:numId="20" w16cid:durableId="282275495">
    <w:abstractNumId w:val="2"/>
  </w:num>
  <w:num w:numId="21" w16cid:durableId="131113267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 (hereco NP)&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wat059szrztgev05rpew53p59v0222xwtf&quot;&gt;HTA19 SCS_CPG search&lt;record-ids&gt;&lt;item&gt;22&lt;/item&gt;&lt;/record-ids&gt;&lt;/item&gt;&lt;/Libraries&gt;"/>
  </w:docVars>
  <w:rsids>
    <w:rsidRoot w:val="00963839"/>
    <w:rsid w:val="00000073"/>
    <w:rsid w:val="0000039C"/>
    <w:rsid w:val="0000060B"/>
    <w:rsid w:val="000006B2"/>
    <w:rsid w:val="000006E8"/>
    <w:rsid w:val="0000085E"/>
    <w:rsid w:val="00000D87"/>
    <w:rsid w:val="00000DEE"/>
    <w:rsid w:val="00000E20"/>
    <w:rsid w:val="00000E47"/>
    <w:rsid w:val="00001010"/>
    <w:rsid w:val="00001018"/>
    <w:rsid w:val="000010D0"/>
    <w:rsid w:val="000010DB"/>
    <w:rsid w:val="000011DF"/>
    <w:rsid w:val="00001383"/>
    <w:rsid w:val="000013C4"/>
    <w:rsid w:val="00001532"/>
    <w:rsid w:val="00001658"/>
    <w:rsid w:val="00001769"/>
    <w:rsid w:val="00001875"/>
    <w:rsid w:val="00001A9B"/>
    <w:rsid w:val="00001B7C"/>
    <w:rsid w:val="00001C00"/>
    <w:rsid w:val="00001D6C"/>
    <w:rsid w:val="00001E18"/>
    <w:rsid w:val="00002056"/>
    <w:rsid w:val="0000213F"/>
    <w:rsid w:val="00002273"/>
    <w:rsid w:val="000022B6"/>
    <w:rsid w:val="00002557"/>
    <w:rsid w:val="000025D2"/>
    <w:rsid w:val="000027E6"/>
    <w:rsid w:val="00002B02"/>
    <w:rsid w:val="00002BA3"/>
    <w:rsid w:val="00002CB0"/>
    <w:rsid w:val="00002EDA"/>
    <w:rsid w:val="000030C6"/>
    <w:rsid w:val="00003A1D"/>
    <w:rsid w:val="00003AA7"/>
    <w:rsid w:val="00003DE0"/>
    <w:rsid w:val="00003E57"/>
    <w:rsid w:val="00004217"/>
    <w:rsid w:val="0000426C"/>
    <w:rsid w:val="000044A5"/>
    <w:rsid w:val="00004922"/>
    <w:rsid w:val="000049E2"/>
    <w:rsid w:val="00004A72"/>
    <w:rsid w:val="00004B5A"/>
    <w:rsid w:val="00004C1E"/>
    <w:rsid w:val="00004C6F"/>
    <w:rsid w:val="00004ED8"/>
    <w:rsid w:val="00004F30"/>
    <w:rsid w:val="000050D2"/>
    <w:rsid w:val="000050F7"/>
    <w:rsid w:val="0000522F"/>
    <w:rsid w:val="0000538B"/>
    <w:rsid w:val="000054FE"/>
    <w:rsid w:val="00005932"/>
    <w:rsid w:val="00005954"/>
    <w:rsid w:val="0000597E"/>
    <w:rsid w:val="00005AFB"/>
    <w:rsid w:val="00005B0D"/>
    <w:rsid w:val="00005D31"/>
    <w:rsid w:val="00005DF4"/>
    <w:rsid w:val="00006072"/>
    <w:rsid w:val="00006240"/>
    <w:rsid w:val="00006390"/>
    <w:rsid w:val="0000650F"/>
    <w:rsid w:val="000066AA"/>
    <w:rsid w:val="00006851"/>
    <w:rsid w:val="0000699E"/>
    <w:rsid w:val="00006A08"/>
    <w:rsid w:val="00006AF2"/>
    <w:rsid w:val="00006B5C"/>
    <w:rsid w:val="00006B71"/>
    <w:rsid w:val="00006C90"/>
    <w:rsid w:val="00006CA1"/>
    <w:rsid w:val="00006CA8"/>
    <w:rsid w:val="00006DEE"/>
    <w:rsid w:val="0000726C"/>
    <w:rsid w:val="00007323"/>
    <w:rsid w:val="0000753E"/>
    <w:rsid w:val="000077F2"/>
    <w:rsid w:val="00007925"/>
    <w:rsid w:val="0000795B"/>
    <w:rsid w:val="0000798B"/>
    <w:rsid w:val="00007A33"/>
    <w:rsid w:val="00007A7B"/>
    <w:rsid w:val="00007CB7"/>
    <w:rsid w:val="00007DCC"/>
    <w:rsid w:val="00007ECF"/>
    <w:rsid w:val="00010002"/>
    <w:rsid w:val="000100C1"/>
    <w:rsid w:val="000101FD"/>
    <w:rsid w:val="000103EC"/>
    <w:rsid w:val="00010638"/>
    <w:rsid w:val="0001067D"/>
    <w:rsid w:val="000106EF"/>
    <w:rsid w:val="000106F1"/>
    <w:rsid w:val="00010733"/>
    <w:rsid w:val="00010770"/>
    <w:rsid w:val="00010B1B"/>
    <w:rsid w:val="00010B93"/>
    <w:rsid w:val="00010E54"/>
    <w:rsid w:val="00010F3C"/>
    <w:rsid w:val="00010FF0"/>
    <w:rsid w:val="00011067"/>
    <w:rsid w:val="000110E8"/>
    <w:rsid w:val="00011334"/>
    <w:rsid w:val="00011358"/>
    <w:rsid w:val="000115BF"/>
    <w:rsid w:val="00011610"/>
    <w:rsid w:val="0001191C"/>
    <w:rsid w:val="000119C6"/>
    <w:rsid w:val="00011DB6"/>
    <w:rsid w:val="00011DCB"/>
    <w:rsid w:val="000121C2"/>
    <w:rsid w:val="000123BE"/>
    <w:rsid w:val="00012409"/>
    <w:rsid w:val="0001244F"/>
    <w:rsid w:val="0001276A"/>
    <w:rsid w:val="0001279F"/>
    <w:rsid w:val="00012939"/>
    <w:rsid w:val="00012947"/>
    <w:rsid w:val="00012B59"/>
    <w:rsid w:val="00012B95"/>
    <w:rsid w:val="00012C19"/>
    <w:rsid w:val="00012CFD"/>
    <w:rsid w:val="00013237"/>
    <w:rsid w:val="000133F0"/>
    <w:rsid w:val="0001343A"/>
    <w:rsid w:val="0001348C"/>
    <w:rsid w:val="00013598"/>
    <w:rsid w:val="000138A6"/>
    <w:rsid w:val="000139A2"/>
    <w:rsid w:val="00013A67"/>
    <w:rsid w:val="00013A76"/>
    <w:rsid w:val="00013AD9"/>
    <w:rsid w:val="00013C8F"/>
    <w:rsid w:val="00013CEE"/>
    <w:rsid w:val="00013D3A"/>
    <w:rsid w:val="00014212"/>
    <w:rsid w:val="0001425F"/>
    <w:rsid w:val="00014429"/>
    <w:rsid w:val="000144A7"/>
    <w:rsid w:val="000146B2"/>
    <w:rsid w:val="000148CA"/>
    <w:rsid w:val="000148CE"/>
    <w:rsid w:val="0001493F"/>
    <w:rsid w:val="00014AD6"/>
    <w:rsid w:val="00015119"/>
    <w:rsid w:val="00015133"/>
    <w:rsid w:val="00015148"/>
    <w:rsid w:val="0001518A"/>
    <w:rsid w:val="0001518E"/>
    <w:rsid w:val="000151ED"/>
    <w:rsid w:val="000151F5"/>
    <w:rsid w:val="00015200"/>
    <w:rsid w:val="0001530A"/>
    <w:rsid w:val="000154EA"/>
    <w:rsid w:val="00015591"/>
    <w:rsid w:val="0001566C"/>
    <w:rsid w:val="000156E2"/>
    <w:rsid w:val="00015749"/>
    <w:rsid w:val="0001574A"/>
    <w:rsid w:val="00015798"/>
    <w:rsid w:val="0001582F"/>
    <w:rsid w:val="000158E2"/>
    <w:rsid w:val="00015A80"/>
    <w:rsid w:val="00015D41"/>
    <w:rsid w:val="00015D88"/>
    <w:rsid w:val="00015F03"/>
    <w:rsid w:val="00015F0D"/>
    <w:rsid w:val="00016026"/>
    <w:rsid w:val="0001615D"/>
    <w:rsid w:val="000166C9"/>
    <w:rsid w:val="00016746"/>
    <w:rsid w:val="000168E3"/>
    <w:rsid w:val="00016990"/>
    <w:rsid w:val="00016A35"/>
    <w:rsid w:val="00016B0C"/>
    <w:rsid w:val="00016B7A"/>
    <w:rsid w:val="00016DE5"/>
    <w:rsid w:val="00016E1C"/>
    <w:rsid w:val="00016F04"/>
    <w:rsid w:val="000171B6"/>
    <w:rsid w:val="000172FB"/>
    <w:rsid w:val="0001733A"/>
    <w:rsid w:val="00017559"/>
    <w:rsid w:val="00017622"/>
    <w:rsid w:val="0001793A"/>
    <w:rsid w:val="000179F1"/>
    <w:rsid w:val="00017A04"/>
    <w:rsid w:val="00017A9F"/>
    <w:rsid w:val="00017B3D"/>
    <w:rsid w:val="00017B66"/>
    <w:rsid w:val="00017E07"/>
    <w:rsid w:val="00020036"/>
    <w:rsid w:val="00020081"/>
    <w:rsid w:val="00020196"/>
    <w:rsid w:val="00020533"/>
    <w:rsid w:val="0002059A"/>
    <w:rsid w:val="0002071D"/>
    <w:rsid w:val="00020753"/>
    <w:rsid w:val="0002082B"/>
    <w:rsid w:val="00020978"/>
    <w:rsid w:val="00020B80"/>
    <w:rsid w:val="00020BDD"/>
    <w:rsid w:val="00020C4A"/>
    <w:rsid w:val="00020DCF"/>
    <w:rsid w:val="00020E42"/>
    <w:rsid w:val="00021010"/>
    <w:rsid w:val="00021091"/>
    <w:rsid w:val="00021358"/>
    <w:rsid w:val="00021468"/>
    <w:rsid w:val="000216DC"/>
    <w:rsid w:val="00021717"/>
    <w:rsid w:val="00021767"/>
    <w:rsid w:val="00021793"/>
    <w:rsid w:val="0002193F"/>
    <w:rsid w:val="00021B9A"/>
    <w:rsid w:val="00021C8D"/>
    <w:rsid w:val="00021D28"/>
    <w:rsid w:val="00021EA1"/>
    <w:rsid w:val="00022053"/>
    <w:rsid w:val="00022067"/>
    <w:rsid w:val="000220EA"/>
    <w:rsid w:val="00022619"/>
    <w:rsid w:val="00022625"/>
    <w:rsid w:val="00022693"/>
    <w:rsid w:val="000229BE"/>
    <w:rsid w:val="00022A1B"/>
    <w:rsid w:val="00022B5B"/>
    <w:rsid w:val="00022D86"/>
    <w:rsid w:val="00022E79"/>
    <w:rsid w:val="00023000"/>
    <w:rsid w:val="000230EF"/>
    <w:rsid w:val="00023217"/>
    <w:rsid w:val="000233CE"/>
    <w:rsid w:val="00023636"/>
    <w:rsid w:val="0002371E"/>
    <w:rsid w:val="00023877"/>
    <w:rsid w:val="000239D7"/>
    <w:rsid w:val="000239E9"/>
    <w:rsid w:val="00023E6D"/>
    <w:rsid w:val="00023F86"/>
    <w:rsid w:val="00024033"/>
    <w:rsid w:val="000242D6"/>
    <w:rsid w:val="000245E3"/>
    <w:rsid w:val="00024656"/>
    <w:rsid w:val="000248D2"/>
    <w:rsid w:val="00024AE3"/>
    <w:rsid w:val="00024C75"/>
    <w:rsid w:val="00024D47"/>
    <w:rsid w:val="00024EFA"/>
    <w:rsid w:val="00025015"/>
    <w:rsid w:val="00025159"/>
    <w:rsid w:val="0002520C"/>
    <w:rsid w:val="000254B2"/>
    <w:rsid w:val="00025B77"/>
    <w:rsid w:val="00025C3D"/>
    <w:rsid w:val="00025C74"/>
    <w:rsid w:val="00025C92"/>
    <w:rsid w:val="00026263"/>
    <w:rsid w:val="00026304"/>
    <w:rsid w:val="0002636D"/>
    <w:rsid w:val="00026374"/>
    <w:rsid w:val="0002645D"/>
    <w:rsid w:val="00026484"/>
    <w:rsid w:val="000265D2"/>
    <w:rsid w:val="000267C6"/>
    <w:rsid w:val="000267DA"/>
    <w:rsid w:val="00026891"/>
    <w:rsid w:val="00026B0B"/>
    <w:rsid w:val="00026B2E"/>
    <w:rsid w:val="00026B3C"/>
    <w:rsid w:val="00026B71"/>
    <w:rsid w:val="00026BE0"/>
    <w:rsid w:val="00026EDC"/>
    <w:rsid w:val="00026EDE"/>
    <w:rsid w:val="00027038"/>
    <w:rsid w:val="0002708E"/>
    <w:rsid w:val="00027433"/>
    <w:rsid w:val="0002755E"/>
    <w:rsid w:val="00027600"/>
    <w:rsid w:val="000278F5"/>
    <w:rsid w:val="00027AB2"/>
    <w:rsid w:val="00027B9B"/>
    <w:rsid w:val="00027BE1"/>
    <w:rsid w:val="00027C6F"/>
    <w:rsid w:val="00027CD9"/>
    <w:rsid w:val="00027E24"/>
    <w:rsid w:val="00030225"/>
    <w:rsid w:val="00030617"/>
    <w:rsid w:val="00030647"/>
    <w:rsid w:val="00030729"/>
    <w:rsid w:val="0003072A"/>
    <w:rsid w:val="00030887"/>
    <w:rsid w:val="00030B05"/>
    <w:rsid w:val="00030C3F"/>
    <w:rsid w:val="00030C5B"/>
    <w:rsid w:val="00030CFE"/>
    <w:rsid w:val="00030DB0"/>
    <w:rsid w:val="00030FAF"/>
    <w:rsid w:val="00030FDB"/>
    <w:rsid w:val="00031553"/>
    <w:rsid w:val="000316A9"/>
    <w:rsid w:val="00031738"/>
    <w:rsid w:val="00031824"/>
    <w:rsid w:val="0003187C"/>
    <w:rsid w:val="00031898"/>
    <w:rsid w:val="0003189D"/>
    <w:rsid w:val="00031B33"/>
    <w:rsid w:val="00031B69"/>
    <w:rsid w:val="00031C2A"/>
    <w:rsid w:val="00031DF8"/>
    <w:rsid w:val="00031E09"/>
    <w:rsid w:val="00031E94"/>
    <w:rsid w:val="00031F01"/>
    <w:rsid w:val="00031F38"/>
    <w:rsid w:val="00031F41"/>
    <w:rsid w:val="00031F70"/>
    <w:rsid w:val="000320C0"/>
    <w:rsid w:val="000322E7"/>
    <w:rsid w:val="0003248A"/>
    <w:rsid w:val="000325A3"/>
    <w:rsid w:val="000326BE"/>
    <w:rsid w:val="000326F9"/>
    <w:rsid w:val="0003278A"/>
    <w:rsid w:val="00032790"/>
    <w:rsid w:val="0003284D"/>
    <w:rsid w:val="00032CE1"/>
    <w:rsid w:val="00032CED"/>
    <w:rsid w:val="00032DEA"/>
    <w:rsid w:val="00032E76"/>
    <w:rsid w:val="00033060"/>
    <w:rsid w:val="00033167"/>
    <w:rsid w:val="00033380"/>
    <w:rsid w:val="000334E0"/>
    <w:rsid w:val="00033741"/>
    <w:rsid w:val="0003378B"/>
    <w:rsid w:val="000337A7"/>
    <w:rsid w:val="00033820"/>
    <w:rsid w:val="00033B6B"/>
    <w:rsid w:val="00033D8C"/>
    <w:rsid w:val="00033E91"/>
    <w:rsid w:val="00033F83"/>
    <w:rsid w:val="00033F9C"/>
    <w:rsid w:val="00033FC3"/>
    <w:rsid w:val="000342F5"/>
    <w:rsid w:val="00034358"/>
    <w:rsid w:val="0003442C"/>
    <w:rsid w:val="0003455B"/>
    <w:rsid w:val="000346C0"/>
    <w:rsid w:val="00034ABD"/>
    <w:rsid w:val="00034CC9"/>
    <w:rsid w:val="00034D90"/>
    <w:rsid w:val="00034EF0"/>
    <w:rsid w:val="00034FAC"/>
    <w:rsid w:val="00035114"/>
    <w:rsid w:val="0003520D"/>
    <w:rsid w:val="0003569B"/>
    <w:rsid w:val="00035AA7"/>
    <w:rsid w:val="00035CDE"/>
    <w:rsid w:val="00035FD4"/>
    <w:rsid w:val="000360E8"/>
    <w:rsid w:val="000361D8"/>
    <w:rsid w:val="00036338"/>
    <w:rsid w:val="00036652"/>
    <w:rsid w:val="0003689F"/>
    <w:rsid w:val="000368A2"/>
    <w:rsid w:val="00036933"/>
    <w:rsid w:val="0003696A"/>
    <w:rsid w:val="00036A3D"/>
    <w:rsid w:val="00036B89"/>
    <w:rsid w:val="00036B9E"/>
    <w:rsid w:val="00036C27"/>
    <w:rsid w:val="00036CDF"/>
    <w:rsid w:val="00036E72"/>
    <w:rsid w:val="00036FDA"/>
    <w:rsid w:val="00037169"/>
    <w:rsid w:val="00037213"/>
    <w:rsid w:val="000375D9"/>
    <w:rsid w:val="000376FD"/>
    <w:rsid w:val="0003786C"/>
    <w:rsid w:val="000378F7"/>
    <w:rsid w:val="00037CBE"/>
    <w:rsid w:val="00037D91"/>
    <w:rsid w:val="00037DEF"/>
    <w:rsid w:val="00037E5A"/>
    <w:rsid w:val="00037F41"/>
    <w:rsid w:val="00037F51"/>
    <w:rsid w:val="00040021"/>
    <w:rsid w:val="00040026"/>
    <w:rsid w:val="000400E4"/>
    <w:rsid w:val="000401CC"/>
    <w:rsid w:val="00040218"/>
    <w:rsid w:val="000402FF"/>
    <w:rsid w:val="00040388"/>
    <w:rsid w:val="000404E8"/>
    <w:rsid w:val="000404F4"/>
    <w:rsid w:val="000406D8"/>
    <w:rsid w:val="0004075B"/>
    <w:rsid w:val="00040779"/>
    <w:rsid w:val="00040780"/>
    <w:rsid w:val="000407C1"/>
    <w:rsid w:val="00040A4B"/>
    <w:rsid w:val="00040AC3"/>
    <w:rsid w:val="00040C0F"/>
    <w:rsid w:val="00040D2B"/>
    <w:rsid w:val="00040F39"/>
    <w:rsid w:val="00041001"/>
    <w:rsid w:val="000412EC"/>
    <w:rsid w:val="00041351"/>
    <w:rsid w:val="000413F1"/>
    <w:rsid w:val="000413FD"/>
    <w:rsid w:val="000414B0"/>
    <w:rsid w:val="000414F0"/>
    <w:rsid w:val="00041598"/>
    <w:rsid w:val="00041E24"/>
    <w:rsid w:val="00041E5A"/>
    <w:rsid w:val="00041ECE"/>
    <w:rsid w:val="00041F02"/>
    <w:rsid w:val="00041F3B"/>
    <w:rsid w:val="00042052"/>
    <w:rsid w:val="00042141"/>
    <w:rsid w:val="000421CA"/>
    <w:rsid w:val="000422E0"/>
    <w:rsid w:val="00042570"/>
    <w:rsid w:val="0004292B"/>
    <w:rsid w:val="00042E3C"/>
    <w:rsid w:val="00042F45"/>
    <w:rsid w:val="00042FCD"/>
    <w:rsid w:val="000430EF"/>
    <w:rsid w:val="00043180"/>
    <w:rsid w:val="0004333A"/>
    <w:rsid w:val="00043376"/>
    <w:rsid w:val="0004341C"/>
    <w:rsid w:val="000434C0"/>
    <w:rsid w:val="0004355D"/>
    <w:rsid w:val="000436BC"/>
    <w:rsid w:val="000438CB"/>
    <w:rsid w:val="0004397E"/>
    <w:rsid w:val="000439B9"/>
    <w:rsid w:val="00043A39"/>
    <w:rsid w:val="00043E86"/>
    <w:rsid w:val="00043F87"/>
    <w:rsid w:val="00043F89"/>
    <w:rsid w:val="000440CC"/>
    <w:rsid w:val="00044111"/>
    <w:rsid w:val="00044192"/>
    <w:rsid w:val="00044253"/>
    <w:rsid w:val="000442C5"/>
    <w:rsid w:val="000443BD"/>
    <w:rsid w:val="0004442D"/>
    <w:rsid w:val="00044730"/>
    <w:rsid w:val="00044759"/>
    <w:rsid w:val="0004476D"/>
    <w:rsid w:val="0004487B"/>
    <w:rsid w:val="000448FA"/>
    <w:rsid w:val="00044934"/>
    <w:rsid w:val="00044C01"/>
    <w:rsid w:val="00044DED"/>
    <w:rsid w:val="00044E9C"/>
    <w:rsid w:val="00044E9F"/>
    <w:rsid w:val="0004503F"/>
    <w:rsid w:val="00045158"/>
    <w:rsid w:val="000452F3"/>
    <w:rsid w:val="0004536A"/>
    <w:rsid w:val="00045760"/>
    <w:rsid w:val="0004576F"/>
    <w:rsid w:val="00045899"/>
    <w:rsid w:val="00045B5B"/>
    <w:rsid w:val="00045EB3"/>
    <w:rsid w:val="0004637B"/>
    <w:rsid w:val="0004647B"/>
    <w:rsid w:val="00046485"/>
    <w:rsid w:val="00046525"/>
    <w:rsid w:val="0004681A"/>
    <w:rsid w:val="00046A69"/>
    <w:rsid w:val="00046A93"/>
    <w:rsid w:val="00046B22"/>
    <w:rsid w:val="00046B76"/>
    <w:rsid w:val="00046C54"/>
    <w:rsid w:val="00046D03"/>
    <w:rsid w:val="00046D51"/>
    <w:rsid w:val="00046E6B"/>
    <w:rsid w:val="0004707A"/>
    <w:rsid w:val="000471EE"/>
    <w:rsid w:val="0004728A"/>
    <w:rsid w:val="000472F0"/>
    <w:rsid w:val="000474B7"/>
    <w:rsid w:val="00047D8C"/>
    <w:rsid w:val="00047E23"/>
    <w:rsid w:val="00047EB8"/>
    <w:rsid w:val="00047F7C"/>
    <w:rsid w:val="000500C1"/>
    <w:rsid w:val="000500D5"/>
    <w:rsid w:val="000501C9"/>
    <w:rsid w:val="000501D2"/>
    <w:rsid w:val="000502E1"/>
    <w:rsid w:val="00050679"/>
    <w:rsid w:val="0005078C"/>
    <w:rsid w:val="00050B7E"/>
    <w:rsid w:val="00050B9B"/>
    <w:rsid w:val="00050CA3"/>
    <w:rsid w:val="00050D8F"/>
    <w:rsid w:val="00051068"/>
    <w:rsid w:val="000510C4"/>
    <w:rsid w:val="00051148"/>
    <w:rsid w:val="00051195"/>
    <w:rsid w:val="000512FB"/>
    <w:rsid w:val="0005172C"/>
    <w:rsid w:val="00051764"/>
    <w:rsid w:val="00051844"/>
    <w:rsid w:val="000518AC"/>
    <w:rsid w:val="000519BA"/>
    <w:rsid w:val="00051BAE"/>
    <w:rsid w:val="00051BDC"/>
    <w:rsid w:val="00051CB3"/>
    <w:rsid w:val="00051D96"/>
    <w:rsid w:val="00051E87"/>
    <w:rsid w:val="00051F59"/>
    <w:rsid w:val="00051FF3"/>
    <w:rsid w:val="000524CA"/>
    <w:rsid w:val="0005267A"/>
    <w:rsid w:val="00052861"/>
    <w:rsid w:val="0005287D"/>
    <w:rsid w:val="000529B3"/>
    <w:rsid w:val="00052B98"/>
    <w:rsid w:val="00052C1B"/>
    <w:rsid w:val="00052E19"/>
    <w:rsid w:val="00052F63"/>
    <w:rsid w:val="00053014"/>
    <w:rsid w:val="000530B4"/>
    <w:rsid w:val="0005316F"/>
    <w:rsid w:val="0005326D"/>
    <w:rsid w:val="000532FE"/>
    <w:rsid w:val="0005337C"/>
    <w:rsid w:val="00053434"/>
    <w:rsid w:val="000534B7"/>
    <w:rsid w:val="000534EF"/>
    <w:rsid w:val="00053684"/>
    <w:rsid w:val="000539B3"/>
    <w:rsid w:val="00053B38"/>
    <w:rsid w:val="00053D3F"/>
    <w:rsid w:val="00053D7E"/>
    <w:rsid w:val="00053F46"/>
    <w:rsid w:val="00053F9D"/>
    <w:rsid w:val="0005407F"/>
    <w:rsid w:val="00054080"/>
    <w:rsid w:val="00054205"/>
    <w:rsid w:val="000542D1"/>
    <w:rsid w:val="00054559"/>
    <w:rsid w:val="0005470C"/>
    <w:rsid w:val="0005473F"/>
    <w:rsid w:val="0005482E"/>
    <w:rsid w:val="00054C88"/>
    <w:rsid w:val="00054C8E"/>
    <w:rsid w:val="00054D71"/>
    <w:rsid w:val="00054D74"/>
    <w:rsid w:val="0005507B"/>
    <w:rsid w:val="00055196"/>
    <w:rsid w:val="000551BA"/>
    <w:rsid w:val="00055256"/>
    <w:rsid w:val="00055424"/>
    <w:rsid w:val="0005548B"/>
    <w:rsid w:val="00055A11"/>
    <w:rsid w:val="00055B71"/>
    <w:rsid w:val="00055BB7"/>
    <w:rsid w:val="00055C0E"/>
    <w:rsid w:val="00055FFB"/>
    <w:rsid w:val="000560D1"/>
    <w:rsid w:val="00056628"/>
    <w:rsid w:val="000567E4"/>
    <w:rsid w:val="000569E8"/>
    <w:rsid w:val="000569EE"/>
    <w:rsid w:val="00056A7A"/>
    <w:rsid w:val="00056AFA"/>
    <w:rsid w:val="00056B56"/>
    <w:rsid w:val="00056D13"/>
    <w:rsid w:val="00056DD4"/>
    <w:rsid w:val="00057064"/>
    <w:rsid w:val="00057091"/>
    <w:rsid w:val="0005709D"/>
    <w:rsid w:val="000571D4"/>
    <w:rsid w:val="000571DB"/>
    <w:rsid w:val="0005741E"/>
    <w:rsid w:val="0005770E"/>
    <w:rsid w:val="0005781E"/>
    <w:rsid w:val="0005782D"/>
    <w:rsid w:val="000579C7"/>
    <w:rsid w:val="00057A24"/>
    <w:rsid w:val="00057B2D"/>
    <w:rsid w:val="00057D40"/>
    <w:rsid w:val="00057DC1"/>
    <w:rsid w:val="00057F18"/>
    <w:rsid w:val="00057FF4"/>
    <w:rsid w:val="00060002"/>
    <w:rsid w:val="00060030"/>
    <w:rsid w:val="00060230"/>
    <w:rsid w:val="000602CC"/>
    <w:rsid w:val="0006041B"/>
    <w:rsid w:val="0006045D"/>
    <w:rsid w:val="00060558"/>
    <w:rsid w:val="000605D6"/>
    <w:rsid w:val="00060665"/>
    <w:rsid w:val="000608C3"/>
    <w:rsid w:val="000609DD"/>
    <w:rsid w:val="00060D4C"/>
    <w:rsid w:val="00060D7F"/>
    <w:rsid w:val="00060FC2"/>
    <w:rsid w:val="00061152"/>
    <w:rsid w:val="000611E9"/>
    <w:rsid w:val="0006122C"/>
    <w:rsid w:val="0006132E"/>
    <w:rsid w:val="00061527"/>
    <w:rsid w:val="00061530"/>
    <w:rsid w:val="0006157C"/>
    <w:rsid w:val="0006157D"/>
    <w:rsid w:val="000615DC"/>
    <w:rsid w:val="000616FE"/>
    <w:rsid w:val="00061746"/>
    <w:rsid w:val="000617C8"/>
    <w:rsid w:val="0006191F"/>
    <w:rsid w:val="00061AE2"/>
    <w:rsid w:val="00061B10"/>
    <w:rsid w:val="00061D0B"/>
    <w:rsid w:val="00061D88"/>
    <w:rsid w:val="00061E30"/>
    <w:rsid w:val="00061EAF"/>
    <w:rsid w:val="00061ED6"/>
    <w:rsid w:val="00061FDB"/>
    <w:rsid w:val="00062109"/>
    <w:rsid w:val="00062205"/>
    <w:rsid w:val="00062293"/>
    <w:rsid w:val="00062350"/>
    <w:rsid w:val="000623AF"/>
    <w:rsid w:val="00062442"/>
    <w:rsid w:val="000624A8"/>
    <w:rsid w:val="00062A02"/>
    <w:rsid w:val="00062BCE"/>
    <w:rsid w:val="00062C0B"/>
    <w:rsid w:val="00062E15"/>
    <w:rsid w:val="00062E35"/>
    <w:rsid w:val="00062FA4"/>
    <w:rsid w:val="00063020"/>
    <w:rsid w:val="00063030"/>
    <w:rsid w:val="00063074"/>
    <w:rsid w:val="0006326A"/>
    <w:rsid w:val="000632BB"/>
    <w:rsid w:val="00063415"/>
    <w:rsid w:val="000635EB"/>
    <w:rsid w:val="000635F0"/>
    <w:rsid w:val="000638A5"/>
    <w:rsid w:val="00063B08"/>
    <w:rsid w:val="00063C74"/>
    <w:rsid w:val="00063CCF"/>
    <w:rsid w:val="000640F2"/>
    <w:rsid w:val="0006416E"/>
    <w:rsid w:val="000644FB"/>
    <w:rsid w:val="00064585"/>
    <w:rsid w:val="00064598"/>
    <w:rsid w:val="00064612"/>
    <w:rsid w:val="0006466E"/>
    <w:rsid w:val="00064760"/>
    <w:rsid w:val="00064827"/>
    <w:rsid w:val="00064844"/>
    <w:rsid w:val="000648E4"/>
    <w:rsid w:val="000649B4"/>
    <w:rsid w:val="000649FE"/>
    <w:rsid w:val="00064D92"/>
    <w:rsid w:val="00064E2F"/>
    <w:rsid w:val="00064F59"/>
    <w:rsid w:val="00065793"/>
    <w:rsid w:val="000659F2"/>
    <w:rsid w:val="00065B17"/>
    <w:rsid w:val="00065BE9"/>
    <w:rsid w:val="00065BF1"/>
    <w:rsid w:val="00065CE0"/>
    <w:rsid w:val="00065CF3"/>
    <w:rsid w:val="00065D39"/>
    <w:rsid w:val="00065D88"/>
    <w:rsid w:val="00065E19"/>
    <w:rsid w:val="00065EA8"/>
    <w:rsid w:val="00065ED1"/>
    <w:rsid w:val="00065F07"/>
    <w:rsid w:val="00066265"/>
    <w:rsid w:val="0006641C"/>
    <w:rsid w:val="00066493"/>
    <w:rsid w:val="0006657F"/>
    <w:rsid w:val="00066646"/>
    <w:rsid w:val="000669A9"/>
    <w:rsid w:val="00066B83"/>
    <w:rsid w:val="00066BD1"/>
    <w:rsid w:val="00066ECA"/>
    <w:rsid w:val="00066F1C"/>
    <w:rsid w:val="0006701A"/>
    <w:rsid w:val="00067266"/>
    <w:rsid w:val="000677BA"/>
    <w:rsid w:val="00067887"/>
    <w:rsid w:val="000679ED"/>
    <w:rsid w:val="00067A2E"/>
    <w:rsid w:val="00067ACC"/>
    <w:rsid w:val="00067D00"/>
    <w:rsid w:val="00067E65"/>
    <w:rsid w:val="00067E81"/>
    <w:rsid w:val="00067F55"/>
    <w:rsid w:val="00070084"/>
    <w:rsid w:val="000701F4"/>
    <w:rsid w:val="000703A9"/>
    <w:rsid w:val="00070547"/>
    <w:rsid w:val="00070723"/>
    <w:rsid w:val="000708C9"/>
    <w:rsid w:val="00070991"/>
    <w:rsid w:val="00070B59"/>
    <w:rsid w:val="00070CAB"/>
    <w:rsid w:val="00071300"/>
    <w:rsid w:val="00071418"/>
    <w:rsid w:val="000714A2"/>
    <w:rsid w:val="0007155F"/>
    <w:rsid w:val="0007167A"/>
    <w:rsid w:val="00071692"/>
    <w:rsid w:val="00071795"/>
    <w:rsid w:val="00071982"/>
    <w:rsid w:val="00071AD4"/>
    <w:rsid w:val="00071B9D"/>
    <w:rsid w:val="00071BAE"/>
    <w:rsid w:val="00071C5E"/>
    <w:rsid w:val="00071DAC"/>
    <w:rsid w:val="00071E20"/>
    <w:rsid w:val="00071FFB"/>
    <w:rsid w:val="00071FFD"/>
    <w:rsid w:val="000720D0"/>
    <w:rsid w:val="000722FF"/>
    <w:rsid w:val="00072312"/>
    <w:rsid w:val="00072416"/>
    <w:rsid w:val="00072463"/>
    <w:rsid w:val="00072542"/>
    <w:rsid w:val="00072776"/>
    <w:rsid w:val="0007286F"/>
    <w:rsid w:val="000728E3"/>
    <w:rsid w:val="000729C6"/>
    <w:rsid w:val="00072A5C"/>
    <w:rsid w:val="00072C49"/>
    <w:rsid w:val="00072D1D"/>
    <w:rsid w:val="00072D60"/>
    <w:rsid w:val="00072F5D"/>
    <w:rsid w:val="00072F7E"/>
    <w:rsid w:val="00072FA7"/>
    <w:rsid w:val="0007309A"/>
    <w:rsid w:val="000730B6"/>
    <w:rsid w:val="00073133"/>
    <w:rsid w:val="00073198"/>
    <w:rsid w:val="000731F1"/>
    <w:rsid w:val="00073829"/>
    <w:rsid w:val="0007387D"/>
    <w:rsid w:val="000738CB"/>
    <w:rsid w:val="000738D2"/>
    <w:rsid w:val="000738E6"/>
    <w:rsid w:val="0007398D"/>
    <w:rsid w:val="0007398E"/>
    <w:rsid w:val="00073AAE"/>
    <w:rsid w:val="00073BB0"/>
    <w:rsid w:val="00073E8D"/>
    <w:rsid w:val="00073F38"/>
    <w:rsid w:val="00073F49"/>
    <w:rsid w:val="00073FD2"/>
    <w:rsid w:val="000740E3"/>
    <w:rsid w:val="0007411C"/>
    <w:rsid w:val="000741D7"/>
    <w:rsid w:val="000742AA"/>
    <w:rsid w:val="000742F3"/>
    <w:rsid w:val="00074345"/>
    <w:rsid w:val="000744A7"/>
    <w:rsid w:val="0007455A"/>
    <w:rsid w:val="0007460A"/>
    <w:rsid w:val="00074610"/>
    <w:rsid w:val="0007475A"/>
    <w:rsid w:val="00074956"/>
    <w:rsid w:val="00074AD5"/>
    <w:rsid w:val="00074D7E"/>
    <w:rsid w:val="00074DA3"/>
    <w:rsid w:val="00074DDC"/>
    <w:rsid w:val="00074F9B"/>
    <w:rsid w:val="000750CD"/>
    <w:rsid w:val="00075148"/>
    <w:rsid w:val="000753BA"/>
    <w:rsid w:val="000753DD"/>
    <w:rsid w:val="000754B3"/>
    <w:rsid w:val="00075540"/>
    <w:rsid w:val="000755E4"/>
    <w:rsid w:val="0007565A"/>
    <w:rsid w:val="0007574D"/>
    <w:rsid w:val="00075804"/>
    <w:rsid w:val="0007580B"/>
    <w:rsid w:val="0007583A"/>
    <w:rsid w:val="0007585E"/>
    <w:rsid w:val="0007596C"/>
    <w:rsid w:val="00075976"/>
    <w:rsid w:val="00075AE4"/>
    <w:rsid w:val="00075D68"/>
    <w:rsid w:val="00075EF4"/>
    <w:rsid w:val="000763B7"/>
    <w:rsid w:val="00076544"/>
    <w:rsid w:val="0007655E"/>
    <w:rsid w:val="000765DC"/>
    <w:rsid w:val="0007672A"/>
    <w:rsid w:val="000767D1"/>
    <w:rsid w:val="00076869"/>
    <w:rsid w:val="000768BB"/>
    <w:rsid w:val="000768DA"/>
    <w:rsid w:val="0007698C"/>
    <w:rsid w:val="000769C2"/>
    <w:rsid w:val="000769DE"/>
    <w:rsid w:val="000769ED"/>
    <w:rsid w:val="000769FB"/>
    <w:rsid w:val="00076B03"/>
    <w:rsid w:val="0007723E"/>
    <w:rsid w:val="000772AE"/>
    <w:rsid w:val="000773B7"/>
    <w:rsid w:val="00077450"/>
    <w:rsid w:val="00077664"/>
    <w:rsid w:val="00077763"/>
    <w:rsid w:val="00077826"/>
    <w:rsid w:val="00077974"/>
    <w:rsid w:val="00077BF6"/>
    <w:rsid w:val="00077E95"/>
    <w:rsid w:val="00077F61"/>
    <w:rsid w:val="00077F6E"/>
    <w:rsid w:val="000801B7"/>
    <w:rsid w:val="00080267"/>
    <w:rsid w:val="000802B1"/>
    <w:rsid w:val="00080454"/>
    <w:rsid w:val="000804E3"/>
    <w:rsid w:val="0008055B"/>
    <w:rsid w:val="000805A1"/>
    <w:rsid w:val="00080725"/>
    <w:rsid w:val="000807B3"/>
    <w:rsid w:val="000807C4"/>
    <w:rsid w:val="000808A6"/>
    <w:rsid w:val="00080906"/>
    <w:rsid w:val="00080A26"/>
    <w:rsid w:val="00080D89"/>
    <w:rsid w:val="00081440"/>
    <w:rsid w:val="0008158D"/>
    <w:rsid w:val="0008164F"/>
    <w:rsid w:val="00081731"/>
    <w:rsid w:val="0008177A"/>
    <w:rsid w:val="00081A21"/>
    <w:rsid w:val="00081C0D"/>
    <w:rsid w:val="00081C5D"/>
    <w:rsid w:val="00081D12"/>
    <w:rsid w:val="00081E11"/>
    <w:rsid w:val="00082016"/>
    <w:rsid w:val="000823CB"/>
    <w:rsid w:val="00082439"/>
    <w:rsid w:val="00082668"/>
    <w:rsid w:val="00082685"/>
    <w:rsid w:val="00082756"/>
    <w:rsid w:val="000828EF"/>
    <w:rsid w:val="00082A58"/>
    <w:rsid w:val="00082B60"/>
    <w:rsid w:val="00082BC6"/>
    <w:rsid w:val="00082CF3"/>
    <w:rsid w:val="00082EBC"/>
    <w:rsid w:val="00082F4B"/>
    <w:rsid w:val="00082F51"/>
    <w:rsid w:val="00082FF7"/>
    <w:rsid w:val="00083015"/>
    <w:rsid w:val="0008313D"/>
    <w:rsid w:val="000831F7"/>
    <w:rsid w:val="000832CB"/>
    <w:rsid w:val="000832D2"/>
    <w:rsid w:val="0008330C"/>
    <w:rsid w:val="000834A9"/>
    <w:rsid w:val="00083538"/>
    <w:rsid w:val="0008365B"/>
    <w:rsid w:val="0008398D"/>
    <w:rsid w:val="000839BC"/>
    <w:rsid w:val="000839FE"/>
    <w:rsid w:val="00083AA7"/>
    <w:rsid w:val="00083C93"/>
    <w:rsid w:val="00083CC0"/>
    <w:rsid w:val="00084009"/>
    <w:rsid w:val="00084135"/>
    <w:rsid w:val="000841EE"/>
    <w:rsid w:val="00084297"/>
    <w:rsid w:val="00084315"/>
    <w:rsid w:val="00084352"/>
    <w:rsid w:val="00084534"/>
    <w:rsid w:val="00084784"/>
    <w:rsid w:val="00084B61"/>
    <w:rsid w:val="00084CE0"/>
    <w:rsid w:val="00084FF3"/>
    <w:rsid w:val="00085057"/>
    <w:rsid w:val="000851CC"/>
    <w:rsid w:val="00085230"/>
    <w:rsid w:val="0008549A"/>
    <w:rsid w:val="000857EE"/>
    <w:rsid w:val="000858D0"/>
    <w:rsid w:val="0008594D"/>
    <w:rsid w:val="00085C86"/>
    <w:rsid w:val="00085D4A"/>
    <w:rsid w:val="00085E3D"/>
    <w:rsid w:val="00085FA5"/>
    <w:rsid w:val="00085FF7"/>
    <w:rsid w:val="0008600C"/>
    <w:rsid w:val="00086226"/>
    <w:rsid w:val="00086267"/>
    <w:rsid w:val="0008628A"/>
    <w:rsid w:val="000863A2"/>
    <w:rsid w:val="0008661E"/>
    <w:rsid w:val="00086B88"/>
    <w:rsid w:val="00086DE6"/>
    <w:rsid w:val="00086E45"/>
    <w:rsid w:val="00086EAA"/>
    <w:rsid w:val="00087105"/>
    <w:rsid w:val="0008726A"/>
    <w:rsid w:val="000873CE"/>
    <w:rsid w:val="000874C9"/>
    <w:rsid w:val="000875A5"/>
    <w:rsid w:val="000875A8"/>
    <w:rsid w:val="000875F5"/>
    <w:rsid w:val="00087677"/>
    <w:rsid w:val="0008767F"/>
    <w:rsid w:val="000878C3"/>
    <w:rsid w:val="00087936"/>
    <w:rsid w:val="000879BF"/>
    <w:rsid w:val="00087A4D"/>
    <w:rsid w:val="00087A9D"/>
    <w:rsid w:val="00087AA6"/>
    <w:rsid w:val="00087BC7"/>
    <w:rsid w:val="00087D0D"/>
    <w:rsid w:val="00087EB6"/>
    <w:rsid w:val="00087FBE"/>
    <w:rsid w:val="00087FE3"/>
    <w:rsid w:val="000904C4"/>
    <w:rsid w:val="0009052C"/>
    <w:rsid w:val="00090571"/>
    <w:rsid w:val="00090895"/>
    <w:rsid w:val="000908D7"/>
    <w:rsid w:val="00090944"/>
    <w:rsid w:val="00090A62"/>
    <w:rsid w:val="00090BAA"/>
    <w:rsid w:val="00090C7A"/>
    <w:rsid w:val="00090EA3"/>
    <w:rsid w:val="00090EC3"/>
    <w:rsid w:val="00090ED6"/>
    <w:rsid w:val="00090F4F"/>
    <w:rsid w:val="00090FC3"/>
    <w:rsid w:val="00091047"/>
    <w:rsid w:val="00091118"/>
    <w:rsid w:val="0009115E"/>
    <w:rsid w:val="0009119A"/>
    <w:rsid w:val="0009121C"/>
    <w:rsid w:val="00091233"/>
    <w:rsid w:val="0009154A"/>
    <w:rsid w:val="000915EF"/>
    <w:rsid w:val="00091BB1"/>
    <w:rsid w:val="00091BDF"/>
    <w:rsid w:val="00091D47"/>
    <w:rsid w:val="00091FC2"/>
    <w:rsid w:val="00091FE4"/>
    <w:rsid w:val="0009201A"/>
    <w:rsid w:val="000924C9"/>
    <w:rsid w:val="000924E6"/>
    <w:rsid w:val="000927FD"/>
    <w:rsid w:val="00092966"/>
    <w:rsid w:val="00092A81"/>
    <w:rsid w:val="00092B94"/>
    <w:rsid w:val="00092BFB"/>
    <w:rsid w:val="00092D8C"/>
    <w:rsid w:val="00092DC2"/>
    <w:rsid w:val="00092DC6"/>
    <w:rsid w:val="00092FF1"/>
    <w:rsid w:val="00093092"/>
    <w:rsid w:val="000930FD"/>
    <w:rsid w:val="00093163"/>
    <w:rsid w:val="00093502"/>
    <w:rsid w:val="00093551"/>
    <w:rsid w:val="000936DC"/>
    <w:rsid w:val="000937E2"/>
    <w:rsid w:val="0009380F"/>
    <w:rsid w:val="0009399C"/>
    <w:rsid w:val="00093B3C"/>
    <w:rsid w:val="00093D15"/>
    <w:rsid w:val="00093D33"/>
    <w:rsid w:val="00093D65"/>
    <w:rsid w:val="00093D6E"/>
    <w:rsid w:val="00093F0F"/>
    <w:rsid w:val="00093F33"/>
    <w:rsid w:val="0009405C"/>
    <w:rsid w:val="00094138"/>
    <w:rsid w:val="00094229"/>
    <w:rsid w:val="0009426D"/>
    <w:rsid w:val="00094703"/>
    <w:rsid w:val="00094716"/>
    <w:rsid w:val="0009475B"/>
    <w:rsid w:val="000947AA"/>
    <w:rsid w:val="00094827"/>
    <w:rsid w:val="00094863"/>
    <w:rsid w:val="0009497B"/>
    <w:rsid w:val="000949A7"/>
    <w:rsid w:val="000949ED"/>
    <w:rsid w:val="00094B52"/>
    <w:rsid w:val="00094CD4"/>
    <w:rsid w:val="00094D26"/>
    <w:rsid w:val="0009501A"/>
    <w:rsid w:val="0009509E"/>
    <w:rsid w:val="000950D3"/>
    <w:rsid w:val="0009527F"/>
    <w:rsid w:val="000952ED"/>
    <w:rsid w:val="00095458"/>
    <w:rsid w:val="0009565E"/>
    <w:rsid w:val="00095669"/>
    <w:rsid w:val="000957EB"/>
    <w:rsid w:val="0009580A"/>
    <w:rsid w:val="00095848"/>
    <w:rsid w:val="000958A3"/>
    <w:rsid w:val="00095AC6"/>
    <w:rsid w:val="00095AE4"/>
    <w:rsid w:val="00095C21"/>
    <w:rsid w:val="00095C83"/>
    <w:rsid w:val="00095F73"/>
    <w:rsid w:val="00095FBD"/>
    <w:rsid w:val="00096116"/>
    <w:rsid w:val="000961F3"/>
    <w:rsid w:val="00096386"/>
    <w:rsid w:val="00096471"/>
    <w:rsid w:val="0009650C"/>
    <w:rsid w:val="000966AA"/>
    <w:rsid w:val="000966FD"/>
    <w:rsid w:val="0009682E"/>
    <w:rsid w:val="00096C6F"/>
    <w:rsid w:val="00096E94"/>
    <w:rsid w:val="00096FEB"/>
    <w:rsid w:val="00097143"/>
    <w:rsid w:val="00097456"/>
    <w:rsid w:val="00097510"/>
    <w:rsid w:val="00097613"/>
    <w:rsid w:val="00097691"/>
    <w:rsid w:val="00097712"/>
    <w:rsid w:val="00097716"/>
    <w:rsid w:val="0009776F"/>
    <w:rsid w:val="00097807"/>
    <w:rsid w:val="000979BF"/>
    <w:rsid w:val="00097B9B"/>
    <w:rsid w:val="000A062C"/>
    <w:rsid w:val="000A0936"/>
    <w:rsid w:val="000A0CA1"/>
    <w:rsid w:val="000A0EF8"/>
    <w:rsid w:val="000A0F5A"/>
    <w:rsid w:val="000A10DE"/>
    <w:rsid w:val="000A112E"/>
    <w:rsid w:val="000A115E"/>
    <w:rsid w:val="000A1175"/>
    <w:rsid w:val="000A127F"/>
    <w:rsid w:val="000A1308"/>
    <w:rsid w:val="000A1313"/>
    <w:rsid w:val="000A1412"/>
    <w:rsid w:val="000A1545"/>
    <w:rsid w:val="000A171F"/>
    <w:rsid w:val="000A17A3"/>
    <w:rsid w:val="000A1851"/>
    <w:rsid w:val="000A185F"/>
    <w:rsid w:val="000A189E"/>
    <w:rsid w:val="000A1A6A"/>
    <w:rsid w:val="000A1B41"/>
    <w:rsid w:val="000A1C83"/>
    <w:rsid w:val="000A212B"/>
    <w:rsid w:val="000A2280"/>
    <w:rsid w:val="000A2514"/>
    <w:rsid w:val="000A25B2"/>
    <w:rsid w:val="000A26C0"/>
    <w:rsid w:val="000A2818"/>
    <w:rsid w:val="000A2844"/>
    <w:rsid w:val="000A2845"/>
    <w:rsid w:val="000A28B3"/>
    <w:rsid w:val="000A292F"/>
    <w:rsid w:val="000A2A3F"/>
    <w:rsid w:val="000A2A8C"/>
    <w:rsid w:val="000A2AFB"/>
    <w:rsid w:val="000A2E70"/>
    <w:rsid w:val="000A3194"/>
    <w:rsid w:val="000A3301"/>
    <w:rsid w:val="000A3557"/>
    <w:rsid w:val="000A3701"/>
    <w:rsid w:val="000A3721"/>
    <w:rsid w:val="000A3736"/>
    <w:rsid w:val="000A3820"/>
    <w:rsid w:val="000A3AE1"/>
    <w:rsid w:val="000A3CAC"/>
    <w:rsid w:val="000A3D02"/>
    <w:rsid w:val="000A3FA9"/>
    <w:rsid w:val="000A3FC4"/>
    <w:rsid w:val="000A4011"/>
    <w:rsid w:val="000A42C6"/>
    <w:rsid w:val="000A42FE"/>
    <w:rsid w:val="000A437D"/>
    <w:rsid w:val="000A4562"/>
    <w:rsid w:val="000A4586"/>
    <w:rsid w:val="000A45D2"/>
    <w:rsid w:val="000A46BE"/>
    <w:rsid w:val="000A4786"/>
    <w:rsid w:val="000A484B"/>
    <w:rsid w:val="000A49BC"/>
    <w:rsid w:val="000A4B74"/>
    <w:rsid w:val="000A4B9F"/>
    <w:rsid w:val="000A4C6C"/>
    <w:rsid w:val="000A4C6E"/>
    <w:rsid w:val="000A4E45"/>
    <w:rsid w:val="000A4ED2"/>
    <w:rsid w:val="000A510E"/>
    <w:rsid w:val="000A5142"/>
    <w:rsid w:val="000A517B"/>
    <w:rsid w:val="000A52B0"/>
    <w:rsid w:val="000A53D4"/>
    <w:rsid w:val="000A5606"/>
    <w:rsid w:val="000A5636"/>
    <w:rsid w:val="000A5680"/>
    <w:rsid w:val="000A5792"/>
    <w:rsid w:val="000A57FF"/>
    <w:rsid w:val="000A5921"/>
    <w:rsid w:val="000A5982"/>
    <w:rsid w:val="000A5C6B"/>
    <w:rsid w:val="000A5D15"/>
    <w:rsid w:val="000A5F67"/>
    <w:rsid w:val="000A60F6"/>
    <w:rsid w:val="000A611F"/>
    <w:rsid w:val="000A6182"/>
    <w:rsid w:val="000A633C"/>
    <w:rsid w:val="000A6381"/>
    <w:rsid w:val="000A6422"/>
    <w:rsid w:val="000A64C0"/>
    <w:rsid w:val="000A6516"/>
    <w:rsid w:val="000A6666"/>
    <w:rsid w:val="000A667D"/>
    <w:rsid w:val="000A6778"/>
    <w:rsid w:val="000A6966"/>
    <w:rsid w:val="000A6B25"/>
    <w:rsid w:val="000A6C3F"/>
    <w:rsid w:val="000A6E5C"/>
    <w:rsid w:val="000A6F84"/>
    <w:rsid w:val="000A7016"/>
    <w:rsid w:val="000A7180"/>
    <w:rsid w:val="000A756E"/>
    <w:rsid w:val="000A7CE0"/>
    <w:rsid w:val="000A7F60"/>
    <w:rsid w:val="000B020F"/>
    <w:rsid w:val="000B03A5"/>
    <w:rsid w:val="000B072C"/>
    <w:rsid w:val="000B07B7"/>
    <w:rsid w:val="000B07DE"/>
    <w:rsid w:val="000B0AC2"/>
    <w:rsid w:val="000B0ADA"/>
    <w:rsid w:val="000B0AE4"/>
    <w:rsid w:val="000B0B5C"/>
    <w:rsid w:val="000B16B1"/>
    <w:rsid w:val="000B16C3"/>
    <w:rsid w:val="000B17DC"/>
    <w:rsid w:val="000B17F0"/>
    <w:rsid w:val="000B1945"/>
    <w:rsid w:val="000B1AC3"/>
    <w:rsid w:val="000B1AEE"/>
    <w:rsid w:val="000B1BCB"/>
    <w:rsid w:val="000B1D5C"/>
    <w:rsid w:val="000B1ECF"/>
    <w:rsid w:val="000B20C7"/>
    <w:rsid w:val="000B2123"/>
    <w:rsid w:val="000B2205"/>
    <w:rsid w:val="000B2280"/>
    <w:rsid w:val="000B236D"/>
    <w:rsid w:val="000B2474"/>
    <w:rsid w:val="000B255E"/>
    <w:rsid w:val="000B25E3"/>
    <w:rsid w:val="000B2721"/>
    <w:rsid w:val="000B29F1"/>
    <w:rsid w:val="000B2E14"/>
    <w:rsid w:val="000B2E26"/>
    <w:rsid w:val="000B302F"/>
    <w:rsid w:val="000B3173"/>
    <w:rsid w:val="000B319F"/>
    <w:rsid w:val="000B31B5"/>
    <w:rsid w:val="000B325F"/>
    <w:rsid w:val="000B354A"/>
    <w:rsid w:val="000B365F"/>
    <w:rsid w:val="000B36A4"/>
    <w:rsid w:val="000B37E5"/>
    <w:rsid w:val="000B389C"/>
    <w:rsid w:val="000B3D7B"/>
    <w:rsid w:val="000B3F10"/>
    <w:rsid w:val="000B3F26"/>
    <w:rsid w:val="000B4109"/>
    <w:rsid w:val="000B44C0"/>
    <w:rsid w:val="000B4759"/>
    <w:rsid w:val="000B4A96"/>
    <w:rsid w:val="000B4D45"/>
    <w:rsid w:val="000B4DE0"/>
    <w:rsid w:val="000B4E1E"/>
    <w:rsid w:val="000B5120"/>
    <w:rsid w:val="000B5180"/>
    <w:rsid w:val="000B52F2"/>
    <w:rsid w:val="000B55F5"/>
    <w:rsid w:val="000B56A6"/>
    <w:rsid w:val="000B56CB"/>
    <w:rsid w:val="000B5983"/>
    <w:rsid w:val="000B5A36"/>
    <w:rsid w:val="000B5B11"/>
    <w:rsid w:val="000B5C2E"/>
    <w:rsid w:val="000B5C48"/>
    <w:rsid w:val="000B5C49"/>
    <w:rsid w:val="000B5EAE"/>
    <w:rsid w:val="000B5F74"/>
    <w:rsid w:val="000B611B"/>
    <w:rsid w:val="000B62CA"/>
    <w:rsid w:val="000B64EA"/>
    <w:rsid w:val="000B659C"/>
    <w:rsid w:val="000B66EA"/>
    <w:rsid w:val="000B686E"/>
    <w:rsid w:val="000B6883"/>
    <w:rsid w:val="000B6902"/>
    <w:rsid w:val="000B7052"/>
    <w:rsid w:val="000B72F9"/>
    <w:rsid w:val="000B74D8"/>
    <w:rsid w:val="000B77D6"/>
    <w:rsid w:val="000B78E6"/>
    <w:rsid w:val="000B7B95"/>
    <w:rsid w:val="000B7C25"/>
    <w:rsid w:val="000B7F51"/>
    <w:rsid w:val="000C00D0"/>
    <w:rsid w:val="000C01C3"/>
    <w:rsid w:val="000C01C6"/>
    <w:rsid w:val="000C02C4"/>
    <w:rsid w:val="000C02F0"/>
    <w:rsid w:val="000C02F9"/>
    <w:rsid w:val="000C03C3"/>
    <w:rsid w:val="000C04A7"/>
    <w:rsid w:val="000C059E"/>
    <w:rsid w:val="000C0668"/>
    <w:rsid w:val="000C0AE1"/>
    <w:rsid w:val="000C0BF0"/>
    <w:rsid w:val="000C0F6D"/>
    <w:rsid w:val="000C12C8"/>
    <w:rsid w:val="000C12EB"/>
    <w:rsid w:val="000C13A3"/>
    <w:rsid w:val="000C16D8"/>
    <w:rsid w:val="000C1781"/>
    <w:rsid w:val="000C19AB"/>
    <w:rsid w:val="000C1A76"/>
    <w:rsid w:val="000C1B79"/>
    <w:rsid w:val="000C1CB3"/>
    <w:rsid w:val="000C1D05"/>
    <w:rsid w:val="000C1D41"/>
    <w:rsid w:val="000C1EEE"/>
    <w:rsid w:val="000C1F7B"/>
    <w:rsid w:val="000C206B"/>
    <w:rsid w:val="000C2141"/>
    <w:rsid w:val="000C21B6"/>
    <w:rsid w:val="000C23EB"/>
    <w:rsid w:val="000C25E3"/>
    <w:rsid w:val="000C2771"/>
    <w:rsid w:val="000C2953"/>
    <w:rsid w:val="000C2ABC"/>
    <w:rsid w:val="000C2C56"/>
    <w:rsid w:val="000C2CFD"/>
    <w:rsid w:val="000C2E21"/>
    <w:rsid w:val="000C2E4E"/>
    <w:rsid w:val="000C306D"/>
    <w:rsid w:val="000C318A"/>
    <w:rsid w:val="000C31F5"/>
    <w:rsid w:val="000C32B5"/>
    <w:rsid w:val="000C34B7"/>
    <w:rsid w:val="000C3547"/>
    <w:rsid w:val="000C35B4"/>
    <w:rsid w:val="000C35DB"/>
    <w:rsid w:val="000C35F2"/>
    <w:rsid w:val="000C3669"/>
    <w:rsid w:val="000C3743"/>
    <w:rsid w:val="000C382B"/>
    <w:rsid w:val="000C3850"/>
    <w:rsid w:val="000C3920"/>
    <w:rsid w:val="000C3A44"/>
    <w:rsid w:val="000C3B55"/>
    <w:rsid w:val="000C3C42"/>
    <w:rsid w:val="000C3C81"/>
    <w:rsid w:val="000C3CFC"/>
    <w:rsid w:val="000C3F27"/>
    <w:rsid w:val="000C40E5"/>
    <w:rsid w:val="000C4450"/>
    <w:rsid w:val="000C448F"/>
    <w:rsid w:val="000C44CD"/>
    <w:rsid w:val="000C45BE"/>
    <w:rsid w:val="000C462F"/>
    <w:rsid w:val="000C4A6F"/>
    <w:rsid w:val="000C4BA2"/>
    <w:rsid w:val="000C4BA9"/>
    <w:rsid w:val="000C4BF3"/>
    <w:rsid w:val="000C4CE5"/>
    <w:rsid w:val="000C4DE8"/>
    <w:rsid w:val="000C4EF7"/>
    <w:rsid w:val="000C4F1A"/>
    <w:rsid w:val="000C549F"/>
    <w:rsid w:val="000C54A0"/>
    <w:rsid w:val="000C558F"/>
    <w:rsid w:val="000C5777"/>
    <w:rsid w:val="000C58E6"/>
    <w:rsid w:val="000C59F5"/>
    <w:rsid w:val="000C5AA3"/>
    <w:rsid w:val="000C5B3C"/>
    <w:rsid w:val="000C5D22"/>
    <w:rsid w:val="000C5D6F"/>
    <w:rsid w:val="000C5E24"/>
    <w:rsid w:val="000C5EDD"/>
    <w:rsid w:val="000C615F"/>
    <w:rsid w:val="000C6164"/>
    <w:rsid w:val="000C62FC"/>
    <w:rsid w:val="000C6463"/>
    <w:rsid w:val="000C65A9"/>
    <w:rsid w:val="000C6654"/>
    <w:rsid w:val="000C6688"/>
    <w:rsid w:val="000C694F"/>
    <w:rsid w:val="000C6968"/>
    <w:rsid w:val="000C69D9"/>
    <w:rsid w:val="000C6A20"/>
    <w:rsid w:val="000C6D60"/>
    <w:rsid w:val="000C6E2F"/>
    <w:rsid w:val="000C7081"/>
    <w:rsid w:val="000C713D"/>
    <w:rsid w:val="000C72B5"/>
    <w:rsid w:val="000C72D5"/>
    <w:rsid w:val="000C7317"/>
    <w:rsid w:val="000C7446"/>
    <w:rsid w:val="000C74A4"/>
    <w:rsid w:val="000C74B4"/>
    <w:rsid w:val="000C756F"/>
    <w:rsid w:val="000C76C9"/>
    <w:rsid w:val="000C7970"/>
    <w:rsid w:val="000C79A3"/>
    <w:rsid w:val="000C7B6D"/>
    <w:rsid w:val="000C7B75"/>
    <w:rsid w:val="000C7BED"/>
    <w:rsid w:val="000C7C55"/>
    <w:rsid w:val="000C7EAB"/>
    <w:rsid w:val="000C7FCA"/>
    <w:rsid w:val="000D0158"/>
    <w:rsid w:val="000D01D3"/>
    <w:rsid w:val="000D03BB"/>
    <w:rsid w:val="000D049E"/>
    <w:rsid w:val="000D04AA"/>
    <w:rsid w:val="000D06FA"/>
    <w:rsid w:val="000D0758"/>
    <w:rsid w:val="000D07CA"/>
    <w:rsid w:val="000D0A3E"/>
    <w:rsid w:val="000D0A6F"/>
    <w:rsid w:val="000D0AD8"/>
    <w:rsid w:val="000D0BDB"/>
    <w:rsid w:val="000D0DA6"/>
    <w:rsid w:val="000D0DAF"/>
    <w:rsid w:val="000D0EFA"/>
    <w:rsid w:val="000D104C"/>
    <w:rsid w:val="000D1307"/>
    <w:rsid w:val="000D134B"/>
    <w:rsid w:val="000D1363"/>
    <w:rsid w:val="000D13A9"/>
    <w:rsid w:val="000D13E0"/>
    <w:rsid w:val="000D1486"/>
    <w:rsid w:val="000D1491"/>
    <w:rsid w:val="000D1649"/>
    <w:rsid w:val="000D1809"/>
    <w:rsid w:val="000D18C5"/>
    <w:rsid w:val="000D192B"/>
    <w:rsid w:val="000D1A01"/>
    <w:rsid w:val="000D1A9F"/>
    <w:rsid w:val="000D1C1D"/>
    <w:rsid w:val="000D1C5F"/>
    <w:rsid w:val="000D1CB9"/>
    <w:rsid w:val="000D1F29"/>
    <w:rsid w:val="000D2159"/>
    <w:rsid w:val="000D222F"/>
    <w:rsid w:val="000D23B0"/>
    <w:rsid w:val="000D24E2"/>
    <w:rsid w:val="000D2529"/>
    <w:rsid w:val="000D26F2"/>
    <w:rsid w:val="000D29A7"/>
    <w:rsid w:val="000D2DA9"/>
    <w:rsid w:val="000D2DB2"/>
    <w:rsid w:val="000D3007"/>
    <w:rsid w:val="000D317D"/>
    <w:rsid w:val="000D318D"/>
    <w:rsid w:val="000D3428"/>
    <w:rsid w:val="000D347F"/>
    <w:rsid w:val="000D34A2"/>
    <w:rsid w:val="000D39E2"/>
    <w:rsid w:val="000D3C07"/>
    <w:rsid w:val="000D3CAF"/>
    <w:rsid w:val="000D3DC8"/>
    <w:rsid w:val="000D3ECB"/>
    <w:rsid w:val="000D3F50"/>
    <w:rsid w:val="000D405E"/>
    <w:rsid w:val="000D42DF"/>
    <w:rsid w:val="000D4436"/>
    <w:rsid w:val="000D44BC"/>
    <w:rsid w:val="000D46A0"/>
    <w:rsid w:val="000D4792"/>
    <w:rsid w:val="000D4B9A"/>
    <w:rsid w:val="000D4C54"/>
    <w:rsid w:val="000D4D96"/>
    <w:rsid w:val="000D4E56"/>
    <w:rsid w:val="000D4EB9"/>
    <w:rsid w:val="000D4F69"/>
    <w:rsid w:val="000D4F90"/>
    <w:rsid w:val="000D50B2"/>
    <w:rsid w:val="000D5122"/>
    <w:rsid w:val="000D5630"/>
    <w:rsid w:val="000D5741"/>
    <w:rsid w:val="000D577F"/>
    <w:rsid w:val="000D5EBE"/>
    <w:rsid w:val="000D5F23"/>
    <w:rsid w:val="000D627F"/>
    <w:rsid w:val="000D6284"/>
    <w:rsid w:val="000D6407"/>
    <w:rsid w:val="000D645A"/>
    <w:rsid w:val="000D66AB"/>
    <w:rsid w:val="000D690D"/>
    <w:rsid w:val="000D6A3C"/>
    <w:rsid w:val="000D6ABF"/>
    <w:rsid w:val="000D6B4B"/>
    <w:rsid w:val="000D6B75"/>
    <w:rsid w:val="000D6C48"/>
    <w:rsid w:val="000D6E3B"/>
    <w:rsid w:val="000D747C"/>
    <w:rsid w:val="000D74FE"/>
    <w:rsid w:val="000D76A4"/>
    <w:rsid w:val="000D7767"/>
    <w:rsid w:val="000D7A00"/>
    <w:rsid w:val="000D7A05"/>
    <w:rsid w:val="000D7B02"/>
    <w:rsid w:val="000D7E91"/>
    <w:rsid w:val="000D7F7D"/>
    <w:rsid w:val="000E0182"/>
    <w:rsid w:val="000E0448"/>
    <w:rsid w:val="000E04FE"/>
    <w:rsid w:val="000E0564"/>
    <w:rsid w:val="000E06FD"/>
    <w:rsid w:val="000E07E0"/>
    <w:rsid w:val="000E0840"/>
    <w:rsid w:val="000E0935"/>
    <w:rsid w:val="000E0967"/>
    <w:rsid w:val="000E0A59"/>
    <w:rsid w:val="000E0F54"/>
    <w:rsid w:val="000E0FB4"/>
    <w:rsid w:val="000E0FE1"/>
    <w:rsid w:val="000E0FE2"/>
    <w:rsid w:val="000E13BF"/>
    <w:rsid w:val="000E13DC"/>
    <w:rsid w:val="000E1541"/>
    <w:rsid w:val="000E1620"/>
    <w:rsid w:val="000E164C"/>
    <w:rsid w:val="000E175C"/>
    <w:rsid w:val="000E1950"/>
    <w:rsid w:val="000E1959"/>
    <w:rsid w:val="000E1A08"/>
    <w:rsid w:val="000E1F52"/>
    <w:rsid w:val="000E2111"/>
    <w:rsid w:val="000E239F"/>
    <w:rsid w:val="000E25D6"/>
    <w:rsid w:val="000E2832"/>
    <w:rsid w:val="000E299A"/>
    <w:rsid w:val="000E2AC8"/>
    <w:rsid w:val="000E2E38"/>
    <w:rsid w:val="000E3008"/>
    <w:rsid w:val="000E316C"/>
    <w:rsid w:val="000E3182"/>
    <w:rsid w:val="000E3199"/>
    <w:rsid w:val="000E3370"/>
    <w:rsid w:val="000E3529"/>
    <w:rsid w:val="000E3718"/>
    <w:rsid w:val="000E375C"/>
    <w:rsid w:val="000E37D4"/>
    <w:rsid w:val="000E3809"/>
    <w:rsid w:val="000E3887"/>
    <w:rsid w:val="000E38D0"/>
    <w:rsid w:val="000E3902"/>
    <w:rsid w:val="000E3913"/>
    <w:rsid w:val="000E3B0F"/>
    <w:rsid w:val="000E3D59"/>
    <w:rsid w:val="000E3DF0"/>
    <w:rsid w:val="000E3E72"/>
    <w:rsid w:val="000E3F8E"/>
    <w:rsid w:val="000E4079"/>
    <w:rsid w:val="000E4106"/>
    <w:rsid w:val="000E4167"/>
    <w:rsid w:val="000E4203"/>
    <w:rsid w:val="000E426C"/>
    <w:rsid w:val="000E42A8"/>
    <w:rsid w:val="000E44AA"/>
    <w:rsid w:val="000E4657"/>
    <w:rsid w:val="000E4993"/>
    <w:rsid w:val="000E4994"/>
    <w:rsid w:val="000E4AA9"/>
    <w:rsid w:val="000E4BBC"/>
    <w:rsid w:val="000E4BCA"/>
    <w:rsid w:val="000E4CDB"/>
    <w:rsid w:val="000E4D23"/>
    <w:rsid w:val="000E4F47"/>
    <w:rsid w:val="000E4F67"/>
    <w:rsid w:val="000E4F6F"/>
    <w:rsid w:val="000E5267"/>
    <w:rsid w:val="000E52B2"/>
    <w:rsid w:val="000E53E7"/>
    <w:rsid w:val="000E53F3"/>
    <w:rsid w:val="000E56E0"/>
    <w:rsid w:val="000E5A17"/>
    <w:rsid w:val="000E5A5F"/>
    <w:rsid w:val="000E5A99"/>
    <w:rsid w:val="000E5B84"/>
    <w:rsid w:val="000E5B96"/>
    <w:rsid w:val="000E5DFC"/>
    <w:rsid w:val="000E5F6B"/>
    <w:rsid w:val="000E5FE4"/>
    <w:rsid w:val="000E608D"/>
    <w:rsid w:val="000E61B0"/>
    <w:rsid w:val="000E6384"/>
    <w:rsid w:val="000E63EF"/>
    <w:rsid w:val="000E64AD"/>
    <w:rsid w:val="000E6540"/>
    <w:rsid w:val="000E66AD"/>
    <w:rsid w:val="000E67AB"/>
    <w:rsid w:val="000E6A07"/>
    <w:rsid w:val="000E6C7A"/>
    <w:rsid w:val="000E6D0F"/>
    <w:rsid w:val="000E6DDE"/>
    <w:rsid w:val="000E6DF6"/>
    <w:rsid w:val="000E70AF"/>
    <w:rsid w:val="000E71D0"/>
    <w:rsid w:val="000E7206"/>
    <w:rsid w:val="000E72B0"/>
    <w:rsid w:val="000E7332"/>
    <w:rsid w:val="000E7540"/>
    <w:rsid w:val="000E7563"/>
    <w:rsid w:val="000E77EA"/>
    <w:rsid w:val="000E782B"/>
    <w:rsid w:val="000E7A0B"/>
    <w:rsid w:val="000E7B12"/>
    <w:rsid w:val="000E7B68"/>
    <w:rsid w:val="000E7BB7"/>
    <w:rsid w:val="000E7C8B"/>
    <w:rsid w:val="000E7D77"/>
    <w:rsid w:val="000E7E94"/>
    <w:rsid w:val="000F00F5"/>
    <w:rsid w:val="000F012B"/>
    <w:rsid w:val="000F0275"/>
    <w:rsid w:val="000F02DC"/>
    <w:rsid w:val="000F0381"/>
    <w:rsid w:val="000F0504"/>
    <w:rsid w:val="000F067A"/>
    <w:rsid w:val="000F07CB"/>
    <w:rsid w:val="000F0822"/>
    <w:rsid w:val="000F0C3C"/>
    <w:rsid w:val="000F0CDE"/>
    <w:rsid w:val="000F0D37"/>
    <w:rsid w:val="000F0DC0"/>
    <w:rsid w:val="000F1193"/>
    <w:rsid w:val="000F1231"/>
    <w:rsid w:val="000F13D0"/>
    <w:rsid w:val="000F1900"/>
    <w:rsid w:val="000F1A0B"/>
    <w:rsid w:val="000F1B65"/>
    <w:rsid w:val="000F1CA3"/>
    <w:rsid w:val="000F1F02"/>
    <w:rsid w:val="000F1F24"/>
    <w:rsid w:val="000F20D6"/>
    <w:rsid w:val="000F21A4"/>
    <w:rsid w:val="000F2313"/>
    <w:rsid w:val="000F2642"/>
    <w:rsid w:val="000F265D"/>
    <w:rsid w:val="000F26BF"/>
    <w:rsid w:val="000F26F3"/>
    <w:rsid w:val="000F29E6"/>
    <w:rsid w:val="000F2B8C"/>
    <w:rsid w:val="000F2DE2"/>
    <w:rsid w:val="000F2E2E"/>
    <w:rsid w:val="000F2EBC"/>
    <w:rsid w:val="000F2F28"/>
    <w:rsid w:val="000F2FA7"/>
    <w:rsid w:val="000F2FFA"/>
    <w:rsid w:val="000F3077"/>
    <w:rsid w:val="000F312A"/>
    <w:rsid w:val="000F352F"/>
    <w:rsid w:val="000F3753"/>
    <w:rsid w:val="000F37E8"/>
    <w:rsid w:val="000F3873"/>
    <w:rsid w:val="000F3C70"/>
    <w:rsid w:val="000F3CA1"/>
    <w:rsid w:val="000F3DC4"/>
    <w:rsid w:val="000F401E"/>
    <w:rsid w:val="000F41F3"/>
    <w:rsid w:val="000F4398"/>
    <w:rsid w:val="000F44B6"/>
    <w:rsid w:val="000F4691"/>
    <w:rsid w:val="000F4747"/>
    <w:rsid w:val="000F47B0"/>
    <w:rsid w:val="000F4990"/>
    <w:rsid w:val="000F4A4E"/>
    <w:rsid w:val="000F4B8A"/>
    <w:rsid w:val="000F4CD4"/>
    <w:rsid w:val="000F4DB5"/>
    <w:rsid w:val="000F4DDB"/>
    <w:rsid w:val="000F4E60"/>
    <w:rsid w:val="000F5072"/>
    <w:rsid w:val="000F516E"/>
    <w:rsid w:val="000F5225"/>
    <w:rsid w:val="000F5381"/>
    <w:rsid w:val="000F53C1"/>
    <w:rsid w:val="000F53C4"/>
    <w:rsid w:val="000F56D9"/>
    <w:rsid w:val="000F577E"/>
    <w:rsid w:val="000F5784"/>
    <w:rsid w:val="000F5972"/>
    <w:rsid w:val="000F5A14"/>
    <w:rsid w:val="000F5A84"/>
    <w:rsid w:val="000F5B53"/>
    <w:rsid w:val="000F5DDD"/>
    <w:rsid w:val="000F5E00"/>
    <w:rsid w:val="000F62AB"/>
    <w:rsid w:val="000F6367"/>
    <w:rsid w:val="000F6382"/>
    <w:rsid w:val="000F6585"/>
    <w:rsid w:val="000F6597"/>
    <w:rsid w:val="000F670A"/>
    <w:rsid w:val="000F6721"/>
    <w:rsid w:val="000F67CF"/>
    <w:rsid w:val="000F68B0"/>
    <w:rsid w:val="000F6A0C"/>
    <w:rsid w:val="000F6BC3"/>
    <w:rsid w:val="000F6CB8"/>
    <w:rsid w:val="000F6DCD"/>
    <w:rsid w:val="000F7037"/>
    <w:rsid w:val="000F7123"/>
    <w:rsid w:val="000F7588"/>
    <w:rsid w:val="000F75C5"/>
    <w:rsid w:val="000F7682"/>
    <w:rsid w:val="000F78F8"/>
    <w:rsid w:val="000F7D65"/>
    <w:rsid w:val="000F7E9F"/>
    <w:rsid w:val="000F7EC4"/>
    <w:rsid w:val="00100299"/>
    <w:rsid w:val="00100465"/>
    <w:rsid w:val="00100527"/>
    <w:rsid w:val="0010052A"/>
    <w:rsid w:val="001006B1"/>
    <w:rsid w:val="001006FA"/>
    <w:rsid w:val="001007F6"/>
    <w:rsid w:val="00100861"/>
    <w:rsid w:val="001009B4"/>
    <w:rsid w:val="00100AEA"/>
    <w:rsid w:val="00100BA4"/>
    <w:rsid w:val="00100C87"/>
    <w:rsid w:val="00100DB2"/>
    <w:rsid w:val="001012CC"/>
    <w:rsid w:val="001012F8"/>
    <w:rsid w:val="00101388"/>
    <w:rsid w:val="001013B8"/>
    <w:rsid w:val="00101409"/>
    <w:rsid w:val="00101651"/>
    <w:rsid w:val="001018D6"/>
    <w:rsid w:val="00101922"/>
    <w:rsid w:val="00101CE6"/>
    <w:rsid w:val="00101EB5"/>
    <w:rsid w:val="0010209A"/>
    <w:rsid w:val="00102458"/>
    <w:rsid w:val="00102651"/>
    <w:rsid w:val="00102809"/>
    <w:rsid w:val="00102871"/>
    <w:rsid w:val="0010290F"/>
    <w:rsid w:val="00102D60"/>
    <w:rsid w:val="00102F55"/>
    <w:rsid w:val="00103009"/>
    <w:rsid w:val="00103184"/>
    <w:rsid w:val="00103187"/>
    <w:rsid w:val="0010321F"/>
    <w:rsid w:val="00103236"/>
    <w:rsid w:val="001032E9"/>
    <w:rsid w:val="00103384"/>
    <w:rsid w:val="0010341E"/>
    <w:rsid w:val="00103479"/>
    <w:rsid w:val="0010347E"/>
    <w:rsid w:val="001034C6"/>
    <w:rsid w:val="001035AB"/>
    <w:rsid w:val="00103947"/>
    <w:rsid w:val="00103DDF"/>
    <w:rsid w:val="00103E4D"/>
    <w:rsid w:val="00103F46"/>
    <w:rsid w:val="001041C0"/>
    <w:rsid w:val="0010420C"/>
    <w:rsid w:val="0010465C"/>
    <w:rsid w:val="001046BB"/>
    <w:rsid w:val="001046E3"/>
    <w:rsid w:val="0010485E"/>
    <w:rsid w:val="00104998"/>
    <w:rsid w:val="00104B0A"/>
    <w:rsid w:val="00104D72"/>
    <w:rsid w:val="00104D77"/>
    <w:rsid w:val="00104D96"/>
    <w:rsid w:val="00104E8D"/>
    <w:rsid w:val="00104F10"/>
    <w:rsid w:val="00104FCC"/>
    <w:rsid w:val="0010514C"/>
    <w:rsid w:val="0010524C"/>
    <w:rsid w:val="001052A5"/>
    <w:rsid w:val="001052C2"/>
    <w:rsid w:val="00105481"/>
    <w:rsid w:val="00105560"/>
    <w:rsid w:val="00105880"/>
    <w:rsid w:val="00105993"/>
    <w:rsid w:val="00105998"/>
    <w:rsid w:val="00105AD1"/>
    <w:rsid w:val="00105ADE"/>
    <w:rsid w:val="00105B78"/>
    <w:rsid w:val="00105C4D"/>
    <w:rsid w:val="00105D5A"/>
    <w:rsid w:val="00105E6A"/>
    <w:rsid w:val="00105F65"/>
    <w:rsid w:val="001062F9"/>
    <w:rsid w:val="00106311"/>
    <w:rsid w:val="001063B3"/>
    <w:rsid w:val="001063BD"/>
    <w:rsid w:val="001064CF"/>
    <w:rsid w:val="001066CA"/>
    <w:rsid w:val="0010676E"/>
    <w:rsid w:val="0010678D"/>
    <w:rsid w:val="00106824"/>
    <w:rsid w:val="00106947"/>
    <w:rsid w:val="0010698A"/>
    <w:rsid w:val="00106A3A"/>
    <w:rsid w:val="00106B8C"/>
    <w:rsid w:val="00106CA7"/>
    <w:rsid w:val="00106D41"/>
    <w:rsid w:val="00106DF4"/>
    <w:rsid w:val="00106E67"/>
    <w:rsid w:val="00106F60"/>
    <w:rsid w:val="001072B4"/>
    <w:rsid w:val="00107AEF"/>
    <w:rsid w:val="00107D55"/>
    <w:rsid w:val="00107D78"/>
    <w:rsid w:val="00107E7C"/>
    <w:rsid w:val="00107F83"/>
    <w:rsid w:val="001100EF"/>
    <w:rsid w:val="001103A2"/>
    <w:rsid w:val="00110405"/>
    <w:rsid w:val="00110578"/>
    <w:rsid w:val="001106FE"/>
    <w:rsid w:val="00110706"/>
    <w:rsid w:val="00110814"/>
    <w:rsid w:val="00110962"/>
    <w:rsid w:val="001109C6"/>
    <w:rsid w:val="00110DA3"/>
    <w:rsid w:val="00110E58"/>
    <w:rsid w:val="00110FEB"/>
    <w:rsid w:val="00111015"/>
    <w:rsid w:val="00111150"/>
    <w:rsid w:val="001111C3"/>
    <w:rsid w:val="00111211"/>
    <w:rsid w:val="00111291"/>
    <w:rsid w:val="001114EA"/>
    <w:rsid w:val="00111520"/>
    <w:rsid w:val="0011179F"/>
    <w:rsid w:val="00111873"/>
    <w:rsid w:val="00111BA8"/>
    <w:rsid w:val="00111CA8"/>
    <w:rsid w:val="00111DFD"/>
    <w:rsid w:val="00111F5C"/>
    <w:rsid w:val="00111F80"/>
    <w:rsid w:val="0011207B"/>
    <w:rsid w:val="00112145"/>
    <w:rsid w:val="00112231"/>
    <w:rsid w:val="0011227F"/>
    <w:rsid w:val="0011232C"/>
    <w:rsid w:val="00112437"/>
    <w:rsid w:val="0011248A"/>
    <w:rsid w:val="0011251C"/>
    <w:rsid w:val="0011251F"/>
    <w:rsid w:val="00112571"/>
    <w:rsid w:val="0011272C"/>
    <w:rsid w:val="0011277F"/>
    <w:rsid w:val="00112865"/>
    <w:rsid w:val="0011291E"/>
    <w:rsid w:val="001129A0"/>
    <w:rsid w:val="00112AC6"/>
    <w:rsid w:val="00112AED"/>
    <w:rsid w:val="00112DA4"/>
    <w:rsid w:val="00112DF1"/>
    <w:rsid w:val="00112E83"/>
    <w:rsid w:val="00112E92"/>
    <w:rsid w:val="00112E93"/>
    <w:rsid w:val="00112FB7"/>
    <w:rsid w:val="001130BF"/>
    <w:rsid w:val="0011345A"/>
    <w:rsid w:val="00113635"/>
    <w:rsid w:val="00113640"/>
    <w:rsid w:val="0011391C"/>
    <w:rsid w:val="001139D8"/>
    <w:rsid w:val="00113AB1"/>
    <w:rsid w:val="00113AD8"/>
    <w:rsid w:val="00113BB0"/>
    <w:rsid w:val="00113D26"/>
    <w:rsid w:val="00113D53"/>
    <w:rsid w:val="00113E3A"/>
    <w:rsid w:val="00113EA0"/>
    <w:rsid w:val="00113F1A"/>
    <w:rsid w:val="00114017"/>
    <w:rsid w:val="001140F5"/>
    <w:rsid w:val="00114141"/>
    <w:rsid w:val="001143C6"/>
    <w:rsid w:val="0011449A"/>
    <w:rsid w:val="00114514"/>
    <w:rsid w:val="001145DB"/>
    <w:rsid w:val="001145E3"/>
    <w:rsid w:val="00114BAA"/>
    <w:rsid w:val="00114E74"/>
    <w:rsid w:val="0011500D"/>
    <w:rsid w:val="00115145"/>
    <w:rsid w:val="0011515D"/>
    <w:rsid w:val="00115185"/>
    <w:rsid w:val="00115442"/>
    <w:rsid w:val="001156DA"/>
    <w:rsid w:val="001157DD"/>
    <w:rsid w:val="001158C0"/>
    <w:rsid w:val="0011598E"/>
    <w:rsid w:val="00115A6F"/>
    <w:rsid w:val="00115C4E"/>
    <w:rsid w:val="00115CF9"/>
    <w:rsid w:val="00115E7F"/>
    <w:rsid w:val="00115F16"/>
    <w:rsid w:val="00116289"/>
    <w:rsid w:val="001165F2"/>
    <w:rsid w:val="0011662A"/>
    <w:rsid w:val="00116815"/>
    <w:rsid w:val="00116993"/>
    <w:rsid w:val="00116B0F"/>
    <w:rsid w:val="00116BB1"/>
    <w:rsid w:val="00116DE2"/>
    <w:rsid w:val="001170B4"/>
    <w:rsid w:val="00117148"/>
    <w:rsid w:val="00117236"/>
    <w:rsid w:val="001173D8"/>
    <w:rsid w:val="00117582"/>
    <w:rsid w:val="00117644"/>
    <w:rsid w:val="00117747"/>
    <w:rsid w:val="00117866"/>
    <w:rsid w:val="0011791E"/>
    <w:rsid w:val="00117961"/>
    <w:rsid w:val="00117CEE"/>
    <w:rsid w:val="00117EB9"/>
    <w:rsid w:val="00117ECC"/>
    <w:rsid w:val="00117F51"/>
    <w:rsid w:val="00117F99"/>
    <w:rsid w:val="00120279"/>
    <w:rsid w:val="00120477"/>
    <w:rsid w:val="001204F1"/>
    <w:rsid w:val="00120566"/>
    <w:rsid w:val="001205A6"/>
    <w:rsid w:val="00120687"/>
    <w:rsid w:val="00120B45"/>
    <w:rsid w:val="00120C1F"/>
    <w:rsid w:val="00120E5E"/>
    <w:rsid w:val="00120ECA"/>
    <w:rsid w:val="0012108D"/>
    <w:rsid w:val="001210AA"/>
    <w:rsid w:val="001211C1"/>
    <w:rsid w:val="001211E6"/>
    <w:rsid w:val="001212D3"/>
    <w:rsid w:val="00121363"/>
    <w:rsid w:val="0012137E"/>
    <w:rsid w:val="001213E4"/>
    <w:rsid w:val="00121423"/>
    <w:rsid w:val="00121610"/>
    <w:rsid w:val="001219E6"/>
    <w:rsid w:val="00121B93"/>
    <w:rsid w:val="00121BFF"/>
    <w:rsid w:val="00121CAD"/>
    <w:rsid w:val="00121E52"/>
    <w:rsid w:val="00121F55"/>
    <w:rsid w:val="00122122"/>
    <w:rsid w:val="001222A4"/>
    <w:rsid w:val="001222FE"/>
    <w:rsid w:val="001223EC"/>
    <w:rsid w:val="001228CC"/>
    <w:rsid w:val="00122AD8"/>
    <w:rsid w:val="00122C61"/>
    <w:rsid w:val="00122D2A"/>
    <w:rsid w:val="00122D8C"/>
    <w:rsid w:val="00122DA4"/>
    <w:rsid w:val="00122E3C"/>
    <w:rsid w:val="00123113"/>
    <w:rsid w:val="001232CB"/>
    <w:rsid w:val="0012348F"/>
    <w:rsid w:val="0012398D"/>
    <w:rsid w:val="00123D92"/>
    <w:rsid w:val="00123EFF"/>
    <w:rsid w:val="00123FA4"/>
    <w:rsid w:val="0012401D"/>
    <w:rsid w:val="00124142"/>
    <w:rsid w:val="001244D3"/>
    <w:rsid w:val="00124601"/>
    <w:rsid w:val="0012475F"/>
    <w:rsid w:val="00124969"/>
    <w:rsid w:val="00124998"/>
    <w:rsid w:val="001249A2"/>
    <w:rsid w:val="00124A13"/>
    <w:rsid w:val="00124A22"/>
    <w:rsid w:val="00124AEB"/>
    <w:rsid w:val="00124BFA"/>
    <w:rsid w:val="00124E82"/>
    <w:rsid w:val="0012500F"/>
    <w:rsid w:val="001253B6"/>
    <w:rsid w:val="0012556F"/>
    <w:rsid w:val="00125838"/>
    <w:rsid w:val="0012585F"/>
    <w:rsid w:val="00125934"/>
    <w:rsid w:val="001259A9"/>
    <w:rsid w:val="00125A56"/>
    <w:rsid w:val="00125D2B"/>
    <w:rsid w:val="00125DCB"/>
    <w:rsid w:val="00125E06"/>
    <w:rsid w:val="00125ECF"/>
    <w:rsid w:val="00125FE5"/>
    <w:rsid w:val="00126276"/>
    <w:rsid w:val="001263DC"/>
    <w:rsid w:val="001264CE"/>
    <w:rsid w:val="001265C9"/>
    <w:rsid w:val="001269A7"/>
    <w:rsid w:val="00126A8C"/>
    <w:rsid w:val="00126C69"/>
    <w:rsid w:val="00126D10"/>
    <w:rsid w:val="00126D65"/>
    <w:rsid w:val="00127133"/>
    <w:rsid w:val="001273EB"/>
    <w:rsid w:val="001275F8"/>
    <w:rsid w:val="0012760A"/>
    <w:rsid w:val="0012761B"/>
    <w:rsid w:val="001276CD"/>
    <w:rsid w:val="001277F1"/>
    <w:rsid w:val="00127822"/>
    <w:rsid w:val="0012792E"/>
    <w:rsid w:val="00127A1F"/>
    <w:rsid w:val="00127A85"/>
    <w:rsid w:val="00127AA1"/>
    <w:rsid w:val="00127AA5"/>
    <w:rsid w:val="00127E17"/>
    <w:rsid w:val="00127F30"/>
    <w:rsid w:val="0013026C"/>
    <w:rsid w:val="001302BB"/>
    <w:rsid w:val="0013051A"/>
    <w:rsid w:val="00130A7D"/>
    <w:rsid w:val="00130A99"/>
    <w:rsid w:val="00130C0E"/>
    <w:rsid w:val="00130D04"/>
    <w:rsid w:val="00130F70"/>
    <w:rsid w:val="001311D9"/>
    <w:rsid w:val="00131205"/>
    <w:rsid w:val="001314BA"/>
    <w:rsid w:val="001314EC"/>
    <w:rsid w:val="00131542"/>
    <w:rsid w:val="001316EF"/>
    <w:rsid w:val="00131781"/>
    <w:rsid w:val="0013182D"/>
    <w:rsid w:val="0013188A"/>
    <w:rsid w:val="001319C2"/>
    <w:rsid w:val="001319E4"/>
    <w:rsid w:val="00131A73"/>
    <w:rsid w:val="00131BA6"/>
    <w:rsid w:val="00131CBC"/>
    <w:rsid w:val="00131CFA"/>
    <w:rsid w:val="00131D99"/>
    <w:rsid w:val="00131DDF"/>
    <w:rsid w:val="00131E20"/>
    <w:rsid w:val="00131FF8"/>
    <w:rsid w:val="0013205A"/>
    <w:rsid w:val="00132095"/>
    <w:rsid w:val="0013214E"/>
    <w:rsid w:val="00132312"/>
    <w:rsid w:val="001326C4"/>
    <w:rsid w:val="0013288F"/>
    <w:rsid w:val="00132B0B"/>
    <w:rsid w:val="00132B62"/>
    <w:rsid w:val="00132F8E"/>
    <w:rsid w:val="001330B4"/>
    <w:rsid w:val="001332CE"/>
    <w:rsid w:val="0013364D"/>
    <w:rsid w:val="0013370A"/>
    <w:rsid w:val="001337BE"/>
    <w:rsid w:val="00133800"/>
    <w:rsid w:val="001338FD"/>
    <w:rsid w:val="00133E11"/>
    <w:rsid w:val="00133F1B"/>
    <w:rsid w:val="00133F4C"/>
    <w:rsid w:val="0013405B"/>
    <w:rsid w:val="00134164"/>
    <w:rsid w:val="001342B5"/>
    <w:rsid w:val="00134388"/>
    <w:rsid w:val="00134422"/>
    <w:rsid w:val="001346F0"/>
    <w:rsid w:val="00134833"/>
    <w:rsid w:val="00134CE0"/>
    <w:rsid w:val="00134D46"/>
    <w:rsid w:val="00134EC3"/>
    <w:rsid w:val="00134F0D"/>
    <w:rsid w:val="00134F9B"/>
    <w:rsid w:val="00135074"/>
    <w:rsid w:val="0013509D"/>
    <w:rsid w:val="0013511E"/>
    <w:rsid w:val="0013513F"/>
    <w:rsid w:val="001356D9"/>
    <w:rsid w:val="001357B4"/>
    <w:rsid w:val="001357C1"/>
    <w:rsid w:val="00135927"/>
    <w:rsid w:val="00135C0D"/>
    <w:rsid w:val="00135C49"/>
    <w:rsid w:val="00135CB4"/>
    <w:rsid w:val="00135CFB"/>
    <w:rsid w:val="00135DA0"/>
    <w:rsid w:val="00135F31"/>
    <w:rsid w:val="00136177"/>
    <w:rsid w:val="001362B2"/>
    <w:rsid w:val="00136385"/>
    <w:rsid w:val="001363EB"/>
    <w:rsid w:val="00136611"/>
    <w:rsid w:val="00136671"/>
    <w:rsid w:val="001366D8"/>
    <w:rsid w:val="001367B1"/>
    <w:rsid w:val="00136B70"/>
    <w:rsid w:val="00136E3E"/>
    <w:rsid w:val="00136F58"/>
    <w:rsid w:val="00136FFE"/>
    <w:rsid w:val="001370C4"/>
    <w:rsid w:val="0013718F"/>
    <w:rsid w:val="001371EE"/>
    <w:rsid w:val="00137217"/>
    <w:rsid w:val="001374DB"/>
    <w:rsid w:val="001376DF"/>
    <w:rsid w:val="001376FF"/>
    <w:rsid w:val="00137877"/>
    <w:rsid w:val="00137964"/>
    <w:rsid w:val="00137AB0"/>
    <w:rsid w:val="00137AF9"/>
    <w:rsid w:val="00137B69"/>
    <w:rsid w:val="00137E1A"/>
    <w:rsid w:val="00140085"/>
    <w:rsid w:val="001401BC"/>
    <w:rsid w:val="00140254"/>
    <w:rsid w:val="00140274"/>
    <w:rsid w:val="00140393"/>
    <w:rsid w:val="00140422"/>
    <w:rsid w:val="00140539"/>
    <w:rsid w:val="0014061F"/>
    <w:rsid w:val="0014067C"/>
    <w:rsid w:val="00140721"/>
    <w:rsid w:val="00140A47"/>
    <w:rsid w:val="00140B2A"/>
    <w:rsid w:val="00140B78"/>
    <w:rsid w:val="00140B89"/>
    <w:rsid w:val="00140D3C"/>
    <w:rsid w:val="00140E30"/>
    <w:rsid w:val="00140E62"/>
    <w:rsid w:val="00140E8C"/>
    <w:rsid w:val="00140E8E"/>
    <w:rsid w:val="00140F26"/>
    <w:rsid w:val="00140FF4"/>
    <w:rsid w:val="001412BE"/>
    <w:rsid w:val="00141304"/>
    <w:rsid w:val="00141474"/>
    <w:rsid w:val="0014151F"/>
    <w:rsid w:val="00141672"/>
    <w:rsid w:val="001416C5"/>
    <w:rsid w:val="00141729"/>
    <w:rsid w:val="00141741"/>
    <w:rsid w:val="00141BB4"/>
    <w:rsid w:val="00141D5E"/>
    <w:rsid w:val="00141F22"/>
    <w:rsid w:val="00141F5F"/>
    <w:rsid w:val="00142361"/>
    <w:rsid w:val="001423F2"/>
    <w:rsid w:val="001424C8"/>
    <w:rsid w:val="001425B6"/>
    <w:rsid w:val="00142671"/>
    <w:rsid w:val="001428F7"/>
    <w:rsid w:val="0014290E"/>
    <w:rsid w:val="00142A68"/>
    <w:rsid w:val="00142AEE"/>
    <w:rsid w:val="00142B93"/>
    <w:rsid w:val="00142E2D"/>
    <w:rsid w:val="00142F07"/>
    <w:rsid w:val="00142FE2"/>
    <w:rsid w:val="00143095"/>
    <w:rsid w:val="00143124"/>
    <w:rsid w:val="00143255"/>
    <w:rsid w:val="001433A2"/>
    <w:rsid w:val="0014342B"/>
    <w:rsid w:val="00143441"/>
    <w:rsid w:val="001435CA"/>
    <w:rsid w:val="00143702"/>
    <w:rsid w:val="00143766"/>
    <w:rsid w:val="00143EDE"/>
    <w:rsid w:val="00143F1A"/>
    <w:rsid w:val="0014413C"/>
    <w:rsid w:val="0014419B"/>
    <w:rsid w:val="00144376"/>
    <w:rsid w:val="001444C1"/>
    <w:rsid w:val="001445E2"/>
    <w:rsid w:val="0014460D"/>
    <w:rsid w:val="0014467E"/>
    <w:rsid w:val="00144869"/>
    <w:rsid w:val="00144893"/>
    <w:rsid w:val="001448F0"/>
    <w:rsid w:val="001449B7"/>
    <w:rsid w:val="001449CD"/>
    <w:rsid w:val="00144A99"/>
    <w:rsid w:val="00144BB1"/>
    <w:rsid w:val="00144E06"/>
    <w:rsid w:val="00144E48"/>
    <w:rsid w:val="00144E63"/>
    <w:rsid w:val="00144E78"/>
    <w:rsid w:val="0014508A"/>
    <w:rsid w:val="001451CF"/>
    <w:rsid w:val="00145216"/>
    <w:rsid w:val="00145396"/>
    <w:rsid w:val="00145500"/>
    <w:rsid w:val="001457AE"/>
    <w:rsid w:val="001457EE"/>
    <w:rsid w:val="00145806"/>
    <w:rsid w:val="00145A94"/>
    <w:rsid w:val="00145EAD"/>
    <w:rsid w:val="00146199"/>
    <w:rsid w:val="00146224"/>
    <w:rsid w:val="001462BF"/>
    <w:rsid w:val="001462FB"/>
    <w:rsid w:val="001463A4"/>
    <w:rsid w:val="00146532"/>
    <w:rsid w:val="001465BC"/>
    <w:rsid w:val="001465BD"/>
    <w:rsid w:val="001466E1"/>
    <w:rsid w:val="001467B2"/>
    <w:rsid w:val="00146816"/>
    <w:rsid w:val="001468AC"/>
    <w:rsid w:val="001469B3"/>
    <w:rsid w:val="00146C20"/>
    <w:rsid w:val="00146C89"/>
    <w:rsid w:val="00146E43"/>
    <w:rsid w:val="00146E70"/>
    <w:rsid w:val="00146E97"/>
    <w:rsid w:val="00146F34"/>
    <w:rsid w:val="00147050"/>
    <w:rsid w:val="001470B3"/>
    <w:rsid w:val="0014752C"/>
    <w:rsid w:val="0014770F"/>
    <w:rsid w:val="00147B1C"/>
    <w:rsid w:val="00147B60"/>
    <w:rsid w:val="00147B72"/>
    <w:rsid w:val="00147C66"/>
    <w:rsid w:val="00147C72"/>
    <w:rsid w:val="00147CA3"/>
    <w:rsid w:val="0015020F"/>
    <w:rsid w:val="00150248"/>
    <w:rsid w:val="00150382"/>
    <w:rsid w:val="0015046D"/>
    <w:rsid w:val="001504F3"/>
    <w:rsid w:val="00150790"/>
    <w:rsid w:val="001507A5"/>
    <w:rsid w:val="00150931"/>
    <w:rsid w:val="0015099F"/>
    <w:rsid w:val="001509AF"/>
    <w:rsid w:val="00150B21"/>
    <w:rsid w:val="00150ED6"/>
    <w:rsid w:val="00151106"/>
    <w:rsid w:val="00151164"/>
    <w:rsid w:val="00151293"/>
    <w:rsid w:val="0015133D"/>
    <w:rsid w:val="001514AA"/>
    <w:rsid w:val="00151584"/>
    <w:rsid w:val="00151696"/>
    <w:rsid w:val="00151819"/>
    <w:rsid w:val="00151870"/>
    <w:rsid w:val="00151A82"/>
    <w:rsid w:val="00151D51"/>
    <w:rsid w:val="00151DBE"/>
    <w:rsid w:val="00151E78"/>
    <w:rsid w:val="00151F95"/>
    <w:rsid w:val="00151F9A"/>
    <w:rsid w:val="00152075"/>
    <w:rsid w:val="001521C0"/>
    <w:rsid w:val="0015228E"/>
    <w:rsid w:val="0015235A"/>
    <w:rsid w:val="001525AC"/>
    <w:rsid w:val="001526E4"/>
    <w:rsid w:val="00152A36"/>
    <w:rsid w:val="00152D7D"/>
    <w:rsid w:val="00152DDF"/>
    <w:rsid w:val="00152E14"/>
    <w:rsid w:val="00153B2C"/>
    <w:rsid w:val="00153B51"/>
    <w:rsid w:val="00153C97"/>
    <w:rsid w:val="00154056"/>
    <w:rsid w:val="001541D8"/>
    <w:rsid w:val="00154301"/>
    <w:rsid w:val="00154338"/>
    <w:rsid w:val="001543B2"/>
    <w:rsid w:val="00154829"/>
    <w:rsid w:val="001548FA"/>
    <w:rsid w:val="0015499C"/>
    <w:rsid w:val="001549B8"/>
    <w:rsid w:val="001549E6"/>
    <w:rsid w:val="00154AA9"/>
    <w:rsid w:val="00154CA7"/>
    <w:rsid w:val="00154E96"/>
    <w:rsid w:val="00154F31"/>
    <w:rsid w:val="00155043"/>
    <w:rsid w:val="001551EA"/>
    <w:rsid w:val="001551FB"/>
    <w:rsid w:val="00155212"/>
    <w:rsid w:val="001553AE"/>
    <w:rsid w:val="0015558A"/>
    <w:rsid w:val="001555B5"/>
    <w:rsid w:val="0015567B"/>
    <w:rsid w:val="0015574E"/>
    <w:rsid w:val="001557AA"/>
    <w:rsid w:val="00155BD1"/>
    <w:rsid w:val="00155C80"/>
    <w:rsid w:val="00155F2C"/>
    <w:rsid w:val="00156017"/>
    <w:rsid w:val="0015601A"/>
    <w:rsid w:val="001560B1"/>
    <w:rsid w:val="00156175"/>
    <w:rsid w:val="001562F0"/>
    <w:rsid w:val="0015659A"/>
    <w:rsid w:val="0015661A"/>
    <w:rsid w:val="00156666"/>
    <w:rsid w:val="00156687"/>
    <w:rsid w:val="0015670D"/>
    <w:rsid w:val="00156758"/>
    <w:rsid w:val="00156C39"/>
    <w:rsid w:val="00156C3A"/>
    <w:rsid w:val="00156C4C"/>
    <w:rsid w:val="00156DB8"/>
    <w:rsid w:val="00156DBE"/>
    <w:rsid w:val="00156EAD"/>
    <w:rsid w:val="00156F52"/>
    <w:rsid w:val="00156FB4"/>
    <w:rsid w:val="001570DF"/>
    <w:rsid w:val="00157208"/>
    <w:rsid w:val="0015722A"/>
    <w:rsid w:val="00157332"/>
    <w:rsid w:val="00157386"/>
    <w:rsid w:val="001573F6"/>
    <w:rsid w:val="001575C0"/>
    <w:rsid w:val="001578B8"/>
    <w:rsid w:val="00157912"/>
    <w:rsid w:val="00157B3D"/>
    <w:rsid w:val="00157C0D"/>
    <w:rsid w:val="00157C2B"/>
    <w:rsid w:val="00157DF0"/>
    <w:rsid w:val="00157E11"/>
    <w:rsid w:val="00157F2D"/>
    <w:rsid w:val="0016000C"/>
    <w:rsid w:val="00160013"/>
    <w:rsid w:val="00160187"/>
    <w:rsid w:val="001601A5"/>
    <w:rsid w:val="0016022D"/>
    <w:rsid w:val="00160420"/>
    <w:rsid w:val="00160526"/>
    <w:rsid w:val="00160733"/>
    <w:rsid w:val="00160873"/>
    <w:rsid w:val="0016089D"/>
    <w:rsid w:val="00160A01"/>
    <w:rsid w:val="00160AD9"/>
    <w:rsid w:val="00160D56"/>
    <w:rsid w:val="00160D83"/>
    <w:rsid w:val="0016110B"/>
    <w:rsid w:val="00161273"/>
    <w:rsid w:val="00161407"/>
    <w:rsid w:val="0016152E"/>
    <w:rsid w:val="0016161F"/>
    <w:rsid w:val="00161808"/>
    <w:rsid w:val="00161A6B"/>
    <w:rsid w:val="00161A90"/>
    <w:rsid w:val="00161AB0"/>
    <w:rsid w:val="00161B6A"/>
    <w:rsid w:val="00161B98"/>
    <w:rsid w:val="00161C0D"/>
    <w:rsid w:val="00161C63"/>
    <w:rsid w:val="00161D53"/>
    <w:rsid w:val="00161D78"/>
    <w:rsid w:val="00161F9B"/>
    <w:rsid w:val="00161FDE"/>
    <w:rsid w:val="00162071"/>
    <w:rsid w:val="001620A7"/>
    <w:rsid w:val="001622B7"/>
    <w:rsid w:val="001622FC"/>
    <w:rsid w:val="0016285D"/>
    <w:rsid w:val="00162A4A"/>
    <w:rsid w:val="00162B52"/>
    <w:rsid w:val="00162D03"/>
    <w:rsid w:val="00162E3A"/>
    <w:rsid w:val="00162E56"/>
    <w:rsid w:val="0016306B"/>
    <w:rsid w:val="001630A4"/>
    <w:rsid w:val="001630F8"/>
    <w:rsid w:val="0016317A"/>
    <w:rsid w:val="00163243"/>
    <w:rsid w:val="0016337A"/>
    <w:rsid w:val="00163479"/>
    <w:rsid w:val="0016356D"/>
    <w:rsid w:val="0016365C"/>
    <w:rsid w:val="001636AB"/>
    <w:rsid w:val="001636B5"/>
    <w:rsid w:val="00163797"/>
    <w:rsid w:val="00163EB2"/>
    <w:rsid w:val="00163EC6"/>
    <w:rsid w:val="00163EDC"/>
    <w:rsid w:val="00163F44"/>
    <w:rsid w:val="00163F83"/>
    <w:rsid w:val="00164086"/>
    <w:rsid w:val="00164183"/>
    <w:rsid w:val="001647F3"/>
    <w:rsid w:val="001649BC"/>
    <w:rsid w:val="00164C9B"/>
    <w:rsid w:val="00164F48"/>
    <w:rsid w:val="00164F4F"/>
    <w:rsid w:val="0016502A"/>
    <w:rsid w:val="0016503C"/>
    <w:rsid w:val="00165176"/>
    <w:rsid w:val="00165279"/>
    <w:rsid w:val="0016547D"/>
    <w:rsid w:val="0016554C"/>
    <w:rsid w:val="001655C6"/>
    <w:rsid w:val="00165818"/>
    <w:rsid w:val="00165C69"/>
    <w:rsid w:val="00165CE1"/>
    <w:rsid w:val="00165DE5"/>
    <w:rsid w:val="00165F52"/>
    <w:rsid w:val="00165FF0"/>
    <w:rsid w:val="00166447"/>
    <w:rsid w:val="00166473"/>
    <w:rsid w:val="001664F1"/>
    <w:rsid w:val="001665FA"/>
    <w:rsid w:val="0016669B"/>
    <w:rsid w:val="00166923"/>
    <w:rsid w:val="00166A0C"/>
    <w:rsid w:val="00166FCF"/>
    <w:rsid w:val="00167232"/>
    <w:rsid w:val="001675A3"/>
    <w:rsid w:val="00167696"/>
    <w:rsid w:val="00167729"/>
    <w:rsid w:val="00167AF0"/>
    <w:rsid w:val="00167D49"/>
    <w:rsid w:val="00167D6C"/>
    <w:rsid w:val="00167D7E"/>
    <w:rsid w:val="00167D9D"/>
    <w:rsid w:val="00167F48"/>
    <w:rsid w:val="00170025"/>
    <w:rsid w:val="001700C6"/>
    <w:rsid w:val="0017014E"/>
    <w:rsid w:val="001701FC"/>
    <w:rsid w:val="001702E7"/>
    <w:rsid w:val="00170325"/>
    <w:rsid w:val="00170342"/>
    <w:rsid w:val="0017036E"/>
    <w:rsid w:val="00170429"/>
    <w:rsid w:val="0017042D"/>
    <w:rsid w:val="00170468"/>
    <w:rsid w:val="00170505"/>
    <w:rsid w:val="00170605"/>
    <w:rsid w:val="001707BC"/>
    <w:rsid w:val="00170A73"/>
    <w:rsid w:val="00170AA0"/>
    <w:rsid w:val="00170AA1"/>
    <w:rsid w:val="00170AA9"/>
    <w:rsid w:val="00170C4C"/>
    <w:rsid w:val="00170EBA"/>
    <w:rsid w:val="00170FDF"/>
    <w:rsid w:val="0017118C"/>
    <w:rsid w:val="00171254"/>
    <w:rsid w:val="001712AA"/>
    <w:rsid w:val="001712B1"/>
    <w:rsid w:val="0017132D"/>
    <w:rsid w:val="00171622"/>
    <w:rsid w:val="00171772"/>
    <w:rsid w:val="001717FA"/>
    <w:rsid w:val="001718CC"/>
    <w:rsid w:val="00171A18"/>
    <w:rsid w:val="00171B49"/>
    <w:rsid w:val="00171B6D"/>
    <w:rsid w:val="00171CC5"/>
    <w:rsid w:val="00171CD4"/>
    <w:rsid w:val="00171D31"/>
    <w:rsid w:val="00171D62"/>
    <w:rsid w:val="00171EB2"/>
    <w:rsid w:val="00171FC4"/>
    <w:rsid w:val="001720AD"/>
    <w:rsid w:val="001720C1"/>
    <w:rsid w:val="00172110"/>
    <w:rsid w:val="00172380"/>
    <w:rsid w:val="001723CB"/>
    <w:rsid w:val="00172425"/>
    <w:rsid w:val="001725EB"/>
    <w:rsid w:val="00172606"/>
    <w:rsid w:val="00172790"/>
    <w:rsid w:val="001728D0"/>
    <w:rsid w:val="00172C0A"/>
    <w:rsid w:val="00172C2C"/>
    <w:rsid w:val="00172D33"/>
    <w:rsid w:val="00172D7E"/>
    <w:rsid w:val="00172F5C"/>
    <w:rsid w:val="001731D6"/>
    <w:rsid w:val="001732B1"/>
    <w:rsid w:val="00173313"/>
    <w:rsid w:val="0017332F"/>
    <w:rsid w:val="00173406"/>
    <w:rsid w:val="00173437"/>
    <w:rsid w:val="001734B2"/>
    <w:rsid w:val="001735AC"/>
    <w:rsid w:val="0017375D"/>
    <w:rsid w:val="0017383C"/>
    <w:rsid w:val="00173850"/>
    <w:rsid w:val="00173860"/>
    <w:rsid w:val="00173990"/>
    <w:rsid w:val="00173A67"/>
    <w:rsid w:val="00173D40"/>
    <w:rsid w:val="00173DB3"/>
    <w:rsid w:val="00173E02"/>
    <w:rsid w:val="00173EBB"/>
    <w:rsid w:val="00173F4B"/>
    <w:rsid w:val="0017417D"/>
    <w:rsid w:val="00174186"/>
    <w:rsid w:val="001742AB"/>
    <w:rsid w:val="001743EB"/>
    <w:rsid w:val="001743F4"/>
    <w:rsid w:val="0017452B"/>
    <w:rsid w:val="001745C7"/>
    <w:rsid w:val="001746FC"/>
    <w:rsid w:val="001747B4"/>
    <w:rsid w:val="001747E0"/>
    <w:rsid w:val="00174A0A"/>
    <w:rsid w:val="00174AA7"/>
    <w:rsid w:val="00174ADE"/>
    <w:rsid w:val="00174BC8"/>
    <w:rsid w:val="00174D75"/>
    <w:rsid w:val="00174E64"/>
    <w:rsid w:val="00174F2E"/>
    <w:rsid w:val="00175088"/>
    <w:rsid w:val="00175298"/>
    <w:rsid w:val="0017552E"/>
    <w:rsid w:val="00175590"/>
    <w:rsid w:val="00175757"/>
    <w:rsid w:val="0017578D"/>
    <w:rsid w:val="00175816"/>
    <w:rsid w:val="0017585A"/>
    <w:rsid w:val="001759D8"/>
    <w:rsid w:val="00175DCF"/>
    <w:rsid w:val="00175FC8"/>
    <w:rsid w:val="0017608E"/>
    <w:rsid w:val="001760DF"/>
    <w:rsid w:val="001760EA"/>
    <w:rsid w:val="00176115"/>
    <w:rsid w:val="00176145"/>
    <w:rsid w:val="00176164"/>
    <w:rsid w:val="0017631B"/>
    <w:rsid w:val="0017639F"/>
    <w:rsid w:val="00176457"/>
    <w:rsid w:val="00176462"/>
    <w:rsid w:val="0017646E"/>
    <w:rsid w:val="0017654F"/>
    <w:rsid w:val="00176622"/>
    <w:rsid w:val="00176657"/>
    <w:rsid w:val="001766AA"/>
    <w:rsid w:val="001767F2"/>
    <w:rsid w:val="00176A02"/>
    <w:rsid w:val="00176A1E"/>
    <w:rsid w:val="00176C2E"/>
    <w:rsid w:val="00176DEA"/>
    <w:rsid w:val="00176E3D"/>
    <w:rsid w:val="00177208"/>
    <w:rsid w:val="0017723E"/>
    <w:rsid w:val="00177428"/>
    <w:rsid w:val="00177440"/>
    <w:rsid w:val="0017769B"/>
    <w:rsid w:val="00177786"/>
    <w:rsid w:val="00177925"/>
    <w:rsid w:val="00177984"/>
    <w:rsid w:val="00177A7E"/>
    <w:rsid w:val="00177B5B"/>
    <w:rsid w:val="00177B77"/>
    <w:rsid w:val="00177B78"/>
    <w:rsid w:val="00177BE8"/>
    <w:rsid w:val="00177D2E"/>
    <w:rsid w:val="00177D65"/>
    <w:rsid w:val="00177E95"/>
    <w:rsid w:val="00177FA2"/>
    <w:rsid w:val="00177FB7"/>
    <w:rsid w:val="00180147"/>
    <w:rsid w:val="00180219"/>
    <w:rsid w:val="0018088E"/>
    <w:rsid w:val="00180928"/>
    <w:rsid w:val="001809DB"/>
    <w:rsid w:val="001809F4"/>
    <w:rsid w:val="00180AFD"/>
    <w:rsid w:val="00180C3A"/>
    <w:rsid w:val="00180E89"/>
    <w:rsid w:val="00180EAB"/>
    <w:rsid w:val="00181150"/>
    <w:rsid w:val="00181440"/>
    <w:rsid w:val="00181511"/>
    <w:rsid w:val="00181788"/>
    <w:rsid w:val="00181954"/>
    <w:rsid w:val="0018197D"/>
    <w:rsid w:val="00181B24"/>
    <w:rsid w:val="00181B88"/>
    <w:rsid w:val="00181D6F"/>
    <w:rsid w:val="00181D75"/>
    <w:rsid w:val="00181E42"/>
    <w:rsid w:val="001823FE"/>
    <w:rsid w:val="00182437"/>
    <w:rsid w:val="0018258D"/>
    <w:rsid w:val="0018279C"/>
    <w:rsid w:val="001828DF"/>
    <w:rsid w:val="001829A8"/>
    <w:rsid w:val="00182B0A"/>
    <w:rsid w:val="00182B70"/>
    <w:rsid w:val="00182BD6"/>
    <w:rsid w:val="00182C93"/>
    <w:rsid w:val="00182D93"/>
    <w:rsid w:val="00182EEA"/>
    <w:rsid w:val="00182FB2"/>
    <w:rsid w:val="00182FDE"/>
    <w:rsid w:val="0018301F"/>
    <w:rsid w:val="0018312B"/>
    <w:rsid w:val="00183199"/>
    <w:rsid w:val="001831DA"/>
    <w:rsid w:val="001833CD"/>
    <w:rsid w:val="0018348C"/>
    <w:rsid w:val="0018357B"/>
    <w:rsid w:val="001835D1"/>
    <w:rsid w:val="0018361E"/>
    <w:rsid w:val="00183679"/>
    <w:rsid w:val="00183B75"/>
    <w:rsid w:val="00183D67"/>
    <w:rsid w:val="00183DEF"/>
    <w:rsid w:val="00183E62"/>
    <w:rsid w:val="00183EB2"/>
    <w:rsid w:val="00183F5B"/>
    <w:rsid w:val="001840FD"/>
    <w:rsid w:val="00184243"/>
    <w:rsid w:val="00184331"/>
    <w:rsid w:val="00184360"/>
    <w:rsid w:val="00184549"/>
    <w:rsid w:val="00184584"/>
    <w:rsid w:val="00184646"/>
    <w:rsid w:val="001847A9"/>
    <w:rsid w:val="001847EC"/>
    <w:rsid w:val="00184903"/>
    <w:rsid w:val="00184A7C"/>
    <w:rsid w:val="00184A87"/>
    <w:rsid w:val="00184AED"/>
    <w:rsid w:val="00184B16"/>
    <w:rsid w:val="00184ED3"/>
    <w:rsid w:val="00184F90"/>
    <w:rsid w:val="001850B3"/>
    <w:rsid w:val="00185132"/>
    <w:rsid w:val="001851E0"/>
    <w:rsid w:val="00185268"/>
    <w:rsid w:val="001852B6"/>
    <w:rsid w:val="001853B6"/>
    <w:rsid w:val="00185547"/>
    <w:rsid w:val="001855E1"/>
    <w:rsid w:val="00185707"/>
    <w:rsid w:val="001858EB"/>
    <w:rsid w:val="00185969"/>
    <w:rsid w:val="001859EE"/>
    <w:rsid w:val="00185B15"/>
    <w:rsid w:val="00185F35"/>
    <w:rsid w:val="00185F57"/>
    <w:rsid w:val="00186082"/>
    <w:rsid w:val="001860B2"/>
    <w:rsid w:val="00186118"/>
    <w:rsid w:val="0018658B"/>
    <w:rsid w:val="00186638"/>
    <w:rsid w:val="00186729"/>
    <w:rsid w:val="001867DA"/>
    <w:rsid w:val="00186839"/>
    <w:rsid w:val="001868CF"/>
    <w:rsid w:val="00186A9C"/>
    <w:rsid w:val="00186C29"/>
    <w:rsid w:val="00186CE7"/>
    <w:rsid w:val="00186CF8"/>
    <w:rsid w:val="00186E12"/>
    <w:rsid w:val="00186F54"/>
    <w:rsid w:val="001870DD"/>
    <w:rsid w:val="00187351"/>
    <w:rsid w:val="001874BE"/>
    <w:rsid w:val="0018750D"/>
    <w:rsid w:val="0018760B"/>
    <w:rsid w:val="00187705"/>
    <w:rsid w:val="00187727"/>
    <w:rsid w:val="001877DA"/>
    <w:rsid w:val="001877F0"/>
    <w:rsid w:val="001877F7"/>
    <w:rsid w:val="00187860"/>
    <w:rsid w:val="00187862"/>
    <w:rsid w:val="001878DB"/>
    <w:rsid w:val="00187918"/>
    <w:rsid w:val="00187B22"/>
    <w:rsid w:val="00187B71"/>
    <w:rsid w:val="00187B74"/>
    <w:rsid w:val="0019011C"/>
    <w:rsid w:val="0019022F"/>
    <w:rsid w:val="001902AD"/>
    <w:rsid w:val="0019042B"/>
    <w:rsid w:val="0019046B"/>
    <w:rsid w:val="001906E4"/>
    <w:rsid w:val="001907E5"/>
    <w:rsid w:val="00190975"/>
    <w:rsid w:val="00190B43"/>
    <w:rsid w:val="00190B55"/>
    <w:rsid w:val="00190CF8"/>
    <w:rsid w:val="00190E2C"/>
    <w:rsid w:val="00190E31"/>
    <w:rsid w:val="00190E7B"/>
    <w:rsid w:val="00191157"/>
    <w:rsid w:val="001913EA"/>
    <w:rsid w:val="001914E8"/>
    <w:rsid w:val="00191565"/>
    <w:rsid w:val="001915FC"/>
    <w:rsid w:val="00191853"/>
    <w:rsid w:val="001918D4"/>
    <w:rsid w:val="001918EE"/>
    <w:rsid w:val="00191A86"/>
    <w:rsid w:val="00191A92"/>
    <w:rsid w:val="00191C23"/>
    <w:rsid w:val="00191CC0"/>
    <w:rsid w:val="00191E37"/>
    <w:rsid w:val="00191F1D"/>
    <w:rsid w:val="00191FF9"/>
    <w:rsid w:val="001920EE"/>
    <w:rsid w:val="001920F4"/>
    <w:rsid w:val="00192251"/>
    <w:rsid w:val="001922AD"/>
    <w:rsid w:val="001924FD"/>
    <w:rsid w:val="001925DE"/>
    <w:rsid w:val="001928A7"/>
    <w:rsid w:val="001929DE"/>
    <w:rsid w:val="00192A56"/>
    <w:rsid w:val="00192AA0"/>
    <w:rsid w:val="00192BE0"/>
    <w:rsid w:val="00192C29"/>
    <w:rsid w:val="00192C60"/>
    <w:rsid w:val="00192CCE"/>
    <w:rsid w:val="00192E50"/>
    <w:rsid w:val="00192EDE"/>
    <w:rsid w:val="00192F26"/>
    <w:rsid w:val="00193200"/>
    <w:rsid w:val="00193444"/>
    <w:rsid w:val="0019346D"/>
    <w:rsid w:val="00193597"/>
    <w:rsid w:val="00193681"/>
    <w:rsid w:val="001936B5"/>
    <w:rsid w:val="00193728"/>
    <w:rsid w:val="00193781"/>
    <w:rsid w:val="001937DE"/>
    <w:rsid w:val="00193A74"/>
    <w:rsid w:val="00193DBD"/>
    <w:rsid w:val="00193EC7"/>
    <w:rsid w:val="0019404F"/>
    <w:rsid w:val="00194409"/>
    <w:rsid w:val="00194821"/>
    <w:rsid w:val="0019485D"/>
    <w:rsid w:val="001949B0"/>
    <w:rsid w:val="001949B6"/>
    <w:rsid w:val="00194A3E"/>
    <w:rsid w:val="00194D48"/>
    <w:rsid w:val="00194E1B"/>
    <w:rsid w:val="00194EE9"/>
    <w:rsid w:val="00195140"/>
    <w:rsid w:val="001951EB"/>
    <w:rsid w:val="00195296"/>
    <w:rsid w:val="001955F7"/>
    <w:rsid w:val="0019577A"/>
    <w:rsid w:val="00195811"/>
    <w:rsid w:val="00195AC5"/>
    <w:rsid w:val="00195B60"/>
    <w:rsid w:val="00195C36"/>
    <w:rsid w:val="0019620C"/>
    <w:rsid w:val="00196278"/>
    <w:rsid w:val="001962D6"/>
    <w:rsid w:val="00196303"/>
    <w:rsid w:val="00196497"/>
    <w:rsid w:val="001965E3"/>
    <w:rsid w:val="001966D8"/>
    <w:rsid w:val="001966DA"/>
    <w:rsid w:val="00196873"/>
    <w:rsid w:val="00196874"/>
    <w:rsid w:val="00196B76"/>
    <w:rsid w:val="00196F4C"/>
    <w:rsid w:val="0019700B"/>
    <w:rsid w:val="0019715A"/>
    <w:rsid w:val="00197410"/>
    <w:rsid w:val="001974BE"/>
    <w:rsid w:val="00197529"/>
    <w:rsid w:val="00197766"/>
    <w:rsid w:val="001977C9"/>
    <w:rsid w:val="00197A2A"/>
    <w:rsid w:val="00197B0D"/>
    <w:rsid w:val="00197B3D"/>
    <w:rsid w:val="00197B56"/>
    <w:rsid w:val="00197D4E"/>
    <w:rsid w:val="00197E21"/>
    <w:rsid w:val="00197F12"/>
    <w:rsid w:val="00197FDC"/>
    <w:rsid w:val="001A0139"/>
    <w:rsid w:val="001A0221"/>
    <w:rsid w:val="001A0243"/>
    <w:rsid w:val="001A024D"/>
    <w:rsid w:val="001A0341"/>
    <w:rsid w:val="001A035E"/>
    <w:rsid w:val="001A03D8"/>
    <w:rsid w:val="001A05AD"/>
    <w:rsid w:val="001A0902"/>
    <w:rsid w:val="001A0A08"/>
    <w:rsid w:val="001A0A0B"/>
    <w:rsid w:val="001A0A96"/>
    <w:rsid w:val="001A0B45"/>
    <w:rsid w:val="001A0BE2"/>
    <w:rsid w:val="001A0FA1"/>
    <w:rsid w:val="001A103D"/>
    <w:rsid w:val="001A1058"/>
    <w:rsid w:val="001A134A"/>
    <w:rsid w:val="001A1381"/>
    <w:rsid w:val="001A1388"/>
    <w:rsid w:val="001A16A1"/>
    <w:rsid w:val="001A16FE"/>
    <w:rsid w:val="001A1B04"/>
    <w:rsid w:val="001A1B3F"/>
    <w:rsid w:val="001A1C76"/>
    <w:rsid w:val="001A1E99"/>
    <w:rsid w:val="001A1EEA"/>
    <w:rsid w:val="001A1F2C"/>
    <w:rsid w:val="001A1F6D"/>
    <w:rsid w:val="001A20A0"/>
    <w:rsid w:val="001A2168"/>
    <w:rsid w:val="001A22A1"/>
    <w:rsid w:val="001A231F"/>
    <w:rsid w:val="001A23A8"/>
    <w:rsid w:val="001A2463"/>
    <w:rsid w:val="001A2477"/>
    <w:rsid w:val="001A247C"/>
    <w:rsid w:val="001A2796"/>
    <w:rsid w:val="001A2832"/>
    <w:rsid w:val="001A2878"/>
    <w:rsid w:val="001A288E"/>
    <w:rsid w:val="001A2AD9"/>
    <w:rsid w:val="001A2D0E"/>
    <w:rsid w:val="001A2D58"/>
    <w:rsid w:val="001A3227"/>
    <w:rsid w:val="001A32D0"/>
    <w:rsid w:val="001A32E8"/>
    <w:rsid w:val="001A3347"/>
    <w:rsid w:val="001A3470"/>
    <w:rsid w:val="001A352C"/>
    <w:rsid w:val="001A3807"/>
    <w:rsid w:val="001A3848"/>
    <w:rsid w:val="001A391F"/>
    <w:rsid w:val="001A3940"/>
    <w:rsid w:val="001A3D4D"/>
    <w:rsid w:val="001A3D78"/>
    <w:rsid w:val="001A3E65"/>
    <w:rsid w:val="001A3EB2"/>
    <w:rsid w:val="001A3EDF"/>
    <w:rsid w:val="001A3F7E"/>
    <w:rsid w:val="001A3FBE"/>
    <w:rsid w:val="001A3FD5"/>
    <w:rsid w:val="001A42F3"/>
    <w:rsid w:val="001A4334"/>
    <w:rsid w:val="001A43A3"/>
    <w:rsid w:val="001A4477"/>
    <w:rsid w:val="001A46CA"/>
    <w:rsid w:val="001A48FB"/>
    <w:rsid w:val="001A4B70"/>
    <w:rsid w:val="001A4BDC"/>
    <w:rsid w:val="001A4E0D"/>
    <w:rsid w:val="001A4E3C"/>
    <w:rsid w:val="001A4E7C"/>
    <w:rsid w:val="001A4F79"/>
    <w:rsid w:val="001A4FA2"/>
    <w:rsid w:val="001A5165"/>
    <w:rsid w:val="001A5189"/>
    <w:rsid w:val="001A53E3"/>
    <w:rsid w:val="001A554A"/>
    <w:rsid w:val="001A55B7"/>
    <w:rsid w:val="001A5804"/>
    <w:rsid w:val="001A59BA"/>
    <w:rsid w:val="001A59E3"/>
    <w:rsid w:val="001A5A08"/>
    <w:rsid w:val="001A5A47"/>
    <w:rsid w:val="001A61CC"/>
    <w:rsid w:val="001A6297"/>
    <w:rsid w:val="001A62B6"/>
    <w:rsid w:val="001A62CA"/>
    <w:rsid w:val="001A63EE"/>
    <w:rsid w:val="001A66D3"/>
    <w:rsid w:val="001A6892"/>
    <w:rsid w:val="001A6A31"/>
    <w:rsid w:val="001A6B15"/>
    <w:rsid w:val="001A6BB5"/>
    <w:rsid w:val="001A6CA9"/>
    <w:rsid w:val="001A705A"/>
    <w:rsid w:val="001A7108"/>
    <w:rsid w:val="001A7167"/>
    <w:rsid w:val="001A719B"/>
    <w:rsid w:val="001A7412"/>
    <w:rsid w:val="001A78CC"/>
    <w:rsid w:val="001A790C"/>
    <w:rsid w:val="001A7951"/>
    <w:rsid w:val="001A7C42"/>
    <w:rsid w:val="001B00A1"/>
    <w:rsid w:val="001B0274"/>
    <w:rsid w:val="001B02E5"/>
    <w:rsid w:val="001B0328"/>
    <w:rsid w:val="001B046F"/>
    <w:rsid w:val="001B04EC"/>
    <w:rsid w:val="001B06B1"/>
    <w:rsid w:val="001B06B6"/>
    <w:rsid w:val="001B09FF"/>
    <w:rsid w:val="001B0A24"/>
    <w:rsid w:val="001B0A8E"/>
    <w:rsid w:val="001B0B03"/>
    <w:rsid w:val="001B0B3E"/>
    <w:rsid w:val="001B0CFA"/>
    <w:rsid w:val="001B0F00"/>
    <w:rsid w:val="001B0F38"/>
    <w:rsid w:val="001B0FD7"/>
    <w:rsid w:val="001B1027"/>
    <w:rsid w:val="001B1226"/>
    <w:rsid w:val="001B1265"/>
    <w:rsid w:val="001B12E0"/>
    <w:rsid w:val="001B1550"/>
    <w:rsid w:val="001B15CF"/>
    <w:rsid w:val="001B162C"/>
    <w:rsid w:val="001B1B37"/>
    <w:rsid w:val="001B1BEE"/>
    <w:rsid w:val="001B1DC7"/>
    <w:rsid w:val="001B1DDD"/>
    <w:rsid w:val="001B1E23"/>
    <w:rsid w:val="001B1EA3"/>
    <w:rsid w:val="001B21F7"/>
    <w:rsid w:val="001B2256"/>
    <w:rsid w:val="001B236D"/>
    <w:rsid w:val="001B2482"/>
    <w:rsid w:val="001B27B1"/>
    <w:rsid w:val="001B2A13"/>
    <w:rsid w:val="001B2BC9"/>
    <w:rsid w:val="001B2BDB"/>
    <w:rsid w:val="001B2D20"/>
    <w:rsid w:val="001B2ECF"/>
    <w:rsid w:val="001B2EF9"/>
    <w:rsid w:val="001B2F25"/>
    <w:rsid w:val="001B305A"/>
    <w:rsid w:val="001B3154"/>
    <w:rsid w:val="001B3451"/>
    <w:rsid w:val="001B3608"/>
    <w:rsid w:val="001B37BC"/>
    <w:rsid w:val="001B39E2"/>
    <w:rsid w:val="001B3AD0"/>
    <w:rsid w:val="001B3AFE"/>
    <w:rsid w:val="001B3D87"/>
    <w:rsid w:val="001B3EA0"/>
    <w:rsid w:val="001B403B"/>
    <w:rsid w:val="001B409B"/>
    <w:rsid w:val="001B40EF"/>
    <w:rsid w:val="001B41CB"/>
    <w:rsid w:val="001B4360"/>
    <w:rsid w:val="001B4366"/>
    <w:rsid w:val="001B44CA"/>
    <w:rsid w:val="001B4682"/>
    <w:rsid w:val="001B46A6"/>
    <w:rsid w:val="001B46C9"/>
    <w:rsid w:val="001B47A0"/>
    <w:rsid w:val="001B483E"/>
    <w:rsid w:val="001B49E2"/>
    <w:rsid w:val="001B4D66"/>
    <w:rsid w:val="001B4D6F"/>
    <w:rsid w:val="001B4E25"/>
    <w:rsid w:val="001B4E9F"/>
    <w:rsid w:val="001B4F6E"/>
    <w:rsid w:val="001B50FA"/>
    <w:rsid w:val="001B5445"/>
    <w:rsid w:val="001B5488"/>
    <w:rsid w:val="001B5506"/>
    <w:rsid w:val="001B5557"/>
    <w:rsid w:val="001B5670"/>
    <w:rsid w:val="001B5928"/>
    <w:rsid w:val="001B5960"/>
    <w:rsid w:val="001B5A46"/>
    <w:rsid w:val="001B5B5A"/>
    <w:rsid w:val="001B60C4"/>
    <w:rsid w:val="001B6376"/>
    <w:rsid w:val="001B63B2"/>
    <w:rsid w:val="001B64EF"/>
    <w:rsid w:val="001B6544"/>
    <w:rsid w:val="001B6549"/>
    <w:rsid w:val="001B67E9"/>
    <w:rsid w:val="001B6C70"/>
    <w:rsid w:val="001B6D9C"/>
    <w:rsid w:val="001B6EE7"/>
    <w:rsid w:val="001B6F18"/>
    <w:rsid w:val="001B7047"/>
    <w:rsid w:val="001B71EA"/>
    <w:rsid w:val="001B7658"/>
    <w:rsid w:val="001B76FF"/>
    <w:rsid w:val="001B772A"/>
    <w:rsid w:val="001B7AA3"/>
    <w:rsid w:val="001B7C22"/>
    <w:rsid w:val="001B7C4D"/>
    <w:rsid w:val="001C0135"/>
    <w:rsid w:val="001C0687"/>
    <w:rsid w:val="001C070F"/>
    <w:rsid w:val="001C0847"/>
    <w:rsid w:val="001C0968"/>
    <w:rsid w:val="001C09B1"/>
    <w:rsid w:val="001C0D40"/>
    <w:rsid w:val="001C1534"/>
    <w:rsid w:val="001C18EF"/>
    <w:rsid w:val="001C19CB"/>
    <w:rsid w:val="001C1BD2"/>
    <w:rsid w:val="001C1CD4"/>
    <w:rsid w:val="001C1F5C"/>
    <w:rsid w:val="001C1F99"/>
    <w:rsid w:val="001C2159"/>
    <w:rsid w:val="001C2396"/>
    <w:rsid w:val="001C23CD"/>
    <w:rsid w:val="001C23F6"/>
    <w:rsid w:val="001C24D2"/>
    <w:rsid w:val="001C24EA"/>
    <w:rsid w:val="001C256B"/>
    <w:rsid w:val="001C26A7"/>
    <w:rsid w:val="001C2749"/>
    <w:rsid w:val="001C28DC"/>
    <w:rsid w:val="001C2970"/>
    <w:rsid w:val="001C29DB"/>
    <w:rsid w:val="001C2AE4"/>
    <w:rsid w:val="001C2C2F"/>
    <w:rsid w:val="001C2C62"/>
    <w:rsid w:val="001C2CF5"/>
    <w:rsid w:val="001C31C8"/>
    <w:rsid w:val="001C31E1"/>
    <w:rsid w:val="001C3225"/>
    <w:rsid w:val="001C3233"/>
    <w:rsid w:val="001C3476"/>
    <w:rsid w:val="001C3484"/>
    <w:rsid w:val="001C34A6"/>
    <w:rsid w:val="001C358C"/>
    <w:rsid w:val="001C36C3"/>
    <w:rsid w:val="001C36FC"/>
    <w:rsid w:val="001C37A4"/>
    <w:rsid w:val="001C4087"/>
    <w:rsid w:val="001C4309"/>
    <w:rsid w:val="001C4500"/>
    <w:rsid w:val="001C452B"/>
    <w:rsid w:val="001C476A"/>
    <w:rsid w:val="001C484B"/>
    <w:rsid w:val="001C4917"/>
    <w:rsid w:val="001C49C9"/>
    <w:rsid w:val="001C4A3F"/>
    <w:rsid w:val="001C4B2F"/>
    <w:rsid w:val="001C4B38"/>
    <w:rsid w:val="001C4B53"/>
    <w:rsid w:val="001C4BB4"/>
    <w:rsid w:val="001C4BE7"/>
    <w:rsid w:val="001C4C9E"/>
    <w:rsid w:val="001C4D57"/>
    <w:rsid w:val="001C4E17"/>
    <w:rsid w:val="001C5469"/>
    <w:rsid w:val="001C54B5"/>
    <w:rsid w:val="001C58C6"/>
    <w:rsid w:val="001C5A4D"/>
    <w:rsid w:val="001C5A74"/>
    <w:rsid w:val="001C5B75"/>
    <w:rsid w:val="001C5C88"/>
    <w:rsid w:val="001C5E22"/>
    <w:rsid w:val="001C5F6B"/>
    <w:rsid w:val="001C601C"/>
    <w:rsid w:val="001C6064"/>
    <w:rsid w:val="001C6253"/>
    <w:rsid w:val="001C6377"/>
    <w:rsid w:val="001C66BB"/>
    <w:rsid w:val="001C6767"/>
    <w:rsid w:val="001C6880"/>
    <w:rsid w:val="001C6AA8"/>
    <w:rsid w:val="001C6AD3"/>
    <w:rsid w:val="001C6B6F"/>
    <w:rsid w:val="001C6C64"/>
    <w:rsid w:val="001C6C83"/>
    <w:rsid w:val="001C6CED"/>
    <w:rsid w:val="001C6E12"/>
    <w:rsid w:val="001C6F16"/>
    <w:rsid w:val="001C6FD0"/>
    <w:rsid w:val="001C7350"/>
    <w:rsid w:val="001C7371"/>
    <w:rsid w:val="001C74E7"/>
    <w:rsid w:val="001C758D"/>
    <w:rsid w:val="001C75EE"/>
    <w:rsid w:val="001C774A"/>
    <w:rsid w:val="001C795B"/>
    <w:rsid w:val="001C79F2"/>
    <w:rsid w:val="001C7A10"/>
    <w:rsid w:val="001C7A3E"/>
    <w:rsid w:val="001C7D15"/>
    <w:rsid w:val="001C7E19"/>
    <w:rsid w:val="001C7E33"/>
    <w:rsid w:val="001D0206"/>
    <w:rsid w:val="001D05E7"/>
    <w:rsid w:val="001D083D"/>
    <w:rsid w:val="001D084F"/>
    <w:rsid w:val="001D088F"/>
    <w:rsid w:val="001D0A49"/>
    <w:rsid w:val="001D0B60"/>
    <w:rsid w:val="001D0C12"/>
    <w:rsid w:val="001D0E69"/>
    <w:rsid w:val="001D0F07"/>
    <w:rsid w:val="001D0F9B"/>
    <w:rsid w:val="001D13DD"/>
    <w:rsid w:val="001D15CF"/>
    <w:rsid w:val="001D15D9"/>
    <w:rsid w:val="001D1616"/>
    <w:rsid w:val="001D16F6"/>
    <w:rsid w:val="001D1764"/>
    <w:rsid w:val="001D17D7"/>
    <w:rsid w:val="001D18DE"/>
    <w:rsid w:val="001D1901"/>
    <w:rsid w:val="001D1AE8"/>
    <w:rsid w:val="001D1B66"/>
    <w:rsid w:val="001D1BA6"/>
    <w:rsid w:val="001D1BAE"/>
    <w:rsid w:val="001D1BBF"/>
    <w:rsid w:val="001D1C37"/>
    <w:rsid w:val="001D1D26"/>
    <w:rsid w:val="001D1E46"/>
    <w:rsid w:val="001D1E4B"/>
    <w:rsid w:val="001D1F2E"/>
    <w:rsid w:val="001D2020"/>
    <w:rsid w:val="001D2100"/>
    <w:rsid w:val="001D2268"/>
    <w:rsid w:val="001D24F9"/>
    <w:rsid w:val="001D24FB"/>
    <w:rsid w:val="001D25F2"/>
    <w:rsid w:val="001D268A"/>
    <w:rsid w:val="001D2709"/>
    <w:rsid w:val="001D2B23"/>
    <w:rsid w:val="001D2E37"/>
    <w:rsid w:val="001D2F84"/>
    <w:rsid w:val="001D2FD3"/>
    <w:rsid w:val="001D30C4"/>
    <w:rsid w:val="001D3184"/>
    <w:rsid w:val="001D31BB"/>
    <w:rsid w:val="001D324B"/>
    <w:rsid w:val="001D3348"/>
    <w:rsid w:val="001D3390"/>
    <w:rsid w:val="001D366B"/>
    <w:rsid w:val="001D3705"/>
    <w:rsid w:val="001D3943"/>
    <w:rsid w:val="001D39FD"/>
    <w:rsid w:val="001D3A30"/>
    <w:rsid w:val="001D3C23"/>
    <w:rsid w:val="001D3C87"/>
    <w:rsid w:val="001D3D01"/>
    <w:rsid w:val="001D3D11"/>
    <w:rsid w:val="001D3D6A"/>
    <w:rsid w:val="001D3D94"/>
    <w:rsid w:val="001D3DB7"/>
    <w:rsid w:val="001D3DE7"/>
    <w:rsid w:val="001D40BA"/>
    <w:rsid w:val="001D40DD"/>
    <w:rsid w:val="001D41B0"/>
    <w:rsid w:val="001D41CD"/>
    <w:rsid w:val="001D446C"/>
    <w:rsid w:val="001D45C5"/>
    <w:rsid w:val="001D460F"/>
    <w:rsid w:val="001D4789"/>
    <w:rsid w:val="001D4849"/>
    <w:rsid w:val="001D48E1"/>
    <w:rsid w:val="001D495F"/>
    <w:rsid w:val="001D4AD9"/>
    <w:rsid w:val="001D4C36"/>
    <w:rsid w:val="001D4C6E"/>
    <w:rsid w:val="001D4FF9"/>
    <w:rsid w:val="001D5052"/>
    <w:rsid w:val="001D505B"/>
    <w:rsid w:val="001D57B4"/>
    <w:rsid w:val="001D5833"/>
    <w:rsid w:val="001D586B"/>
    <w:rsid w:val="001D59D5"/>
    <w:rsid w:val="001D5AFA"/>
    <w:rsid w:val="001D5C31"/>
    <w:rsid w:val="001D5D8E"/>
    <w:rsid w:val="001D5E4A"/>
    <w:rsid w:val="001D5FFC"/>
    <w:rsid w:val="001D606E"/>
    <w:rsid w:val="001D6130"/>
    <w:rsid w:val="001D620D"/>
    <w:rsid w:val="001D64AC"/>
    <w:rsid w:val="001D6568"/>
    <w:rsid w:val="001D66BA"/>
    <w:rsid w:val="001D6859"/>
    <w:rsid w:val="001D6941"/>
    <w:rsid w:val="001D6B09"/>
    <w:rsid w:val="001D6EED"/>
    <w:rsid w:val="001D73EB"/>
    <w:rsid w:val="001D7444"/>
    <w:rsid w:val="001D749E"/>
    <w:rsid w:val="001D75AC"/>
    <w:rsid w:val="001D7609"/>
    <w:rsid w:val="001D78B4"/>
    <w:rsid w:val="001D7AD3"/>
    <w:rsid w:val="001D7BD2"/>
    <w:rsid w:val="001D7D8B"/>
    <w:rsid w:val="001D7E53"/>
    <w:rsid w:val="001D7E8B"/>
    <w:rsid w:val="001D7EB0"/>
    <w:rsid w:val="001D7F35"/>
    <w:rsid w:val="001E01EF"/>
    <w:rsid w:val="001E0205"/>
    <w:rsid w:val="001E02A1"/>
    <w:rsid w:val="001E0334"/>
    <w:rsid w:val="001E055B"/>
    <w:rsid w:val="001E05C1"/>
    <w:rsid w:val="001E0727"/>
    <w:rsid w:val="001E078D"/>
    <w:rsid w:val="001E07C9"/>
    <w:rsid w:val="001E0842"/>
    <w:rsid w:val="001E0ACD"/>
    <w:rsid w:val="001E0D67"/>
    <w:rsid w:val="001E0FEA"/>
    <w:rsid w:val="001E106A"/>
    <w:rsid w:val="001E12BF"/>
    <w:rsid w:val="001E1539"/>
    <w:rsid w:val="001E170D"/>
    <w:rsid w:val="001E17DA"/>
    <w:rsid w:val="001E1C3E"/>
    <w:rsid w:val="001E1D2D"/>
    <w:rsid w:val="001E1D35"/>
    <w:rsid w:val="001E1DD0"/>
    <w:rsid w:val="001E1F7F"/>
    <w:rsid w:val="001E20A6"/>
    <w:rsid w:val="001E214C"/>
    <w:rsid w:val="001E22F2"/>
    <w:rsid w:val="001E23CA"/>
    <w:rsid w:val="001E25A5"/>
    <w:rsid w:val="001E2A38"/>
    <w:rsid w:val="001E2C2B"/>
    <w:rsid w:val="001E2CAE"/>
    <w:rsid w:val="001E2D82"/>
    <w:rsid w:val="001E2E3E"/>
    <w:rsid w:val="001E2F93"/>
    <w:rsid w:val="001E30AF"/>
    <w:rsid w:val="001E323C"/>
    <w:rsid w:val="001E3267"/>
    <w:rsid w:val="001E327D"/>
    <w:rsid w:val="001E365B"/>
    <w:rsid w:val="001E372C"/>
    <w:rsid w:val="001E37DC"/>
    <w:rsid w:val="001E3A6C"/>
    <w:rsid w:val="001E3ABB"/>
    <w:rsid w:val="001E3ADC"/>
    <w:rsid w:val="001E3B18"/>
    <w:rsid w:val="001E3BC5"/>
    <w:rsid w:val="001E3BFE"/>
    <w:rsid w:val="001E3D47"/>
    <w:rsid w:val="001E3DBA"/>
    <w:rsid w:val="001E3E65"/>
    <w:rsid w:val="001E3EC0"/>
    <w:rsid w:val="001E3F09"/>
    <w:rsid w:val="001E4042"/>
    <w:rsid w:val="001E4421"/>
    <w:rsid w:val="001E44C2"/>
    <w:rsid w:val="001E4500"/>
    <w:rsid w:val="001E4595"/>
    <w:rsid w:val="001E481B"/>
    <w:rsid w:val="001E4A1A"/>
    <w:rsid w:val="001E4A55"/>
    <w:rsid w:val="001E4B4D"/>
    <w:rsid w:val="001E4B5E"/>
    <w:rsid w:val="001E4C25"/>
    <w:rsid w:val="001E4C5F"/>
    <w:rsid w:val="001E4E90"/>
    <w:rsid w:val="001E4F02"/>
    <w:rsid w:val="001E4F92"/>
    <w:rsid w:val="001E50CD"/>
    <w:rsid w:val="001E5175"/>
    <w:rsid w:val="001E536F"/>
    <w:rsid w:val="001E5397"/>
    <w:rsid w:val="001E541B"/>
    <w:rsid w:val="001E5527"/>
    <w:rsid w:val="001E57F7"/>
    <w:rsid w:val="001E5865"/>
    <w:rsid w:val="001E59F6"/>
    <w:rsid w:val="001E5BB2"/>
    <w:rsid w:val="001E5BBC"/>
    <w:rsid w:val="001E5E21"/>
    <w:rsid w:val="001E5F68"/>
    <w:rsid w:val="001E6001"/>
    <w:rsid w:val="001E607C"/>
    <w:rsid w:val="001E628C"/>
    <w:rsid w:val="001E64DB"/>
    <w:rsid w:val="001E6660"/>
    <w:rsid w:val="001E6666"/>
    <w:rsid w:val="001E698E"/>
    <w:rsid w:val="001E6BD0"/>
    <w:rsid w:val="001E6D2A"/>
    <w:rsid w:val="001E6FC3"/>
    <w:rsid w:val="001E7090"/>
    <w:rsid w:val="001E70C8"/>
    <w:rsid w:val="001E724D"/>
    <w:rsid w:val="001E7617"/>
    <w:rsid w:val="001E778C"/>
    <w:rsid w:val="001E77E3"/>
    <w:rsid w:val="001E793F"/>
    <w:rsid w:val="001E7963"/>
    <w:rsid w:val="001E7C77"/>
    <w:rsid w:val="001E7CF4"/>
    <w:rsid w:val="001E7D05"/>
    <w:rsid w:val="001E7E2B"/>
    <w:rsid w:val="001E7E4C"/>
    <w:rsid w:val="001F04B2"/>
    <w:rsid w:val="001F072A"/>
    <w:rsid w:val="001F07C1"/>
    <w:rsid w:val="001F08AD"/>
    <w:rsid w:val="001F0964"/>
    <w:rsid w:val="001F0BCC"/>
    <w:rsid w:val="001F0E1C"/>
    <w:rsid w:val="001F0EE4"/>
    <w:rsid w:val="001F1154"/>
    <w:rsid w:val="001F1243"/>
    <w:rsid w:val="001F129D"/>
    <w:rsid w:val="001F12D6"/>
    <w:rsid w:val="001F14AB"/>
    <w:rsid w:val="001F16B6"/>
    <w:rsid w:val="001F185A"/>
    <w:rsid w:val="001F18E0"/>
    <w:rsid w:val="001F1CEB"/>
    <w:rsid w:val="001F1D0B"/>
    <w:rsid w:val="001F1D56"/>
    <w:rsid w:val="001F1DDC"/>
    <w:rsid w:val="001F1E83"/>
    <w:rsid w:val="001F1EC0"/>
    <w:rsid w:val="001F1F22"/>
    <w:rsid w:val="001F1F4B"/>
    <w:rsid w:val="001F1F95"/>
    <w:rsid w:val="001F21D2"/>
    <w:rsid w:val="001F2482"/>
    <w:rsid w:val="001F2526"/>
    <w:rsid w:val="001F27A3"/>
    <w:rsid w:val="001F287D"/>
    <w:rsid w:val="001F2AF6"/>
    <w:rsid w:val="001F2AF7"/>
    <w:rsid w:val="001F2B7D"/>
    <w:rsid w:val="001F2C4E"/>
    <w:rsid w:val="001F2C5B"/>
    <w:rsid w:val="001F2CC3"/>
    <w:rsid w:val="001F2CF0"/>
    <w:rsid w:val="001F2E0F"/>
    <w:rsid w:val="001F2EAB"/>
    <w:rsid w:val="001F2F7C"/>
    <w:rsid w:val="001F31B0"/>
    <w:rsid w:val="001F31E4"/>
    <w:rsid w:val="001F332D"/>
    <w:rsid w:val="001F3429"/>
    <w:rsid w:val="001F34A8"/>
    <w:rsid w:val="001F3650"/>
    <w:rsid w:val="001F3741"/>
    <w:rsid w:val="001F378C"/>
    <w:rsid w:val="001F3795"/>
    <w:rsid w:val="001F37C9"/>
    <w:rsid w:val="001F39C9"/>
    <w:rsid w:val="001F3BBF"/>
    <w:rsid w:val="001F3E23"/>
    <w:rsid w:val="001F3EC9"/>
    <w:rsid w:val="001F401D"/>
    <w:rsid w:val="001F425C"/>
    <w:rsid w:val="001F4371"/>
    <w:rsid w:val="001F44B2"/>
    <w:rsid w:val="001F45D0"/>
    <w:rsid w:val="001F489C"/>
    <w:rsid w:val="001F498D"/>
    <w:rsid w:val="001F4B74"/>
    <w:rsid w:val="001F4C06"/>
    <w:rsid w:val="001F4CA5"/>
    <w:rsid w:val="001F4D0D"/>
    <w:rsid w:val="001F4D6B"/>
    <w:rsid w:val="001F51F1"/>
    <w:rsid w:val="001F5212"/>
    <w:rsid w:val="001F532F"/>
    <w:rsid w:val="001F547C"/>
    <w:rsid w:val="001F550E"/>
    <w:rsid w:val="001F56F8"/>
    <w:rsid w:val="001F571A"/>
    <w:rsid w:val="001F5846"/>
    <w:rsid w:val="001F5869"/>
    <w:rsid w:val="001F59CA"/>
    <w:rsid w:val="001F59F1"/>
    <w:rsid w:val="001F5A31"/>
    <w:rsid w:val="001F5A5F"/>
    <w:rsid w:val="001F5BB6"/>
    <w:rsid w:val="001F5C83"/>
    <w:rsid w:val="001F5DDF"/>
    <w:rsid w:val="001F5E83"/>
    <w:rsid w:val="001F60A1"/>
    <w:rsid w:val="001F6392"/>
    <w:rsid w:val="001F63A4"/>
    <w:rsid w:val="001F64B7"/>
    <w:rsid w:val="001F6575"/>
    <w:rsid w:val="001F669F"/>
    <w:rsid w:val="001F6CCB"/>
    <w:rsid w:val="001F6D2A"/>
    <w:rsid w:val="001F6D34"/>
    <w:rsid w:val="001F6E37"/>
    <w:rsid w:val="001F6E52"/>
    <w:rsid w:val="001F6F8B"/>
    <w:rsid w:val="001F6F92"/>
    <w:rsid w:val="001F713C"/>
    <w:rsid w:val="001F7192"/>
    <w:rsid w:val="001F7487"/>
    <w:rsid w:val="001F756B"/>
    <w:rsid w:val="001F76A6"/>
    <w:rsid w:val="001F7743"/>
    <w:rsid w:val="001F7788"/>
    <w:rsid w:val="001F7988"/>
    <w:rsid w:val="001F7A69"/>
    <w:rsid w:val="001F7BB8"/>
    <w:rsid w:val="001F7DB6"/>
    <w:rsid w:val="001F7DE7"/>
    <w:rsid w:val="001F7F48"/>
    <w:rsid w:val="001F7F6F"/>
    <w:rsid w:val="001F7F70"/>
    <w:rsid w:val="00200215"/>
    <w:rsid w:val="0020050A"/>
    <w:rsid w:val="00200783"/>
    <w:rsid w:val="002008C0"/>
    <w:rsid w:val="00200B06"/>
    <w:rsid w:val="00200C4F"/>
    <w:rsid w:val="00200D6F"/>
    <w:rsid w:val="00200FDD"/>
    <w:rsid w:val="00201125"/>
    <w:rsid w:val="0020118A"/>
    <w:rsid w:val="00201208"/>
    <w:rsid w:val="00201273"/>
    <w:rsid w:val="002012B2"/>
    <w:rsid w:val="0020161B"/>
    <w:rsid w:val="0020166C"/>
    <w:rsid w:val="00201781"/>
    <w:rsid w:val="00201890"/>
    <w:rsid w:val="00201D0B"/>
    <w:rsid w:val="00201E6D"/>
    <w:rsid w:val="00201FD5"/>
    <w:rsid w:val="0020214D"/>
    <w:rsid w:val="00202319"/>
    <w:rsid w:val="002023B6"/>
    <w:rsid w:val="0020257F"/>
    <w:rsid w:val="00202582"/>
    <w:rsid w:val="002025AD"/>
    <w:rsid w:val="002026F0"/>
    <w:rsid w:val="002028EA"/>
    <w:rsid w:val="002029F6"/>
    <w:rsid w:val="00202B90"/>
    <w:rsid w:val="00202BD9"/>
    <w:rsid w:val="002030B3"/>
    <w:rsid w:val="002030C0"/>
    <w:rsid w:val="0020319B"/>
    <w:rsid w:val="00203750"/>
    <w:rsid w:val="002038E2"/>
    <w:rsid w:val="0020392C"/>
    <w:rsid w:val="00203ACF"/>
    <w:rsid w:val="00203AEA"/>
    <w:rsid w:val="00203B40"/>
    <w:rsid w:val="00203CE1"/>
    <w:rsid w:val="00203D18"/>
    <w:rsid w:val="00203D90"/>
    <w:rsid w:val="00203D9F"/>
    <w:rsid w:val="00203EA5"/>
    <w:rsid w:val="00203EB2"/>
    <w:rsid w:val="00203FC9"/>
    <w:rsid w:val="002042E6"/>
    <w:rsid w:val="0020443F"/>
    <w:rsid w:val="0020448F"/>
    <w:rsid w:val="002044D1"/>
    <w:rsid w:val="002045DD"/>
    <w:rsid w:val="00204832"/>
    <w:rsid w:val="002048C8"/>
    <w:rsid w:val="002049A0"/>
    <w:rsid w:val="002049AD"/>
    <w:rsid w:val="002049B3"/>
    <w:rsid w:val="00204A94"/>
    <w:rsid w:val="00204B6D"/>
    <w:rsid w:val="00204E86"/>
    <w:rsid w:val="00204E90"/>
    <w:rsid w:val="002054C2"/>
    <w:rsid w:val="0020553D"/>
    <w:rsid w:val="00205586"/>
    <w:rsid w:val="002055AC"/>
    <w:rsid w:val="00205637"/>
    <w:rsid w:val="00205CDB"/>
    <w:rsid w:val="00205D1D"/>
    <w:rsid w:val="00205D76"/>
    <w:rsid w:val="00205F77"/>
    <w:rsid w:val="0020613B"/>
    <w:rsid w:val="00206270"/>
    <w:rsid w:val="0020640F"/>
    <w:rsid w:val="0020654A"/>
    <w:rsid w:val="0020662C"/>
    <w:rsid w:val="0020663C"/>
    <w:rsid w:val="0020667F"/>
    <w:rsid w:val="002067DD"/>
    <w:rsid w:val="00206964"/>
    <w:rsid w:val="00206A9B"/>
    <w:rsid w:val="00206AF9"/>
    <w:rsid w:val="00206DB1"/>
    <w:rsid w:val="00206FAD"/>
    <w:rsid w:val="0020700B"/>
    <w:rsid w:val="002071C4"/>
    <w:rsid w:val="002072B5"/>
    <w:rsid w:val="002074DF"/>
    <w:rsid w:val="002074EB"/>
    <w:rsid w:val="00207588"/>
    <w:rsid w:val="0020766B"/>
    <w:rsid w:val="002076B6"/>
    <w:rsid w:val="0020771D"/>
    <w:rsid w:val="0020786D"/>
    <w:rsid w:val="00207A0E"/>
    <w:rsid w:val="00207B84"/>
    <w:rsid w:val="00207E34"/>
    <w:rsid w:val="00207FB1"/>
    <w:rsid w:val="00207FE2"/>
    <w:rsid w:val="002103F2"/>
    <w:rsid w:val="002106CF"/>
    <w:rsid w:val="0021076B"/>
    <w:rsid w:val="00210795"/>
    <w:rsid w:val="00210B8E"/>
    <w:rsid w:val="00210D0C"/>
    <w:rsid w:val="00210F60"/>
    <w:rsid w:val="0021107C"/>
    <w:rsid w:val="002111A5"/>
    <w:rsid w:val="002111B9"/>
    <w:rsid w:val="002113FC"/>
    <w:rsid w:val="00211B77"/>
    <w:rsid w:val="00211BB6"/>
    <w:rsid w:val="00211C5C"/>
    <w:rsid w:val="00211F8F"/>
    <w:rsid w:val="00211F9F"/>
    <w:rsid w:val="00212235"/>
    <w:rsid w:val="002122D6"/>
    <w:rsid w:val="00212502"/>
    <w:rsid w:val="00212938"/>
    <w:rsid w:val="00212981"/>
    <w:rsid w:val="00212E59"/>
    <w:rsid w:val="002130B3"/>
    <w:rsid w:val="00213267"/>
    <w:rsid w:val="00213409"/>
    <w:rsid w:val="002134FA"/>
    <w:rsid w:val="00213767"/>
    <w:rsid w:val="00213914"/>
    <w:rsid w:val="00213B20"/>
    <w:rsid w:val="00213CC1"/>
    <w:rsid w:val="002142BA"/>
    <w:rsid w:val="002143EE"/>
    <w:rsid w:val="0021446E"/>
    <w:rsid w:val="00214613"/>
    <w:rsid w:val="00214AE1"/>
    <w:rsid w:val="00214B1B"/>
    <w:rsid w:val="00214B1D"/>
    <w:rsid w:val="00214F13"/>
    <w:rsid w:val="0021518A"/>
    <w:rsid w:val="00215336"/>
    <w:rsid w:val="002153C3"/>
    <w:rsid w:val="00215529"/>
    <w:rsid w:val="002155D7"/>
    <w:rsid w:val="00215626"/>
    <w:rsid w:val="002156F2"/>
    <w:rsid w:val="0021586B"/>
    <w:rsid w:val="002159A3"/>
    <w:rsid w:val="002159E7"/>
    <w:rsid w:val="00215A19"/>
    <w:rsid w:val="00215B92"/>
    <w:rsid w:val="00215BD6"/>
    <w:rsid w:val="00215BFA"/>
    <w:rsid w:val="00215CF2"/>
    <w:rsid w:val="00215D29"/>
    <w:rsid w:val="00215E51"/>
    <w:rsid w:val="00216032"/>
    <w:rsid w:val="0021612C"/>
    <w:rsid w:val="00216143"/>
    <w:rsid w:val="00216199"/>
    <w:rsid w:val="0021639B"/>
    <w:rsid w:val="002163EF"/>
    <w:rsid w:val="002164EE"/>
    <w:rsid w:val="002166C2"/>
    <w:rsid w:val="0021671E"/>
    <w:rsid w:val="0021681F"/>
    <w:rsid w:val="00216B4F"/>
    <w:rsid w:val="00216E33"/>
    <w:rsid w:val="0021703D"/>
    <w:rsid w:val="002171F2"/>
    <w:rsid w:val="002172AA"/>
    <w:rsid w:val="00217312"/>
    <w:rsid w:val="00217437"/>
    <w:rsid w:val="002174AF"/>
    <w:rsid w:val="0021751E"/>
    <w:rsid w:val="00217587"/>
    <w:rsid w:val="00217782"/>
    <w:rsid w:val="00217928"/>
    <w:rsid w:val="00217AB4"/>
    <w:rsid w:val="00217B54"/>
    <w:rsid w:val="00217CFF"/>
    <w:rsid w:val="00217D66"/>
    <w:rsid w:val="00217D75"/>
    <w:rsid w:val="00217E2D"/>
    <w:rsid w:val="00217EAE"/>
    <w:rsid w:val="0022005A"/>
    <w:rsid w:val="00220061"/>
    <w:rsid w:val="002200C9"/>
    <w:rsid w:val="0022021D"/>
    <w:rsid w:val="002202BF"/>
    <w:rsid w:val="0022030D"/>
    <w:rsid w:val="0022036A"/>
    <w:rsid w:val="00220402"/>
    <w:rsid w:val="00220536"/>
    <w:rsid w:val="0022060C"/>
    <w:rsid w:val="00220676"/>
    <w:rsid w:val="00220716"/>
    <w:rsid w:val="00220848"/>
    <w:rsid w:val="002209D2"/>
    <w:rsid w:val="00220AEB"/>
    <w:rsid w:val="00220BF1"/>
    <w:rsid w:val="00220D54"/>
    <w:rsid w:val="002211B4"/>
    <w:rsid w:val="00221304"/>
    <w:rsid w:val="00221552"/>
    <w:rsid w:val="002215B2"/>
    <w:rsid w:val="002217AF"/>
    <w:rsid w:val="002219FA"/>
    <w:rsid w:val="00221AD8"/>
    <w:rsid w:val="00221B6F"/>
    <w:rsid w:val="00221BBB"/>
    <w:rsid w:val="00221C12"/>
    <w:rsid w:val="00221D9E"/>
    <w:rsid w:val="00221DC7"/>
    <w:rsid w:val="00221E34"/>
    <w:rsid w:val="00221EE5"/>
    <w:rsid w:val="00222054"/>
    <w:rsid w:val="002220E2"/>
    <w:rsid w:val="00222234"/>
    <w:rsid w:val="0022229A"/>
    <w:rsid w:val="002224C7"/>
    <w:rsid w:val="00222624"/>
    <w:rsid w:val="0022264C"/>
    <w:rsid w:val="00222691"/>
    <w:rsid w:val="00222949"/>
    <w:rsid w:val="002229A3"/>
    <w:rsid w:val="00222AB3"/>
    <w:rsid w:val="00222C47"/>
    <w:rsid w:val="00222CA1"/>
    <w:rsid w:val="00222D00"/>
    <w:rsid w:val="00222DC4"/>
    <w:rsid w:val="00222DC8"/>
    <w:rsid w:val="00222E95"/>
    <w:rsid w:val="00222EDA"/>
    <w:rsid w:val="002230DF"/>
    <w:rsid w:val="00223181"/>
    <w:rsid w:val="002231F3"/>
    <w:rsid w:val="0022339A"/>
    <w:rsid w:val="002233D7"/>
    <w:rsid w:val="0022343A"/>
    <w:rsid w:val="00223479"/>
    <w:rsid w:val="00223792"/>
    <w:rsid w:val="0022387B"/>
    <w:rsid w:val="00223902"/>
    <w:rsid w:val="00223976"/>
    <w:rsid w:val="00223D53"/>
    <w:rsid w:val="00223D8F"/>
    <w:rsid w:val="00223E6B"/>
    <w:rsid w:val="00224124"/>
    <w:rsid w:val="0022433C"/>
    <w:rsid w:val="00224371"/>
    <w:rsid w:val="0022438E"/>
    <w:rsid w:val="00224641"/>
    <w:rsid w:val="002248A0"/>
    <w:rsid w:val="002249BA"/>
    <w:rsid w:val="00224BAF"/>
    <w:rsid w:val="00224CDC"/>
    <w:rsid w:val="00224DFD"/>
    <w:rsid w:val="00224E5C"/>
    <w:rsid w:val="00224F08"/>
    <w:rsid w:val="00224F4B"/>
    <w:rsid w:val="002252CB"/>
    <w:rsid w:val="002252DB"/>
    <w:rsid w:val="002252DE"/>
    <w:rsid w:val="002253A8"/>
    <w:rsid w:val="00225637"/>
    <w:rsid w:val="002256C8"/>
    <w:rsid w:val="002259C6"/>
    <w:rsid w:val="00225B56"/>
    <w:rsid w:val="00225E5B"/>
    <w:rsid w:val="0022600D"/>
    <w:rsid w:val="0022622E"/>
    <w:rsid w:val="00226348"/>
    <w:rsid w:val="0022637E"/>
    <w:rsid w:val="00226389"/>
    <w:rsid w:val="002263AE"/>
    <w:rsid w:val="00226535"/>
    <w:rsid w:val="00226563"/>
    <w:rsid w:val="002265BA"/>
    <w:rsid w:val="00226614"/>
    <w:rsid w:val="00226628"/>
    <w:rsid w:val="00226673"/>
    <w:rsid w:val="002267F5"/>
    <w:rsid w:val="002267FF"/>
    <w:rsid w:val="002269E5"/>
    <w:rsid w:val="002269F7"/>
    <w:rsid w:val="00226A40"/>
    <w:rsid w:val="00226A79"/>
    <w:rsid w:val="00226C07"/>
    <w:rsid w:val="00226CDA"/>
    <w:rsid w:val="00226F23"/>
    <w:rsid w:val="00226F80"/>
    <w:rsid w:val="00226FC0"/>
    <w:rsid w:val="00227021"/>
    <w:rsid w:val="0022706E"/>
    <w:rsid w:val="0022723F"/>
    <w:rsid w:val="0022739E"/>
    <w:rsid w:val="0022742F"/>
    <w:rsid w:val="0022753F"/>
    <w:rsid w:val="002276F7"/>
    <w:rsid w:val="00227881"/>
    <w:rsid w:val="00227C85"/>
    <w:rsid w:val="00227CFF"/>
    <w:rsid w:val="00227DED"/>
    <w:rsid w:val="00227EC1"/>
    <w:rsid w:val="00227F5B"/>
    <w:rsid w:val="0023045A"/>
    <w:rsid w:val="002304C1"/>
    <w:rsid w:val="002304DE"/>
    <w:rsid w:val="00230875"/>
    <w:rsid w:val="0023088A"/>
    <w:rsid w:val="0023094C"/>
    <w:rsid w:val="00230B18"/>
    <w:rsid w:val="00230BF5"/>
    <w:rsid w:val="00230E0E"/>
    <w:rsid w:val="002310B0"/>
    <w:rsid w:val="0023113E"/>
    <w:rsid w:val="00231183"/>
    <w:rsid w:val="002311C7"/>
    <w:rsid w:val="00231312"/>
    <w:rsid w:val="002313A4"/>
    <w:rsid w:val="002314BD"/>
    <w:rsid w:val="00231616"/>
    <w:rsid w:val="00231745"/>
    <w:rsid w:val="00231924"/>
    <w:rsid w:val="00231A27"/>
    <w:rsid w:val="00231B47"/>
    <w:rsid w:val="00231E8E"/>
    <w:rsid w:val="00231F28"/>
    <w:rsid w:val="00231FA2"/>
    <w:rsid w:val="0023217F"/>
    <w:rsid w:val="00232198"/>
    <w:rsid w:val="002321AB"/>
    <w:rsid w:val="002321FA"/>
    <w:rsid w:val="00232253"/>
    <w:rsid w:val="0023227E"/>
    <w:rsid w:val="0023288B"/>
    <w:rsid w:val="0023295B"/>
    <w:rsid w:val="002329B6"/>
    <w:rsid w:val="00232A77"/>
    <w:rsid w:val="00232E02"/>
    <w:rsid w:val="0023319B"/>
    <w:rsid w:val="002331B7"/>
    <w:rsid w:val="00233229"/>
    <w:rsid w:val="002332EF"/>
    <w:rsid w:val="0023335A"/>
    <w:rsid w:val="002333AB"/>
    <w:rsid w:val="002333D9"/>
    <w:rsid w:val="002335B8"/>
    <w:rsid w:val="00233607"/>
    <w:rsid w:val="00233700"/>
    <w:rsid w:val="00233879"/>
    <w:rsid w:val="00233A2C"/>
    <w:rsid w:val="00233AC2"/>
    <w:rsid w:val="00233BBA"/>
    <w:rsid w:val="00233CCE"/>
    <w:rsid w:val="00233CEE"/>
    <w:rsid w:val="00233E49"/>
    <w:rsid w:val="00233EED"/>
    <w:rsid w:val="00233F3D"/>
    <w:rsid w:val="00234060"/>
    <w:rsid w:val="00234062"/>
    <w:rsid w:val="00234255"/>
    <w:rsid w:val="00234301"/>
    <w:rsid w:val="0023431F"/>
    <w:rsid w:val="0023440D"/>
    <w:rsid w:val="00234582"/>
    <w:rsid w:val="0023476D"/>
    <w:rsid w:val="00234988"/>
    <w:rsid w:val="00234B07"/>
    <w:rsid w:val="00234BA3"/>
    <w:rsid w:val="00234BA4"/>
    <w:rsid w:val="00234CB4"/>
    <w:rsid w:val="00234D1B"/>
    <w:rsid w:val="00234DD7"/>
    <w:rsid w:val="00234E25"/>
    <w:rsid w:val="00234EB0"/>
    <w:rsid w:val="00234F3D"/>
    <w:rsid w:val="00234F3E"/>
    <w:rsid w:val="00234FC5"/>
    <w:rsid w:val="00235094"/>
    <w:rsid w:val="00235199"/>
    <w:rsid w:val="002353CA"/>
    <w:rsid w:val="00235465"/>
    <w:rsid w:val="002355F1"/>
    <w:rsid w:val="00235641"/>
    <w:rsid w:val="00235665"/>
    <w:rsid w:val="0023567D"/>
    <w:rsid w:val="00235852"/>
    <w:rsid w:val="002358AD"/>
    <w:rsid w:val="002358DB"/>
    <w:rsid w:val="00235B66"/>
    <w:rsid w:val="00235CA2"/>
    <w:rsid w:val="00235E3F"/>
    <w:rsid w:val="00235EB3"/>
    <w:rsid w:val="00235EE5"/>
    <w:rsid w:val="00235EF9"/>
    <w:rsid w:val="00235F93"/>
    <w:rsid w:val="00235FB3"/>
    <w:rsid w:val="00236021"/>
    <w:rsid w:val="00236152"/>
    <w:rsid w:val="0023664E"/>
    <w:rsid w:val="00236B49"/>
    <w:rsid w:val="00236C1E"/>
    <w:rsid w:val="00236C66"/>
    <w:rsid w:val="00236D5D"/>
    <w:rsid w:val="002370C2"/>
    <w:rsid w:val="002371F7"/>
    <w:rsid w:val="00237317"/>
    <w:rsid w:val="00237378"/>
    <w:rsid w:val="002373FB"/>
    <w:rsid w:val="00237603"/>
    <w:rsid w:val="0023768A"/>
    <w:rsid w:val="00237696"/>
    <w:rsid w:val="002376F7"/>
    <w:rsid w:val="002378AF"/>
    <w:rsid w:val="002379B8"/>
    <w:rsid w:val="002379BA"/>
    <w:rsid w:val="00237A8E"/>
    <w:rsid w:val="00237DB5"/>
    <w:rsid w:val="00240092"/>
    <w:rsid w:val="00240123"/>
    <w:rsid w:val="002401C9"/>
    <w:rsid w:val="002402B2"/>
    <w:rsid w:val="00240413"/>
    <w:rsid w:val="002408F7"/>
    <w:rsid w:val="002409C5"/>
    <w:rsid w:val="00240BC9"/>
    <w:rsid w:val="00240E42"/>
    <w:rsid w:val="00240F17"/>
    <w:rsid w:val="002410E7"/>
    <w:rsid w:val="00241184"/>
    <w:rsid w:val="002413D6"/>
    <w:rsid w:val="0024148C"/>
    <w:rsid w:val="00241790"/>
    <w:rsid w:val="002417E1"/>
    <w:rsid w:val="002417EC"/>
    <w:rsid w:val="002419C5"/>
    <w:rsid w:val="00241A7E"/>
    <w:rsid w:val="00241A86"/>
    <w:rsid w:val="00241D18"/>
    <w:rsid w:val="00241D7E"/>
    <w:rsid w:val="00241F52"/>
    <w:rsid w:val="00241FCB"/>
    <w:rsid w:val="002420B4"/>
    <w:rsid w:val="00242257"/>
    <w:rsid w:val="00242466"/>
    <w:rsid w:val="002424CD"/>
    <w:rsid w:val="00242654"/>
    <w:rsid w:val="002427A0"/>
    <w:rsid w:val="00242813"/>
    <w:rsid w:val="002428EF"/>
    <w:rsid w:val="00242923"/>
    <w:rsid w:val="00242935"/>
    <w:rsid w:val="002429FB"/>
    <w:rsid w:val="00242B89"/>
    <w:rsid w:val="00242C1D"/>
    <w:rsid w:val="00242C75"/>
    <w:rsid w:val="00242F27"/>
    <w:rsid w:val="00243075"/>
    <w:rsid w:val="002430CC"/>
    <w:rsid w:val="00243107"/>
    <w:rsid w:val="002433BE"/>
    <w:rsid w:val="002435C0"/>
    <w:rsid w:val="00243678"/>
    <w:rsid w:val="00243779"/>
    <w:rsid w:val="00243994"/>
    <w:rsid w:val="00243995"/>
    <w:rsid w:val="00243FBF"/>
    <w:rsid w:val="0024400C"/>
    <w:rsid w:val="0024423B"/>
    <w:rsid w:val="002445D3"/>
    <w:rsid w:val="00244914"/>
    <w:rsid w:val="00244B3A"/>
    <w:rsid w:val="00244B3F"/>
    <w:rsid w:val="00244C87"/>
    <w:rsid w:val="00244D46"/>
    <w:rsid w:val="00244EC9"/>
    <w:rsid w:val="00244F20"/>
    <w:rsid w:val="0024511F"/>
    <w:rsid w:val="0024519F"/>
    <w:rsid w:val="0024524A"/>
    <w:rsid w:val="0024524D"/>
    <w:rsid w:val="002454D2"/>
    <w:rsid w:val="00245977"/>
    <w:rsid w:val="00245991"/>
    <w:rsid w:val="00245AA7"/>
    <w:rsid w:val="00245B4C"/>
    <w:rsid w:val="00245BFA"/>
    <w:rsid w:val="00245C10"/>
    <w:rsid w:val="00245DA9"/>
    <w:rsid w:val="00245F62"/>
    <w:rsid w:val="002460F0"/>
    <w:rsid w:val="0024632C"/>
    <w:rsid w:val="00246448"/>
    <w:rsid w:val="00246470"/>
    <w:rsid w:val="0024664B"/>
    <w:rsid w:val="0024684D"/>
    <w:rsid w:val="00246A2D"/>
    <w:rsid w:val="00246B96"/>
    <w:rsid w:val="00246BA7"/>
    <w:rsid w:val="00246C92"/>
    <w:rsid w:val="00246F84"/>
    <w:rsid w:val="002470D7"/>
    <w:rsid w:val="0024713C"/>
    <w:rsid w:val="0024719D"/>
    <w:rsid w:val="002471E5"/>
    <w:rsid w:val="0024738B"/>
    <w:rsid w:val="002473AB"/>
    <w:rsid w:val="00247481"/>
    <w:rsid w:val="00247A36"/>
    <w:rsid w:val="00247BA4"/>
    <w:rsid w:val="00247C1B"/>
    <w:rsid w:val="00247DD3"/>
    <w:rsid w:val="00247DE3"/>
    <w:rsid w:val="00247DE7"/>
    <w:rsid w:val="00247E7D"/>
    <w:rsid w:val="00247F1B"/>
    <w:rsid w:val="00247FAF"/>
    <w:rsid w:val="00250035"/>
    <w:rsid w:val="00250066"/>
    <w:rsid w:val="0025009A"/>
    <w:rsid w:val="002504FC"/>
    <w:rsid w:val="002505AF"/>
    <w:rsid w:val="002506E0"/>
    <w:rsid w:val="0025073A"/>
    <w:rsid w:val="00250857"/>
    <w:rsid w:val="002509E5"/>
    <w:rsid w:val="00250ABC"/>
    <w:rsid w:val="00250AFA"/>
    <w:rsid w:val="00250CCF"/>
    <w:rsid w:val="00250E4C"/>
    <w:rsid w:val="00250E8B"/>
    <w:rsid w:val="00251052"/>
    <w:rsid w:val="002510BC"/>
    <w:rsid w:val="00251363"/>
    <w:rsid w:val="0025150E"/>
    <w:rsid w:val="00251726"/>
    <w:rsid w:val="00251768"/>
    <w:rsid w:val="002517F5"/>
    <w:rsid w:val="0025191F"/>
    <w:rsid w:val="00251B93"/>
    <w:rsid w:val="00251C1C"/>
    <w:rsid w:val="00251C37"/>
    <w:rsid w:val="00251E7C"/>
    <w:rsid w:val="00251FE2"/>
    <w:rsid w:val="00252064"/>
    <w:rsid w:val="00252201"/>
    <w:rsid w:val="00252312"/>
    <w:rsid w:val="0025260D"/>
    <w:rsid w:val="00252762"/>
    <w:rsid w:val="00252916"/>
    <w:rsid w:val="002529DA"/>
    <w:rsid w:val="00252A9A"/>
    <w:rsid w:val="00252C01"/>
    <w:rsid w:val="00252C46"/>
    <w:rsid w:val="00252D22"/>
    <w:rsid w:val="00252E17"/>
    <w:rsid w:val="00252FA3"/>
    <w:rsid w:val="00252FE2"/>
    <w:rsid w:val="0025315A"/>
    <w:rsid w:val="002531B8"/>
    <w:rsid w:val="00253492"/>
    <w:rsid w:val="00253527"/>
    <w:rsid w:val="002539CC"/>
    <w:rsid w:val="00253CB6"/>
    <w:rsid w:val="00253E9C"/>
    <w:rsid w:val="00253EC3"/>
    <w:rsid w:val="00253EE0"/>
    <w:rsid w:val="002540DC"/>
    <w:rsid w:val="0025419A"/>
    <w:rsid w:val="002543D8"/>
    <w:rsid w:val="00254439"/>
    <w:rsid w:val="002544DA"/>
    <w:rsid w:val="00254641"/>
    <w:rsid w:val="002546FD"/>
    <w:rsid w:val="002547D4"/>
    <w:rsid w:val="002547FF"/>
    <w:rsid w:val="002548F9"/>
    <w:rsid w:val="0025492A"/>
    <w:rsid w:val="002549D1"/>
    <w:rsid w:val="00254B14"/>
    <w:rsid w:val="00254D5F"/>
    <w:rsid w:val="00254E74"/>
    <w:rsid w:val="00255028"/>
    <w:rsid w:val="002550F5"/>
    <w:rsid w:val="0025511E"/>
    <w:rsid w:val="00255262"/>
    <w:rsid w:val="00255646"/>
    <w:rsid w:val="00255663"/>
    <w:rsid w:val="00255705"/>
    <w:rsid w:val="0025573E"/>
    <w:rsid w:val="0025575A"/>
    <w:rsid w:val="002557C5"/>
    <w:rsid w:val="00255904"/>
    <w:rsid w:val="00255B39"/>
    <w:rsid w:val="00255BC2"/>
    <w:rsid w:val="00255F21"/>
    <w:rsid w:val="00255FBA"/>
    <w:rsid w:val="00255FDC"/>
    <w:rsid w:val="0025609D"/>
    <w:rsid w:val="0025618D"/>
    <w:rsid w:val="002562CF"/>
    <w:rsid w:val="00256588"/>
    <w:rsid w:val="002566A3"/>
    <w:rsid w:val="002569DC"/>
    <w:rsid w:val="00256A4C"/>
    <w:rsid w:val="00256BFD"/>
    <w:rsid w:val="00256EF6"/>
    <w:rsid w:val="00257050"/>
    <w:rsid w:val="0025713E"/>
    <w:rsid w:val="0025737A"/>
    <w:rsid w:val="00257469"/>
    <w:rsid w:val="00257900"/>
    <w:rsid w:val="00257A4D"/>
    <w:rsid w:val="00257A77"/>
    <w:rsid w:val="00257B07"/>
    <w:rsid w:val="00257C05"/>
    <w:rsid w:val="00257E16"/>
    <w:rsid w:val="00257E2A"/>
    <w:rsid w:val="00257F4C"/>
    <w:rsid w:val="00260094"/>
    <w:rsid w:val="002600FC"/>
    <w:rsid w:val="002601A7"/>
    <w:rsid w:val="0026035F"/>
    <w:rsid w:val="002604DD"/>
    <w:rsid w:val="00260555"/>
    <w:rsid w:val="002605FD"/>
    <w:rsid w:val="00260628"/>
    <w:rsid w:val="0026084A"/>
    <w:rsid w:val="002608BA"/>
    <w:rsid w:val="0026097E"/>
    <w:rsid w:val="00260C8C"/>
    <w:rsid w:val="00260EAF"/>
    <w:rsid w:val="00261547"/>
    <w:rsid w:val="002615CA"/>
    <w:rsid w:val="00261690"/>
    <w:rsid w:val="002616D9"/>
    <w:rsid w:val="0026174D"/>
    <w:rsid w:val="00261793"/>
    <w:rsid w:val="0026186A"/>
    <w:rsid w:val="00261AA8"/>
    <w:rsid w:val="00261AAE"/>
    <w:rsid w:val="00261CAD"/>
    <w:rsid w:val="00261D31"/>
    <w:rsid w:val="00261F37"/>
    <w:rsid w:val="00261F3E"/>
    <w:rsid w:val="00261F9A"/>
    <w:rsid w:val="00261F9D"/>
    <w:rsid w:val="00262051"/>
    <w:rsid w:val="00262093"/>
    <w:rsid w:val="00262167"/>
    <w:rsid w:val="00262199"/>
    <w:rsid w:val="002622E1"/>
    <w:rsid w:val="002624BD"/>
    <w:rsid w:val="002624C1"/>
    <w:rsid w:val="00262539"/>
    <w:rsid w:val="00262668"/>
    <w:rsid w:val="0026270C"/>
    <w:rsid w:val="00262796"/>
    <w:rsid w:val="00262A20"/>
    <w:rsid w:val="00262A51"/>
    <w:rsid w:val="00262AD6"/>
    <w:rsid w:val="00262AE2"/>
    <w:rsid w:val="00262B41"/>
    <w:rsid w:val="00262ED5"/>
    <w:rsid w:val="0026312C"/>
    <w:rsid w:val="00263197"/>
    <w:rsid w:val="002632F9"/>
    <w:rsid w:val="00263525"/>
    <w:rsid w:val="00263667"/>
    <w:rsid w:val="00263750"/>
    <w:rsid w:val="00263754"/>
    <w:rsid w:val="00263869"/>
    <w:rsid w:val="002638F2"/>
    <w:rsid w:val="00263A7C"/>
    <w:rsid w:val="00263B52"/>
    <w:rsid w:val="00263B80"/>
    <w:rsid w:val="00263C04"/>
    <w:rsid w:val="00263F4C"/>
    <w:rsid w:val="002640D5"/>
    <w:rsid w:val="0026468F"/>
    <w:rsid w:val="00264700"/>
    <w:rsid w:val="0026479A"/>
    <w:rsid w:val="002649E9"/>
    <w:rsid w:val="00264B22"/>
    <w:rsid w:val="00264BA9"/>
    <w:rsid w:val="00264D2C"/>
    <w:rsid w:val="00264DFA"/>
    <w:rsid w:val="00264F23"/>
    <w:rsid w:val="002650C8"/>
    <w:rsid w:val="002652CA"/>
    <w:rsid w:val="00265425"/>
    <w:rsid w:val="00265488"/>
    <w:rsid w:val="002654AC"/>
    <w:rsid w:val="0026581D"/>
    <w:rsid w:val="0026592E"/>
    <w:rsid w:val="0026597E"/>
    <w:rsid w:val="0026597F"/>
    <w:rsid w:val="00265BCA"/>
    <w:rsid w:val="00265C8C"/>
    <w:rsid w:val="00265D93"/>
    <w:rsid w:val="00265EEB"/>
    <w:rsid w:val="00266125"/>
    <w:rsid w:val="00266168"/>
    <w:rsid w:val="002661E9"/>
    <w:rsid w:val="00266217"/>
    <w:rsid w:val="0026646F"/>
    <w:rsid w:val="002665D5"/>
    <w:rsid w:val="0026663C"/>
    <w:rsid w:val="002666E1"/>
    <w:rsid w:val="0026672C"/>
    <w:rsid w:val="00266AAC"/>
    <w:rsid w:val="00266F65"/>
    <w:rsid w:val="00266FDA"/>
    <w:rsid w:val="002671F4"/>
    <w:rsid w:val="00267576"/>
    <w:rsid w:val="00267711"/>
    <w:rsid w:val="00267854"/>
    <w:rsid w:val="00267906"/>
    <w:rsid w:val="00267959"/>
    <w:rsid w:val="00267BA0"/>
    <w:rsid w:val="00270098"/>
    <w:rsid w:val="002703F5"/>
    <w:rsid w:val="00270454"/>
    <w:rsid w:val="002704B7"/>
    <w:rsid w:val="0027052D"/>
    <w:rsid w:val="00270782"/>
    <w:rsid w:val="0027079E"/>
    <w:rsid w:val="002707AC"/>
    <w:rsid w:val="002707D1"/>
    <w:rsid w:val="00270820"/>
    <w:rsid w:val="0027087C"/>
    <w:rsid w:val="00270931"/>
    <w:rsid w:val="00270C67"/>
    <w:rsid w:val="00270D4A"/>
    <w:rsid w:val="00270EBA"/>
    <w:rsid w:val="002711E6"/>
    <w:rsid w:val="00271264"/>
    <w:rsid w:val="002713BC"/>
    <w:rsid w:val="00271423"/>
    <w:rsid w:val="00271605"/>
    <w:rsid w:val="002716F5"/>
    <w:rsid w:val="002717F5"/>
    <w:rsid w:val="00271810"/>
    <w:rsid w:val="00271846"/>
    <w:rsid w:val="002719AC"/>
    <w:rsid w:val="002719F9"/>
    <w:rsid w:val="00271A3F"/>
    <w:rsid w:val="00271B2A"/>
    <w:rsid w:val="00271C6D"/>
    <w:rsid w:val="00271D43"/>
    <w:rsid w:val="00271D63"/>
    <w:rsid w:val="00271EB4"/>
    <w:rsid w:val="00271FDA"/>
    <w:rsid w:val="00272059"/>
    <w:rsid w:val="0027214A"/>
    <w:rsid w:val="0027218A"/>
    <w:rsid w:val="00272340"/>
    <w:rsid w:val="00272415"/>
    <w:rsid w:val="0027275D"/>
    <w:rsid w:val="00272928"/>
    <w:rsid w:val="00272B25"/>
    <w:rsid w:val="00272B8E"/>
    <w:rsid w:val="00272C04"/>
    <w:rsid w:val="00273344"/>
    <w:rsid w:val="002733D8"/>
    <w:rsid w:val="002734F7"/>
    <w:rsid w:val="0027359A"/>
    <w:rsid w:val="002735E7"/>
    <w:rsid w:val="0027366C"/>
    <w:rsid w:val="00273844"/>
    <w:rsid w:val="002738C6"/>
    <w:rsid w:val="00273900"/>
    <w:rsid w:val="00273962"/>
    <w:rsid w:val="0027399C"/>
    <w:rsid w:val="00273A1B"/>
    <w:rsid w:val="00273B41"/>
    <w:rsid w:val="00273CD4"/>
    <w:rsid w:val="00273DEF"/>
    <w:rsid w:val="00273E8B"/>
    <w:rsid w:val="00273FDF"/>
    <w:rsid w:val="00274020"/>
    <w:rsid w:val="002740CD"/>
    <w:rsid w:val="00274188"/>
    <w:rsid w:val="00274192"/>
    <w:rsid w:val="00274433"/>
    <w:rsid w:val="002744E2"/>
    <w:rsid w:val="00274511"/>
    <w:rsid w:val="00274564"/>
    <w:rsid w:val="0027456C"/>
    <w:rsid w:val="00274939"/>
    <w:rsid w:val="00274BF3"/>
    <w:rsid w:val="00274C3B"/>
    <w:rsid w:val="00274C75"/>
    <w:rsid w:val="00274EE7"/>
    <w:rsid w:val="00274F48"/>
    <w:rsid w:val="00275244"/>
    <w:rsid w:val="002752DD"/>
    <w:rsid w:val="00275676"/>
    <w:rsid w:val="0027598E"/>
    <w:rsid w:val="00275997"/>
    <w:rsid w:val="00275B6D"/>
    <w:rsid w:val="00275B77"/>
    <w:rsid w:val="00275C9E"/>
    <w:rsid w:val="00275EA5"/>
    <w:rsid w:val="00276078"/>
    <w:rsid w:val="00276201"/>
    <w:rsid w:val="0027629B"/>
    <w:rsid w:val="00276473"/>
    <w:rsid w:val="002764A1"/>
    <w:rsid w:val="00276563"/>
    <w:rsid w:val="0027656D"/>
    <w:rsid w:val="00276770"/>
    <w:rsid w:val="002769D0"/>
    <w:rsid w:val="002769F3"/>
    <w:rsid w:val="00276BB0"/>
    <w:rsid w:val="00276E7F"/>
    <w:rsid w:val="00276FEB"/>
    <w:rsid w:val="002771C0"/>
    <w:rsid w:val="002772DC"/>
    <w:rsid w:val="002772F0"/>
    <w:rsid w:val="002772F8"/>
    <w:rsid w:val="002773BA"/>
    <w:rsid w:val="002774E7"/>
    <w:rsid w:val="002775C5"/>
    <w:rsid w:val="002775DD"/>
    <w:rsid w:val="0027770B"/>
    <w:rsid w:val="002777FE"/>
    <w:rsid w:val="00277E79"/>
    <w:rsid w:val="002802F8"/>
    <w:rsid w:val="002803C5"/>
    <w:rsid w:val="002804EE"/>
    <w:rsid w:val="002808C9"/>
    <w:rsid w:val="00280AF8"/>
    <w:rsid w:val="00280D05"/>
    <w:rsid w:val="00280F6A"/>
    <w:rsid w:val="00280F99"/>
    <w:rsid w:val="00280FB4"/>
    <w:rsid w:val="00281021"/>
    <w:rsid w:val="00281144"/>
    <w:rsid w:val="002811DE"/>
    <w:rsid w:val="00281419"/>
    <w:rsid w:val="0028164F"/>
    <w:rsid w:val="0028199D"/>
    <w:rsid w:val="00281E73"/>
    <w:rsid w:val="00281F07"/>
    <w:rsid w:val="00282309"/>
    <w:rsid w:val="00282424"/>
    <w:rsid w:val="00282566"/>
    <w:rsid w:val="0028275D"/>
    <w:rsid w:val="00282944"/>
    <w:rsid w:val="00282A67"/>
    <w:rsid w:val="00282BE1"/>
    <w:rsid w:val="00282CC2"/>
    <w:rsid w:val="00282D8F"/>
    <w:rsid w:val="00282F3B"/>
    <w:rsid w:val="00282FA5"/>
    <w:rsid w:val="00283452"/>
    <w:rsid w:val="00283456"/>
    <w:rsid w:val="00283468"/>
    <w:rsid w:val="00283596"/>
    <w:rsid w:val="00283793"/>
    <w:rsid w:val="00283831"/>
    <w:rsid w:val="002839D8"/>
    <w:rsid w:val="00283A52"/>
    <w:rsid w:val="00283D3C"/>
    <w:rsid w:val="0028436C"/>
    <w:rsid w:val="00284621"/>
    <w:rsid w:val="002846A3"/>
    <w:rsid w:val="00284773"/>
    <w:rsid w:val="002847C6"/>
    <w:rsid w:val="00284A10"/>
    <w:rsid w:val="00284A4A"/>
    <w:rsid w:val="00284ABC"/>
    <w:rsid w:val="00284D51"/>
    <w:rsid w:val="00284ED5"/>
    <w:rsid w:val="00284EF9"/>
    <w:rsid w:val="00285022"/>
    <w:rsid w:val="00285226"/>
    <w:rsid w:val="0028542B"/>
    <w:rsid w:val="00285617"/>
    <w:rsid w:val="002857C1"/>
    <w:rsid w:val="002858A6"/>
    <w:rsid w:val="002858F5"/>
    <w:rsid w:val="0028592C"/>
    <w:rsid w:val="00285941"/>
    <w:rsid w:val="00285B4B"/>
    <w:rsid w:val="00285DFD"/>
    <w:rsid w:val="00285E1F"/>
    <w:rsid w:val="00285F04"/>
    <w:rsid w:val="00285F43"/>
    <w:rsid w:val="00285FFF"/>
    <w:rsid w:val="002863B5"/>
    <w:rsid w:val="002863E2"/>
    <w:rsid w:val="00286641"/>
    <w:rsid w:val="00286758"/>
    <w:rsid w:val="00286B09"/>
    <w:rsid w:val="00286BB5"/>
    <w:rsid w:val="00286BC9"/>
    <w:rsid w:val="00286C43"/>
    <w:rsid w:val="00286D39"/>
    <w:rsid w:val="00286F67"/>
    <w:rsid w:val="00287078"/>
    <w:rsid w:val="00287599"/>
    <w:rsid w:val="00287767"/>
    <w:rsid w:val="0028793C"/>
    <w:rsid w:val="0028799F"/>
    <w:rsid w:val="002879D8"/>
    <w:rsid w:val="00287A82"/>
    <w:rsid w:val="00287AB8"/>
    <w:rsid w:val="00287ABC"/>
    <w:rsid w:val="00287AFC"/>
    <w:rsid w:val="00287B6F"/>
    <w:rsid w:val="00287C38"/>
    <w:rsid w:val="00287CF0"/>
    <w:rsid w:val="00287E4A"/>
    <w:rsid w:val="00287F75"/>
    <w:rsid w:val="00287FC7"/>
    <w:rsid w:val="00290149"/>
    <w:rsid w:val="002901FE"/>
    <w:rsid w:val="0029048D"/>
    <w:rsid w:val="0029070C"/>
    <w:rsid w:val="002909A8"/>
    <w:rsid w:val="00290AAF"/>
    <w:rsid w:val="00290AF3"/>
    <w:rsid w:val="00290C65"/>
    <w:rsid w:val="00290DCE"/>
    <w:rsid w:val="00290DFE"/>
    <w:rsid w:val="00290F29"/>
    <w:rsid w:val="00291050"/>
    <w:rsid w:val="002910E5"/>
    <w:rsid w:val="00291168"/>
    <w:rsid w:val="00291173"/>
    <w:rsid w:val="002914A6"/>
    <w:rsid w:val="00291502"/>
    <w:rsid w:val="0029150B"/>
    <w:rsid w:val="002915E7"/>
    <w:rsid w:val="0029183D"/>
    <w:rsid w:val="002919AF"/>
    <w:rsid w:val="00291E7A"/>
    <w:rsid w:val="00291E81"/>
    <w:rsid w:val="00291E94"/>
    <w:rsid w:val="00291F18"/>
    <w:rsid w:val="00292239"/>
    <w:rsid w:val="00292393"/>
    <w:rsid w:val="0029240D"/>
    <w:rsid w:val="0029241C"/>
    <w:rsid w:val="002926A5"/>
    <w:rsid w:val="002926EF"/>
    <w:rsid w:val="00292985"/>
    <w:rsid w:val="002929F0"/>
    <w:rsid w:val="00292A12"/>
    <w:rsid w:val="00292DA4"/>
    <w:rsid w:val="00292E55"/>
    <w:rsid w:val="00292F00"/>
    <w:rsid w:val="00292FF5"/>
    <w:rsid w:val="00293348"/>
    <w:rsid w:val="0029349D"/>
    <w:rsid w:val="00293681"/>
    <w:rsid w:val="00293802"/>
    <w:rsid w:val="00293EE2"/>
    <w:rsid w:val="00293FEF"/>
    <w:rsid w:val="00294534"/>
    <w:rsid w:val="002945F6"/>
    <w:rsid w:val="002946E5"/>
    <w:rsid w:val="002947FB"/>
    <w:rsid w:val="002949D8"/>
    <w:rsid w:val="00294A4E"/>
    <w:rsid w:val="00294A67"/>
    <w:rsid w:val="00294F20"/>
    <w:rsid w:val="00294F50"/>
    <w:rsid w:val="00295039"/>
    <w:rsid w:val="00295166"/>
    <w:rsid w:val="002956D3"/>
    <w:rsid w:val="00295750"/>
    <w:rsid w:val="002958C6"/>
    <w:rsid w:val="002959B9"/>
    <w:rsid w:val="00295B5A"/>
    <w:rsid w:val="00295E1B"/>
    <w:rsid w:val="00296019"/>
    <w:rsid w:val="00296093"/>
    <w:rsid w:val="002960DC"/>
    <w:rsid w:val="002963EA"/>
    <w:rsid w:val="002964A1"/>
    <w:rsid w:val="00296630"/>
    <w:rsid w:val="00296770"/>
    <w:rsid w:val="002967CE"/>
    <w:rsid w:val="00296ADC"/>
    <w:rsid w:val="00296AEA"/>
    <w:rsid w:val="00296B6F"/>
    <w:rsid w:val="00296BC5"/>
    <w:rsid w:val="00296D24"/>
    <w:rsid w:val="00296D26"/>
    <w:rsid w:val="00296DA8"/>
    <w:rsid w:val="002970EB"/>
    <w:rsid w:val="00297100"/>
    <w:rsid w:val="002971AA"/>
    <w:rsid w:val="002971C7"/>
    <w:rsid w:val="002972F8"/>
    <w:rsid w:val="00297330"/>
    <w:rsid w:val="0029745C"/>
    <w:rsid w:val="002974BD"/>
    <w:rsid w:val="002974C8"/>
    <w:rsid w:val="0029774B"/>
    <w:rsid w:val="002977ED"/>
    <w:rsid w:val="00297827"/>
    <w:rsid w:val="00297B75"/>
    <w:rsid w:val="00297B9E"/>
    <w:rsid w:val="00297C0A"/>
    <w:rsid w:val="002A00D6"/>
    <w:rsid w:val="002A0114"/>
    <w:rsid w:val="002A0230"/>
    <w:rsid w:val="002A02C8"/>
    <w:rsid w:val="002A0AAB"/>
    <w:rsid w:val="002A0AAC"/>
    <w:rsid w:val="002A0D45"/>
    <w:rsid w:val="002A0D6A"/>
    <w:rsid w:val="002A1088"/>
    <w:rsid w:val="002A1098"/>
    <w:rsid w:val="002A13BD"/>
    <w:rsid w:val="002A168A"/>
    <w:rsid w:val="002A16B0"/>
    <w:rsid w:val="002A16E9"/>
    <w:rsid w:val="002A17DC"/>
    <w:rsid w:val="002A1817"/>
    <w:rsid w:val="002A1873"/>
    <w:rsid w:val="002A18C1"/>
    <w:rsid w:val="002A1A37"/>
    <w:rsid w:val="002A1A80"/>
    <w:rsid w:val="002A1B76"/>
    <w:rsid w:val="002A1CE8"/>
    <w:rsid w:val="002A1E5F"/>
    <w:rsid w:val="002A1FBC"/>
    <w:rsid w:val="002A214D"/>
    <w:rsid w:val="002A22CC"/>
    <w:rsid w:val="002A2426"/>
    <w:rsid w:val="002A25C5"/>
    <w:rsid w:val="002A25FD"/>
    <w:rsid w:val="002A281E"/>
    <w:rsid w:val="002A28DA"/>
    <w:rsid w:val="002A2D1A"/>
    <w:rsid w:val="002A2E08"/>
    <w:rsid w:val="002A2E84"/>
    <w:rsid w:val="002A2EDC"/>
    <w:rsid w:val="002A2F36"/>
    <w:rsid w:val="002A3188"/>
    <w:rsid w:val="002A335F"/>
    <w:rsid w:val="002A33BB"/>
    <w:rsid w:val="002A33F7"/>
    <w:rsid w:val="002A34A4"/>
    <w:rsid w:val="002A36A6"/>
    <w:rsid w:val="002A3C1A"/>
    <w:rsid w:val="002A402A"/>
    <w:rsid w:val="002A4146"/>
    <w:rsid w:val="002A434F"/>
    <w:rsid w:val="002A47B5"/>
    <w:rsid w:val="002A4875"/>
    <w:rsid w:val="002A496D"/>
    <w:rsid w:val="002A4988"/>
    <w:rsid w:val="002A49F0"/>
    <w:rsid w:val="002A4DD3"/>
    <w:rsid w:val="002A4E64"/>
    <w:rsid w:val="002A4EA7"/>
    <w:rsid w:val="002A4EC4"/>
    <w:rsid w:val="002A5012"/>
    <w:rsid w:val="002A52D4"/>
    <w:rsid w:val="002A5339"/>
    <w:rsid w:val="002A56CB"/>
    <w:rsid w:val="002A576F"/>
    <w:rsid w:val="002A5790"/>
    <w:rsid w:val="002A592A"/>
    <w:rsid w:val="002A5A2E"/>
    <w:rsid w:val="002A5AFE"/>
    <w:rsid w:val="002A5DDD"/>
    <w:rsid w:val="002A5DF1"/>
    <w:rsid w:val="002A6125"/>
    <w:rsid w:val="002A65C4"/>
    <w:rsid w:val="002A66A5"/>
    <w:rsid w:val="002A6799"/>
    <w:rsid w:val="002A67EC"/>
    <w:rsid w:val="002A6929"/>
    <w:rsid w:val="002A6A9E"/>
    <w:rsid w:val="002A6B0C"/>
    <w:rsid w:val="002A6B13"/>
    <w:rsid w:val="002A6C51"/>
    <w:rsid w:val="002A6D1B"/>
    <w:rsid w:val="002A6D23"/>
    <w:rsid w:val="002A6E8E"/>
    <w:rsid w:val="002A7147"/>
    <w:rsid w:val="002A7C17"/>
    <w:rsid w:val="002A7E67"/>
    <w:rsid w:val="002B0130"/>
    <w:rsid w:val="002B0881"/>
    <w:rsid w:val="002B09F2"/>
    <w:rsid w:val="002B0B1A"/>
    <w:rsid w:val="002B0C6F"/>
    <w:rsid w:val="002B0D3A"/>
    <w:rsid w:val="002B0DED"/>
    <w:rsid w:val="002B0E3C"/>
    <w:rsid w:val="002B10FF"/>
    <w:rsid w:val="002B14CB"/>
    <w:rsid w:val="002B14D5"/>
    <w:rsid w:val="002B1652"/>
    <w:rsid w:val="002B17BF"/>
    <w:rsid w:val="002B1A03"/>
    <w:rsid w:val="002B1A12"/>
    <w:rsid w:val="002B1A30"/>
    <w:rsid w:val="002B1B42"/>
    <w:rsid w:val="002B1D41"/>
    <w:rsid w:val="002B1EB0"/>
    <w:rsid w:val="002B1F08"/>
    <w:rsid w:val="002B2010"/>
    <w:rsid w:val="002B2067"/>
    <w:rsid w:val="002B22F1"/>
    <w:rsid w:val="002B23DF"/>
    <w:rsid w:val="002B25D9"/>
    <w:rsid w:val="002B2736"/>
    <w:rsid w:val="002B2850"/>
    <w:rsid w:val="002B2AD5"/>
    <w:rsid w:val="002B2D84"/>
    <w:rsid w:val="002B2F9F"/>
    <w:rsid w:val="002B3218"/>
    <w:rsid w:val="002B32DC"/>
    <w:rsid w:val="002B330F"/>
    <w:rsid w:val="002B33B1"/>
    <w:rsid w:val="002B33C4"/>
    <w:rsid w:val="002B348D"/>
    <w:rsid w:val="002B3714"/>
    <w:rsid w:val="002B395C"/>
    <w:rsid w:val="002B39CE"/>
    <w:rsid w:val="002B39D4"/>
    <w:rsid w:val="002B3AA8"/>
    <w:rsid w:val="002B3BDB"/>
    <w:rsid w:val="002B3CFD"/>
    <w:rsid w:val="002B4444"/>
    <w:rsid w:val="002B4CB9"/>
    <w:rsid w:val="002B4CFA"/>
    <w:rsid w:val="002B4CFD"/>
    <w:rsid w:val="002B4E9B"/>
    <w:rsid w:val="002B4F53"/>
    <w:rsid w:val="002B509C"/>
    <w:rsid w:val="002B5218"/>
    <w:rsid w:val="002B53D8"/>
    <w:rsid w:val="002B5455"/>
    <w:rsid w:val="002B5A80"/>
    <w:rsid w:val="002B5AF7"/>
    <w:rsid w:val="002B5AFF"/>
    <w:rsid w:val="002B5D42"/>
    <w:rsid w:val="002B613D"/>
    <w:rsid w:val="002B620F"/>
    <w:rsid w:val="002B62ED"/>
    <w:rsid w:val="002B6403"/>
    <w:rsid w:val="002B679B"/>
    <w:rsid w:val="002B6829"/>
    <w:rsid w:val="002B6B3C"/>
    <w:rsid w:val="002B6BD1"/>
    <w:rsid w:val="002B6C5D"/>
    <w:rsid w:val="002B6C8E"/>
    <w:rsid w:val="002B6C90"/>
    <w:rsid w:val="002B6D69"/>
    <w:rsid w:val="002B6FED"/>
    <w:rsid w:val="002B70C2"/>
    <w:rsid w:val="002B725D"/>
    <w:rsid w:val="002B7304"/>
    <w:rsid w:val="002B74AF"/>
    <w:rsid w:val="002B75E8"/>
    <w:rsid w:val="002B7697"/>
    <w:rsid w:val="002B77BD"/>
    <w:rsid w:val="002B783D"/>
    <w:rsid w:val="002B7887"/>
    <w:rsid w:val="002B796B"/>
    <w:rsid w:val="002B7997"/>
    <w:rsid w:val="002B7CB2"/>
    <w:rsid w:val="002B7DA7"/>
    <w:rsid w:val="002C00CC"/>
    <w:rsid w:val="002C0245"/>
    <w:rsid w:val="002C0247"/>
    <w:rsid w:val="002C0292"/>
    <w:rsid w:val="002C02CE"/>
    <w:rsid w:val="002C031C"/>
    <w:rsid w:val="002C04AB"/>
    <w:rsid w:val="002C064F"/>
    <w:rsid w:val="002C0739"/>
    <w:rsid w:val="002C07DE"/>
    <w:rsid w:val="002C0869"/>
    <w:rsid w:val="002C09F4"/>
    <w:rsid w:val="002C0C23"/>
    <w:rsid w:val="002C102E"/>
    <w:rsid w:val="002C1129"/>
    <w:rsid w:val="002C1199"/>
    <w:rsid w:val="002C1201"/>
    <w:rsid w:val="002C1454"/>
    <w:rsid w:val="002C14F2"/>
    <w:rsid w:val="002C1551"/>
    <w:rsid w:val="002C15AE"/>
    <w:rsid w:val="002C169C"/>
    <w:rsid w:val="002C1878"/>
    <w:rsid w:val="002C18B4"/>
    <w:rsid w:val="002C19EC"/>
    <w:rsid w:val="002C1BD2"/>
    <w:rsid w:val="002C1D34"/>
    <w:rsid w:val="002C1FFB"/>
    <w:rsid w:val="002C2209"/>
    <w:rsid w:val="002C224E"/>
    <w:rsid w:val="002C244D"/>
    <w:rsid w:val="002C249C"/>
    <w:rsid w:val="002C2590"/>
    <w:rsid w:val="002C2759"/>
    <w:rsid w:val="002C27C5"/>
    <w:rsid w:val="002C2863"/>
    <w:rsid w:val="002C2A42"/>
    <w:rsid w:val="002C2E60"/>
    <w:rsid w:val="002C2F4B"/>
    <w:rsid w:val="002C3179"/>
    <w:rsid w:val="002C337C"/>
    <w:rsid w:val="002C36ED"/>
    <w:rsid w:val="002C378F"/>
    <w:rsid w:val="002C3947"/>
    <w:rsid w:val="002C39E0"/>
    <w:rsid w:val="002C3A1B"/>
    <w:rsid w:val="002C3A50"/>
    <w:rsid w:val="002C3A76"/>
    <w:rsid w:val="002C3BE6"/>
    <w:rsid w:val="002C3C49"/>
    <w:rsid w:val="002C3F16"/>
    <w:rsid w:val="002C410B"/>
    <w:rsid w:val="002C417D"/>
    <w:rsid w:val="002C4189"/>
    <w:rsid w:val="002C41E2"/>
    <w:rsid w:val="002C4219"/>
    <w:rsid w:val="002C4401"/>
    <w:rsid w:val="002C4534"/>
    <w:rsid w:val="002C4544"/>
    <w:rsid w:val="002C45C8"/>
    <w:rsid w:val="002C466F"/>
    <w:rsid w:val="002C46D9"/>
    <w:rsid w:val="002C4764"/>
    <w:rsid w:val="002C48D6"/>
    <w:rsid w:val="002C4A40"/>
    <w:rsid w:val="002C4A9E"/>
    <w:rsid w:val="002C4CA1"/>
    <w:rsid w:val="002C4D95"/>
    <w:rsid w:val="002C504A"/>
    <w:rsid w:val="002C520E"/>
    <w:rsid w:val="002C52C8"/>
    <w:rsid w:val="002C55A2"/>
    <w:rsid w:val="002C5778"/>
    <w:rsid w:val="002C59C6"/>
    <w:rsid w:val="002C5AAF"/>
    <w:rsid w:val="002C5B8E"/>
    <w:rsid w:val="002C5E38"/>
    <w:rsid w:val="002C62D6"/>
    <w:rsid w:val="002C63AA"/>
    <w:rsid w:val="002C6523"/>
    <w:rsid w:val="002C673F"/>
    <w:rsid w:val="002C68C0"/>
    <w:rsid w:val="002C68DA"/>
    <w:rsid w:val="002C6968"/>
    <w:rsid w:val="002C69C9"/>
    <w:rsid w:val="002C6AAE"/>
    <w:rsid w:val="002C6C76"/>
    <w:rsid w:val="002C6E20"/>
    <w:rsid w:val="002C6EBD"/>
    <w:rsid w:val="002C6F3A"/>
    <w:rsid w:val="002C720E"/>
    <w:rsid w:val="002C7270"/>
    <w:rsid w:val="002C747B"/>
    <w:rsid w:val="002C76E8"/>
    <w:rsid w:val="002C7B24"/>
    <w:rsid w:val="002C7D21"/>
    <w:rsid w:val="002C7D2E"/>
    <w:rsid w:val="002C7EB1"/>
    <w:rsid w:val="002D0042"/>
    <w:rsid w:val="002D03B1"/>
    <w:rsid w:val="002D05F2"/>
    <w:rsid w:val="002D05F7"/>
    <w:rsid w:val="002D069E"/>
    <w:rsid w:val="002D06A9"/>
    <w:rsid w:val="002D075D"/>
    <w:rsid w:val="002D07A3"/>
    <w:rsid w:val="002D08A4"/>
    <w:rsid w:val="002D0B03"/>
    <w:rsid w:val="002D0CC2"/>
    <w:rsid w:val="002D107A"/>
    <w:rsid w:val="002D10C6"/>
    <w:rsid w:val="002D123C"/>
    <w:rsid w:val="002D1347"/>
    <w:rsid w:val="002D163E"/>
    <w:rsid w:val="002D1759"/>
    <w:rsid w:val="002D179A"/>
    <w:rsid w:val="002D17E0"/>
    <w:rsid w:val="002D18E4"/>
    <w:rsid w:val="002D190D"/>
    <w:rsid w:val="002D1994"/>
    <w:rsid w:val="002D1C47"/>
    <w:rsid w:val="002D1D30"/>
    <w:rsid w:val="002D1F68"/>
    <w:rsid w:val="002D203B"/>
    <w:rsid w:val="002D20EF"/>
    <w:rsid w:val="002D230F"/>
    <w:rsid w:val="002D23D0"/>
    <w:rsid w:val="002D250C"/>
    <w:rsid w:val="002D261E"/>
    <w:rsid w:val="002D2947"/>
    <w:rsid w:val="002D2955"/>
    <w:rsid w:val="002D299D"/>
    <w:rsid w:val="002D29B4"/>
    <w:rsid w:val="002D2A0B"/>
    <w:rsid w:val="002D2A21"/>
    <w:rsid w:val="002D2B32"/>
    <w:rsid w:val="002D2D16"/>
    <w:rsid w:val="002D2E2E"/>
    <w:rsid w:val="002D2E51"/>
    <w:rsid w:val="002D3060"/>
    <w:rsid w:val="002D3160"/>
    <w:rsid w:val="002D3213"/>
    <w:rsid w:val="002D334E"/>
    <w:rsid w:val="002D33C4"/>
    <w:rsid w:val="002D35BA"/>
    <w:rsid w:val="002D386B"/>
    <w:rsid w:val="002D3896"/>
    <w:rsid w:val="002D39D8"/>
    <w:rsid w:val="002D39EC"/>
    <w:rsid w:val="002D3AEB"/>
    <w:rsid w:val="002D3B86"/>
    <w:rsid w:val="002D3C9B"/>
    <w:rsid w:val="002D3CBE"/>
    <w:rsid w:val="002D3E5F"/>
    <w:rsid w:val="002D3ED1"/>
    <w:rsid w:val="002D3FEB"/>
    <w:rsid w:val="002D4103"/>
    <w:rsid w:val="002D4315"/>
    <w:rsid w:val="002D4612"/>
    <w:rsid w:val="002D47A2"/>
    <w:rsid w:val="002D4859"/>
    <w:rsid w:val="002D4A01"/>
    <w:rsid w:val="002D4A08"/>
    <w:rsid w:val="002D4A6B"/>
    <w:rsid w:val="002D4AB1"/>
    <w:rsid w:val="002D4C6A"/>
    <w:rsid w:val="002D4C6D"/>
    <w:rsid w:val="002D4EC4"/>
    <w:rsid w:val="002D50F1"/>
    <w:rsid w:val="002D521C"/>
    <w:rsid w:val="002D5297"/>
    <w:rsid w:val="002D53FD"/>
    <w:rsid w:val="002D5433"/>
    <w:rsid w:val="002D55B6"/>
    <w:rsid w:val="002D56AB"/>
    <w:rsid w:val="002D58BD"/>
    <w:rsid w:val="002D5BD0"/>
    <w:rsid w:val="002D5CAC"/>
    <w:rsid w:val="002D5CBB"/>
    <w:rsid w:val="002D5CF6"/>
    <w:rsid w:val="002D5D0F"/>
    <w:rsid w:val="002D5E0E"/>
    <w:rsid w:val="002D5E9C"/>
    <w:rsid w:val="002D6033"/>
    <w:rsid w:val="002D613A"/>
    <w:rsid w:val="002D6150"/>
    <w:rsid w:val="002D62FA"/>
    <w:rsid w:val="002D6412"/>
    <w:rsid w:val="002D6578"/>
    <w:rsid w:val="002D669D"/>
    <w:rsid w:val="002D66C2"/>
    <w:rsid w:val="002D68A2"/>
    <w:rsid w:val="002D6CB9"/>
    <w:rsid w:val="002D6D4D"/>
    <w:rsid w:val="002D6F87"/>
    <w:rsid w:val="002D7060"/>
    <w:rsid w:val="002D7101"/>
    <w:rsid w:val="002D7243"/>
    <w:rsid w:val="002D737D"/>
    <w:rsid w:val="002D74F9"/>
    <w:rsid w:val="002D7955"/>
    <w:rsid w:val="002D79AD"/>
    <w:rsid w:val="002D79B4"/>
    <w:rsid w:val="002D79D0"/>
    <w:rsid w:val="002D79FE"/>
    <w:rsid w:val="002D7A6E"/>
    <w:rsid w:val="002D7AB2"/>
    <w:rsid w:val="002D7B35"/>
    <w:rsid w:val="002D7B67"/>
    <w:rsid w:val="002D7CE8"/>
    <w:rsid w:val="002D7DCF"/>
    <w:rsid w:val="002E0033"/>
    <w:rsid w:val="002E0095"/>
    <w:rsid w:val="002E0191"/>
    <w:rsid w:val="002E02E2"/>
    <w:rsid w:val="002E048C"/>
    <w:rsid w:val="002E065A"/>
    <w:rsid w:val="002E0662"/>
    <w:rsid w:val="002E0819"/>
    <w:rsid w:val="002E0987"/>
    <w:rsid w:val="002E0A22"/>
    <w:rsid w:val="002E0A69"/>
    <w:rsid w:val="002E0BB2"/>
    <w:rsid w:val="002E0E03"/>
    <w:rsid w:val="002E0EC4"/>
    <w:rsid w:val="002E0F2D"/>
    <w:rsid w:val="002E0F4C"/>
    <w:rsid w:val="002E10F1"/>
    <w:rsid w:val="002E114C"/>
    <w:rsid w:val="002E1251"/>
    <w:rsid w:val="002E1347"/>
    <w:rsid w:val="002E1541"/>
    <w:rsid w:val="002E1570"/>
    <w:rsid w:val="002E15D5"/>
    <w:rsid w:val="002E1742"/>
    <w:rsid w:val="002E1888"/>
    <w:rsid w:val="002E18CA"/>
    <w:rsid w:val="002E1A83"/>
    <w:rsid w:val="002E1AB0"/>
    <w:rsid w:val="002E1AB7"/>
    <w:rsid w:val="002E1AC9"/>
    <w:rsid w:val="002E1B09"/>
    <w:rsid w:val="002E1BB4"/>
    <w:rsid w:val="002E2085"/>
    <w:rsid w:val="002E2114"/>
    <w:rsid w:val="002E2174"/>
    <w:rsid w:val="002E2247"/>
    <w:rsid w:val="002E2295"/>
    <w:rsid w:val="002E2297"/>
    <w:rsid w:val="002E2443"/>
    <w:rsid w:val="002E25F7"/>
    <w:rsid w:val="002E26D9"/>
    <w:rsid w:val="002E26DA"/>
    <w:rsid w:val="002E2838"/>
    <w:rsid w:val="002E283B"/>
    <w:rsid w:val="002E29EF"/>
    <w:rsid w:val="002E2A28"/>
    <w:rsid w:val="002E2A8C"/>
    <w:rsid w:val="002E2ABE"/>
    <w:rsid w:val="002E2D02"/>
    <w:rsid w:val="002E2E69"/>
    <w:rsid w:val="002E2E9C"/>
    <w:rsid w:val="002E3013"/>
    <w:rsid w:val="002E3058"/>
    <w:rsid w:val="002E30FB"/>
    <w:rsid w:val="002E3108"/>
    <w:rsid w:val="002E32EF"/>
    <w:rsid w:val="002E333B"/>
    <w:rsid w:val="002E336E"/>
    <w:rsid w:val="002E33C1"/>
    <w:rsid w:val="002E35EB"/>
    <w:rsid w:val="002E362E"/>
    <w:rsid w:val="002E3665"/>
    <w:rsid w:val="002E374E"/>
    <w:rsid w:val="002E390D"/>
    <w:rsid w:val="002E3ADF"/>
    <w:rsid w:val="002E3C18"/>
    <w:rsid w:val="002E3CAE"/>
    <w:rsid w:val="002E3DD6"/>
    <w:rsid w:val="002E3FA2"/>
    <w:rsid w:val="002E3FB6"/>
    <w:rsid w:val="002E3FFF"/>
    <w:rsid w:val="002E403D"/>
    <w:rsid w:val="002E42A5"/>
    <w:rsid w:val="002E4445"/>
    <w:rsid w:val="002E4707"/>
    <w:rsid w:val="002E47E6"/>
    <w:rsid w:val="002E487A"/>
    <w:rsid w:val="002E4A2B"/>
    <w:rsid w:val="002E4A6C"/>
    <w:rsid w:val="002E4CDE"/>
    <w:rsid w:val="002E4FE9"/>
    <w:rsid w:val="002E50B8"/>
    <w:rsid w:val="002E524D"/>
    <w:rsid w:val="002E5438"/>
    <w:rsid w:val="002E5495"/>
    <w:rsid w:val="002E5681"/>
    <w:rsid w:val="002E5709"/>
    <w:rsid w:val="002E57EF"/>
    <w:rsid w:val="002E5897"/>
    <w:rsid w:val="002E5BB9"/>
    <w:rsid w:val="002E5BFE"/>
    <w:rsid w:val="002E5D1D"/>
    <w:rsid w:val="002E5D33"/>
    <w:rsid w:val="002E5D4D"/>
    <w:rsid w:val="002E5D6B"/>
    <w:rsid w:val="002E5D84"/>
    <w:rsid w:val="002E5DA3"/>
    <w:rsid w:val="002E5E5C"/>
    <w:rsid w:val="002E5E5F"/>
    <w:rsid w:val="002E5EAA"/>
    <w:rsid w:val="002E5F58"/>
    <w:rsid w:val="002E5FC9"/>
    <w:rsid w:val="002E603A"/>
    <w:rsid w:val="002E6181"/>
    <w:rsid w:val="002E62E4"/>
    <w:rsid w:val="002E6356"/>
    <w:rsid w:val="002E64F6"/>
    <w:rsid w:val="002E65C4"/>
    <w:rsid w:val="002E6684"/>
    <w:rsid w:val="002E66F0"/>
    <w:rsid w:val="002E67E8"/>
    <w:rsid w:val="002E6954"/>
    <w:rsid w:val="002E6A59"/>
    <w:rsid w:val="002E6B40"/>
    <w:rsid w:val="002E6C20"/>
    <w:rsid w:val="002E6D44"/>
    <w:rsid w:val="002E6EA6"/>
    <w:rsid w:val="002E720A"/>
    <w:rsid w:val="002E7220"/>
    <w:rsid w:val="002E728E"/>
    <w:rsid w:val="002E74C6"/>
    <w:rsid w:val="002E75EE"/>
    <w:rsid w:val="002E7690"/>
    <w:rsid w:val="002E7719"/>
    <w:rsid w:val="002E781D"/>
    <w:rsid w:val="002E78EC"/>
    <w:rsid w:val="002E7934"/>
    <w:rsid w:val="002E79DC"/>
    <w:rsid w:val="002E7A13"/>
    <w:rsid w:val="002E7BAF"/>
    <w:rsid w:val="002E7D2D"/>
    <w:rsid w:val="002E7F9E"/>
    <w:rsid w:val="002E7FBB"/>
    <w:rsid w:val="002F030E"/>
    <w:rsid w:val="002F04DB"/>
    <w:rsid w:val="002F079C"/>
    <w:rsid w:val="002F087C"/>
    <w:rsid w:val="002F0B97"/>
    <w:rsid w:val="002F0C03"/>
    <w:rsid w:val="002F0D45"/>
    <w:rsid w:val="002F0D6F"/>
    <w:rsid w:val="002F0DA1"/>
    <w:rsid w:val="002F1012"/>
    <w:rsid w:val="002F123C"/>
    <w:rsid w:val="002F125A"/>
    <w:rsid w:val="002F1421"/>
    <w:rsid w:val="002F14BC"/>
    <w:rsid w:val="002F18B4"/>
    <w:rsid w:val="002F1AC2"/>
    <w:rsid w:val="002F1B6B"/>
    <w:rsid w:val="002F1CB1"/>
    <w:rsid w:val="002F1CD5"/>
    <w:rsid w:val="002F1D72"/>
    <w:rsid w:val="002F1F2A"/>
    <w:rsid w:val="002F1F8A"/>
    <w:rsid w:val="002F1FCC"/>
    <w:rsid w:val="002F207B"/>
    <w:rsid w:val="002F209F"/>
    <w:rsid w:val="002F20D4"/>
    <w:rsid w:val="002F20E3"/>
    <w:rsid w:val="002F22AD"/>
    <w:rsid w:val="002F22ED"/>
    <w:rsid w:val="002F2657"/>
    <w:rsid w:val="002F265F"/>
    <w:rsid w:val="002F2701"/>
    <w:rsid w:val="002F270F"/>
    <w:rsid w:val="002F2806"/>
    <w:rsid w:val="002F2834"/>
    <w:rsid w:val="002F2AD4"/>
    <w:rsid w:val="002F2B66"/>
    <w:rsid w:val="002F2B9C"/>
    <w:rsid w:val="002F2CAC"/>
    <w:rsid w:val="002F2D47"/>
    <w:rsid w:val="002F2DEC"/>
    <w:rsid w:val="002F2E32"/>
    <w:rsid w:val="002F300D"/>
    <w:rsid w:val="002F3034"/>
    <w:rsid w:val="002F31D0"/>
    <w:rsid w:val="002F33CD"/>
    <w:rsid w:val="002F34C8"/>
    <w:rsid w:val="002F356A"/>
    <w:rsid w:val="002F3646"/>
    <w:rsid w:val="002F39AE"/>
    <w:rsid w:val="002F3AB3"/>
    <w:rsid w:val="002F3C4E"/>
    <w:rsid w:val="002F3C89"/>
    <w:rsid w:val="002F3E50"/>
    <w:rsid w:val="002F40C8"/>
    <w:rsid w:val="002F4389"/>
    <w:rsid w:val="002F43BE"/>
    <w:rsid w:val="002F47CA"/>
    <w:rsid w:val="002F49BA"/>
    <w:rsid w:val="002F4B18"/>
    <w:rsid w:val="002F4C5D"/>
    <w:rsid w:val="002F4DF6"/>
    <w:rsid w:val="002F4E62"/>
    <w:rsid w:val="002F4FED"/>
    <w:rsid w:val="002F50BB"/>
    <w:rsid w:val="002F50F5"/>
    <w:rsid w:val="002F5177"/>
    <w:rsid w:val="002F5245"/>
    <w:rsid w:val="002F534C"/>
    <w:rsid w:val="002F54FC"/>
    <w:rsid w:val="002F559C"/>
    <w:rsid w:val="002F573D"/>
    <w:rsid w:val="002F585D"/>
    <w:rsid w:val="002F591A"/>
    <w:rsid w:val="002F5BD8"/>
    <w:rsid w:val="002F5D24"/>
    <w:rsid w:val="002F5D45"/>
    <w:rsid w:val="002F5E34"/>
    <w:rsid w:val="002F5E39"/>
    <w:rsid w:val="002F61ED"/>
    <w:rsid w:val="002F62AD"/>
    <w:rsid w:val="002F62FE"/>
    <w:rsid w:val="002F634A"/>
    <w:rsid w:val="002F6386"/>
    <w:rsid w:val="002F63A2"/>
    <w:rsid w:val="002F66F0"/>
    <w:rsid w:val="002F674B"/>
    <w:rsid w:val="002F6801"/>
    <w:rsid w:val="002F68A7"/>
    <w:rsid w:val="002F6BE0"/>
    <w:rsid w:val="002F6E1F"/>
    <w:rsid w:val="002F6F28"/>
    <w:rsid w:val="002F6F35"/>
    <w:rsid w:val="002F70FC"/>
    <w:rsid w:val="002F72DF"/>
    <w:rsid w:val="002F7593"/>
    <w:rsid w:val="002F7650"/>
    <w:rsid w:val="002F768F"/>
    <w:rsid w:val="002F77D6"/>
    <w:rsid w:val="002F77EB"/>
    <w:rsid w:val="002F7C65"/>
    <w:rsid w:val="002F7E75"/>
    <w:rsid w:val="003000A4"/>
    <w:rsid w:val="003000B0"/>
    <w:rsid w:val="003000FB"/>
    <w:rsid w:val="00300118"/>
    <w:rsid w:val="0030015E"/>
    <w:rsid w:val="0030026C"/>
    <w:rsid w:val="003003A2"/>
    <w:rsid w:val="00300558"/>
    <w:rsid w:val="0030059F"/>
    <w:rsid w:val="00300731"/>
    <w:rsid w:val="0030098C"/>
    <w:rsid w:val="00300D74"/>
    <w:rsid w:val="00300D85"/>
    <w:rsid w:val="00300DB6"/>
    <w:rsid w:val="00300DF8"/>
    <w:rsid w:val="00300E25"/>
    <w:rsid w:val="00300F6C"/>
    <w:rsid w:val="003010BD"/>
    <w:rsid w:val="00301116"/>
    <w:rsid w:val="003011A2"/>
    <w:rsid w:val="003011D4"/>
    <w:rsid w:val="00301378"/>
    <w:rsid w:val="0030155B"/>
    <w:rsid w:val="003015D9"/>
    <w:rsid w:val="00301635"/>
    <w:rsid w:val="003016DF"/>
    <w:rsid w:val="003017F5"/>
    <w:rsid w:val="00301B43"/>
    <w:rsid w:val="00301DE2"/>
    <w:rsid w:val="003022A7"/>
    <w:rsid w:val="003022B2"/>
    <w:rsid w:val="0030231B"/>
    <w:rsid w:val="0030250B"/>
    <w:rsid w:val="0030253C"/>
    <w:rsid w:val="003025A7"/>
    <w:rsid w:val="003026AD"/>
    <w:rsid w:val="003026E6"/>
    <w:rsid w:val="00302838"/>
    <w:rsid w:val="0030291B"/>
    <w:rsid w:val="003029D2"/>
    <w:rsid w:val="00302ADB"/>
    <w:rsid w:val="00302D21"/>
    <w:rsid w:val="00302D8A"/>
    <w:rsid w:val="00302DB5"/>
    <w:rsid w:val="00302E2C"/>
    <w:rsid w:val="0030300B"/>
    <w:rsid w:val="00303022"/>
    <w:rsid w:val="003032D4"/>
    <w:rsid w:val="00303403"/>
    <w:rsid w:val="0030343D"/>
    <w:rsid w:val="0030343F"/>
    <w:rsid w:val="003035BE"/>
    <w:rsid w:val="00303658"/>
    <w:rsid w:val="0030398F"/>
    <w:rsid w:val="00303B47"/>
    <w:rsid w:val="00303DFE"/>
    <w:rsid w:val="0030405E"/>
    <w:rsid w:val="003042DC"/>
    <w:rsid w:val="003043B6"/>
    <w:rsid w:val="003043FB"/>
    <w:rsid w:val="0030454C"/>
    <w:rsid w:val="003045B2"/>
    <w:rsid w:val="003049DC"/>
    <w:rsid w:val="00304AA3"/>
    <w:rsid w:val="00304BDF"/>
    <w:rsid w:val="00304E74"/>
    <w:rsid w:val="00304FD6"/>
    <w:rsid w:val="00305178"/>
    <w:rsid w:val="003051C5"/>
    <w:rsid w:val="0030520B"/>
    <w:rsid w:val="0030550C"/>
    <w:rsid w:val="003057ED"/>
    <w:rsid w:val="00305868"/>
    <w:rsid w:val="0030586A"/>
    <w:rsid w:val="0030592C"/>
    <w:rsid w:val="00305BF0"/>
    <w:rsid w:val="00305D9B"/>
    <w:rsid w:val="00305F12"/>
    <w:rsid w:val="00305FA6"/>
    <w:rsid w:val="0030604F"/>
    <w:rsid w:val="0030634D"/>
    <w:rsid w:val="0030639C"/>
    <w:rsid w:val="003063F0"/>
    <w:rsid w:val="00306509"/>
    <w:rsid w:val="0030678C"/>
    <w:rsid w:val="003067F3"/>
    <w:rsid w:val="00306809"/>
    <w:rsid w:val="0030693F"/>
    <w:rsid w:val="003069B2"/>
    <w:rsid w:val="00306C6C"/>
    <w:rsid w:val="00306FCC"/>
    <w:rsid w:val="0030706F"/>
    <w:rsid w:val="0030708D"/>
    <w:rsid w:val="00307103"/>
    <w:rsid w:val="003071A4"/>
    <w:rsid w:val="00307431"/>
    <w:rsid w:val="00307433"/>
    <w:rsid w:val="0030754F"/>
    <w:rsid w:val="00307605"/>
    <w:rsid w:val="003076C8"/>
    <w:rsid w:val="00307732"/>
    <w:rsid w:val="00307A8A"/>
    <w:rsid w:val="00307C94"/>
    <w:rsid w:val="00307D95"/>
    <w:rsid w:val="00307DC1"/>
    <w:rsid w:val="00310195"/>
    <w:rsid w:val="003101ED"/>
    <w:rsid w:val="003102F5"/>
    <w:rsid w:val="003104D2"/>
    <w:rsid w:val="00310642"/>
    <w:rsid w:val="00310834"/>
    <w:rsid w:val="003108E8"/>
    <w:rsid w:val="0031097E"/>
    <w:rsid w:val="00310A16"/>
    <w:rsid w:val="00310B09"/>
    <w:rsid w:val="00310C41"/>
    <w:rsid w:val="00310DCB"/>
    <w:rsid w:val="00310F01"/>
    <w:rsid w:val="003111FF"/>
    <w:rsid w:val="003113F4"/>
    <w:rsid w:val="003115CF"/>
    <w:rsid w:val="0031182F"/>
    <w:rsid w:val="0031191E"/>
    <w:rsid w:val="0031193C"/>
    <w:rsid w:val="00311A2C"/>
    <w:rsid w:val="00311B6E"/>
    <w:rsid w:val="00311D3C"/>
    <w:rsid w:val="00311D76"/>
    <w:rsid w:val="00311F66"/>
    <w:rsid w:val="00311F92"/>
    <w:rsid w:val="003122B5"/>
    <w:rsid w:val="003122C2"/>
    <w:rsid w:val="003122D1"/>
    <w:rsid w:val="003123A2"/>
    <w:rsid w:val="00312462"/>
    <w:rsid w:val="003126BC"/>
    <w:rsid w:val="0031280E"/>
    <w:rsid w:val="00312852"/>
    <w:rsid w:val="00312B0D"/>
    <w:rsid w:val="0031310A"/>
    <w:rsid w:val="003135AF"/>
    <w:rsid w:val="00313797"/>
    <w:rsid w:val="003138F4"/>
    <w:rsid w:val="00313A67"/>
    <w:rsid w:val="00313B21"/>
    <w:rsid w:val="00313CAE"/>
    <w:rsid w:val="00313D4F"/>
    <w:rsid w:val="00313D60"/>
    <w:rsid w:val="00313D82"/>
    <w:rsid w:val="00313DDE"/>
    <w:rsid w:val="00313EC2"/>
    <w:rsid w:val="00313EE5"/>
    <w:rsid w:val="00314028"/>
    <w:rsid w:val="0031406D"/>
    <w:rsid w:val="003141BC"/>
    <w:rsid w:val="00314915"/>
    <w:rsid w:val="00314993"/>
    <w:rsid w:val="00314AF2"/>
    <w:rsid w:val="00314D74"/>
    <w:rsid w:val="00315141"/>
    <w:rsid w:val="003152F3"/>
    <w:rsid w:val="003154CC"/>
    <w:rsid w:val="003154F5"/>
    <w:rsid w:val="00315555"/>
    <w:rsid w:val="003156BB"/>
    <w:rsid w:val="00315738"/>
    <w:rsid w:val="00315772"/>
    <w:rsid w:val="0031580F"/>
    <w:rsid w:val="003159CE"/>
    <w:rsid w:val="003159F7"/>
    <w:rsid w:val="00315B06"/>
    <w:rsid w:val="00315C8E"/>
    <w:rsid w:val="00315D94"/>
    <w:rsid w:val="00315E21"/>
    <w:rsid w:val="00315F82"/>
    <w:rsid w:val="00315F8D"/>
    <w:rsid w:val="003162FF"/>
    <w:rsid w:val="00316309"/>
    <w:rsid w:val="0031632B"/>
    <w:rsid w:val="003163D2"/>
    <w:rsid w:val="00316594"/>
    <w:rsid w:val="003166E0"/>
    <w:rsid w:val="0031689E"/>
    <w:rsid w:val="00316922"/>
    <w:rsid w:val="00316D2B"/>
    <w:rsid w:val="00316E2B"/>
    <w:rsid w:val="00316FB1"/>
    <w:rsid w:val="00317036"/>
    <w:rsid w:val="00317105"/>
    <w:rsid w:val="003171F5"/>
    <w:rsid w:val="0031721A"/>
    <w:rsid w:val="003172F6"/>
    <w:rsid w:val="003173E2"/>
    <w:rsid w:val="00317475"/>
    <w:rsid w:val="00317542"/>
    <w:rsid w:val="003175D2"/>
    <w:rsid w:val="003176AC"/>
    <w:rsid w:val="003178E9"/>
    <w:rsid w:val="003178EB"/>
    <w:rsid w:val="003179D6"/>
    <w:rsid w:val="00317A63"/>
    <w:rsid w:val="00317B4F"/>
    <w:rsid w:val="00317B76"/>
    <w:rsid w:val="00317C0A"/>
    <w:rsid w:val="00317CE0"/>
    <w:rsid w:val="00317DFB"/>
    <w:rsid w:val="00317EA2"/>
    <w:rsid w:val="003200BA"/>
    <w:rsid w:val="003201B3"/>
    <w:rsid w:val="003201DE"/>
    <w:rsid w:val="00320214"/>
    <w:rsid w:val="00320291"/>
    <w:rsid w:val="003202AF"/>
    <w:rsid w:val="00320313"/>
    <w:rsid w:val="003203DF"/>
    <w:rsid w:val="0032045F"/>
    <w:rsid w:val="00320723"/>
    <w:rsid w:val="00320805"/>
    <w:rsid w:val="003209CA"/>
    <w:rsid w:val="00320A43"/>
    <w:rsid w:val="00320BDE"/>
    <w:rsid w:val="00320DB3"/>
    <w:rsid w:val="00320E4D"/>
    <w:rsid w:val="00320E70"/>
    <w:rsid w:val="00320ED4"/>
    <w:rsid w:val="00320F48"/>
    <w:rsid w:val="003210D9"/>
    <w:rsid w:val="00321139"/>
    <w:rsid w:val="0032138D"/>
    <w:rsid w:val="0032154B"/>
    <w:rsid w:val="00321587"/>
    <w:rsid w:val="003215D9"/>
    <w:rsid w:val="0032163B"/>
    <w:rsid w:val="00321724"/>
    <w:rsid w:val="00321790"/>
    <w:rsid w:val="00321A5E"/>
    <w:rsid w:val="0032216D"/>
    <w:rsid w:val="00322217"/>
    <w:rsid w:val="0032230F"/>
    <w:rsid w:val="003226AF"/>
    <w:rsid w:val="003228BE"/>
    <w:rsid w:val="00322C87"/>
    <w:rsid w:val="00322CB6"/>
    <w:rsid w:val="00322F8A"/>
    <w:rsid w:val="00323042"/>
    <w:rsid w:val="003230BC"/>
    <w:rsid w:val="0032317E"/>
    <w:rsid w:val="00323334"/>
    <w:rsid w:val="003234C2"/>
    <w:rsid w:val="00323C6B"/>
    <w:rsid w:val="00323CD9"/>
    <w:rsid w:val="00323CF8"/>
    <w:rsid w:val="00323D61"/>
    <w:rsid w:val="00323D96"/>
    <w:rsid w:val="00323E1B"/>
    <w:rsid w:val="00323F27"/>
    <w:rsid w:val="00324426"/>
    <w:rsid w:val="003244C1"/>
    <w:rsid w:val="003248A8"/>
    <w:rsid w:val="0032492E"/>
    <w:rsid w:val="00324AD5"/>
    <w:rsid w:val="00324C35"/>
    <w:rsid w:val="00324C73"/>
    <w:rsid w:val="00324C77"/>
    <w:rsid w:val="00324DC6"/>
    <w:rsid w:val="00324FFF"/>
    <w:rsid w:val="00325195"/>
    <w:rsid w:val="003253C3"/>
    <w:rsid w:val="003254CB"/>
    <w:rsid w:val="00325502"/>
    <w:rsid w:val="0032551F"/>
    <w:rsid w:val="003255A5"/>
    <w:rsid w:val="003256C6"/>
    <w:rsid w:val="00325701"/>
    <w:rsid w:val="00325A88"/>
    <w:rsid w:val="00325AC2"/>
    <w:rsid w:val="00325BC7"/>
    <w:rsid w:val="00325BF9"/>
    <w:rsid w:val="0032613E"/>
    <w:rsid w:val="003261AB"/>
    <w:rsid w:val="003262DB"/>
    <w:rsid w:val="0032640F"/>
    <w:rsid w:val="00326526"/>
    <w:rsid w:val="003265B8"/>
    <w:rsid w:val="003267EB"/>
    <w:rsid w:val="003268A8"/>
    <w:rsid w:val="00326908"/>
    <w:rsid w:val="00326A04"/>
    <w:rsid w:val="00326A3D"/>
    <w:rsid w:val="00326BB9"/>
    <w:rsid w:val="00326DEA"/>
    <w:rsid w:val="00326EE9"/>
    <w:rsid w:val="00326FD1"/>
    <w:rsid w:val="0032731B"/>
    <w:rsid w:val="00327461"/>
    <w:rsid w:val="003275C9"/>
    <w:rsid w:val="003276BF"/>
    <w:rsid w:val="003276E8"/>
    <w:rsid w:val="0032773F"/>
    <w:rsid w:val="003277F8"/>
    <w:rsid w:val="0032785E"/>
    <w:rsid w:val="003279E4"/>
    <w:rsid w:val="00327AED"/>
    <w:rsid w:val="00327BA3"/>
    <w:rsid w:val="00327C99"/>
    <w:rsid w:val="00327E2E"/>
    <w:rsid w:val="00327F01"/>
    <w:rsid w:val="00327FA3"/>
    <w:rsid w:val="00327FE8"/>
    <w:rsid w:val="00330070"/>
    <w:rsid w:val="0033021F"/>
    <w:rsid w:val="003304A9"/>
    <w:rsid w:val="0033068D"/>
    <w:rsid w:val="00330771"/>
    <w:rsid w:val="0033081E"/>
    <w:rsid w:val="00330B66"/>
    <w:rsid w:val="00330C4D"/>
    <w:rsid w:val="00330E4A"/>
    <w:rsid w:val="00330E58"/>
    <w:rsid w:val="0033107A"/>
    <w:rsid w:val="0033112B"/>
    <w:rsid w:val="003313F4"/>
    <w:rsid w:val="00331409"/>
    <w:rsid w:val="00331593"/>
    <w:rsid w:val="00331595"/>
    <w:rsid w:val="003319A4"/>
    <w:rsid w:val="003319A7"/>
    <w:rsid w:val="00331D04"/>
    <w:rsid w:val="00331D21"/>
    <w:rsid w:val="00331F9C"/>
    <w:rsid w:val="003321B3"/>
    <w:rsid w:val="003321F6"/>
    <w:rsid w:val="003323A3"/>
    <w:rsid w:val="0033246C"/>
    <w:rsid w:val="003324EC"/>
    <w:rsid w:val="0033254A"/>
    <w:rsid w:val="00332561"/>
    <w:rsid w:val="00332736"/>
    <w:rsid w:val="0033283D"/>
    <w:rsid w:val="00332897"/>
    <w:rsid w:val="003328B5"/>
    <w:rsid w:val="003328F5"/>
    <w:rsid w:val="00332AC2"/>
    <w:rsid w:val="00332B8A"/>
    <w:rsid w:val="00332D4D"/>
    <w:rsid w:val="00332D55"/>
    <w:rsid w:val="00332D73"/>
    <w:rsid w:val="00332E8A"/>
    <w:rsid w:val="00332F10"/>
    <w:rsid w:val="0033309E"/>
    <w:rsid w:val="0033324D"/>
    <w:rsid w:val="00333274"/>
    <w:rsid w:val="00333517"/>
    <w:rsid w:val="003335B2"/>
    <w:rsid w:val="00333687"/>
    <w:rsid w:val="00333A35"/>
    <w:rsid w:val="00333ADF"/>
    <w:rsid w:val="00333B3E"/>
    <w:rsid w:val="00333C9C"/>
    <w:rsid w:val="00333DB1"/>
    <w:rsid w:val="00333F97"/>
    <w:rsid w:val="0033438B"/>
    <w:rsid w:val="003344DC"/>
    <w:rsid w:val="0033450C"/>
    <w:rsid w:val="00334608"/>
    <w:rsid w:val="00334668"/>
    <w:rsid w:val="00334697"/>
    <w:rsid w:val="003347C4"/>
    <w:rsid w:val="0033496F"/>
    <w:rsid w:val="00334A8B"/>
    <w:rsid w:val="00334AA7"/>
    <w:rsid w:val="00334C63"/>
    <w:rsid w:val="00334D89"/>
    <w:rsid w:val="00334DAB"/>
    <w:rsid w:val="00334F39"/>
    <w:rsid w:val="00335346"/>
    <w:rsid w:val="00335360"/>
    <w:rsid w:val="0033542C"/>
    <w:rsid w:val="003356B5"/>
    <w:rsid w:val="00335A3D"/>
    <w:rsid w:val="00335B48"/>
    <w:rsid w:val="00335B50"/>
    <w:rsid w:val="00335E08"/>
    <w:rsid w:val="00335FA0"/>
    <w:rsid w:val="00335FE5"/>
    <w:rsid w:val="00336087"/>
    <w:rsid w:val="0033617C"/>
    <w:rsid w:val="00336274"/>
    <w:rsid w:val="00336426"/>
    <w:rsid w:val="0033649B"/>
    <w:rsid w:val="00336580"/>
    <w:rsid w:val="003365C4"/>
    <w:rsid w:val="0033667F"/>
    <w:rsid w:val="00336871"/>
    <w:rsid w:val="0033694B"/>
    <w:rsid w:val="00336BB1"/>
    <w:rsid w:val="00336D48"/>
    <w:rsid w:val="00336F71"/>
    <w:rsid w:val="00336F73"/>
    <w:rsid w:val="00337009"/>
    <w:rsid w:val="00337065"/>
    <w:rsid w:val="003372F2"/>
    <w:rsid w:val="00337361"/>
    <w:rsid w:val="00337526"/>
    <w:rsid w:val="0033756F"/>
    <w:rsid w:val="00337931"/>
    <w:rsid w:val="00337934"/>
    <w:rsid w:val="00337B7A"/>
    <w:rsid w:val="00337BC6"/>
    <w:rsid w:val="00337C92"/>
    <w:rsid w:val="00337D6E"/>
    <w:rsid w:val="00337DA1"/>
    <w:rsid w:val="00337F1A"/>
    <w:rsid w:val="00340054"/>
    <w:rsid w:val="003402BA"/>
    <w:rsid w:val="00340487"/>
    <w:rsid w:val="0034079E"/>
    <w:rsid w:val="003409B8"/>
    <w:rsid w:val="00340B90"/>
    <w:rsid w:val="00340BB5"/>
    <w:rsid w:val="00340BED"/>
    <w:rsid w:val="00340C71"/>
    <w:rsid w:val="00340CE3"/>
    <w:rsid w:val="0034108E"/>
    <w:rsid w:val="003412A1"/>
    <w:rsid w:val="003412F5"/>
    <w:rsid w:val="00341372"/>
    <w:rsid w:val="00341486"/>
    <w:rsid w:val="00341691"/>
    <w:rsid w:val="003417F8"/>
    <w:rsid w:val="00341849"/>
    <w:rsid w:val="00341A46"/>
    <w:rsid w:val="00341BC7"/>
    <w:rsid w:val="00341BC9"/>
    <w:rsid w:val="00341C0C"/>
    <w:rsid w:val="00341C42"/>
    <w:rsid w:val="00341E75"/>
    <w:rsid w:val="00341EAE"/>
    <w:rsid w:val="00341EEA"/>
    <w:rsid w:val="00341FE7"/>
    <w:rsid w:val="003421DE"/>
    <w:rsid w:val="00342245"/>
    <w:rsid w:val="003427D5"/>
    <w:rsid w:val="00342874"/>
    <w:rsid w:val="00342885"/>
    <w:rsid w:val="00342BEB"/>
    <w:rsid w:val="00342D4A"/>
    <w:rsid w:val="00342DC9"/>
    <w:rsid w:val="00342E43"/>
    <w:rsid w:val="00342F61"/>
    <w:rsid w:val="00342FD9"/>
    <w:rsid w:val="0034331D"/>
    <w:rsid w:val="00343466"/>
    <w:rsid w:val="003434A2"/>
    <w:rsid w:val="00343700"/>
    <w:rsid w:val="0034392D"/>
    <w:rsid w:val="00343B01"/>
    <w:rsid w:val="00343BBE"/>
    <w:rsid w:val="00343C1A"/>
    <w:rsid w:val="00343C7D"/>
    <w:rsid w:val="00343D13"/>
    <w:rsid w:val="00343EAF"/>
    <w:rsid w:val="00344107"/>
    <w:rsid w:val="00344142"/>
    <w:rsid w:val="00344289"/>
    <w:rsid w:val="003442B5"/>
    <w:rsid w:val="00344642"/>
    <w:rsid w:val="0034464C"/>
    <w:rsid w:val="0034480D"/>
    <w:rsid w:val="00344866"/>
    <w:rsid w:val="003449E3"/>
    <w:rsid w:val="003449FA"/>
    <w:rsid w:val="00344B3C"/>
    <w:rsid w:val="00344C1D"/>
    <w:rsid w:val="00344C41"/>
    <w:rsid w:val="00344D93"/>
    <w:rsid w:val="00344E9F"/>
    <w:rsid w:val="00344EFC"/>
    <w:rsid w:val="00345049"/>
    <w:rsid w:val="003454BC"/>
    <w:rsid w:val="003455F3"/>
    <w:rsid w:val="003457A1"/>
    <w:rsid w:val="00345842"/>
    <w:rsid w:val="0034590B"/>
    <w:rsid w:val="00345B40"/>
    <w:rsid w:val="00345B9B"/>
    <w:rsid w:val="00345CAA"/>
    <w:rsid w:val="00345FF5"/>
    <w:rsid w:val="003460C0"/>
    <w:rsid w:val="003465CD"/>
    <w:rsid w:val="0034669B"/>
    <w:rsid w:val="00346765"/>
    <w:rsid w:val="00346987"/>
    <w:rsid w:val="00346A60"/>
    <w:rsid w:val="00346DC6"/>
    <w:rsid w:val="00346DE6"/>
    <w:rsid w:val="0034702C"/>
    <w:rsid w:val="003470D8"/>
    <w:rsid w:val="0034710F"/>
    <w:rsid w:val="003472BF"/>
    <w:rsid w:val="0034764B"/>
    <w:rsid w:val="00347692"/>
    <w:rsid w:val="00347722"/>
    <w:rsid w:val="00347840"/>
    <w:rsid w:val="00347A5D"/>
    <w:rsid w:val="00347A64"/>
    <w:rsid w:val="00347BD2"/>
    <w:rsid w:val="00347F2A"/>
    <w:rsid w:val="00347F57"/>
    <w:rsid w:val="00347FC1"/>
    <w:rsid w:val="0035015E"/>
    <w:rsid w:val="003502A7"/>
    <w:rsid w:val="00350454"/>
    <w:rsid w:val="0035046B"/>
    <w:rsid w:val="00350528"/>
    <w:rsid w:val="00350714"/>
    <w:rsid w:val="0035090A"/>
    <w:rsid w:val="00350A02"/>
    <w:rsid w:val="00350C28"/>
    <w:rsid w:val="00350E92"/>
    <w:rsid w:val="00350F35"/>
    <w:rsid w:val="00350F37"/>
    <w:rsid w:val="00351556"/>
    <w:rsid w:val="00351652"/>
    <w:rsid w:val="003516F4"/>
    <w:rsid w:val="0035198D"/>
    <w:rsid w:val="00351B1C"/>
    <w:rsid w:val="00351B65"/>
    <w:rsid w:val="00351BEF"/>
    <w:rsid w:val="00351EE4"/>
    <w:rsid w:val="00351F4D"/>
    <w:rsid w:val="00351FC2"/>
    <w:rsid w:val="0035221D"/>
    <w:rsid w:val="003522F2"/>
    <w:rsid w:val="00352328"/>
    <w:rsid w:val="003523F9"/>
    <w:rsid w:val="003525BA"/>
    <w:rsid w:val="0035271D"/>
    <w:rsid w:val="003527A6"/>
    <w:rsid w:val="0035294F"/>
    <w:rsid w:val="00352BF4"/>
    <w:rsid w:val="00352CA1"/>
    <w:rsid w:val="00352E53"/>
    <w:rsid w:val="00352E73"/>
    <w:rsid w:val="00352E91"/>
    <w:rsid w:val="00352F94"/>
    <w:rsid w:val="00353179"/>
    <w:rsid w:val="003531A1"/>
    <w:rsid w:val="00353338"/>
    <w:rsid w:val="00353370"/>
    <w:rsid w:val="003533EA"/>
    <w:rsid w:val="003536E6"/>
    <w:rsid w:val="00353989"/>
    <w:rsid w:val="00353BE1"/>
    <w:rsid w:val="00353C3D"/>
    <w:rsid w:val="00353E7A"/>
    <w:rsid w:val="00353F5C"/>
    <w:rsid w:val="0035406B"/>
    <w:rsid w:val="003540A8"/>
    <w:rsid w:val="0035415C"/>
    <w:rsid w:val="003541CF"/>
    <w:rsid w:val="0035428C"/>
    <w:rsid w:val="00354290"/>
    <w:rsid w:val="00354661"/>
    <w:rsid w:val="0035483B"/>
    <w:rsid w:val="00354AF0"/>
    <w:rsid w:val="00354FC0"/>
    <w:rsid w:val="003551E5"/>
    <w:rsid w:val="00355286"/>
    <w:rsid w:val="003554AE"/>
    <w:rsid w:val="0035559E"/>
    <w:rsid w:val="003555C7"/>
    <w:rsid w:val="0035575D"/>
    <w:rsid w:val="00355845"/>
    <w:rsid w:val="00355989"/>
    <w:rsid w:val="0035598C"/>
    <w:rsid w:val="00355D8B"/>
    <w:rsid w:val="00355F44"/>
    <w:rsid w:val="003562EC"/>
    <w:rsid w:val="003562FE"/>
    <w:rsid w:val="00356530"/>
    <w:rsid w:val="00356557"/>
    <w:rsid w:val="00356641"/>
    <w:rsid w:val="00356A4A"/>
    <w:rsid w:val="00356A6A"/>
    <w:rsid w:val="00356AA2"/>
    <w:rsid w:val="00356B0D"/>
    <w:rsid w:val="00356DFB"/>
    <w:rsid w:val="00356E76"/>
    <w:rsid w:val="00356E9F"/>
    <w:rsid w:val="00356F0F"/>
    <w:rsid w:val="00356F62"/>
    <w:rsid w:val="00357034"/>
    <w:rsid w:val="00357053"/>
    <w:rsid w:val="0035724E"/>
    <w:rsid w:val="0035764E"/>
    <w:rsid w:val="00357663"/>
    <w:rsid w:val="00357715"/>
    <w:rsid w:val="003578A5"/>
    <w:rsid w:val="00357951"/>
    <w:rsid w:val="003579EF"/>
    <w:rsid w:val="00357BC9"/>
    <w:rsid w:val="00357D07"/>
    <w:rsid w:val="00357D34"/>
    <w:rsid w:val="00357D85"/>
    <w:rsid w:val="00357DC4"/>
    <w:rsid w:val="00357DE2"/>
    <w:rsid w:val="00357E81"/>
    <w:rsid w:val="00360050"/>
    <w:rsid w:val="00360384"/>
    <w:rsid w:val="003603D9"/>
    <w:rsid w:val="0036057A"/>
    <w:rsid w:val="00360663"/>
    <w:rsid w:val="003606E7"/>
    <w:rsid w:val="003606FF"/>
    <w:rsid w:val="00360776"/>
    <w:rsid w:val="003609F6"/>
    <w:rsid w:val="00360A53"/>
    <w:rsid w:val="00360B4C"/>
    <w:rsid w:val="00361451"/>
    <w:rsid w:val="003614FD"/>
    <w:rsid w:val="00361664"/>
    <w:rsid w:val="0036197D"/>
    <w:rsid w:val="00361A01"/>
    <w:rsid w:val="00361B0C"/>
    <w:rsid w:val="00361B94"/>
    <w:rsid w:val="00361E9B"/>
    <w:rsid w:val="00361EBB"/>
    <w:rsid w:val="00361EE0"/>
    <w:rsid w:val="00361FFC"/>
    <w:rsid w:val="003620A3"/>
    <w:rsid w:val="003621A4"/>
    <w:rsid w:val="0036239D"/>
    <w:rsid w:val="003623A8"/>
    <w:rsid w:val="0036283B"/>
    <w:rsid w:val="0036288E"/>
    <w:rsid w:val="003628CC"/>
    <w:rsid w:val="00362A2A"/>
    <w:rsid w:val="00362A60"/>
    <w:rsid w:val="00362AC8"/>
    <w:rsid w:val="00362C58"/>
    <w:rsid w:val="00362CC9"/>
    <w:rsid w:val="00362E37"/>
    <w:rsid w:val="00362E73"/>
    <w:rsid w:val="00362F13"/>
    <w:rsid w:val="00363041"/>
    <w:rsid w:val="00363484"/>
    <w:rsid w:val="00363746"/>
    <w:rsid w:val="00363B68"/>
    <w:rsid w:val="00363D33"/>
    <w:rsid w:val="00363D36"/>
    <w:rsid w:val="00363DCA"/>
    <w:rsid w:val="00363F23"/>
    <w:rsid w:val="00363F59"/>
    <w:rsid w:val="00363F98"/>
    <w:rsid w:val="00364319"/>
    <w:rsid w:val="00364510"/>
    <w:rsid w:val="00364797"/>
    <w:rsid w:val="003647AA"/>
    <w:rsid w:val="00364B32"/>
    <w:rsid w:val="00364D74"/>
    <w:rsid w:val="00364E94"/>
    <w:rsid w:val="0036512A"/>
    <w:rsid w:val="00365185"/>
    <w:rsid w:val="003651B3"/>
    <w:rsid w:val="003651B6"/>
    <w:rsid w:val="003651FD"/>
    <w:rsid w:val="00365295"/>
    <w:rsid w:val="003653A6"/>
    <w:rsid w:val="00365616"/>
    <w:rsid w:val="003657A9"/>
    <w:rsid w:val="003657C5"/>
    <w:rsid w:val="003658A1"/>
    <w:rsid w:val="003658A8"/>
    <w:rsid w:val="00365BAC"/>
    <w:rsid w:val="00365E33"/>
    <w:rsid w:val="00365FBB"/>
    <w:rsid w:val="00365FEE"/>
    <w:rsid w:val="00366032"/>
    <w:rsid w:val="0036603B"/>
    <w:rsid w:val="0036616E"/>
    <w:rsid w:val="00366183"/>
    <w:rsid w:val="003662D1"/>
    <w:rsid w:val="00366501"/>
    <w:rsid w:val="0036656C"/>
    <w:rsid w:val="00366749"/>
    <w:rsid w:val="003669AC"/>
    <w:rsid w:val="00366B6B"/>
    <w:rsid w:val="00366D79"/>
    <w:rsid w:val="00366E00"/>
    <w:rsid w:val="00366EA2"/>
    <w:rsid w:val="00367066"/>
    <w:rsid w:val="003672E3"/>
    <w:rsid w:val="00367456"/>
    <w:rsid w:val="0036755F"/>
    <w:rsid w:val="00367646"/>
    <w:rsid w:val="00367688"/>
    <w:rsid w:val="00367763"/>
    <w:rsid w:val="003677B3"/>
    <w:rsid w:val="00367919"/>
    <w:rsid w:val="00367C23"/>
    <w:rsid w:val="00367D6E"/>
    <w:rsid w:val="00367E8C"/>
    <w:rsid w:val="00370556"/>
    <w:rsid w:val="003708D0"/>
    <w:rsid w:val="003708F3"/>
    <w:rsid w:val="00370AAC"/>
    <w:rsid w:val="00370B14"/>
    <w:rsid w:val="00370B72"/>
    <w:rsid w:val="00370BA3"/>
    <w:rsid w:val="00370C4F"/>
    <w:rsid w:val="00370CD1"/>
    <w:rsid w:val="00370ECF"/>
    <w:rsid w:val="00370FF4"/>
    <w:rsid w:val="00371242"/>
    <w:rsid w:val="00371314"/>
    <w:rsid w:val="00371341"/>
    <w:rsid w:val="00371387"/>
    <w:rsid w:val="0037146A"/>
    <w:rsid w:val="003714F0"/>
    <w:rsid w:val="00371598"/>
    <w:rsid w:val="003715E9"/>
    <w:rsid w:val="00371709"/>
    <w:rsid w:val="0037175B"/>
    <w:rsid w:val="003717B8"/>
    <w:rsid w:val="00371B63"/>
    <w:rsid w:val="00371D13"/>
    <w:rsid w:val="00371DE8"/>
    <w:rsid w:val="00371E16"/>
    <w:rsid w:val="00371F33"/>
    <w:rsid w:val="00372000"/>
    <w:rsid w:val="0037200B"/>
    <w:rsid w:val="0037207B"/>
    <w:rsid w:val="0037209D"/>
    <w:rsid w:val="003721E8"/>
    <w:rsid w:val="003722C8"/>
    <w:rsid w:val="00372477"/>
    <w:rsid w:val="00372555"/>
    <w:rsid w:val="003726A6"/>
    <w:rsid w:val="003726B9"/>
    <w:rsid w:val="003727C3"/>
    <w:rsid w:val="0037289C"/>
    <w:rsid w:val="003728FA"/>
    <w:rsid w:val="00372B72"/>
    <w:rsid w:val="00372D90"/>
    <w:rsid w:val="00372E01"/>
    <w:rsid w:val="00372E6B"/>
    <w:rsid w:val="00372EB2"/>
    <w:rsid w:val="00372FB4"/>
    <w:rsid w:val="00373048"/>
    <w:rsid w:val="003730AA"/>
    <w:rsid w:val="0037312E"/>
    <w:rsid w:val="003732BD"/>
    <w:rsid w:val="003736A7"/>
    <w:rsid w:val="0037375E"/>
    <w:rsid w:val="00373924"/>
    <w:rsid w:val="003739DD"/>
    <w:rsid w:val="00373AE4"/>
    <w:rsid w:val="00373BB9"/>
    <w:rsid w:val="00373C3C"/>
    <w:rsid w:val="00373E81"/>
    <w:rsid w:val="00373F78"/>
    <w:rsid w:val="00374072"/>
    <w:rsid w:val="003743E0"/>
    <w:rsid w:val="003744D8"/>
    <w:rsid w:val="003745EE"/>
    <w:rsid w:val="00374609"/>
    <w:rsid w:val="00374624"/>
    <w:rsid w:val="00374658"/>
    <w:rsid w:val="003746EC"/>
    <w:rsid w:val="00374786"/>
    <w:rsid w:val="003749BC"/>
    <w:rsid w:val="00374B57"/>
    <w:rsid w:val="00374BB1"/>
    <w:rsid w:val="00374C51"/>
    <w:rsid w:val="00375108"/>
    <w:rsid w:val="00375139"/>
    <w:rsid w:val="003751BA"/>
    <w:rsid w:val="0037555D"/>
    <w:rsid w:val="00375593"/>
    <w:rsid w:val="00375684"/>
    <w:rsid w:val="003757BA"/>
    <w:rsid w:val="003757BF"/>
    <w:rsid w:val="00375AC2"/>
    <w:rsid w:val="00375B87"/>
    <w:rsid w:val="00375C21"/>
    <w:rsid w:val="00375D77"/>
    <w:rsid w:val="00375DFE"/>
    <w:rsid w:val="00375E80"/>
    <w:rsid w:val="00376018"/>
    <w:rsid w:val="003760DC"/>
    <w:rsid w:val="003760DF"/>
    <w:rsid w:val="00376117"/>
    <w:rsid w:val="00376170"/>
    <w:rsid w:val="003761DA"/>
    <w:rsid w:val="00376379"/>
    <w:rsid w:val="00376650"/>
    <w:rsid w:val="00376652"/>
    <w:rsid w:val="0037667B"/>
    <w:rsid w:val="00376813"/>
    <w:rsid w:val="00376954"/>
    <w:rsid w:val="00376E95"/>
    <w:rsid w:val="00377051"/>
    <w:rsid w:val="0037717C"/>
    <w:rsid w:val="00377333"/>
    <w:rsid w:val="0037737E"/>
    <w:rsid w:val="003773DB"/>
    <w:rsid w:val="0037775A"/>
    <w:rsid w:val="0037776D"/>
    <w:rsid w:val="00377840"/>
    <w:rsid w:val="003779AE"/>
    <w:rsid w:val="003779BB"/>
    <w:rsid w:val="00377A91"/>
    <w:rsid w:val="00377CF5"/>
    <w:rsid w:val="00377D6B"/>
    <w:rsid w:val="00377F4A"/>
    <w:rsid w:val="00380223"/>
    <w:rsid w:val="003802D9"/>
    <w:rsid w:val="00380414"/>
    <w:rsid w:val="00380491"/>
    <w:rsid w:val="003804A6"/>
    <w:rsid w:val="003804D2"/>
    <w:rsid w:val="0038050A"/>
    <w:rsid w:val="00380616"/>
    <w:rsid w:val="0038067B"/>
    <w:rsid w:val="003809D7"/>
    <w:rsid w:val="00380A51"/>
    <w:rsid w:val="00380A6C"/>
    <w:rsid w:val="00380AE3"/>
    <w:rsid w:val="00380B0B"/>
    <w:rsid w:val="00380B75"/>
    <w:rsid w:val="00380B8C"/>
    <w:rsid w:val="00380E09"/>
    <w:rsid w:val="00380EC0"/>
    <w:rsid w:val="00380FE0"/>
    <w:rsid w:val="0038102D"/>
    <w:rsid w:val="00381051"/>
    <w:rsid w:val="003810E9"/>
    <w:rsid w:val="0038121E"/>
    <w:rsid w:val="003812E4"/>
    <w:rsid w:val="003814AC"/>
    <w:rsid w:val="0038157B"/>
    <w:rsid w:val="00381741"/>
    <w:rsid w:val="003817E6"/>
    <w:rsid w:val="0038189C"/>
    <w:rsid w:val="00381906"/>
    <w:rsid w:val="00381CA8"/>
    <w:rsid w:val="00381F1C"/>
    <w:rsid w:val="003821BE"/>
    <w:rsid w:val="00382287"/>
    <w:rsid w:val="003822AE"/>
    <w:rsid w:val="003824D2"/>
    <w:rsid w:val="003825D4"/>
    <w:rsid w:val="003825E3"/>
    <w:rsid w:val="003826F8"/>
    <w:rsid w:val="0038285D"/>
    <w:rsid w:val="00382934"/>
    <w:rsid w:val="00382962"/>
    <w:rsid w:val="00382BDB"/>
    <w:rsid w:val="00382C3B"/>
    <w:rsid w:val="00382C4F"/>
    <w:rsid w:val="00382CED"/>
    <w:rsid w:val="00382CF6"/>
    <w:rsid w:val="00382E37"/>
    <w:rsid w:val="00382EF3"/>
    <w:rsid w:val="00382F84"/>
    <w:rsid w:val="00383026"/>
    <w:rsid w:val="003831DA"/>
    <w:rsid w:val="00383222"/>
    <w:rsid w:val="00383434"/>
    <w:rsid w:val="003837B0"/>
    <w:rsid w:val="003839A9"/>
    <w:rsid w:val="00383CC4"/>
    <w:rsid w:val="0038413D"/>
    <w:rsid w:val="00384166"/>
    <w:rsid w:val="00384214"/>
    <w:rsid w:val="00384459"/>
    <w:rsid w:val="003844F8"/>
    <w:rsid w:val="00384AE5"/>
    <w:rsid w:val="00384B53"/>
    <w:rsid w:val="00384B94"/>
    <w:rsid w:val="00384C4B"/>
    <w:rsid w:val="00384E21"/>
    <w:rsid w:val="00384E31"/>
    <w:rsid w:val="00384FA1"/>
    <w:rsid w:val="0038548C"/>
    <w:rsid w:val="00385497"/>
    <w:rsid w:val="0038554F"/>
    <w:rsid w:val="00385742"/>
    <w:rsid w:val="00385849"/>
    <w:rsid w:val="003859B5"/>
    <w:rsid w:val="00385AAC"/>
    <w:rsid w:val="00385D55"/>
    <w:rsid w:val="00385E15"/>
    <w:rsid w:val="00385ED2"/>
    <w:rsid w:val="00385FCC"/>
    <w:rsid w:val="00386002"/>
    <w:rsid w:val="00386246"/>
    <w:rsid w:val="00386481"/>
    <w:rsid w:val="003864E0"/>
    <w:rsid w:val="003864F9"/>
    <w:rsid w:val="003865F6"/>
    <w:rsid w:val="0038697D"/>
    <w:rsid w:val="003869B3"/>
    <w:rsid w:val="00386A32"/>
    <w:rsid w:val="00386AEA"/>
    <w:rsid w:val="00386BBC"/>
    <w:rsid w:val="00386C50"/>
    <w:rsid w:val="00386E2E"/>
    <w:rsid w:val="00386F51"/>
    <w:rsid w:val="00387300"/>
    <w:rsid w:val="0038752F"/>
    <w:rsid w:val="003875FD"/>
    <w:rsid w:val="0038764F"/>
    <w:rsid w:val="00387786"/>
    <w:rsid w:val="003877D2"/>
    <w:rsid w:val="00387A6B"/>
    <w:rsid w:val="00387B71"/>
    <w:rsid w:val="00387CD9"/>
    <w:rsid w:val="00387DB2"/>
    <w:rsid w:val="0039021B"/>
    <w:rsid w:val="00390440"/>
    <w:rsid w:val="0039068F"/>
    <w:rsid w:val="0039096F"/>
    <w:rsid w:val="00390C04"/>
    <w:rsid w:val="0039103D"/>
    <w:rsid w:val="003911E6"/>
    <w:rsid w:val="003913B3"/>
    <w:rsid w:val="00391548"/>
    <w:rsid w:val="00391571"/>
    <w:rsid w:val="00391631"/>
    <w:rsid w:val="0039178D"/>
    <w:rsid w:val="003919EE"/>
    <w:rsid w:val="00391A00"/>
    <w:rsid w:val="00391AAE"/>
    <w:rsid w:val="00391BA5"/>
    <w:rsid w:val="00391C40"/>
    <w:rsid w:val="00391F18"/>
    <w:rsid w:val="0039204C"/>
    <w:rsid w:val="00392149"/>
    <w:rsid w:val="00392249"/>
    <w:rsid w:val="0039232C"/>
    <w:rsid w:val="003924F2"/>
    <w:rsid w:val="00392535"/>
    <w:rsid w:val="003925BA"/>
    <w:rsid w:val="003927AF"/>
    <w:rsid w:val="00392ADB"/>
    <w:rsid w:val="00392D36"/>
    <w:rsid w:val="00392D65"/>
    <w:rsid w:val="00392E32"/>
    <w:rsid w:val="00392E61"/>
    <w:rsid w:val="00393191"/>
    <w:rsid w:val="0039330C"/>
    <w:rsid w:val="00393889"/>
    <w:rsid w:val="003938CA"/>
    <w:rsid w:val="00393C4D"/>
    <w:rsid w:val="00393C6C"/>
    <w:rsid w:val="003941D2"/>
    <w:rsid w:val="00394227"/>
    <w:rsid w:val="003944CD"/>
    <w:rsid w:val="00394789"/>
    <w:rsid w:val="003947C8"/>
    <w:rsid w:val="00394957"/>
    <w:rsid w:val="003949C4"/>
    <w:rsid w:val="003949CD"/>
    <w:rsid w:val="00394A28"/>
    <w:rsid w:val="00394A73"/>
    <w:rsid w:val="00394D6F"/>
    <w:rsid w:val="00394D94"/>
    <w:rsid w:val="00394DBB"/>
    <w:rsid w:val="00394F38"/>
    <w:rsid w:val="00395043"/>
    <w:rsid w:val="00395058"/>
    <w:rsid w:val="003952FD"/>
    <w:rsid w:val="0039538F"/>
    <w:rsid w:val="0039583C"/>
    <w:rsid w:val="00395A43"/>
    <w:rsid w:val="00395BB4"/>
    <w:rsid w:val="00395BFA"/>
    <w:rsid w:val="00395C68"/>
    <w:rsid w:val="00395CED"/>
    <w:rsid w:val="00395D69"/>
    <w:rsid w:val="00395FC1"/>
    <w:rsid w:val="003960FF"/>
    <w:rsid w:val="00396111"/>
    <w:rsid w:val="00396227"/>
    <w:rsid w:val="00396493"/>
    <w:rsid w:val="00396706"/>
    <w:rsid w:val="0039673A"/>
    <w:rsid w:val="003967E9"/>
    <w:rsid w:val="003967EF"/>
    <w:rsid w:val="0039680D"/>
    <w:rsid w:val="003968E2"/>
    <w:rsid w:val="00396B35"/>
    <w:rsid w:val="00396B5D"/>
    <w:rsid w:val="00396B96"/>
    <w:rsid w:val="00396C76"/>
    <w:rsid w:val="00396FB8"/>
    <w:rsid w:val="00397136"/>
    <w:rsid w:val="00397166"/>
    <w:rsid w:val="00397197"/>
    <w:rsid w:val="0039727C"/>
    <w:rsid w:val="0039735D"/>
    <w:rsid w:val="00397475"/>
    <w:rsid w:val="003974DB"/>
    <w:rsid w:val="003974F8"/>
    <w:rsid w:val="003975C0"/>
    <w:rsid w:val="003975DB"/>
    <w:rsid w:val="0039768A"/>
    <w:rsid w:val="00397846"/>
    <w:rsid w:val="003978B9"/>
    <w:rsid w:val="003978C6"/>
    <w:rsid w:val="003979F5"/>
    <w:rsid w:val="00397A71"/>
    <w:rsid w:val="00397AFA"/>
    <w:rsid w:val="00397BD3"/>
    <w:rsid w:val="00397E5D"/>
    <w:rsid w:val="00397FFC"/>
    <w:rsid w:val="003A009A"/>
    <w:rsid w:val="003A00D2"/>
    <w:rsid w:val="003A0131"/>
    <w:rsid w:val="003A0155"/>
    <w:rsid w:val="003A02B0"/>
    <w:rsid w:val="003A046C"/>
    <w:rsid w:val="003A048B"/>
    <w:rsid w:val="003A04AB"/>
    <w:rsid w:val="003A0506"/>
    <w:rsid w:val="003A05F3"/>
    <w:rsid w:val="003A0750"/>
    <w:rsid w:val="003A07DB"/>
    <w:rsid w:val="003A0910"/>
    <w:rsid w:val="003A0A3C"/>
    <w:rsid w:val="003A0BAF"/>
    <w:rsid w:val="003A0D69"/>
    <w:rsid w:val="003A0DA7"/>
    <w:rsid w:val="003A0F95"/>
    <w:rsid w:val="003A10C5"/>
    <w:rsid w:val="003A10E0"/>
    <w:rsid w:val="003A13A4"/>
    <w:rsid w:val="003A13C0"/>
    <w:rsid w:val="003A14C7"/>
    <w:rsid w:val="003A14E7"/>
    <w:rsid w:val="003A1551"/>
    <w:rsid w:val="003A1752"/>
    <w:rsid w:val="003A1773"/>
    <w:rsid w:val="003A18CE"/>
    <w:rsid w:val="003A18F6"/>
    <w:rsid w:val="003A1960"/>
    <w:rsid w:val="003A19A6"/>
    <w:rsid w:val="003A19F1"/>
    <w:rsid w:val="003A1A35"/>
    <w:rsid w:val="003A1AC5"/>
    <w:rsid w:val="003A1B16"/>
    <w:rsid w:val="003A1E90"/>
    <w:rsid w:val="003A20ED"/>
    <w:rsid w:val="003A21AD"/>
    <w:rsid w:val="003A227E"/>
    <w:rsid w:val="003A238E"/>
    <w:rsid w:val="003A23B6"/>
    <w:rsid w:val="003A24B9"/>
    <w:rsid w:val="003A24E4"/>
    <w:rsid w:val="003A28BB"/>
    <w:rsid w:val="003A28F4"/>
    <w:rsid w:val="003A297E"/>
    <w:rsid w:val="003A2A81"/>
    <w:rsid w:val="003A2A9D"/>
    <w:rsid w:val="003A2AC7"/>
    <w:rsid w:val="003A2F31"/>
    <w:rsid w:val="003A2F90"/>
    <w:rsid w:val="003A3165"/>
    <w:rsid w:val="003A327D"/>
    <w:rsid w:val="003A3287"/>
    <w:rsid w:val="003A329F"/>
    <w:rsid w:val="003A33F0"/>
    <w:rsid w:val="003A35DE"/>
    <w:rsid w:val="003A35E5"/>
    <w:rsid w:val="003A3756"/>
    <w:rsid w:val="003A3B92"/>
    <w:rsid w:val="003A3BD2"/>
    <w:rsid w:val="003A3CFD"/>
    <w:rsid w:val="003A3EFA"/>
    <w:rsid w:val="003A3FAD"/>
    <w:rsid w:val="003A3FFE"/>
    <w:rsid w:val="003A411C"/>
    <w:rsid w:val="003A418E"/>
    <w:rsid w:val="003A4381"/>
    <w:rsid w:val="003A4555"/>
    <w:rsid w:val="003A469D"/>
    <w:rsid w:val="003A4810"/>
    <w:rsid w:val="003A4A1D"/>
    <w:rsid w:val="003A4B01"/>
    <w:rsid w:val="003A4DB8"/>
    <w:rsid w:val="003A4F44"/>
    <w:rsid w:val="003A4F73"/>
    <w:rsid w:val="003A509F"/>
    <w:rsid w:val="003A519C"/>
    <w:rsid w:val="003A52F3"/>
    <w:rsid w:val="003A55B1"/>
    <w:rsid w:val="003A55D5"/>
    <w:rsid w:val="003A57A9"/>
    <w:rsid w:val="003A57C9"/>
    <w:rsid w:val="003A580B"/>
    <w:rsid w:val="003A5960"/>
    <w:rsid w:val="003A5AC2"/>
    <w:rsid w:val="003A5C75"/>
    <w:rsid w:val="003A5F0F"/>
    <w:rsid w:val="003A5FD8"/>
    <w:rsid w:val="003A63E0"/>
    <w:rsid w:val="003A64C1"/>
    <w:rsid w:val="003A68CA"/>
    <w:rsid w:val="003A6912"/>
    <w:rsid w:val="003A6959"/>
    <w:rsid w:val="003A6972"/>
    <w:rsid w:val="003A6D86"/>
    <w:rsid w:val="003A7175"/>
    <w:rsid w:val="003A71D7"/>
    <w:rsid w:val="003A7325"/>
    <w:rsid w:val="003A732C"/>
    <w:rsid w:val="003A73AD"/>
    <w:rsid w:val="003A7758"/>
    <w:rsid w:val="003A78DD"/>
    <w:rsid w:val="003A7966"/>
    <w:rsid w:val="003A7AB5"/>
    <w:rsid w:val="003A7AC3"/>
    <w:rsid w:val="003A7B9A"/>
    <w:rsid w:val="003A7BE1"/>
    <w:rsid w:val="003A7CA6"/>
    <w:rsid w:val="003A7D02"/>
    <w:rsid w:val="003A7D33"/>
    <w:rsid w:val="003A7DA6"/>
    <w:rsid w:val="003A7E50"/>
    <w:rsid w:val="003A7EB8"/>
    <w:rsid w:val="003B009D"/>
    <w:rsid w:val="003B0286"/>
    <w:rsid w:val="003B0827"/>
    <w:rsid w:val="003B0838"/>
    <w:rsid w:val="003B0847"/>
    <w:rsid w:val="003B0A58"/>
    <w:rsid w:val="003B0B51"/>
    <w:rsid w:val="003B0BB8"/>
    <w:rsid w:val="003B0C13"/>
    <w:rsid w:val="003B0CA9"/>
    <w:rsid w:val="003B0D63"/>
    <w:rsid w:val="003B0DFB"/>
    <w:rsid w:val="003B0ED8"/>
    <w:rsid w:val="003B0FD8"/>
    <w:rsid w:val="003B10B2"/>
    <w:rsid w:val="003B11DD"/>
    <w:rsid w:val="003B1230"/>
    <w:rsid w:val="003B131C"/>
    <w:rsid w:val="003B13D4"/>
    <w:rsid w:val="003B1432"/>
    <w:rsid w:val="003B1506"/>
    <w:rsid w:val="003B1620"/>
    <w:rsid w:val="003B164D"/>
    <w:rsid w:val="003B165B"/>
    <w:rsid w:val="003B1705"/>
    <w:rsid w:val="003B1811"/>
    <w:rsid w:val="003B1832"/>
    <w:rsid w:val="003B1874"/>
    <w:rsid w:val="003B18F7"/>
    <w:rsid w:val="003B1A13"/>
    <w:rsid w:val="003B1A86"/>
    <w:rsid w:val="003B1CA0"/>
    <w:rsid w:val="003B1E02"/>
    <w:rsid w:val="003B1E60"/>
    <w:rsid w:val="003B208A"/>
    <w:rsid w:val="003B20AC"/>
    <w:rsid w:val="003B2351"/>
    <w:rsid w:val="003B249A"/>
    <w:rsid w:val="003B26AD"/>
    <w:rsid w:val="003B2713"/>
    <w:rsid w:val="003B279D"/>
    <w:rsid w:val="003B27A9"/>
    <w:rsid w:val="003B27CF"/>
    <w:rsid w:val="003B2A4D"/>
    <w:rsid w:val="003B2B0B"/>
    <w:rsid w:val="003B2C42"/>
    <w:rsid w:val="003B2D96"/>
    <w:rsid w:val="003B2FBE"/>
    <w:rsid w:val="003B31A7"/>
    <w:rsid w:val="003B32DF"/>
    <w:rsid w:val="003B335C"/>
    <w:rsid w:val="003B3362"/>
    <w:rsid w:val="003B343E"/>
    <w:rsid w:val="003B3464"/>
    <w:rsid w:val="003B34F8"/>
    <w:rsid w:val="003B35D2"/>
    <w:rsid w:val="003B380A"/>
    <w:rsid w:val="003B3866"/>
    <w:rsid w:val="003B3932"/>
    <w:rsid w:val="003B3A09"/>
    <w:rsid w:val="003B3C46"/>
    <w:rsid w:val="003B3DA6"/>
    <w:rsid w:val="003B3E26"/>
    <w:rsid w:val="003B3EE2"/>
    <w:rsid w:val="003B4440"/>
    <w:rsid w:val="003B4639"/>
    <w:rsid w:val="003B48E8"/>
    <w:rsid w:val="003B4B24"/>
    <w:rsid w:val="003B4B67"/>
    <w:rsid w:val="003B4D11"/>
    <w:rsid w:val="003B4EF3"/>
    <w:rsid w:val="003B4FB9"/>
    <w:rsid w:val="003B5051"/>
    <w:rsid w:val="003B5058"/>
    <w:rsid w:val="003B5306"/>
    <w:rsid w:val="003B568B"/>
    <w:rsid w:val="003B56D2"/>
    <w:rsid w:val="003B5AA8"/>
    <w:rsid w:val="003B5B54"/>
    <w:rsid w:val="003B5E5C"/>
    <w:rsid w:val="003B5E96"/>
    <w:rsid w:val="003B6019"/>
    <w:rsid w:val="003B6178"/>
    <w:rsid w:val="003B61B6"/>
    <w:rsid w:val="003B62FD"/>
    <w:rsid w:val="003B65D3"/>
    <w:rsid w:val="003B6746"/>
    <w:rsid w:val="003B6747"/>
    <w:rsid w:val="003B6770"/>
    <w:rsid w:val="003B67E4"/>
    <w:rsid w:val="003B690D"/>
    <w:rsid w:val="003B6943"/>
    <w:rsid w:val="003B6AE1"/>
    <w:rsid w:val="003B6B29"/>
    <w:rsid w:val="003B6C41"/>
    <w:rsid w:val="003B6F73"/>
    <w:rsid w:val="003B6FAE"/>
    <w:rsid w:val="003B70B4"/>
    <w:rsid w:val="003B717F"/>
    <w:rsid w:val="003B7180"/>
    <w:rsid w:val="003B7259"/>
    <w:rsid w:val="003B7260"/>
    <w:rsid w:val="003B7440"/>
    <w:rsid w:val="003B74A3"/>
    <w:rsid w:val="003B7570"/>
    <w:rsid w:val="003B77FF"/>
    <w:rsid w:val="003B79B1"/>
    <w:rsid w:val="003B7AE4"/>
    <w:rsid w:val="003B7DAC"/>
    <w:rsid w:val="003B7DD5"/>
    <w:rsid w:val="003B7DF7"/>
    <w:rsid w:val="003C04D5"/>
    <w:rsid w:val="003C04D6"/>
    <w:rsid w:val="003C05FF"/>
    <w:rsid w:val="003C0AA0"/>
    <w:rsid w:val="003C0AAD"/>
    <w:rsid w:val="003C0BBA"/>
    <w:rsid w:val="003C0BD9"/>
    <w:rsid w:val="003C0C8D"/>
    <w:rsid w:val="003C0E01"/>
    <w:rsid w:val="003C11A1"/>
    <w:rsid w:val="003C12D3"/>
    <w:rsid w:val="003C18C2"/>
    <w:rsid w:val="003C1951"/>
    <w:rsid w:val="003C1A3C"/>
    <w:rsid w:val="003C1A83"/>
    <w:rsid w:val="003C1A84"/>
    <w:rsid w:val="003C1A9E"/>
    <w:rsid w:val="003C1B1F"/>
    <w:rsid w:val="003C1E0A"/>
    <w:rsid w:val="003C1E5F"/>
    <w:rsid w:val="003C1EB6"/>
    <w:rsid w:val="003C1F59"/>
    <w:rsid w:val="003C22E0"/>
    <w:rsid w:val="003C22F1"/>
    <w:rsid w:val="003C25EF"/>
    <w:rsid w:val="003C27F0"/>
    <w:rsid w:val="003C29B3"/>
    <w:rsid w:val="003C29F4"/>
    <w:rsid w:val="003C2C76"/>
    <w:rsid w:val="003C2D46"/>
    <w:rsid w:val="003C2E95"/>
    <w:rsid w:val="003C31F8"/>
    <w:rsid w:val="003C33B2"/>
    <w:rsid w:val="003C366A"/>
    <w:rsid w:val="003C3831"/>
    <w:rsid w:val="003C3862"/>
    <w:rsid w:val="003C3D6C"/>
    <w:rsid w:val="003C3E11"/>
    <w:rsid w:val="003C3F46"/>
    <w:rsid w:val="003C41C8"/>
    <w:rsid w:val="003C44E8"/>
    <w:rsid w:val="003C4B3A"/>
    <w:rsid w:val="003C4D3D"/>
    <w:rsid w:val="003C4EC0"/>
    <w:rsid w:val="003C4F11"/>
    <w:rsid w:val="003C5050"/>
    <w:rsid w:val="003C5082"/>
    <w:rsid w:val="003C516A"/>
    <w:rsid w:val="003C5222"/>
    <w:rsid w:val="003C5228"/>
    <w:rsid w:val="003C535C"/>
    <w:rsid w:val="003C5598"/>
    <w:rsid w:val="003C5815"/>
    <w:rsid w:val="003C5831"/>
    <w:rsid w:val="003C5838"/>
    <w:rsid w:val="003C594F"/>
    <w:rsid w:val="003C5952"/>
    <w:rsid w:val="003C5A07"/>
    <w:rsid w:val="003C5A21"/>
    <w:rsid w:val="003C5B74"/>
    <w:rsid w:val="003C5C9D"/>
    <w:rsid w:val="003C5D66"/>
    <w:rsid w:val="003C5E9A"/>
    <w:rsid w:val="003C5EB3"/>
    <w:rsid w:val="003C6036"/>
    <w:rsid w:val="003C61A0"/>
    <w:rsid w:val="003C623E"/>
    <w:rsid w:val="003C6250"/>
    <w:rsid w:val="003C6282"/>
    <w:rsid w:val="003C6320"/>
    <w:rsid w:val="003C6369"/>
    <w:rsid w:val="003C636A"/>
    <w:rsid w:val="003C6373"/>
    <w:rsid w:val="003C64F2"/>
    <w:rsid w:val="003C6533"/>
    <w:rsid w:val="003C66B1"/>
    <w:rsid w:val="003C6978"/>
    <w:rsid w:val="003C6A46"/>
    <w:rsid w:val="003C6A7B"/>
    <w:rsid w:val="003C6EDC"/>
    <w:rsid w:val="003C6F07"/>
    <w:rsid w:val="003C6F0C"/>
    <w:rsid w:val="003C6F46"/>
    <w:rsid w:val="003C7081"/>
    <w:rsid w:val="003C727A"/>
    <w:rsid w:val="003C727B"/>
    <w:rsid w:val="003C7487"/>
    <w:rsid w:val="003C7561"/>
    <w:rsid w:val="003C75FC"/>
    <w:rsid w:val="003C77C7"/>
    <w:rsid w:val="003C791C"/>
    <w:rsid w:val="003C79B6"/>
    <w:rsid w:val="003C7A9F"/>
    <w:rsid w:val="003C7AE9"/>
    <w:rsid w:val="003C7B22"/>
    <w:rsid w:val="003C7C93"/>
    <w:rsid w:val="003D0324"/>
    <w:rsid w:val="003D04ED"/>
    <w:rsid w:val="003D056D"/>
    <w:rsid w:val="003D066C"/>
    <w:rsid w:val="003D08E9"/>
    <w:rsid w:val="003D08F7"/>
    <w:rsid w:val="003D09A5"/>
    <w:rsid w:val="003D0A12"/>
    <w:rsid w:val="003D0BD2"/>
    <w:rsid w:val="003D0C6A"/>
    <w:rsid w:val="003D0CD7"/>
    <w:rsid w:val="003D0DDE"/>
    <w:rsid w:val="003D0E57"/>
    <w:rsid w:val="003D0FC2"/>
    <w:rsid w:val="003D0FD3"/>
    <w:rsid w:val="003D1006"/>
    <w:rsid w:val="003D11B0"/>
    <w:rsid w:val="003D12CC"/>
    <w:rsid w:val="003D1308"/>
    <w:rsid w:val="003D1320"/>
    <w:rsid w:val="003D13F1"/>
    <w:rsid w:val="003D153B"/>
    <w:rsid w:val="003D15BB"/>
    <w:rsid w:val="003D1CEC"/>
    <w:rsid w:val="003D1E28"/>
    <w:rsid w:val="003D1F7D"/>
    <w:rsid w:val="003D20B3"/>
    <w:rsid w:val="003D20D1"/>
    <w:rsid w:val="003D2293"/>
    <w:rsid w:val="003D250B"/>
    <w:rsid w:val="003D254E"/>
    <w:rsid w:val="003D2585"/>
    <w:rsid w:val="003D262D"/>
    <w:rsid w:val="003D26F3"/>
    <w:rsid w:val="003D2913"/>
    <w:rsid w:val="003D2A67"/>
    <w:rsid w:val="003D30E7"/>
    <w:rsid w:val="003D317F"/>
    <w:rsid w:val="003D3612"/>
    <w:rsid w:val="003D371C"/>
    <w:rsid w:val="003D39E9"/>
    <w:rsid w:val="003D3A71"/>
    <w:rsid w:val="003D3AE1"/>
    <w:rsid w:val="003D3C90"/>
    <w:rsid w:val="003D3CBF"/>
    <w:rsid w:val="003D3F0E"/>
    <w:rsid w:val="003D3F93"/>
    <w:rsid w:val="003D40C5"/>
    <w:rsid w:val="003D4287"/>
    <w:rsid w:val="003D42D7"/>
    <w:rsid w:val="003D4408"/>
    <w:rsid w:val="003D442B"/>
    <w:rsid w:val="003D443E"/>
    <w:rsid w:val="003D444A"/>
    <w:rsid w:val="003D44CA"/>
    <w:rsid w:val="003D4559"/>
    <w:rsid w:val="003D45F6"/>
    <w:rsid w:val="003D46C1"/>
    <w:rsid w:val="003D474F"/>
    <w:rsid w:val="003D477E"/>
    <w:rsid w:val="003D4A02"/>
    <w:rsid w:val="003D4B09"/>
    <w:rsid w:val="003D4D9D"/>
    <w:rsid w:val="003D4E7A"/>
    <w:rsid w:val="003D4F11"/>
    <w:rsid w:val="003D50D7"/>
    <w:rsid w:val="003D5101"/>
    <w:rsid w:val="003D5267"/>
    <w:rsid w:val="003D57A5"/>
    <w:rsid w:val="003D5902"/>
    <w:rsid w:val="003D5AB2"/>
    <w:rsid w:val="003D5AC2"/>
    <w:rsid w:val="003D5AEE"/>
    <w:rsid w:val="003D5BC9"/>
    <w:rsid w:val="003D5C75"/>
    <w:rsid w:val="003D5E3C"/>
    <w:rsid w:val="003D5E8A"/>
    <w:rsid w:val="003D5EDE"/>
    <w:rsid w:val="003D5F23"/>
    <w:rsid w:val="003D613B"/>
    <w:rsid w:val="003D6268"/>
    <w:rsid w:val="003D6333"/>
    <w:rsid w:val="003D642E"/>
    <w:rsid w:val="003D6467"/>
    <w:rsid w:val="003D6599"/>
    <w:rsid w:val="003D65A1"/>
    <w:rsid w:val="003D6726"/>
    <w:rsid w:val="003D6D71"/>
    <w:rsid w:val="003D6DA4"/>
    <w:rsid w:val="003D6DB1"/>
    <w:rsid w:val="003D6E54"/>
    <w:rsid w:val="003D6F1B"/>
    <w:rsid w:val="003D722F"/>
    <w:rsid w:val="003D7359"/>
    <w:rsid w:val="003D73A8"/>
    <w:rsid w:val="003D7419"/>
    <w:rsid w:val="003D7446"/>
    <w:rsid w:val="003D7506"/>
    <w:rsid w:val="003D75CB"/>
    <w:rsid w:val="003D7694"/>
    <w:rsid w:val="003D782F"/>
    <w:rsid w:val="003D7838"/>
    <w:rsid w:val="003D7975"/>
    <w:rsid w:val="003D7B13"/>
    <w:rsid w:val="003D7C0F"/>
    <w:rsid w:val="003E00F1"/>
    <w:rsid w:val="003E03FC"/>
    <w:rsid w:val="003E048A"/>
    <w:rsid w:val="003E0541"/>
    <w:rsid w:val="003E0563"/>
    <w:rsid w:val="003E05A7"/>
    <w:rsid w:val="003E06FD"/>
    <w:rsid w:val="003E07A3"/>
    <w:rsid w:val="003E08AE"/>
    <w:rsid w:val="003E0936"/>
    <w:rsid w:val="003E0A48"/>
    <w:rsid w:val="003E0B02"/>
    <w:rsid w:val="003E0B7A"/>
    <w:rsid w:val="003E0EE1"/>
    <w:rsid w:val="003E0F3E"/>
    <w:rsid w:val="003E0FD6"/>
    <w:rsid w:val="003E1100"/>
    <w:rsid w:val="003E1256"/>
    <w:rsid w:val="003E150A"/>
    <w:rsid w:val="003E1561"/>
    <w:rsid w:val="003E1748"/>
    <w:rsid w:val="003E1979"/>
    <w:rsid w:val="003E1C04"/>
    <w:rsid w:val="003E1D1A"/>
    <w:rsid w:val="003E1FD3"/>
    <w:rsid w:val="003E20F3"/>
    <w:rsid w:val="003E2159"/>
    <w:rsid w:val="003E233E"/>
    <w:rsid w:val="003E23CE"/>
    <w:rsid w:val="003E250A"/>
    <w:rsid w:val="003E265C"/>
    <w:rsid w:val="003E27AF"/>
    <w:rsid w:val="003E28C4"/>
    <w:rsid w:val="003E2909"/>
    <w:rsid w:val="003E2C48"/>
    <w:rsid w:val="003E2D5C"/>
    <w:rsid w:val="003E2D5E"/>
    <w:rsid w:val="003E2F25"/>
    <w:rsid w:val="003E2F2C"/>
    <w:rsid w:val="003E2F31"/>
    <w:rsid w:val="003E3058"/>
    <w:rsid w:val="003E30A3"/>
    <w:rsid w:val="003E3102"/>
    <w:rsid w:val="003E3116"/>
    <w:rsid w:val="003E3118"/>
    <w:rsid w:val="003E3209"/>
    <w:rsid w:val="003E342C"/>
    <w:rsid w:val="003E3624"/>
    <w:rsid w:val="003E3856"/>
    <w:rsid w:val="003E3A19"/>
    <w:rsid w:val="003E3A86"/>
    <w:rsid w:val="003E3AA5"/>
    <w:rsid w:val="003E3BC9"/>
    <w:rsid w:val="003E3D18"/>
    <w:rsid w:val="003E3E6F"/>
    <w:rsid w:val="003E3EB4"/>
    <w:rsid w:val="003E4000"/>
    <w:rsid w:val="003E410D"/>
    <w:rsid w:val="003E41B8"/>
    <w:rsid w:val="003E41FF"/>
    <w:rsid w:val="003E4269"/>
    <w:rsid w:val="003E465D"/>
    <w:rsid w:val="003E4791"/>
    <w:rsid w:val="003E49CF"/>
    <w:rsid w:val="003E4B35"/>
    <w:rsid w:val="003E4E2B"/>
    <w:rsid w:val="003E4E37"/>
    <w:rsid w:val="003E4E46"/>
    <w:rsid w:val="003E4ED9"/>
    <w:rsid w:val="003E504B"/>
    <w:rsid w:val="003E54C3"/>
    <w:rsid w:val="003E54D2"/>
    <w:rsid w:val="003E570A"/>
    <w:rsid w:val="003E58CF"/>
    <w:rsid w:val="003E5914"/>
    <w:rsid w:val="003E59BD"/>
    <w:rsid w:val="003E5A25"/>
    <w:rsid w:val="003E5C97"/>
    <w:rsid w:val="003E5D56"/>
    <w:rsid w:val="003E5EB0"/>
    <w:rsid w:val="003E5EB9"/>
    <w:rsid w:val="003E6077"/>
    <w:rsid w:val="003E6388"/>
    <w:rsid w:val="003E640F"/>
    <w:rsid w:val="003E641E"/>
    <w:rsid w:val="003E654E"/>
    <w:rsid w:val="003E65C2"/>
    <w:rsid w:val="003E6666"/>
    <w:rsid w:val="003E676D"/>
    <w:rsid w:val="003E6B19"/>
    <w:rsid w:val="003E6BFC"/>
    <w:rsid w:val="003E6D09"/>
    <w:rsid w:val="003E6DA5"/>
    <w:rsid w:val="003E6EA5"/>
    <w:rsid w:val="003E6F29"/>
    <w:rsid w:val="003E6FD8"/>
    <w:rsid w:val="003E71E2"/>
    <w:rsid w:val="003E7234"/>
    <w:rsid w:val="003E738D"/>
    <w:rsid w:val="003E73CD"/>
    <w:rsid w:val="003E75D0"/>
    <w:rsid w:val="003E7665"/>
    <w:rsid w:val="003E7849"/>
    <w:rsid w:val="003E7AE4"/>
    <w:rsid w:val="003E7B89"/>
    <w:rsid w:val="003E7B9F"/>
    <w:rsid w:val="003E7C8D"/>
    <w:rsid w:val="003E7D2E"/>
    <w:rsid w:val="003E7E4F"/>
    <w:rsid w:val="003F01AD"/>
    <w:rsid w:val="003F04DD"/>
    <w:rsid w:val="003F0625"/>
    <w:rsid w:val="003F0866"/>
    <w:rsid w:val="003F0883"/>
    <w:rsid w:val="003F09D0"/>
    <w:rsid w:val="003F0A42"/>
    <w:rsid w:val="003F0AE1"/>
    <w:rsid w:val="003F0B8F"/>
    <w:rsid w:val="003F0C37"/>
    <w:rsid w:val="003F0D0C"/>
    <w:rsid w:val="003F0DAA"/>
    <w:rsid w:val="003F0E30"/>
    <w:rsid w:val="003F0EA3"/>
    <w:rsid w:val="003F11B7"/>
    <w:rsid w:val="003F16EC"/>
    <w:rsid w:val="003F1717"/>
    <w:rsid w:val="003F1930"/>
    <w:rsid w:val="003F1BA0"/>
    <w:rsid w:val="003F1C9F"/>
    <w:rsid w:val="003F1D67"/>
    <w:rsid w:val="003F1FD7"/>
    <w:rsid w:val="003F20E9"/>
    <w:rsid w:val="003F21EE"/>
    <w:rsid w:val="003F237D"/>
    <w:rsid w:val="003F23C5"/>
    <w:rsid w:val="003F23CE"/>
    <w:rsid w:val="003F2421"/>
    <w:rsid w:val="003F2751"/>
    <w:rsid w:val="003F2B9E"/>
    <w:rsid w:val="003F2B9F"/>
    <w:rsid w:val="003F2BBD"/>
    <w:rsid w:val="003F2BD7"/>
    <w:rsid w:val="003F2DCF"/>
    <w:rsid w:val="003F30D6"/>
    <w:rsid w:val="003F33AC"/>
    <w:rsid w:val="003F347F"/>
    <w:rsid w:val="003F348A"/>
    <w:rsid w:val="003F3768"/>
    <w:rsid w:val="003F37E7"/>
    <w:rsid w:val="003F3878"/>
    <w:rsid w:val="003F3916"/>
    <w:rsid w:val="003F3BAE"/>
    <w:rsid w:val="003F3C04"/>
    <w:rsid w:val="003F3C26"/>
    <w:rsid w:val="003F3F0E"/>
    <w:rsid w:val="003F3F96"/>
    <w:rsid w:val="003F4112"/>
    <w:rsid w:val="003F4417"/>
    <w:rsid w:val="003F4444"/>
    <w:rsid w:val="003F450B"/>
    <w:rsid w:val="003F46FC"/>
    <w:rsid w:val="003F4A71"/>
    <w:rsid w:val="003F4C37"/>
    <w:rsid w:val="003F4CEA"/>
    <w:rsid w:val="003F4F17"/>
    <w:rsid w:val="003F4F24"/>
    <w:rsid w:val="003F514C"/>
    <w:rsid w:val="003F51D9"/>
    <w:rsid w:val="003F5345"/>
    <w:rsid w:val="003F5442"/>
    <w:rsid w:val="003F5581"/>
    <w:rsid w:val="003F567E"/>
    <w:rsid w:val="003F5992"/>
    <w:rsid w:val="003F59B1"/>
    <w:rsid w:val="003F5CC4"/>
    <w:rsid w:val="003F5CCE"/>
    <w:rsid w:val="003F6045"/>
    <w:rsid w:val="003F60F2"/>
    <w:rsid w:val="003F62C2"/>
    <w:rsid w:val="003F62CF"/>
    <w:rsid w:val="003F6429"/>
    <w:rsid w:val="003F65A9"/>
    <w:rsid w:val="003F66AD"/>
    <w:rsid w:val="003F6902"/>
    <w:rsid w:val="003F6926"/>
    <w:rsid w:val="003F6B90"/>
    <w:rsid w:val="003F6D65"/>
    <w:rsid w:val="003F6DF7"/>
    <w:rsid w:val="003F6F19"/>
    <w:rsid w:val="003F6FD6"/>
    <w:rsid w:val="003F703F"/>
    <w:rsid w:val="003F70BD"/>
    <w:rsid w:val="003F7109"/>
    <w:rsid w:val="003F7116"/>
    <w:rsid w:val="003F7146"/>
    <w:rsid w:val="003F7420"/>
    <w:rsid w:val="003F74FD"/>
    <w:rsid w:val="003F75BA"/>
    <w:rsid w:val="003F75F7"/>
    <w:rsid w:val="003F774B"/>
    <w:rsid w:val="003F77C8"/>
    <w:rsid w:val="003F77FA"/>
    <w:rsid w:val="003F7970"/>
    <w:rsid w:val="003F7ABE"/>
    <w:rsid w:val="003F7CAB"/>
    <w:rsid w:val="003F7D78"/>
    <w:rsid w:val="003F7DB8"/>
    <w:rsid w:val="004000D7"/>
    <w:rsid w:val="004001D0"/>
    <w:rsid w:val="00400530"/>
    <w:rsid w:val="004005EB"/>
    <w:rsid w:val="00400654"/>
    <w:rsid w:val="0040071B"/>
    <w:rsid w:val="00400A02"/>
    <w:rsid w:val="00400A99"/>
    <w:rsid w:val="00400BB1"/>
    <w:rsid w:val="00400C46"/>
    <w:rsid w:val="00400C63"/>
    <w:rsid w:val="00400D6A"/>
    <w:rsid w:val="00400E12"/>
    <w:rsid w:val="00400E85"/>
    <w:rsid w:val="00400EB0"/>
    <w:rsid w:val="004013A2"/>
    <w:rsid w:val="00401417"/>
    <w:rsid w:val="0040149D"/>
    <w:rsid w:val="004015E9"/>
    <w:rsid w:val="004016E4"/>
    <w:rsid w:val="00401762"/>
    <w:rsid w:val="00401777"/>
    <w:rsid w:val="0040179D"/>
    <w:rsid w:val="004018F0"/>
    <w:rsid w:val="00401904"/>
    <w:rsid w:val="00401972"/>
    <w:rsid w:val="00401BCD"/>
    <w:rsid w:val="00401CF6"/>
    <w:rsid w:val="00401E01"/>
    <w:rsid w:val="00401E32"/>
    <w:rsid w:val="00401E54"/>
    <w:rsid w:val="00401F8D"/>
    <w:rsid w:val="00402043"/>
    <w:rsid w:val="004020ED"/>
    <w:rsid w:val="00402239"/>
    <w:rsid w:val="00402356"/>
    <w:rsid w:val="00402586"/>
    <w:rsid w:val="00402613"/>
    <w:rsid w:val="0040262D"/>
    <w:rsid w:val="004026AB"/>
    <w:rsid w:val="004027AB"/>
    <w:rsid w:val="00402AB8"/>
    <w:rsid w:val="00402B05"/>
    <w:rsid w:val="00402B51"/>
    <w:rsid w:val="0040339A"/>
    <w:rsid w:val="00403417"/>
    <w:rsid w:val="00403464"/>
    <w:rsid w:val="00403759"/>
    <w:rsid w:val="00403A0D"/>
    <w:rsid w:val="00403B45"/>
    <w:rsid w:val="00403C7F"/>
    <w:rsid w:val="00403C8A"/>
    <w:rsid w:val="00403CCB"/>
    <w:rsid w:val="00403CF6"/>
    <w:rsid w:val="00403F14"/>
    <w:rsid w:val="00403F6D"/>
    <w:rsid w:val="00404048"/>
    <w:rsid w:val="00404175"/>
    <w:rsid w:val="0040453C"/>
    <w:rsid w:val="004045C3"/>
    <w:rsid w:val="0040467B"/>
    <w:rsid w:val="0040470C"/>
    <w:rsid w:val="00404784"/>
    <w:rsid w:val="004048C6"/>
    <w:rsid w:val="00404C82"/>
    <w:rsid w:val="00404D76"/>
    <w:rsid w:val="00404F1E"/>
    <w:rsid w:val="00404F65"/>
    <w:rsid w:val="00405007"/>
    <w:rsid w:val="004050AB"/>
    <w:rsid w:val="004050C3"/>
    <w:rsid w:val="00405104"/>
    <w:rsid w:val="004051ED"/>
    <w:rsid w:val="004052E7"/>
    <w:rsid w:val="00405326"/>
    <w:rsid w:val="004055E1"/>
    <w:rsid w:val="0040569C"/>
    <w:rsid w:val="00405752"/>
    <w:rsid w:val="004057C7"/>
    <w:rsid w:val="00405827"/>
    <w:rsid w:val="004058C7"/>
    <w:rsid w:val="00405AD6"/>
    <w:rsid w:val="00405AF0"/>
    <w:rsid w:val="00405B17"/>
    <w:rsid w:val="00405DF3"/>
    <w:rsid w:val="00405E5C"/>
    <w:rsid w:val="00405F14"/>
    <w:rsid w:val="00406100"/>
    <w:rsid w:val="00406369"/>
    <w:rsid w:val="0040644B"/>
    <w:rsid w:val="0040648F"/>
    <w:rsid w:val="004064CC"/>
    <w:rsid w:val="00406527"/>
    <w:rsid w:val="00406553"/>
    <w:rsid w:val="004069F3"/>
    <w:rsid w:val="00406AF6"/>
    <w:rsid w:val="00406B01"/>
    <w:rsid w:val="00406C43"/>
    <w:rsid w:val="00406C4F"/>
    <w:rsid w:val="00406E17"/>
    <w:rsid w:val="00406E33"/>
    <w:rsid w:val="00406E75"/>
    <w:rsid w:val="00406F67"/>
    <w:rsid w:val="00406F8F"/>
    <w:rsid w:val="0040727C"/>
    <w:rsid w:val="004072A8"/>
    <w:rsid w:val="004072FA"/>
    <w:rsid w:val="00407401"/>
    <w:rsid w:val="004077B5"/>
    <w:rsid w:val="0040780E"/>
    <w:rsid w:val="004078EC"/>
    <w:rsid w:val="00407E2F"/>
    <w:rsid w:val="00407EFB"/>
    <w:rsid w:val="00407F4B"/>
    <w:rsid w:val="00410028"/>
    <w:rsid w:val="00410099"/>
    <w:rsid w:val="00410167"/>
    <w:rsid w:val="0041043C"/>
    <w:rsid w:val="004107F6"/>
    <w:rsid w:val="00410D4D"/>
    <w:rsid w:val="00410DEC"/>
    <w:rsid w:val="00410EAA"/>
    <w:rsid w:val="00410EFA"/>
    <w:rsid w:val="00410F26"/>
    <w:rsid w:val="004110A6"/>
    <w:rsid w:val="00411175"/>
    <w:rsid w:val="0041120E"/>
    <w:rsid w:val="004112AF"/>
    <w:rsid w:val="0041139F"/>
    <w:rsid w:val="004113EB"/>
    <w:rsid w:val="00411501"/>
    <w:rsid w:val="004119E2"/>
    <w:rsid w:val="0041206A"/>
    <w:rsid w:val="00412213"/>
    <w:rsid w:val="0041230E"/>
    <w:rsid w:val="00412362"/>
    <w:rsid w:val="00412374"/>
    <w:rsid w:val="004123BB"/>
    <w:rsid w:val="00412599"/>
    <w:rsid w:val="0041287E"/>
    <w:rsid w:val="00412A7F"/>
    <w:rsid w:val="00412A83"/>
    <w:rsid w:val="00412A8D"/>
    <w:rsid w:val="00412B2A"/>
    <w:rsid w:val="00412C41"/>
    <w:rsid w:val="00412C86"/>
    <w:rsid w:val="00412F3F"/>
    <w:rsid w:val="0041308F"/>
    <w:rsid w:val="0041324C"/>
    <w:rsid w:val="00413333"/>
    <w:rsid w:val="004133D6"/>
    <w:rsid w:val="00413411"/>
    <w:rsid w:val="00413647"/>
    <w:rsid w:val="00413A1C"/>
    <w:rsid w:val="00413A2A"/>
    <w:rsid w:val="0041424F"/>
    <w:rsid w:val="00414335"/>
    <w:rsid w:val="004143C4"/>
    <w:rsid w:val="00414479"/>
    <w:rsid w:val="004144F6"/>
    <w:rsid w:val="00414584"/>
    <w:rsid w:val="00414655"/>
    <w:rsid w:val="0041466F"/>
    <w:rsid w:val="00414709"/>
    <w:rsid w:val="00414747"/>
    <w:rsid w:val="004147F5"/>
    <w:rsid w:val="00414926"/>
    <w:rsid w:val="004149D4"/>
    <w:rsid w:val="00414A3D"/>
    <w:rsid w:val="00414AC0"/>
    <w:rsid w:val="00414AE1"/>
    <w:rsid w:val="00414B43"/>
    <w:rsid w:val="00414B86"/>
    <w:rsid w:val="00414BC7"/>
    <w:rsid w:val="00414EDD"/>
    <w:rsid w:val="00414F84"/>
    <w:rsid w:val="00414FDB"/>
    <w:rsid w:val="00415037"/>
    <w:rsid w:val="0041517D"/>
    <w:rsid w:val="00415704"/>
    <w:rsid w:val="00415790"/>
    <w:rsid w:val="004158DA"/>
    <w:rsid w:val="00415AD5"/>
    <w:rsid w:val="00415BD9"/>
    <w:rsid w:val="00415E28"/>
    <w:rsid w:val="004160E0"/>
    <w:rsid w:val="00416956"/>
    <w:rsid w:val="00416AA6"/>
    <w:rsid w:val="00416F67"/>
    <w:rsid w:val="00416FDB"/>
    <w:rsid w:val="00417005"/>
    <w:rsid w:val="00417018"/>
    <w:rsid w:val="00417053"/>
    <w:rsid w:val="004170D9"/>
    <w:rsid w:val="004173E3"/>
    <w:rsid w:val="004173FA"/>
    <w:rsid w:val="004174D3"/>
    <w:rsid w:val="0041754B"/>
    <w:rsid w:val="00417AA5"/>
    <w:rsid w:val="00417E1E"/>
    <w:rsid w:val="00417E4A"/>
    <w:rsid w:val="00417E51"/>
    <w:rsid w:val="00417EE0"/>
    <w:rsid w:val="00417F67"/>
    <w:rsid w:val="00417F94"/>
    <w:rsid w:val="00420121"/>
    <w:rsid w:val="004201B7"/>
    <w:rsid w:val="00420360"/>
    <w:rsid w:val="00420439"/>
    <w:rsid w:val="0042043E"/>
    <w:rsid w:val="00420656"/>
    <w:rsid w:val="004206E0"/>
    <w:rsid w:val="0042070D"/>
    <w:rsid w:val="00420798"/>
    <w:rsid w:val="00420801"/>
    <w:rsid w:val="00420A47"/>
    <w:rsid w:val="00420AFC"/>
    <w:rsid w:val="00420D0A"/>
    <w:rsid w:val="00420D24"/>
    <w:rsid w:val="00420E22"/>
    <w:rsid w:val="0042100B"/>
    <w:rsid w:val="00421062"/>
    <w:rsid w:val="004210EA"/>
    <w:rsid w:val="004210F9"/>
    <w:rsid w:val="0042119F"/>
    <w:rsid w:val="004213B5"/>
    <w:rsid w:val="0042157E"/>
    <w:rsid w:val="0042164B"/>
    <w:rsid w:val="00421765"/>
    <w:rsid w:val="004218A4"/>
    <w:rsid w:val="00421A53"/>
    <w:rsid w:val="00421AA5"/>
    <w:rsid w:val="00421CB2"/>
    <w:rsid w:val="00421D40"/>
    <w:rsid w:val="00421E27"/>
    <w:rsid w:val="00421E80"/>
    <w:rsid w:val="00421F97"/>
    <w:rsid w:val="0042205F"/>
    <w:rsid w:val="004220E8"/>
    <w:rsid w:val="0042245C"/>
    <w:rsid w:val="00422464"/>
    <w:rsid w:val="00422475"/>
    <w:rsid w:val="00422818"/>
    <w:rsid w:val="00422836"/>
    <w:rsid w:val="00422854"/>
    <w:rsid w:val="004228E4"/>
    <w:rsid w:val="00422AD2"/>
    <w:rsid w:val="00422B93"/>
    <w:rsid w:val="00422BA6"/>
    <w:rsid w:val="00422BC2"/>
    <w:rsid w:val="00422F83"/>
    <w:rsid w:val="00423154"/>
    <w:rsid w:val="004231BA"/>
    <w:rsid w:val="0042329A"/>
    <w:rsid w:val="004233CD"/>
    <w:rsid w:val="00423462"/>
    <w:rsid w:val="00423480"/>
    <w:rsid w:val="0042350F"/>
    <w:rsid w:val="00423578"/>
    <w:rsid w:val="00423B4F"/>
    <w:rsid w:val="00423B82"/>
    <w:rsid w:val="00423CD1"/>
    <w:rsid w:val="00423E46"/>
    <w:rsid w:val="00423E4E"/>
    <w:rsid w:val="0042424E"/>
    <w:rsid w:val="00424258"/>
    <w:rsid w:val="0042441F"/>
    <w:rsid w:val="00424517"/>
    <w:rsid w:val="004245E0"/>
    <w:rsid w:val="0042460D"/>
    <w:rsid w:val="00424625"/>
    <w:rsid w:val="004246BB"/>
    <w:rsid w:val="004246D1"/>
    <w:rsid w:val="00424A80"/>
    <w:rsid w:val="00424BBF"/>
    <w:rsid w:val="00424D1C"/>
    <w:rsid w:val="00424F7A"/>
    <w:rsid w:val="00424F91"/>
    <w:rsid w:val="00425134"/>
    <w:rsid w:val="004251A7"/>
    <w:rsid w:val="00425212"/>
    <w:rsid w:val="004252F6"/>
    <w:rsid w:val="00425420"/>
    <w:rsid w:val="00425879"/>
    <w:rsid w:val="0042592B"/>
    <w:rsid w:val="0042593B"/>
    <w:rsid w:val="00425A8D"/>
    <w:rsid w:val="00425BAF"/>
    <w:rsid w:val="00425BF9"/>
    <w:rsid w:val="00425C5A"/>
    <w:rsid w:val="00425C8B"/>
    <w:rsid w:val="00425D83"/>
    <w:rsid w:val="00425E12"/>
    <w:rsid w:val="00425F20"/>
    <w:rsid w:val="00425F47"/>
    <w:rsid w:val="00425F57"/>
    <w:rsid w:val="004261AF"/>
    <w:rsid w:val="0042626E"/>
    <w:rsid w:val="0042634F"/>
    <w:rsid w:val="0042643A"/>
    <w:rsid w:val="00426513"/>
    <w:rsid w:val="0042664A"/>
    <w:rsid w:val="004266C7"/>
    <w:rsid w:val="00426802"/>
    <w:rsid w:val="00426AFB"/>
    <w:rsid w:val="00426BC5"/>
    <w:rsid w:val="00426CBB"/>
    <w:rsid w:val="00426D0F"/>
    <w:rsid w:val="00426DFB"/>
    <w:rsid w:val="00426E62"/>
    <w:rsid w:val="00426EE8"/>
    <w:rsid w:val="00426F2B"/>
    <w:rsid w:val="00426F5B"/>
    <w:rsid w:val="00426FA9"/>
    <w:rsid w:val="0042701B"/>
    <w:rsid w:val="0042732B"/>
    <w:rsid w:val="0042793B"/>
    <w:rsid w:val="00427994"/>
    <w:rsid w:val="00427A22"/>
    <w:rsid w:val="00427A2E"/>
    <w:rsid w:val="00427C00"/>
    <w:rsid w:val="00427E36"/>
    <w:rsid w:val="00427F80"/>
    <w:rsid w:val="0043001B"/>
    <w:rsid w:val="00430133"/>
    <w:rsid w:val="00430158"/>
    <w:rsid w:val="004302E3"/>
    <w:rsid w:val="004303E7"/>
    <w:rsid w:val="00430781"/>
    <w:rsid w:val="00430815"/>
    <w:rsid w:val="004308B8"/>
    <w:rsid w:val="004308F0"/>
    <w:rsid w:val="00430A24"/>
    <w:rsid w:val="00430A8D"/>
    <w:rsid w:val="00430B4B"/>
    <w:rsid w:val="00430D88"/>
    <w:rsid w:val="00431104"/>
    <w:rsid w:val="00431233"/>
    <w:rsid w:val="00431540"/>
    <w:rsid w:val="0043161A"/>
    <w:rsid w:val="00431A27"/>
    <w:rsid w:val="00431C65"/>
    <w:rsid w:val="00431DD6"/>
    <w:rsid w:val="00431E5A"/>
    <w:rsid w:val="00431E77"/>
    <w:rsid w:val="00431EF8"/>
    <w:rsid w:val="00431F43"/>
    <w:rsid w:val="00432089"/>
    <w:rsid w:val="00432174"/>
    <w:rsid w:val="0043244C"/>
    <w:rsid w:val="004327EB"/>
    <w:rsid w:val="004329B6"/>
    <w:rsid w:val="00432A32"/>
    <w:rsid w:val="00432A75"/>
    <w:rsid w:val="00432A94"/>
    <w:rsid w:val="00432AF3"/>
    <w:rsid w:val="00432B8A"/>
    <w:rsid w:val="00432C05"/>
    <w:rsid w:val="00432F1F"/>
    <w:rsid w:val="00432F49"/>
    <w:rsid w:val="00432FC8"/>
    <w:rsid w:val="00432FF5"/>
    <w:rsid w:val="00433201"/>
    <w:rsid w:val="004332B0"/>
    <w:rsid w:val="00433310"/>
    <w:rsid w:val="004333BF"/>
    <w:rsid w:val="004334D6"/>
    <w:rsid w:val="00433937"/>
    <w:rsid w:val="00433C41"/>
    <w:rsid w:val="00433E45"/>
    <w:rsid w:val="00433EDA"/>
    <w:rsid w:val="00433F5E"/>
    <w:rsid w:val="0043402F"/>
    <w:rsid w:val="00434042"/>
    <w:rsid w:val="00434155"/>
    <w:rsid w:val="00434182"/>
    <w:rsid w:val="004343CF"/>
    <w:rsid w:val="0043443D"/>
    <w:rsid w:val="0043462A"/>
    <w:rsid w:val="00434743"/>
    <w:rsid w:val="004347FF"/>
    <w:rsid w:val="004348B2"/>
    <w:rsid w:val="004348E4"/>
    <w:rsid w:val="0043492B"/>
    <w:rsid w:val="00434994"/>
    <w:rsid w:val="00434A16"/>
    <w:rsid w:val="00434A29"/>
    <w:rsid w:val="00434AB1"/>
    <w:rsid w:val="00434AF9"/>
    <w:rsid w:val="00434BAB"/>
    <w:rsid w:val="00434C59"/>
    <w:rsid w:val="00434C5E"/>
    <w:rsid w:val="00434E0F"/>
    <w:rsid w:val="00434F6E"/>
    <w:rsid w:val="00434FE0"/>
    <w:rsid w:val="00435070"/>
    <w:rsid w:val="00435335"/>
    <w:rsid w:val="0043546A"/>
    <w:rsid w:val="004354AF"/>
    <w:rsid w:val="004357F8"/>
    <w:rsid w:val="0043585A"/>
    <w:rsid w:val="0043591B"/>
    <w:rsid w:val="00435D79"/>
    <w:rsid w:val="00435E0F"/>
    <w:rsid w:val="004362A1"/>
    <w:rsid w:val="004364AA"/>
    <w:rsid w:val="0043655F"/>
    <w:rsid w:val="00436659"/>
    <w:rsid w:val="00436669"/>
    <w:rsid w:val="0043678E"/>
    <w:rsid w:val="0043685F"/>
    <w:rsid w:val="00436895"/>
    <w:rsid w:val="004368DE"/>
    <w:rsid w:val="00436979"/>
    <w:rsid w:val="00436A9B"/>
    <w:rsid w:val="00436C24"/>
    <w:rsid w:val="00436CBC"/>
    <w:rsid w:val="00436DBF"/>
    <w:rsid w:val="00436EA4"/>
    <w:rsid w:val="0043704D"/>
    <w:rsid w:val="00437194"/>
    <w:rsid w:val="0043724C"/>
    <w:rsid w:val="004373C6"/>
    <w:rsid w:val="00437401"/>
    <w:rsid w:val="00437616"/>
    <w:rsid w:val="004378A7"/>
    <w:rsid w:val="004378B7"/>
    <w:rsid w:val="00437959"/>
    <w:rsid w:val="00437A1E"/>
    <w:rsid w:val="00437A72"/>
    <w:rsid w:val="00437AE8"/>
    <w:rsid w:val="00437E9D"/>
    <w:rsid w:val="00437EB7"/>
    <w:rsid w:val="0044015D"/>
    <w:rsid w:val="00440344"/>
    <w:rsid w:val="0044047F"/>
    <w:rsid w:val="004404D6"/>
    <w:rsid w:val="004405B9"/>
    <w:rsid w:val="0044062D"/>
    <w:rsid w:val="0044077F"/>
    <w:rsid w:val="00440803"/>
    <w:rsid w:val="0044084E"/>
    <w:rsid w:val="004409BF"/>
    <w:rsid w:val="004409F7"/>
    <w:rsid w:val="00440D55"/>
    <w:rsid w:val="00440E50"/>
    <w:rsid w:val="00440FAC"/>
    <w:rsid w:val="00440FB0"/>
    <w:rsid w:val="004412BC"/>
    <w:rsid w:val="004412F3"/>
    <w:rsid w:val="004412FD"/>
    <w:rsid w:val="004412FE"/>
    <w:rsid w:val="0044135A"/>
    <w:rsid w:val="00441594"/>
    <w:rsid w:val="004417C7"/>
    <w:rsid w:val="004417D3"/>
    <w:rsid w:val="00441841"/>
    <w:rsid w:val="00441A89"/>
    <w:rsid w:val="00441AF1"/>
    <w:rsid w:val="00441D70"/>
    <w:rsid w:val="00441E9D"/>
    <w:rsid w:val="00442104"/>
    <w:rsid w:val="00442114"/>
    <w:rsid w:val="0044227D"/>
    <w:rsid w:val="00442593"/>
    <w:rsid w:val="004425C7"/>
    <w:rsid w:val="00442633"/>
    <w:rsid w:val="00442753"/>
    <w:rsid w:val="0044282D"/>
    <w:rsid w:val="00442932"/>
    <w:rsid w:val="00442AC5"/>
    <w:rsid w:val="00442B0E"/>
    <w:rsid w:val="00442B83"/>
    <w:rsid w:val="00442CC6"/>
    <w:rsid w:val="00442CF3"/>
    <w:rsid w:val="00442DC6"/>
    <w:rsid w:val="00442E35"/>
    <w:rsid w:val="00443022"/>
    <w:rsid w:val="004430FC"/>
    <w:rsid w:val="00443102"/>
    <w:rsid w:val="0044316D"/>
    <w:rsid w:val="00443731"/>
    <w:rsid w:val="004437C6"/>
    <w:rsid w:val="0044385F"/>
    <w:rsid w:val="00443AF6"/>
    <w:rsid w:val="00443E42"/>
    <w:rsid w:val="00443F0E"/>
    <w:rsid w:val="004441AC"/>
    <w:rsid w:val="00444201"/>
    <w:rsid w:val="00444359"/>
    <w:rsid w:val="0044453C"/>
    <w:rsid w:val="00444704"/>
    <w:rsid w:val="004447A5"/>
    <w:rsid w:val="004448CE"/>
    <w:rsid w:val="00444933"/>
    <w:rsid w:val="00444959"/>
    <w:rsid w:val="00444A36"/>
    <w:rsid w:val="00444AE1"/>
    <w:rsid w:val="00444AFE"/>
    <w:rsid w:val="00444C00"/>
    <w:rsid w:val="00444C03"/>
    <w:rsid w:val="00444D7E"/>
    <w:rsid w:val="00444ED3"/>
    <w:rsid w:val="004450BE"/>
    <w:rsid w:val="00445138"/>
    <w:rsid w:val="004451DF"/>
    <w:rsid w:val="0044558A"/>
    <w:rsid w:val="004455B8"/>
    <w:rsid w:val="0044571E"/>
    <w:rsid w:val="00445808"/>
    <w:rsid w:val="0044592B"/>
    <w:rsid w:val="00445998"/>
    <w:rsid w:val="00445AE6"/>
    <w:rsid w:val="00445CAC"/>
    <w:rsid w:val="00445DD0"/>
    <w:rsid w:val="00445DF0"/>
    <w:rsid w:val="00445EDD"/>
    <w:rsid w:val="00445F29"/>
    <w:rsid w:val="0044630D"/>
    <w:rsid w:val="004463C1"/>
    <w:rsid w:val="0044652D"/>
    <w:rsid w:val="00446570"/>
    <w:rsid w:val="0044675D"/>
    <w:rsid w:val="004469FE"/>
    <w:rsid w:val="00446D7F"/>
    <w:rsid w:val="00446D85"/>
    <w:rsid w:val="00447080"/>
    <w:rsid w:val="004470CC"/>
    <w:rsid w:val="00447210"/>
    <w:rsid w:val="0044733D"/>
    <w:rsid w:val="004473BA"/>
    <w:rsid w:val="00447511"/>
    <w:rsid w:val="00447657"/>
    <w:rsid w:val="0044766E"/>
    <w:rsid w:val="00447740"/>
    <w:rsid w:val="00447B89"/>
    <w:rsid w:val="00447BCE"/>
    <w:rsid w:val="00447D2C"/>
    <w:rsid w:val="00447DB0"/>
    <w:rsid w:val="00447DC9"/>
    <w:rsid w:val="004500C9"/>
    <w:rsid w:val="004503DF"/>
    <w:rsid w:val="004504DF"/>
    <w:rsid w:val="004504F2"/>
    <w:rsid w:val="0045050C"/>
    <w:rsid w:val="00450510"/>
    <w:rsid w:val="00450528"/>
    <w:rsid w:val="00450578"/>
    <w:rsid w:val="004505CE"/>
    <w:rsid w:val="00450654"/>
    <w:rsid w:val="0045071F"/>
    <w:rsid w:val="00450B20"/>
    <w:rsid w:val="00450BE4"/>
    <w:rsid w:val="00450E72"/>
    <w:rsid w:val="00451321"/>
    <w:rsid w:val="0045144B"/>
    <w:rsid w:val="00451464"/>
    <w:rsid w:val="004514B8"/>
    <w:rsid w:val="00451A2D"/>
    <w:rsid w:val="00451B33"/>
    <w:rsid w:val="00451D21"/>
    <w:rsid w:val="00451FE3"/>
    <w:rsid w:val="00452068"/>
    <w:rsid w:val="00452363"/>
    <w:rsid w:val="00452391"/>
    <w:rsid w:val="004523A7"/>
    <w:rsid w:val="00452583"/>
    <w:rsid w:val="0045275D"/>
    <w:rsid w:val="0045277E"/>
    <w:rsid w:val="00452C6F"/>
    <w:rsid w:val="00452CC9"/>
    <w:rsid w:val="00452DF7"/>
    <w:rsid w:val="00453080"/>
    <w:rsid w:val="00453176"/>
    <w:rsid w:val="00453181"/>
    <w:rsid w:val="004532DD"/>
    <w:rsid w:val="00453600"/>
    <w:rsid w:val="00453658"/>
    <w:rsid w:val="0045378E"/>
    <w:rsid w:val="0045386B"/>
    <w:rsid w:val="0045399C"/>
    <w:rsid w:val="00453E2F"/>
    <w:rsid w:val="00453E88"/>
    <w:rsid w:val="00453F42"/>
    <w:rsid w:val="00453F62"/>
    <w:rsid w:val="00454086"/>
    <w:rsid w:val="004542A5"/>
    <w:rsid w:val="00454334"/>
    <w:rsid w:val="004545E8"/>
    <w:rsid w:val="00454783"/>
    <w:rsid w:val="004547D6"/>
    <w:rsid w:val="0045482B"/>
    <w:rsid w:val="004549A9"/>
    <w:rsid w:val="00454E24"/>
    <w:rsid w:val="004550A0"/>
    <w:rsid w:val="004550ED"/>
    <w:rsid w:val="004553E7"/>
    <w:rsid w:val="00455557"/>
    <w:rsid w:val="00455617"/>
    <w:rsid w:val="0045571D"/>
    <w:rsid w:val="004559CE"/>
    <w:rsid w:val="00455B38"/>
    <w:rsid w:val="00455CCA"/>
    <w:rsid w:val="00455F38"/>
    <w:rsid w:val="00456302"/>
    <w:rsid w:val="0045643C"/>
    <w:rsid w:val="004564EA"/>
    <w:rsid w:val="004566B1"/>
    <w:rsid w:val="00456807"/>
    <w:rsid w:val="00456884"/>
    <w:rsid w:val="004568A2"/>
    <w:rsid w:val="004569E4"/>
    <w:rsid w:val="00456A59"/>
    <w:rsid w:val="00456ACA"/>
    <w:rsid w:val="00456CB2"/>
    <w:rsid w:val="00456CDD"/>
    <w:rsid w:val="00456F7B"/>
    <w:rsid w:val="00457007"/>
    <w:rsid w:val="00457044"/>
    <w:rsid w:val="004571CF"/>
    <w:rsid w:val="00457689"/>
    <w:rsid w:val="004576AE"/>
    <w:rsid w:val="0045776C"/>
    <w:rsid w:val="004578DD"/>
    <w:rsid w:val="0045795B"/>
    <w:rsid w:val="004579B5"/>
    <w:rsid w:val="00457BF4"/>
    <w:rsid w:val="00457D88"/>
    <w:rsid w:val="00460118"/>
    <w:rsid w:val="00460179"/>
    <w:rsid w:val="004602C5"/>
    <w:rsid w:val="0046039C"/>
    <w:rsid w:val="00460402"/>
    <w:rsid w:val="00460452"/>
    <w:rsid w:val="0046049A"/>
    <w:rsid w:val="0046056E"/>
    <w:rsid w:val="00460777"/>
    <w:rsid w:val="004607B9"/>
    <w:rsid w:val="004608D6"/>
    <w:rsid w:val="00460984"/>
    <w:rsid w:val="00460DF9"/>
    <w:rsid w:val="00460FB1"/>
    <w:rsid w:val="004610F4"/>
    <w:rsid w:val="0046124D"/>
    <w:rsid w:val="0046125B"/>
    <w:rsid w:val="00461409"/>
    <w:rsid w:val="004615C2"/>
    <w:rsid w:val="0046169F"/>
    <w:rsid w:val="00461708"/>
    <w:rsid w:val="004617DF"/>
    <w:rsid w:val="004619C3"/>
    <w:rsid w:val="00461D1C"/>
    <w:rsid w:val="00461E2A"/>
    <w:rsid w:val="00461EC4"/>
    <w:rsid w:val="00461F18"/>
    <w:rsid w:val="00462022"/>
    <w:rsid w:val="00462076"/>
    <w:rsid w:val="0046213A"/>
    <w:rsid w:val="00462170"/>
    <w:rsid w:val="004622AD"/>
    <w:rsid w:val="00462355"/>
    <w:rsid w:val="00462358"/>
    <w:rsid w:val="004624FE"/>
    <w:rsid w:val="00462516"/>
    <w:rsid w:val="00462782"/>
    <w:rsid w:val="0046284F"/>
    <w:rsid w:val="004628B4"/>
    <w:rsid w:val="0046297D"/>
    <w:rsid w:val="00462B0A"/>
    <w:rsid w:val="00462CFB"/>
    <w:rsid w:val="00462DC4"/>
    <w:rsid w:val="00462EBA"/>
    <w:rsid w:val="004630A7"/>
    <w:rsid w:val="0046319C"/>
    <w:rsid w:val="004635FC"/>
    <w:rsid w:val="004637D0"/>
    <w:rsid w:val="00463DAA"/>
    <w:rsid w:val="004641D2"/>
    <w:rsid w:val="0046429A"/>
    <w:rsid w:val="00464368"/>
    <w:rsid w:val="004646D3"/>
    <w:rsid w:val="0046479F"/>
    <w:rsid w:val="004647A5"/>
    <w:rsid w:val="004648CC"/>
    <w:rsid w:val="00464B37"/>
    <w:rsid w:val="00464D53"/>
    <w:rsid w:val="00464DAB"/>
    <w:rsid w:val="00464FE0"/>
    <w:rsid w:val="00465008"/>
    <w:rsid w:val="00465054"/>
    <w:rsid w:val="004651B7"/>
    <w:rsid w:val="00465342"/>
    <w:rsid w:val="004653B0"/>
    <w:rsid w:val="0046549A"/>
    <w:rsid w:val="004654F7"/>
    <w:rsid w:val="00465846"/>
    <w:rsid w:val="00465885"/>
    <w:rsid w:val="0046588D"/>
    <w:rsid w:val="00465902"/>
    <w:rsid w:val="00465957"/>
    <w:rsid w:val="004659F4"/>
    <w:rsid w:val="00465B31"/>
    <w:rsid w:val="00465E30"/>
    <w:rsid w:val="00466013"/>
    <w:rsid w:val="00466132"/>
    <w:rsid w:val="0046613C"/>
    <w:rsid w:val="0046633A"/>
    <w:rsid w:val="00466387"/>
    <w:rsid w:val="00466407"/>
    <w:rsid w:val="0046641E"/>
    <w:rsid w:val="00466624"/>
    <w:rsid w:val="00466636"/>
    <w:rsid w:val="00466716"/>
    <w:rsid w:val="0046674D"/>
    <w:rsid w:val="00466A7A"/>
    <w:rsid w:val="00466E2D"/>
    <w:rsid w:val="00466E47"/>
    <w:rsid w:val="00466F0D"/>
    <w:rsid w:val="00466F21"/>
    <w:rsid w:val="00466FEB"/>
    <w:rsid w:val="004672C9"/>
    <w:rsid w:val="004672CD"/>
    <w:rsid w:val="0046738B"/>
    <w:rsid w:val="004675BC"/>
    <w:rsid w:val="00467752"/>
    <w:rsid w:val="00467908"/>
    <w:rsid w:val="00467AD0"/>
    <w:rsid w:val="00467BB2"/>
    <w:rsid w:val="00467DE6"/>
    <w:rsid w:val="00470263"/>
    <w:rsid w:val="004704A3"/>
    <w:rsid w:val="00470551"/>
    <w:rsid w:val="00470620"/>
    <w:rsid w:val="004709CC"/>
    <w:rsid w:val="00470EBF"/>
    <w:rsid w:val="00470F44"/>
    <w:rsid w:val="00470F75"/>
    <w:rsid w:val="00471011"/>
    <w:rsid w:val="00471069"/>
    <w:rsid w:val="0047108D"/>
    <w:rsid w:val="0047163E"/>
    <w:rsid w:val="0047166B"/>
    <w:rsid w:val="0047168C"/>
    <w:rsid w:val="004718F4"/>
    <w:rsid w:val="00471A72"/>
    <w:rsid w:val="00471B31"/>
    <w:rsid w:val="00471BBC"/>
    <w:rsid w:val="00471D1F"/>
    <w:rsid w:val="00471DD7"/>
    <w:rsid w:val="00471E18"/>
    <w:rsid w:val="00471EAE"/>
    <w:rsid w:val="004722C8"/>
    <w:rsid w:val="00472415"/>
    <w:rsid w:val="0047253C"/>
    <w:rsid w:val="0047270E"/>
    <w:rsid w:val="00472EB0"/>
    <w:rsid w:val="00472F99"/>
    <w:rsid w:val="00473007"/>
    <w:rsid w:val="004730B8"/>
    <w:rsid w:val="00473423"/>
    <w:rsid w:val="004734A6"/>
    <w:rsid w:val="00473584"/>
    <w:rsid w:val="0047376B"/>
    <w:rsid w:val="00473A9E"/>
    <w:rsid w:val="00473D95"/>
    <w:rsid w:val="00473E97"/>
    <w:rsid w:val="00473F2D"/>
    <w:rsid w:val="00473F3F"/>
    <w:rsid w:val="00473FD9"/>
    <w:rsid w:val="00474018"/>
    <w:rsid w:val="004740E0"/>
    <w:rsid w:val="004741B2"/>
    <w:rsid w:val="00474519"/>
    <w:rsid w:val="00474532"/>
    <w:rsid w:val="00474672"/>
    <w:rsid w:val="004747A1"/>
    <w:rsid w:val="004747FB"/>
    <w:rsid w:val="004748AA"/>
    <w:rsid w:val="0047493E"/>
    <w:rsid w:val="00474973"/>
    <w:rsid w:val="00474B51"/>
    <w:rsid w:val="00474BA9"/>
    <w:rsid w:val="00474C73"/>
    <w:rsid w:val="00474CEB"/>
    <w:rsid w:val="00474E40"/>
    <w:rsid w:val="0047513C"/>
    <w:rsid w:val="00475248"/>
    <w:rsid w:val="00475280"/>
    <w:rsid w:val="0047533D"/>
    <w:rsid w:val="00475392"/>
    <w:rsid w:val="004753EC"/>
    <w:rsid w:val="004754CC"/>
    <w:rsid w:val="004755FB"/>
    <w:rsid w:val="00475993"/>
    <w:rsid w:val="00475B0C"/>
    <w:rsid w:val="00475B2A"/>
    <w:rsid w:val="00475C44"/>
    <w:rsid w:val="00475D39"/>
    <w:rsid w:val="00476203"/>
    <w:rsid w:val="00476262"/>
    <w:rsid w:val="004765DF"/>
    <w:rsid w:val="00476674"/>
    <w:rsid w:val="004767D5"/>
    <w:rsid w:val="00476A2E"/>
    <w:rsid w:val="00476A73"/>
    <w:rsid w:val="00476D89"/>
    <w:rsid w:val="00476ECD"/>
    <w:rsid w:val="0047719E"/>
    <w:rsid w:val="004771DF"/>
    <w:rsid w:val="0047723A"/>
    <w:rsid w:val="004772FB"/>
    <w:rsid w:val="00477342"/>
    <w:rsid w:val="004773CB"/>
    <w:rsid w:val="004773EA"/>
    <w:rsid w:val="0047754F"/>
    <w:rsid w:val="004775CD"/>
    <w:rsid w:val="004777B8"/>
    <w:rsid w:val="004778B6"/>
    <w:rsid w:val="00477CDC"/>
    <w:rsid w:val="00477CDD"/>
    <w:rsid w:val="00477E0F"/>
    <w:rsid w:val="00477F75"/>
    <w:rsid w:val="0048009E"/>
    <w:rsid w:val="004800CD"/>
    <w:rsid w:val="0048073E"/>
    <w:rsid w:val="00480A01"/>
    <w:rsid w:val="00480A28"/>
    <w:rsid w:val="00480B1A"/>
    <w:rsid w:val="00480B40"/>
    <w:rsid w:val="00480C1A"/>
    <w:rsid w:val="00480C8E"/>
    <w:rsid w:val="00480F75"/>
    <w:rsid w:val="00481001"/>
    <w:rsid w:val="0048127F"/>
    <w:rsid w:val="004812A0"/>
    <w:rsid w:val="00481445"/>
    <w:rsid w:val="004816AF"/>
    <w:rsid w:val="004816FB"/>
    <w:rsid w:val="004818DC"/>
    <w:rsid w:val="004819F1"/>
    <w:rsid w:val="00481BFF"/>
    <w:rsid w:val="00481C49"/>
    <w:rsid w:val="00481D14"/>
    <w:rsid w:val="00481E66"/>
    <w:rsid w:val="00481EE1"/>
    <w:rsid w:val="004821D3"/>
    <w:rsid w:val="00482242"/>
    <w:rsid w:val="00482560"/>
    <w:rsid w:val="004829DE"/>
    <w:rsid w:val="00482AF7"/>
    <w:rsid w:val="00482C69"/>
    <w:rsid w:val="00482D66"/>
    <w:rsid w:val="00482E93"/>
    <w:rsid w:val="00482F0C"/>
    <w:rsid w:val="00482FEE"/>
    <w:rsid w:val="00483022"/>
    <w:rsid w:val="00483032"/>
    <w:rsid w:val="004832A8"/>
    <w:rsid w:val="0048355F"/>
    <w:rsid w:val="00483678"/>
    <w:rsid w:val="0048389E"/>
    <w:rsid w:val="0048392E"/>
    <w:rsid w:val="00483B3B"/>
    <w:rsid w:val="00483C7C"/>
    <w:rsid w:val="00483CD3"/>
    <w:rsid w:val="00483FD2"/>
    <w:rsid w:val="00484224"/>
    <w:rsid w:val="004842ED"/>
    <w:rsid w:val="004842F1"/>
    <w:rsid w:val="004843A8"/>
    <w:rsid w:val="0048465B"/>
    <w:rsid w:val="00484761"/>
    <w:rsid w:val="004847AF"/>
    <w:rsid w:val="00484A6F"/>
    <w:rsid w:val="00484B5C"/>
    <w:rsid w:val="00484CB5"/>
    <w:rsid w:val="00484D5F"/>
    <w:rsid w:val="00484E31"/>
    <w:rsid w:val="00484FE5"/>
    <w:rsid w:val="0048516A"/>
    <w:rsid w:val="004852AF"/>
    <w:rsid w:val="004855E6"/>
    <w:rsid w:val="00485778"/>
    <w:rsid w:val="004858CB"/>
    <w:rsid w:val="004858D8"/>
    <w:rsid w:val="004858F9"/>
    <w:rsid w:val="00485932"/>
    <w:rsid w:val="00485A02"/>
    <w:rsid w:val="00485C34"/>
    <w:rsid w:val="00485DB3"/>
    <w:rsid w:val="00485F74"/>
    <w:rsid w:val="00485FA8"/>
    <w:rsid w:val="00485FE6"/>
    <w:rsid w:val="004863F6"/>
    <w:rsid w:val="0048681D"/>
    <w:rsid w:val="0048696E"/>
    <w:rsid w:val="00486ACC"/>
    <w:rsid w:val="00486ACF"/>
    <w:rsid w:val="004870DD"/>
    <w:rsid w:val="00487140"/>
    <w:rsid w:val="004872B2"/>
    <w:rsid w:val="00487460"/>
    <w:rsid w:val="0048769B"/>
    <w:rsid w:val="004878F4"/>
    <w:rsid w:val="0048792A"/>
    <w:rsid w:val="00487ADE"/>
    <w:rsid w:val="00487E15"/>
    <w:rsid w:val="00490034"/>
    <w:rsid w:val="00490281"/>
    <w:rsid w:val="0049028C"/>
    <w:rsid w:val="0049028E"/>
    <w:rsid w:val="0049038C"/>
    <w:rsid w:val="00490496"/>
    <w:rsid w:val="0049049C"/>
    <w:rsid w:val="00490515"/>
    <w:rsid w:val="00490566"/>
    <w:rsid w:val="00490B2F"/>
    <w:rsid w:val="00490B7F"/>
    <w:rsid w:val="00490BC5"/>
    <w:rsid w:val="00490CCF"/>
    <w:rsid w:val="00490DB8"/>
    <w:rsid w:val="00490DEE"/>
    <w:rsid w:val="00490E36"/>
    <w:rsid w:val="004910BE"/>
    <w:rsid w:val="00491110"/>
    <w:rsid w:val="00491209"/>
    <w:rsid w:val="00491266"/>
    <w:rsid w:val="0049132F"/>
    <w:rsid w:val="004914D2"/>
    <w:rsid w:val="004916E8"/>
    <w:rsid w:val="00491992"/>
    <w:rsid w:val="00491AF4"/>
    <w:rsid w:val="00491E2C"/>
    <w:rsid w:val="00491E44"/>
    <w:rsid w:val="0049207D"/>
    <w:rsid w:val="004921AF"/>
    <w:rsid w:val="004921FE"/>
    <w:rsid w:val="004924A6"/>
    <w:rsid w:val="00492552"/>
    <w:rsid w:val="0049268E"/>
    <w:rsid w:val="0049281C"/>
    <w:rsid w:val="00492AC7"/>
    <w:rsid w:val="00492D1D"/>
    <w:rsid w:val="00492FA9"/>
    <w:rsid w:val="0049300F"/>
    <w:rsid w:val="00493278"/>
    <w:rsid w:val="00493478"/>
    <w:rsid w:val="004935FB"/>
    <w:rsid w:val="00493708"/>
    <w:rsid w:val="0049398B"/>
    <w:rsid w:val="00493B12"/>
    <w:rsid w:val="00493D21"/>
    <w:rsid w:val="00494042"/>
    <w:rsid w:val="004940E5"/>
    <w:rsid w:val="00494534"/>
    <w:rsid w:val="00494636"/>
    <w:rsid w:val="0049465B"/>
    <w:rsid w:val="0049465E"/>
    <w:rsid w:val="00494677"/>
    <w:rsid w:val="004946F7"/>
    <w:rsid w:val="00494710"/>
    <w:rsid w:val="0049475C"/>
    <w:rsid w:val="00494881"/>
    <w:rsid w:val="00494C1B"/>
    <w:rsid w:val="00494C98"/>
    <w:rsid w:val="00494E19"/>
    <w:rsid w:val="00494EA4"/>
    <w:rsid w:val="00494ECB"/>
    <w:rsid w:val="00494FF4"/>
    <w:rsid w:val="00495287"/>
    <w:rsid w:val="004952DD"/>
    <w:rsid w:val="004954C7"/>
    <w:rsid w:val="0049571B"/>
    <w:rsid w:val="00495894"/>
    <w:rsid w:val="004959D2"/>
    <w:rsid w:val="00495B24"/>
    <w:rsid w:val="0049657C"/>
    <w:rsid w:val="004965FC"/>
    <w:rsid w:val="004969A3"/>
    <w:rsid w:val="00496C20"/>
    <w:rsid w:val="00496C58"/>
    <w:rsid w:val="00496DEC"/>
    <w:rsid w:val="004970A7"/>
    <w:rsid w:val="004970F7"/>
    <w:rsid w:val="00497164"/>
    <w:rsid w:val="004971B5"/>
    <w:rsid w:val="0049727F"/>
    <w:rsid w:val="004972B4"/>
    <w:rsid w:val="004975F1"/>
    <w:rsid w:val="004976E8"/>
    <w:rsid w:val="00497893"/>
    <w:rsid w:val="004978C9"/>
    <w:rsid w:val="004979E8"/>
    <w:rsid w:val="00497B3B"/>
    <w:rsid w:val="00497BF6"/>
    <w:rsid w:val="00497C97"/>
    <w:rsid w:val="00497FBE"/>
    <w:rsid w:val="004A0291"/>
    <w:rsid w:val="004A074A"/>
    <w:rsid w:val="004A07BD"/>
    <w:rsid w:val="004A07D9"/>
    <w:rsid w:val="004A08DB"/>
    <w:rsid w:val="004A0931"/>
    <w:rsid w:val="004A09B3"/>
    <w:rsid w:val="004A0A3B"/>
    <w:rsid w:val="004A0A44"/>
    <w:rsid w:val="004A0CDD"/>
    <w:rsid w:val="004A0DC9"/>
    <w:rsid w:val="004A0DDF"/>
    <w:rsid w:val="004A1457"/>
    <w:rsid w:val="004A1491"/>
    <w:rsid w:val="004A14A2"/>
    <w:rsid w:val="004A158B"/>
    <w:rsid w:val="004A17F5"/>
    <w:rsid w:val="004A1802"/>
    <w:rsid w:val="004A190D"/>
    <w:rsid w:val="004A1BCC"/>
    <w:rsid w:val="004A1D0C"/>
    <w:rsid w:val="004A1DB2"/>
    <w:rsid w:val="004A2087"/>
    <w:rsid w:val="004A2105"/>
    <w:rsid w:val="004A2119"/>
    <w:rsid w:val="004A2136"/>
    <w:rsid w:val="004A2179"/>
    <w:rsid w:val="004A221B"/>
    <w:rsid w:val="004A2275"/>
    <w:rsid w:val="004A23C0"/>
    <w:rsid w:val="004A2459"/>
    <w:rsid w:val="004A24DF"/>
    <w:rsid w:val="004A25A8"/>
    <w:rsid w:val="004A25FF"/>
    <w:rsid w:val="004A266C"/>
    <w:rsid w:val="004A2735"/>
    <w:rsid w:val="004A2924"/>
    <w:rsid w:val="004A29C4"/>
    <w:rsid w:val="004A2A35"/>
    <w:rsid w:val="004A2A58"/>
    <w:rsid w:val="004A2BC2"/>
    <w:rsid w:val="004A2D87"/>
    <w:rsid w:val="004A2E1D"/>
    <w:rsid w:val="004A3038"/>
    <w:rsid w:val="004A335A"/>
    <w:rsid w:val="004A34B3"/>
    <w:rsid w:val="004A36AC"/>
    <w:rsid w:val="004A3707"/>
    <w:rsid w:val="004A389A"/>
    <w:rsid w:val="004A3C9A"/>
    <w:rsid w:val="004A3D59"/>
    <w:rsid w:val="004A3E50"/>
    <w:rsid w:val="004A3F52"/>
    <w:rsid w:val="004A4173"/>
    <w:rsid w:val="004A4332"/>
    <w:rsid w:val="004A441B"/>
    <w:rsid w:val="004A4A49"/>
    <w:rsid w:val="004A4A5E"/>
    <w:rsid w:val="004A4B3B"/>
    <w:rsid w:val="004A4D39"/>
    <w:rsid w:val="004A4E0B"/>
    <w:rsid w:val="004A4E2F"/>
    <w:rsid w:val="004A5027"/>
    <w:rsid w:val="004A519A"/>
    <w:rsid w:val="004A556A"/>
    <w:rsid w:val="004A55CD"/>
    <w:rsid w:val="004A58B6"/>
    <w:rsid w:val="004A5AEA"/>
    <w:rsid w:val="004A5C2C"/>
    <w:rsid w:val="004A5C6D"/>
    <w:rsid w:val="004A5E0A"/>
    <w:rsid w:val="004A5EFA"/>
    <w:rsid w:val="004A60FB"/>
    <w:rsid w:val="004A623E"/>
    <w:rsid w:val="004A6308"/>
    <w:rsid w:val="004A6341"/>
    <w:rsid w:val="004A64EC"/>
    <w:rsid w:val="004A6565"/>
    <w:rsid w:val="004A6676"/>
    <w:rsid w:val="004A66A4"/>
    <w:rsid w:val="004A66CE"/>
    <w:rsid w:val="004A68A1"/>
    <w:rsid w:val="004A68D5"/>
    <w:rsid w:val="004A6CE6"/>
    <w:rsid w:val="004A6FB9"/>
    <w:rsid w:val="004A7337"/>
    <w:rsid w:val="004A738E"/>
    <w:rsid w:val="004A751D"/>
    <w:rsid w:val="004A7850"/>
    <w:rsid w:val="004A7D83"/>
    <w:rsid w:val="004A7DD0"/>
    <w:rsid w:val="004A7E60"/>
    <w:rsid w:val="004A7FD9"/>
    <w:rsid w:val="004B00F0"/>
    <w:rsid w:val="004B0116"/>
    <w:rsid w:val="004B0567"/>
    <w:rsid w:val="004B058B"/>
    <w:rsid w:val="004B0686"/>
    <w:rsid w:val="004B0907"/>
    <w:rsid w:val="004B0AA3"/>
    <w:rsid w:val="004B0F78"/>
    <w:rsid w:val="004B0FDB"/>
    <w:rsid w:val="004B1251"/>
    <w:rsid w:val="004B1290"/>
    <w:rsid w:val="004B14D1"/>
    <w:rsid w:val="004B1664"/>
    <w:rsid w:val="004B173C"/>
    <w:rsid w:val="004B1750"/>
    <w:rsid w:val="004B18A2"/>
    <w:rsid w:val="004B1A23"/>
    <w:rsid w:val="004B1A48"/>
    <w:rsid w:val="004B1BC9"/>
    <w:rsid w:val="004B2006"/>
    <w:rsid w:val="004B2015"/>
    <w:rsid w:val="004B2123"/>
    <w:rsid w:val="004B21BE"/>
    <w:rsid w:val="004B236A"/>
    <w:rsid w:val="004B237F"/>
    <w:rsid w:val="004B2430"/>
    <w:rsid w:val="004B24E5"/>
    <w:rsid w:val="004B2644"/>
    <w:rsid w:val="004B2688"/>
    <w:rsid w:val="004B268A"/>
    <w:rsid w:val="004B2740"/>
    <w:rsid w:val="004B27C9"/>
    <w:rsid w:val="004B2977"/>
    <w:rsid w:val="004B29C4"/>
    <w:rsid w:val="004B2F06"/>
    <w:rsid w:val="004B2F27"/>
    <w:rsid w:val="004B2FEA"/>
    <w:rsid w:val="004B3075"/>
    <w:rsid w:val="004B31AC"/>
    <w:rsid w:val="004B35B9"/>
    <w:rsid w:val="004B3A5B"/>
    <w:rsid w:val="004B3A7B"/>
    <w:rsid w:val="004B3AF3"/>
    <w:rsid w:val="004B3B7A"/>
    <w:rsid w:val="004B3D5F"/>
    <w:rsid w:val="004B3DBE"/>
    <w:rsid w:val="004B415C"/>
    <w:rsid w:val="004B4374"/>
    <w:rsid w:val="004B437C"/>
    <w:rsid w:val="004B45AC"/>
    <w:rsid w:val="004B46C1"/>
    <w:rsid w:val="004B48AE"/>
    <w:rsid w:val="004B4982"/>
    <w:rsid w:val="004B498F"/>
    <w:rsid w:val="004B4BD3"/>
    <w:rsid w:val="004B4C59"/>
    <w:rsid w:val="004B4CB4"/>
    <w:rsid w:val="004B4CF9"/>
    <w:rsid w:val="004B4F73"/>
    <w:rsid w:val="004B5101"/>
    <w:rsid w:val="004B5278"/>
    <w:rsid w:val="004B52DE"/>
    <w:rsid w:val="004B53D4"/>
    <w:rsid w:val="004B54E9"/>
    <w:rsid w:val="004B5596"/>
    <w:rsid w:val="004B5802"/>
    <w:rsid w:val="004B59B8"/>
    <w:rsid w:val="004B59BE"/>
    <w:rsid w:val="004B5C1E"/>
    <w:rsid w:val="004B5C58"/>
    <w:rsid w:val="004B5F53"/>
    <w:rsid w:val="004B6062"/>
    <w:rsid w:val="004B60A8"/>
    <w:rsid w:val="004B6398"/>
    <w:rsid w:val="004B63E5"/>
    <w:rsid w:val="004B6449"/>
    <w:rsid w:val="004B64DB"/>
    <w:rsid w:val="004B6675"/>
    <w:rsid w:val="004B6677"/>
    <w:rsid w:val="004B6909"/>
    <w:rsid w:val="004B6941"/>
    <w:rsid w:val="004B6AD7"/>
    <w:rsid w:val="004B6B95"/>
    <w:rsid w:val="004B6E48"/>
    <w:rsid w:val="004B6FFC"/>
    <w:rsid w:val="004B71F4"/>
    <w:rsid w:val="004B73F8"/>
    <w:rsid w:val="004B73F9"/>
    <w:rsid w:val="004B758E"/>
    <w:rsid w:val="004B75CC"/>
    <w:rsid w:val="004B75FE"/>
    <w:rsid w:val="004B77D1"/>
    <w:rsid w:val="004B7932"/>
    <w:rsid w:val="004B7949"/>
    <w:rsid w:val="004B7A5E"/>
    <w:rsid w:val="004B7C5F"/>
    <w:rsid w:val="004B7CBD"/>
    <w:rsid w:val="004B7D3E"/>
    <w:rsid w:val="004B7DCC"/>
    <w:rsid w:val="004B7E23"/>
    <w:rsid w:val="004B7FC6"/>
    <w:rsid w:val="004C0139"/>
    <w:rsid w:val="004C013D"/>
    <w:rsid w:val="004C0200"/>
    <w:rsid w:val="004C02CC"/>
    <w:rsid w:val="004C036B"/>
    <w:rsid w:val="004C06C8"/>
    <w:rsid w:val="004C0AC1"/>
    <w:rsid w:val="004C0B39"/>
    <w:rsid w:val="004C0D38"/>
    <w:rsid w:val="004C10A4"/>
    <w:rsid w:val="004C1122"/>
    <w:rsid w:val="004C1302"/>
    <w:rsid w:val="004C13C4"/>
    <w:rsid w:val="004C1558"/>
    <w:rsid w:val="004C1589"/>
    <w:rsid w:val="004C168C"/>
    <w:rsid w:val="004C16A3"/>
    <w:rsid w:val="004C1A7A"/>
    <w:rsid w:val="004C1B58"/>
    <w:rsid w:val="004C1C74"/>
    <w:rsid w:val="004C1DC3"/>
    <w:rsid w:val="004C1DFA"/>
    <w:rsid w:val="004C1F56"/>
    <w:rsid w:val="004C1FF1"/>
    <w:rsid w:val="004C20B6"/>
    <w:rsid w:val="004C216C"/>
    <w:rsid w:val="004C21A2"/>
    <w:rsid w:val="004C2365"/>
    <w:rsid w:val="004C259C"/>
    <w:rsid w:val="004C2970"/>
    <w:rsid w:val="004C29AC"/>
    <w:rsid w:val="004C29AD"/>
    <w:rsid w:val="004C29DF"/>
    <w:rsid w:val="004C2AE1"/>
    <w:rsid w:val="004C2BAA"/>
    <w:rsid w:val="004C2BFA"/>
    <w:rsid w:val="004C2E18"/>
    <w:rsid w:val="004C2EA5"/>
    <w:rsid w:val="004C2FC2"/>
    <w:rsid w:val="004C3175"/>
    <w:rsid w:val="004C32D9"/>
    <w:rsid w:val="004C3329"/>
    <w:rsid w:val="004C333A"/>
    <w:rsid w:val="004C3340"/>
    <w:rsid w:val="004C3356"/>
    <w:rsid w:val="004C33AA"/>
    <w:rsid w:val="004C340C"/>
    <w:rsid w:val="004C3557"/>
    <w:rsid w:val="004C358A"/>
    <w:rsid w:val="004C361A"/>
    <w:rsid w:val="004C3657"/>
    <w:rsid w:val="004C36C5"/>
    <w:rsid w:val="004C3756"/>
    <w:rsid w:val="004C3759"/>
    <w:rsid w:val="004C38EA"/>
    <w:rsid w:val="004C3974"/>
    <w:rsid w:val="004C3C3F"/>
    <w:rsid w:val="004C3E13"/>
    <w:rsid w:val="004C3E62"/>
    <w:rsid w:val="004C3FF0"/>
    <w:rsid w:val="004C4081"/>
    <w:rsid w:val="004C41CF"/>
    <w:rsid w:val="004C4212"/>
    <w:rsid w:val="004C433D"/>
    <w:rsid w:val="004C440D"/>
    <w:rsid w:val="004C456D"/>
    <w:rsid w:val="004C470F"/>
    <w:rsid w:val="004C4ADD"/>
    <w:rsid w:val="004C4B9B"/>
    <w:rsid w:val="004C4C17"/>
    <w:rsid w:val="004C4D8C"/>
    <w:rsid w:val="004C5314"/>
    <w:rsid w:val="004C56DF"/>
    <w:rsid w:val="004C5827"/>
    <w:rsid w:val="004C586B"/>
    <w:rsid w:val="004C5A38"/>
    <w:rsid w:val="004C5B23"/>
    <w:rsid w:val="004C5B76"/>
    <w:rsid w:val="004C5F8F"/>
    <w:rsid w:val="004C6216"/>
    <w:rsid w:val="004C6262"/>
    <w:rsid w:val="004C6302"/>
    <w:rsid w:val="004C6517"/>
    <w:rsid w:val="004C6628"/>
    <w:rsid w:val="004C6735"/>
    <w:rsid w:val="004C6778"/>
    <w:rsid w:val="004C67A9"/>
    <w:rsid w:val="004C6862"/>
    <w:rsid w:val="004C6998"/>
    <w:rsid w:val="004C6A94"/>
    <w:rsid w:val="004C6AFE"/>
    <w:rsid w:val="004C6B25"/>
    <w:rsid w:val="004C6E39"/>
    <w:rsid w:val="004C6EDA"/>
    <w:rsid w:val="004C6F2F"/>
    <w:rsid w:val="004C6F7B"/>
    <w:rsid w:val="004C71D0"/>
    <w:rsid w:val="004C7527"/>
    <w:rsid w:val="004C7569"/>
    <w:rsid w:val="004C776E"/>
    <w:rsid w:val="004C77A6"/>
    <w:rsid w:val="004C788D"/>
    <w:rsid w:val="004C79B9"/>
    <w:rsid w:val="004C79BD"/>
    <w:rsid w:val="004C7A58"/>
    <w:rsid w:val="004C7A75"/>
    <w:rsid w:val="004C7A81"/>
    <w:rsid w:val="004C7B46"/>
    <w:rsid w:val="004C7D00"/>
    <w:rsid w:val="004C7E90"/>
    <w:rsid w:val="004C7EF2"/>
    <w:rsid w:val="004C7EF7"/>
    <w:rsid w:val="004C7F0C"/>
    <w:rsid w:val="004D0099"/>
    <w:rsid w:val="004D00C4"/>
    <w:rsid w:val="004D00EF"/>
    <w:rsid w:val="004D0115"/>
    <w:rsid w:val="004D0143"/>
    <w:rsid w:val="004D0855"/>
    <w:rsid w:val="004D08E6"/>
    <w:rsid w:val="004D08F7"/>
    <w:rsid w:val="004D0B4C"/>
    <w:rsid w:val="004D0EE0"/>
    <w:rsid w:val="004D10D2"/>
    <w:rsid w:val="004D1165"/>
    <w:rsid w:val="004D13E4"/>
    <w:rsid w:val="004D1431"/>
    <w:rsid w:val="004D148D"/>
    <w:rsid w:val="004D16D6"/>
    <w:rsid w:val="004D1AA8"/>
    <w:rsid w:val="004D1BE9"/>
    <w:rsid w:val="004D1C7E"/>
    <w:rsid w:val="004D1C97"/>
    <w:rsid w:val="004D1DC6"/>
    <w:rsid w:val="004D1F2D"/>
    <w:rsid w:val="004D203D"/>
    <w:rsid w:val="004D2177"/>
    <w:rsid w:val="004D21FE"/>
    <w:rsid w:val="004D246D"/>
    <w:rsid w:val="004D2569"/>
    <w:rsid w:val="004D2586"/>
    <w:rsid w:val="004D2755"/>
    <w:rsid w:val="004D2A58"/>
    <w:rsid w:val="004D2B61"/>
    <w:rsid w:val="004D2BD2"/>
    <w:rsid w:val="004D2E23"/>
    <w:rsid w:val="004D2EB5"/>
    <w:rsid w:val="004D2F7F"/>
    <w:rsid w:val="004D3095"/>
    <w:rsid w:val="004D3385"/>
    <w:rsid w:val="004D33B6"/>
    <w:rsid w:val="004D35D1"/>
    <w:rsid w:val="004D377E"/>
    <w:rsid w:val="004D38F7"/>
    <w:rsid w:val="004D397D"/>
    <w:rsid w:val="004D39E1"/>
    <w:rsid w:val="004D3BC1"/>
    <w:rsid w:val="004D3C92"/>
    <w:rsid w:val="004D3EEC"/>
    <w:rsid w:val="004D409F"/>
    <w:rsid w:val="004D412A"/>
    <w:rsid w:val="004D4276"/>
    <w:rsid w:val="004D431F"/>
    <w:rsid w:val="004D44E1"/>
    <w:rsid w:val="004D4624"/>
    <w:rsid w:val="004D4667"/>
    <w:rsid w:val="004D46F3"/>
    <w:rsid w:val="004D48B1"/>
    <w:rsid w:val="004D4C12"/>
    <w:rsid w:val="004D4C7D"/>
    <w:rsid w:val="004D5009"/>
    <w:rsid w:val="004D5047"/>
    <w:rsid w:val="004D5074"/>
    <w:rsid w:val="004D5126"/>
    <w:rsid w:val="004D545C"/>
    <w:rsid w:val="004D55CB"/>
    <w:rsid w:val="004D564F"/>
    <w:rsid w:val="004D5A4E"/>
    <w:rsid w:val="004D5B5F"/>
    <w:rsid w:val="004D5BDF"/>
    <w:rsid w:val="004D5C48"/>
    <w:rsid w:val="004D5D3C"/>
    <w:rsid w:val="004D5E17"/>
    <w:rsid w:val="004D6178"/>
    <w:rsid w:val="004D6363"/>
    <w:rsid w:val="004D63ED"/>
    <w:rsid w:val="004D6545"/>
    <w:rsid w:val="004D656D"/>
    <w:rsid w:val="004D657F"/>
    <w:rsid w:val="004D6895"/>
    <w:rsid w:val="004D68C8"/>
    <w:rsid w:val="004D6B67"/>
    <w:rsid w:val="004D6CD3"/>
    <w:rsid w:val="004D6E02"/>
    <w:rsid w:val="004D7560"/>
    <w:rsid w:val="004D7577"/>
    <w:rsid w:val="004D77A1"/>
    <w:rsid w:val="004D7809"/>
    <w:rsid w:val="004D7820"/>
    <w:rsid w:val="004D7926"/>
    <w:rsid w:val="004D7B19"/>
    <w:rsid w:val="004D7B59"/>
    <w:rsid w:val="004D7D4E"/>
    <w:rsid w:val="004D7D58"/>
    <w:rsid w:val="004D7E5B"/>
    <w:rsid w:val="004D7EA2"/>
    <w:rsid w:val="004D7F62"/>
    <w:rsid w:val="004E0014"/>
    <w:rsid w:val="004E03BC"/>
    <w:rsid w:val="004E040C"/>
    <w:rsid w:val="004E0562"/>
    <w:rsid w:val="004E06FE"/>
    <w:rsid w:val="004E0741"/>
    <w:rsid w:val="004E0873"/>
    <w:rsid w:val="004E0A62"/>
    <w:rsid w:val="004E0A80"/>
    <w:rsid w:val="004E0C78"/>
    <w:rsid w:val="004E0CB1"/>
    <w:rsid w:val="004E0E27"/>
    <w:rsid w:val="004E0F48"/>
    <w:rsid w:val="004E11DA"/>
    <w:rsid w:val="004E1372"/>
    <w:rsid w:val="004E1447"/>
    <w:rsid w:val="004E173B"/>
    <w:rsid w:val="004E1A30"/>
    <w:rsid w:val="004E1BB1"/>
    <w:rsid w:val="004E1BC7"/>
    <w:rsid w:val="004E1C40"/>
    <w:rsid w:val="004E1CC5"/>
    <w:rsid w:val="004E1F04"/>
    <w:rsid w:val="004E210E"/>
    <w:rsid w:val="004E21A0"/>
    <w:rsid w:val="004E2284"/>
    <w:rsid w:val="004E28E2"/>
    <w:rsid w:val="004E299D"/>
    <w:rsid w:val="004E2AB3"/>
    <w:rsid w:val="004E2AD5"/>
    <w:rsid w:val="004E2B13"/>
    <w:rsid w:val="004E2B82"/>
    <w:rsid w:val="004E2C07"/>
    <w:rsid w:val="004E2C19"/>
    <w:rsid w:val="004E2C70"/>
    <w:rsid w:val="004E2C78"/>
    <w:rsid w:val="004E2D89"/>
    <w:rsid w:val="004E2FD8"/>
    <w:rsid w:val="004E3240"/>
    <w:rsid w:val="004E33F2"/>
    <w:rsid w:val="004E3466"/>
    <w:rsid w:val="004E3507"/>
    <w:rsid w:val="004E353D"/>
    <w:rsid w:val="004E35B1"/>
    <w:rsid w:val="004E373B"/>
    <w:rsid w:val="004E37BD"/>
    <w:rsid w:val="004E3A12"/>
    <w:rsid w:val="004E3A6E"/>
    <w:rsid w:val="004E3B0D"/>
    <w:rsid w:val="004E3B67"/>
    <w:rsid w:val="004E3C31"/>
    <w:rsid w:val="004E3DD5"/>
    <w:rsid w:val="004E40D1"/>
    <w:rsid w:val="004E4293"/>
    <w:rsid w:val="004E448F"/>
    <w:rsid w:val="004E47E5"/>
    <w:rsid w:val="004E4922"/>
    <w:rsid w:val="004E4927"/>
    <w:rsid w:val="004E4ABC"/>
    <w:rsid w:val="004E4B15"/>
    <w:rsid w:val="004E4B9F"/>
    <w:rsid w:val="004E4C57"/>
    <w:rsid w:val="004E4C69"/>
    <w:rsid w:val="004E4D9B"/>
    <w:rsid w:val="004E4E1E"/>
    <w:rsid w:val="004E4E3C"/>
    <w:rsid w:val="004E4EBE"/>
    <w:rsid w:val="004E4FA9"/>
    <w:rsid w:val="004E502A"/>
    <w:rsid w:val="004E506C"/>
    <w:rsid w:val="004E5105"/>
    <w:rsid w:val="004E51F4"/>
    <w:rsid w:val="004E5343"/>
    <w:rsid w:val="004E549C"/>
    <w:rsid w:val="004E5C5C"/>
    <w:rsid w:val="004E5F43"/>
    <w:rsid w:val="004E61C4"/>
    <w:rsid w:val="004E644B"/>
    <w:rsid w:val="004E6483"/>
    <w:rsid w:val="004E65F3"/>
    <w:rsid w:val="004E661D"/>
    <w:rsid w:val="004E66FA"/>
    <w:rsid w:val="004E689B"/>
    <w:rsid w:val="004E69A4"/>
    <w:rsid w:val="004E6A9B"/>
    <w:rsid w:val="004E6ADD"/>
    <w:rsid w:val="004E6C1E"/>
    <w:rsid w:val="004E6C4C"/>
    <w:rsid w:val="004E6E09"/>
    <w:rsid w:val="004E6EBD"/>
    <w:rsid w:val="004E6FBF"/>
    <w:rsid w:val="004E7062"/>
    <w:rsid w:val="004E70A9"/>
    <w:rsid w:val="004E74BD"/>
    <w:rsid w:val="004E76D5"/>
    <w:rsid w:val="004E78AF"/>
    <w:rsid w:val="004E7A9B"/>
    <w:rsid w:val="004E7B77"/>
    <w:rsid w:val="004E7C20"/>
    <w:rsid w:val="004E7D3F"/>
    <w:rsid w:val="004E7D85"/>
    <w:rsid w:val="004E7D8F"/>
    <w:rsid w:val="004E7DB8"/>
    <w:rsid w:val="004E7E8E"/>
    <w:rsid w:val="004F0030"/>
    <w:rsid w:val="004F010E"/>
    <w:rsid w:val="004F033A"/>
    <w:rsid w:val="004F042F"/>
    <w:rsid w:val="004F0518"/>
    <w:rsid w:val="004F06B6"/>
    <w:rsid w:val="004F0776"/>
    <w:rsid w:val="004F08BA"/>
    <w:rsid w:val="004F08E2"/>
    <w:rsid w:val="004F0B00"/>
    <w:rsid w:val="004F0C40"/>
    <w:rsid w:val="004F0CD4"/>
    <w:rsid w:val="004F0D10"/>
    <w:rsid w:val="004F0D8F"/>
    <w:rsid w:val="004F0E57"/>
    <w:rsid w:val="004F0F0C"/>
    <w:rsid w:val="004F0F1F"/>
    <w:rsid w:val="004F0FDC"/>
    <w:rsid w:val="004F110C"/>
    <w:rsid w:val="004F1321"/>
    <w:rsid w:val="004F1426"/>
    <w:rsid w:val="004F149F"/>
    <w:rsid w:val="004F14EF"/>
    <w:rsid w:val="004F16A7"/>
    <w:rsid w:val="004F1794"/>
    <w:rsid w:val="004F1C95"/>
    <w:rsid w:val="004F1CE4"/>
    <w:rsid w:val="004F1DAD"/>
    <w:rsid w:val="004F1F68"/>
    <w:rsid w:val="004F1FBD"/>
    <w:rsid w:val="004F204E"/>
    <w:rsid w:val="004F2060"/>
    <w:rsid w:val="004F22C3"/>
    <w:rsid w:val="004F2393"/>
    <w:rsid w:val="004F23AB"/>
    <w:rsid w:val="004F23EE"/>
    <w:rsid w:val="004F23F7"/>
    <w:rsid w:val="004F2453"/>
    <w:rsid w:val="004F25A0"/>
    <w:rsid w:val="004F2637"/>
    <w:rsid w:val="004F2993"/>
    <w:rsid w:val="004F2BD3"/>
    <w:rsid w:val="004F2BEF"/>
    <w:rsid w:val="004F2C81"/>
    <w:rsid w:val="004F2E48"/>
    <w:rsid w:val="004F3269"/>
    <w:rsid w:val="004F3298"/>
    <w:rsid w:val="004F3525"/>
    <w:rsid w:val="004F3550"/>
    <w:rsid w:val="004F3875"/>
    <w:rsid w:val="004F3B5C"/>
    <w:rsid w:val="004F3E33"/>
    <w:rsid w:val="004F3E42"/>
    <w:rsid w:val="004F408D"/>
    <w:rsid w:val="004F4107"/>
    <w:rsid w:val="004F41D3"/>
    <w:rsid w:val="004F430F"/>
    <w:rsid w:val="004F432C"/>
    <w:rsid w:val="004F434B"/>
    <w:rsid w:val="004F4490"/>
    <w:rsid w:val="004F45FB"/>
    <w:rsid w:val="004F4662"/>
    <w:rsid w:val="004F48EE"/>
    <w:rsid w:val="004F4981"/>
    <w:rsid w:val="004F4B0A"/>
    <w:rsid w:val="004F4F57"/>
    <w:rsid w:val="004F4F88"/>
    <w:rsid w:val="004F50EC"/>
    <w:rsid w:val="004F5150"/>
    <w:rsid w:val="004F5377"/>
    <w:rsid w:val="004F5450"/>
    <w:rsid w:val="004F5458"/>
    <w:rsid w:val="004F553F"/>
    <w:rsid w:val="004F55DE"/>
    <w:rsid w:val="004F5601"/>
    <w:rsid w:val="004F5608"/>
    <w:rsid w:val="004F5643"/>
    <w:rsid w:val="004F585C"/>
    <w:rsid w:val="004F58BC"/>
    <w:rsid w:val="004F5B0D"/>
    <w:rsid w:val="004F5B64"/>
    <w:rsid w:val="004F5C5C"/>
    <w:rsid w:val="004F5CF3"/>
    <w:rsid w:val="004F60ED"/>
    <w:rsid w:val="004F670A"/>
    <w:rsid w:val="004F68C1"/>
    <w:rsid w:val="004F6B59"/>
    <w:rsid w:val="004F6B8A"/>
    <w:rsid w:val="004F6C03"/>
    <w:rsid w:val="004F6CA0"/>
    <w:rsid w:val="004F6D5D"/>
    <w:rsid w:val="004F6F1B"/>
    <w:rsid w:val="004F7012"/>
    <w:rsid w:val="004F726E"/>
    <w:rsid w:val="004F732A"/>
    <w:rsid w:val="004F738F"/>
    <w:rsid w:val="004F74C9"/>
    <w:rsid w:val="004F7505"/>
    <w:rsid w:val="004F75EB"/>
    <w:rsid w:val="004F7653"/>
    <w:rsid w:val="004F7864"/>
    <w:rsid w:val="004F79B6"/>
    <w:rsid w:val="004F7AC7"/>
    <w:rsid w:val="004F7B34"/>
    <w:rsid w:val="004F7D49"/>
    <w:rsid w:val="004F7DCF"/>
    <w:rsid w:val="004F7E15"/>
    <w:rsid w:val="004F7EC9"/>
    <w:rsid w:val="00500085"/>
    <w:rsid w:val="00500092"/>
    <w:rsid w:val="005001B4"/>
    <w:rsid w:val="00500283"/>
    <w:rsid w:val="00500292"/>
    <w:rsid w:val="0050058D"/>
    <w:rsid w:val="005007EB"/>
    <w:rsid w:val="005008CA"/>
    <w:rsid w:val="005008DE"/>
    <w:rsid w:val="00500915"/>
    <w:rsid w:val="00500AA7"/>
    <w:rsid w:val="00500DC7"/>
    <w:rsid w:val="00500E7C"/>
    <w:rsid w:val="00500EEE"/>
    <w:rsid w:val="00500FFD"/>
    <w:rsid w:val="00501065"/>
    <w:rsid w:val="0050125F"/>
    <w:rsid w:val="00501461"/>
    <w:rsid w:val="0050155F"/>
    <w:rsid w:val="005016E5"/>
    <w:rsid w:val="0050181D"/>
    <w:rsid w:val="0050189A"/>
    <w:rsid w:val="0050190E"/>
    <w:rsid w:val="0050198D"/>
    <w:rsid w:val="00501AA9"/>
    <w:rsid w:val="00501BDA"/>
    <w:rsid w:val="00501E8D"/>
    <w:rsid w:val="0050204C"/>
    <w:rsid w:val="00502077"/>
    <w:rsid w:val="005023EF"/>
    <w:rsid w:val="005024B3"/>
    <w:rsid w:val="005024D4"/>
    <w:rsid w:val="005026FB"/>
    <w:rsid w:val="00502824"/>
    <w:rsid w:val="0050291F"/>
    <w:rsid w:val="00502A11"/>
    <w:rsid w:val="00502D89"/>
    <w:rsid w:val="005030B4"/>
    <w:rsid w:val="005031AE"/>
    <w:rsid w:val="00503290"/>
    <w:rsid w:val="00503342"/>
    <w:rsid w:val="00503474"/>
    <w:rsid w:val="005034AB"/>
    <w:rsid w:val="00503741"/>
    <w:rsid w:val="00503AD4"/>
    <w:rsid w:val="00503B6D"/>
    <w:rsid w:val="00503C4D"/>
    <w:rsid w:val="00503CAD"/>
    <w:rsid w:val="00503CCF"/>
    <w:rsid w:val="00503DC0"/>
    <w:rsid w:val="00503E35"/>
    <w:rsid w:val="00503F24"/>
    <w:rsid w:val="00503FAB"/>
    <w:rsid w:val="00504137"/>
    <w:rsid w:val="0050416E"/>
    <w:rsid w:val="005041A7"/>
    <w:rsid w:val="005044E4"/>
    <w:rsid w:val="00504574"/>
    <w:rsid w:val="0050467C"/>
    <w:rsid w:val="0050470B"/>
    <w:rsid w:val="005049C4"/>
    <w:rsid w:val="00504EF7"/>
    <w:rsid w:val="00504F02"/>
    <w:rsid w:val="005050A2"/>
    <w:rsid w:val="0050524C"/>
    <w:rsid w:val="005052BD"/>
    <w:rsid w:val="00505613"/>
    <w:rsid w:val="005058AC"/>
    <w:rsid w:val="0050595F"/>
    <w:rsid w:val="00505BCD"/>
    <w:rsid w:val="00505C2A"/>
    <w:rsid w:val="00505EB3"/>
    <w:rsid w:val="005060E0"/>
    <w:rsid w:val="005061E2"/>
    <w:rsid w:val="00506262"/>
    <w:rsid w:val="005062A0"/>
    <w:rsid w:val="0050657A"/>
    <w:rsid w:val="00506669"/>
    <w:rsid w:val="00506672"/>
    <w:rsid w:val="005068D7"/>
    <w:rsid w:val="00506948"/>
    <w:rsid w:val="00506A09"/>
    <w:rsid w:val="00506A89"/>
    <w:rsid w:val="00506D2E"/>
    <w:rsid w:val="00506FAD"/>
    <w:rsid w:val="0050719D"/>
    <w:rsid w:val="00507260"/>
    <w:rsid w:val="005074A7"/>
    <w:rsid w:val="00507972"/>
    <w:rsid w:val="00507AEB"/>
    <w:rsid w:val="00507C40"/>
    <w:rsid w:val="00507C91"/>
    <w:rsid w:val="00507D91"/>
    <w:rsid w:val="00507EC2"/>
    <w:rsid w:val="00507FCA"/>
    <w:rsid w:val="005100CB"/>
    <w:rsid w:val="00510124"/>
    <w:rsid w:val="00510275"/>
    <w:rsid w:val="0051029A"/>
    <w:rsid w:val="00510357"/>
    <w:rsid w:val="005103D5"/>
    <w:rsid w:val="005103EE"/>
    <w:rsid w:val="0051043C"/>
    <w:rsid w:val="00510864"/>
    <w:rsid w:val="00510A06"/>
    <w:rsid w:val="00510BB8"/>
    <w:rsid w:val="005112A3"/>
    <w:rsid w:val="00511353"/>
    <w:rsid w:val="005113F3"/>
    <w:rsid w:val="00511749"/>
    <w:rsid w:val="0051178B"/>
    <w:rsid w:val="00511794"/>
    <w:rsid w:val="00511A21"/>
    <w:rsid w:val="00511BC7"/>
    <w:rsid w:val="00511C35"/>
    <w:rsid w:val="00511EBC"/>
    <w:rsid w:val="00511FD3"/>
    <w:rsid w:val="0051239A"/>
    <w:rsid w:val="005126F5"/>
    <w:rsid w:val="005127E0"/>
    <w:rsid w:val="0051287F"/>
    <w:rsid w:val="00512926"/>
    <w:rsid w:val="00512A09"/>
    <w:rsid w:val="00512C15"/>
    <w:rsid w:val="00512CC3"/>
    <w:rsid w:val="00512EF1"/>
    <w:rsid w:val="00512F9C"/>
    <w:rsid w:val="005131CA"/>
    <w:rsid w:val="005132A7"/>
    <w:rsid w:val="00513318"/>
    <w:rsid w:val="005134C6"/>
    <w:rsid w:val="0051351E"/>
    <w:rsid w:val="00513650"/>
    <w:rsid w:val="005136E0"/>
    <w:rsid w:val="005139C3"/>
    <w:rsid w:val="00513A7E"/>
    <w:rsid w:val="00513AA3"/>
    <w:rsid w:val="00513B19"/>
    <w:rsid w:val="00513B25"/>
    <w:rsid w:val="00513B46"/>
    <w:rsid w:val="00514006"/>
    <w:rsid w:val="00514142"/>
    <w:rsid w:val="005141F9"/>
    <w:rsid w:val="005146D2"/>
    <w:rsid w:val="005146EC"/>
    <w:rsid w:val="005147BC"/>
    <w:rsid w:val="00514A0F"/>
    <w:rsid w:val="00514B20"/>
    <w:rsid w:val="00514C09"/>
    <w:rsid w:val="00514C3E"/>
    <w:rsid w:val="00514DF6"/>
    <w:rsid w:val="00514E81"/>
    <w:rsid w:val="00514F2F"/>
    <w:rsid w:val="00514F6A"/>
    <w:rsid w:val="00515015"/>
    <w:rsid w:val="005151C6"/>
    <w:rsid w:val="0051527B"/>
    <w:rsid w:val="00515315"/>
    <w:rsid w:val="00515370"/>
    <w:rsid w:val="005153DB"/>
    <w:rsid w:val="0051547B"/>
    <w:rsid w:val="005154B2"/>
    <w:rsid w:val="00515552"/>
    <w:rsid w:val="0051560E"/>
    <w:rsid w:val="00515648"/>
    <w:rsid w:val="00515909"/>
    <w:rsid w:val="005159B5"/>
    <w:rsid w:val="00515A43"/>
    <w:rsid w:val="00515AA8"/>
    <w:rsid w:val="00515C52"/>
    <w:rsid w:val="00515D17"/>
    <w:rsid w:val="0051615B"/>
    <w:rsid w:val="005161F8"/>
    <w:rsid w:val="0051622C"/>
    <w:rsid w:val="00516258"/>
    <w:rsid w:val="0051629D"/>
    <w:rsid w:val="005163E1"/>
    <w:rsid w:val="005164C8"/>
    <w:rsid w:val="005165EE"/>
    <w:rsid w:val="0051665B"/>
    <w:rsid w:val="005166FA"/>
    <w:rsid w:val="005168A7"/>
    <w:rsid w:val="005168E6"/>
    <w:rsid w:val="00516956"/>
    <w:rsid w:val="00516A61"/>
    <w:rsid w:val="00516DAD"/>
    <w:rsid w:val="00516DF0"/>
    <w:rsid w:val="00516EC5"/>
    <w:rsid w:val="00516F30"/>
    <w:rsid w:val="005170B7"/>
    <w:rsid w:val="005171A8"/>
    <w:rsid w:val="005171D4"/>
    <w:rsid w:val="005172D8"/>
    <w:rsid w:val="005173D4"/>
    <w:rsid w:val="005175F9"/>
    <w:rsid w:val="005176E8"/>
    <w:rsid w:val="0051772C"/>
    <w:rsid w:val="00517A38"/>
    <w:rsid w:val="00517AD8"/>
    <w:rsid w:val="00517C8B"/>
    <w:rsid w:val="00517D6F"/>
    <w:rsid w:val="00517EC4"/>
    <w:rsid w:val="00517F27"/>
    <w:rsid w:val="005202BA"/>
    <w:rsid w:val="00520484"/>
    <w:rsid w:val="005205B8"/>
    <w:rsid w:val="0052078F"/>
    <w:rsid w:val="005207D6"/>
    <w:rsid w:val="0052081E"/>
    <w:rsid w:val="005209DF"/>
    <w:rsid w:val="00520A32"/>
    <w:rsid w:val="00520A57"/>
    <w:rsid w:val="00520B78"/>
    <w:rsid w:val="00520EBC"/>
    <w:rsid w:val="005211BF"/>
    <w:rsid w:val="00521222"/>
    <w:rsid w:val="0052135F"/>
    <w:rsid w:val="00521ADD"/>
    <w:rsid w:val="00521B6B"/>
    <w:rsid w:val="00521B99"/>
    <w:rsid w:val="00521BB7"/>
    <w:rsid w:val="00521D6C"/>
    <w:rsid w:val="00521D9E"/>
    <w:rsid w:val="00522171"/>
    <w:rsid w:val="005221AA"/>
    <w:rsid w:val="00522312"/>
    <w:rsid w:val="00522330"/>
    <w:rsid w:val="0052233E"/>
    <w:rsid w:val="0052246B"/>
    <w:rsid w:val="005224A4"/>
    <w:rsid w:val="00522732"/>
    <w:rsid w:val="005227C7"/>
    <w:rsid w:val="0052284A"/>
    <w:rsid w:val="005228DD"/>
    <w:rsid w:val="005228EE"/>
    <w:rsid w:val="0052290A"/>
    <w:rsid w:val="00522944"/>
    <w:rsid w:val="00522A22"/>
    <w:rsid w:val="00522B61"/>
    <w:rsid w:val="00522DE5"/>
    <w:rsid w:val="00522E04"/>
    <w:rsid w:val="00522E17"/>
    <w:rsid w:val="0052316C"/>
    <w:rsid w:val="00523197"/>
    <w:rsid w:val="005231C9"/>
    <w:rsid w:val="005232A4"/>
    <w:rsid w:val="00523315"/>
    <w:rsid w:val="00523321"/>
    <w:rsid w:val="00523489"/>
    <w:rsid w:val="005234E0"/>
    <w:rsid w:val="00523584"/>
    <w:rsid w:val="00523815"/>
    <w:rsid w:val="00523AE0"/>
    <w:rsid w:val="00523B0D"/>
    <w:rsid w:val="00523BD5"/>
    <w:rsid w:val="00523C17"/>
    <w:rsid w:val="00523CA8"/>
    <w:rsid w:val="00523D91"/>
    <w:rsid w:val="00523E7F"/>
    <w:rsid w:val="00523F59"/>
    <w:rsid w:val="005241D1"/>
    <w:rsid w:val="00524215"/>
    <w:rsid w:val="00524415"/>
    <w:rsid w:val="0052462D"/>
    <w:rsid w:val="00524807"/>
    <w:rsid w:val="005248D7"/>
    <w:rsid w:val="005248F8"/>
    <w:rsid w:val="00524A5D"/>
    <w:rsid w:val="00524AF1"/>
    <w:rsid w:val="00524B7B"/>
    <w:rsid w:val="00524C25"/>
    <w:rsid w:val="00524E56"/>
    <w:rsid w:val="00524EB4"/>
    <w:rsid w:val="00524FC3"/>
    <w:rsid w:val="005251D0"/>
    <w:rsid w:val="00525355"/>
    <w:rsid w:val="005253EC"/>
    <w:rsid w:val="005255F6"/>
    <w:rsid w:val="00525A33"/>
    <w:rsid w:val="00525A60"/>
    <w:rsid w:val="00525AB4"/>
    <w:rsid w:val="00525C5A"/>
    <w:rsid w:val="00525EDC"/>
    <w:rsid w:val="00526047"/>
    <w:rsid w:val="00526367"/>
    <w:rsid w:val="005263C3"/>
    <w:rsid w:val="00526425"/>
    <w:rsid w:val="00526786"/>
    <w:rsid w:val="00526870"/>
    <w:rsid w:val="00526892"/>
    <w:rsid w:val="005269F3"/>
    <w:rsid w:val="00526A27"/>
    <w:rsid w:val="00526A5B"/>
    <w:rsid w:val="00526B51"/>
    <w:rsid w:val="00526BA7"/>
    <w:rsid w:val="00526D4B"/>
    <w:rsid w:val="00526E6D"/>
    <w:rsid w:val="00526F23"/>
    <w:rsid w:val="00526F94"/>
    <w:rsid w:val="0052707A"/>
    <w:rsid w:val="005270CC"/>
    <w:rsid w:val="0052715C"/>
    <w:rsid w:val="00527396"/>
    <w:rsid w:val="00527468"/>
    <w:rsid w:val="0052763B"/>
    <w:rsid w:val="0052775C"/>
    <w:rsid w:val="00527817"/>
    <w:rsid w:val="005278C8"/>
    <w:rsid w:val="00527B65"/>
    <w:rsid w:val="00527BA5"/>
    <w:rsid w:val="00527C7D"/>
    <w:rsid w:val="00527DF1"/>
    <w:rsid w:val="00527F3E"/>
    <w:rsid w:val="00527F41"/>
    <w:rsid w:val="00527F6E"/>
    <w:rsid w:val="00530117"/>
    <w:rsid w:val="0053013F"/>
    <w:rsid w:val="00530185"/>
    <w:rsid w:val="005301E8"/>
    <w:rsid w:val="005302EF"/>
    <w:rsid w:val="00530329"/>
    <w:rsid w:val="005303CE"/>
    <w:rsid w:val="0053041D"/>
    <w:rsid w:val="0053060C"/>
    <w:rsid w:val="005307E2"/>
    <w:rsid w:val="00530826"/>
    <w:rsid w:val="0053094C"/>
    <w:rsid w:val="005309FF"/>
    <w:rsid w:val="00530A23"/>
    <w:rsid w:val="00530A65"/>
    <w:rsid w:val="00530D26"/>
    <w:rsid w:val="0053103B"/>
    <w:rsid w:val="00531044"/>
    <w:rsid w:val="005312F4"/>
    <w:rsid w:val="0053154B"/>
    <w:rsid w:val="0053159D"/>
    <w:rsid w:val="0053161A"/>
    <w:rsid w:val="0053170A"/>
    <w:rsid w:val="00531713"/>
    <w:rsid w:val="00531BFF"/>
    <w:rsid w:val="00531F69"/>
    <w:rsid w:val="0053220C"/>
    <w:rsid w:val="00532306"/>
    <w:rsid w:val="0053254C"/>
    <w:rsid w:val="0053255B"/>
    <w:rsid w:val="005326E7"/>
    <w:rsid w:val="00532976"/>
    <w:rsid w:val="00532AA5"/>
    <w:rsid w:val="00532B5A"/>
    <w:rsid w:val="00532C7D"/>
    <w:rsid w:val="00532FB9"/>
    <w:rsid w:val="00533008"/>
    <w:rsid w:val="005330A4"/>
    <w:rsid w:val="005331B3"/>
    <w:rsid w:val="005331CC"/>
    <w:rsid w:val="005333E6"/>
    <w:rsid w:val="00533543"/>
    <w:rsid w:val="005335AA"/>
    <w:rsid w:val="00533619"/>
    <w:rsid w:val="0053369A"/>
    <w:rsid w:val="00533829"/>
    <w:rsid w:val="00533898"/>
    <w:rsid w:val="0053392D"/>
    <w:rsid w:val="00533C55"/>
    <w:rsid w:val="00533CF9"/>
    <w:rsid w:val="00533D56"/>
    <w:rsid w:val="005340B8"/>
    <w:rsid w:val="00534131"/>
    <w:rsid w:val="00534221"/>
    <w:rsid w:val="00534276"/>
    <w:rsid w:val="005342DD"/>
    <w:rsid w:val="005342F0"/>
    <w:rsid w:val="005345AB"/>
    <w:rsid w:val="00534658"/>
    <w:rsid w:val="005346FC"/>
    <w:rsid w:val="005347D4"/>
    <w:rsid w:val="00534888"/>
    <w:rsid w:val="00534F87"/>
    <w:rsid w:val="0053507A"/>
    <w:rsid w:val="005350FE"/>
    <w:rsid w:val="005351ED"/>
    <w:rsid w:val="0053523B"/>
    <w:rsid w:val="00535397"/>
    <w:rsid w:val="005353CC"/>
    <w:rsid w:val="005353F6"/>
    <w:rsid w:val="005355EA"/>
    <w:rsid w:val="00535629"/>
    <w:rsid w:val="0053562D"/>
    <w:rsid w:val="0053563A"/>
    <w:rsid w:val="00535725"/>
    <w:rsid w:val="005357F3"/>
    <w:rsid w:val="00535977"/>
    <w:rsid w:val="005359BB"/>
    <w:rsid w:val="00535ADA"/>
    <w:rsid w:val="00535C10"/>
    <w:rsid w:val="00535C1F"/>
    <w:rsid w:val="00535D26"/>
    <w:rsid w:val="00535D66"/>
    <w:rsid w:val="00535E5A"/>
    <w:rsid w:val="00535FD5"/>
    <w:rsid w:val="0053668D"/>
    <w:rsid w:val="0053673F"/>
    <w:rsid w:val="00536874"/>
    <w:rsid w:val="005368F3"/>
    <w:rsid w:val="00536931"/>
    <w:rsid w:val="00536BA0"/>
    <w:rsid w:val="00536DD5"/>
    <w:rsid w:val="00536E73"/>
    <w:rsid w:val="0053744E"/>
    <w:rsid w:val="005374BC"/>
    <w:rsid w:val="005374D6"/>
    <w:rsid w:val="00537617"/>
    <w:rsid w:val="00537B1C"/>
    <w:rsid w:val="00537BA7"/>
    <w:rsid w:val="00537F53"/>
    <w:rsid w:val="00537F6C"/>
    <w:rsid w:val="00537F9D"/>
    <w:rsid w:val="005400BA"/>
    <w:rsid w:val="00540105"/>
    <w:rsid w:val="00540362"/>
    <w:rsid w:val="00540584"/>
    <w:rsid w:val="00540629"/>
    <w:rsid w:val="0054063D"/>
    <w:rsid w:val="00540B82"/>
    <w:rsid w:val="00540BA2"/>
    <w:rsid w:val="00540BDD"/>
    <w:rsid w:val="00540C22"/>
    <w:rsid w:val="00540D51"/>
    <w:rsid w:val="00540E0E"/>
    <w:rsid w:val="00540F59"/>
    <w:rsid w:val="00541403"/>
    <w:rsid w:val="0054164C"/>
    <w:rsid w:val="005418AD"/>
    <w:rsid w:val="00541958"/>
    <w:rsid w:val="005419F1"/>
    <w:rsid w:val="00541D09"/>
    <w:rsid w:val="00541D8E"/>
    <w:rsid w:val="00541DA0"/>
    <w:rsid w:val="0054244C"/>
    <w:rsid w:val="005425E6"/>
    <w:rsid w:val="00542786"/>
    <w:rsid w:val="005427CC"/>
    <w:rsid w:val="0054280B"/>
    <w:rsid w:val="00542889"/>
    <w:rsid w:val="0054298A"/>
    <w:rsid w:val="00542B34"/>
    <w:rsid w:val="00542CAC"/>
    <w:rsid w:val="00542D44"/>
    <w:rsid w:val="00543094"/>
    <w:rsid w:val="0054335D"/>
    <w:rsid w:val="00543580"/>
    <w:rsid w:val="00543593"/>
    <w:rsid w:val="005435A7"/>
    <w:rsid w:val="0054374E"/>
    <w:rsid w:val="005438CB"/>
    <w:rsid w:val="00543AB6"/>
    <w:rsid w:val="00543AE1"/>
    <w:rsid w:val="00543BD6"/>
    <w:rsid w:val="005440C1"/>
    <w:rsid w:val="00544206"/>
    <w:rsid w:val="00544230"/>
    <w:rsid w:val="00544732"/>
    <w:rsid w:val="00544774"/>
    <w:rsid w:val="00544855"/>
    <w:rsid w:val="0054493C"/>
    <w:rsid w:val="00544CEC"/>
    <w:rsid w:val="00544F9A"/>
    <w:rsid w:val="00545093"/>
    <w:rsid w:val="00545166"/>
    <w:rsid w:val="00545267"/>
    <w:rsid w:val="0054529E"/>
    <w:rsid w:val="005452A3"/>
    <w:rsid w:val="00545491"/>
    <w:rsid w:val="0054549D"/>
    <w:rsid w:val="00545595"/>
    <w:rsid w:val="00545657"/>
    <w:rsid w:val="0054568E"/>
    <w:rsid w:val="005456D2"/>
    <w:rsid w:val="00545773"/>
    <w:rsid w:val="0054580B"/>
    <w:rsid w:val="00545897"/>
    <w:rsid w:val="00545920"/>
    <w:rsid w:val="00545A35"/>
    <w:rsid w:val="00545AC1"/>
    <w:rsid w:val="00545B49"/>
    <w:rsid w:val="00545BD5"/>
    <w:rsid w:val="00545CAC"/>
    <w:rsid w:val="00545EFC"/>
    <w:rsid w:val="00546163"/>
    <w:rsid w:val="00546303"/>
    <w:rsid w:val="00546357"/>
    <w:rsid w:val="00546551"/>
    <w:rsid w:val="0054677D"/>
    <w:rsid w:val="005467AD"/>
    <w:rsid w:val="00546885"/>
    <w:rsid w:val="00546B4A"/>
    <w:rsid w:val="00546D9B"/>
    <w:rsid w:val="00546E0E"/>
    <w:rsid w:val="00546F1A"/>
    <w:rsid w:val="00546F40"/>
    <w:rsid w:val="00547051"/>
    <w:rsid w:val="005470AA"/>
    <w:rsid w:val="005470B8"/>
    <w:rsid w:val="0054718E"/>
    <w:rsid w:val="005471E9"/>
    <w:rsid w:val="00547326"/>
    <w:rsid w:val="00547582"/>
    <w:rsid w:val="005475C7"/>
    <w:rsid w:val="00547662"/>
    <w:rsid w:val="005476BC"/>
    <w:rsid w:val="00547712"/>
    <w:rsid w:val="00547AD6"/>
    <w:rsid w:val="00547AF2"/>
    <w:rsid w:val="00547B74"/>
    <w:rsid w:val="00547FBF"/>
    <w:rsid w:val="0055002E"/>
    <w:rsid w:val="00550049"/>
    <w:rsid w:val="00550186"/>
    <w:rsid w:val="005502CE"/>
    <w:rsid w:val="005502D1"/>
    <w:rsid w:val="00550300"/>
    <w:rsid w:val="005503F9"/>
    <w:rsid w:val="005504DF"/>
    <w:rsid w:val="00550571"/>
    <w:rsid w:val="0055063D"/>
    <w:rsid w:val="005508BF"/>
    <w:rsid w:val="005508CA"/>
    <w:rsid w:val="0055098C"/>
    <w:rsid w:val="00550A66"/>
    <w:rsid w:val="00550A8B"/>
    <w:rsid w:val="00550A9F"/>
    <w:rsid w:val="00551122"/>
    <w:rsid w:val="00551569"/>
    <w:rsid w:val="005515FA"/>
    <w:rsid w:val="005519EB"/>
    <w:rsid w:val="00551A65"/>
    <w:rsid w:val="00551A6A"/>
    <w:rsid w:val="00551B6D"/>
    <w:rsid w:val="00551D3D"/>
    <w:rsid w:val="005522EC"/>
    <w:rsid w:val="005523FA"/>
    <w:rsid w:val="00552469"/>
    <w:rsid w:val="00552525"/>
    <w:rsid w:val="00552576"/>
    <w:rsid w:val="005525C7"/>
    <w:rsid w:val="005525CD"/>
    <w:rsid w:val="0055265D"/>
    <w:rsid w:val="00552836"/>
    <w:rsid w:val="00552CF0"/>
    <w:rsid w:val="00552D47"/>
    <w:rsid w:val="00552D62"/>
    <w:rsid w:val="00552DFC"/>
    <w:rsid w:val="00552F85"/>
    <w:rsid w:val="00553014"/>
    <w:rsid w:val="0055319D"/>
    <w:rsid w:val="00553328"/>
    <w:rsid w:val="00553330"/>
    <w:rsid w:val="00553369"/>
    <w:rsid w:val="005534EF"/>
    <w:rsid w:val="005535AA"/>
    <w:rsid w:val="0055360D"/>
    <w:rsid w:val="0055364E"/>
    <w:rsid w:val="005536AD"/>
    <w:rsid w:val="005537B3"/>
    <w:rsid w:val="0055381D"/>
    <w:rsid w:val="00553A8D"/>
    <w:rsid w:val="00553AE5"/>
    <w:rsid w:val="00553B7E"/>
    <w:rsid w:val="00553CE7"/>
    <w:rsid w:val="00553D64"/>
    <w:rsid w:val="005544A5"/>
    <w:rsid w:val="005544EC"/>
    <w:rsid w:val="0055450D"/>
    <w:rsid w:val="00554569"/>
    <w:rsid w:val="00554619"/>
    <w:rsid w:val="005546AC"/>
    <w:rsid w:val="00554730"/>
    <w:rsid w:val="00554755"/>
    <w:rsid w:val="00554833"/>
    <w:rsid w:val="005549BE"/>
    <w:rsid w:val="00554CF1"/>
    <w:rsid w:val="00554E5C"/>
    <w:rsid w:val="00554FD9"/>
    <w:rsid w:val="00555128"/>
    <w:rsid w:val="00555132"/>
    <w:rsid w:val="005552EF"/>
    <w:rsid w:val="00555532"/>
    <w:rsid w:val="00555706"/>
    <w:rsid w:val="005558DB"/>
    <w:rsid w:val="00555954"/>
    <w:rsid w:val="00555BB2"/>
    <w:rsid w:val="00555BC0"/>
    <w:rsid w:val="00555C81"/>
    <w:rsid w:val="00555C8B"/>
    <w:rsid w:val="00555CDE"/>
    <w:rsid w:val="00555D98"/>
    <w:rsid w:val="00555DB9"/>
    <w:rsid w:val="00555EE3"/>
    <w:rsid w:val="00555F08"/>
    <w:rsid w:val="00555F5A"/>
    <w:rsid w:val="0055611B"/>
    <w:rsid w:val="00556190"/>
    <w:rsid w:val="00556496"/>
    <w:rsid w:val="00556875"/>
    <w:rsid w:val="00556A7D"/>
    <w:rsid w:val="00556BC4"/>
    <w:rsid w:val="00556C20"/>
    <w:rsid w:val="00556C86"/>
    <w:rsid w:val="00556CDB"/>
    <w:rsid w:val="00556EB1"/>
    <w:rsid w:val="00556EDC"/>
    <w:rsid w:val="00556EFD"/>
    <w:rsid w:val="00557029"/>
    <w:rsid w:val="00557187"/>
    <w:rsid w:val="0055725D"/>
    <w:rsid w:val="00557308"/>
    <w:rsid w:val="00557960"/>
    <w:rsid w:val="00557A46"/>
    <w:rsid w:val="00557B17"/>
    <w:rsid w:val="00557DF2"/>
    <w:rsid w:val="00560093"/>
    <w:rsid w:val="005603DF"/>
    <w:rsid w:val="005603E5"/>
    <w:rsid w:val="00560570"/>
    <w:rsid w:val="00560598"/>
    <w:rsid w:val="00560752"/>
    <w:rsid w:val="00560866"/>
    <w:rsid w:val="0056089B"/>
    <w:rsid w:val="005608B1"/>
    <w:rsid w:val="0056096C"/>
    <w:rsid w:val="005609B6"/>
    <w:rsid w:val="00560BCF"/>
    <w:rsid w:val="00560C02"/>
    <w:rsid w:val="00560D40"/>
    <w:rsid w:val="00560D5C"/>
    <w:rsid w:val="00560E28"/>
    <w:rsid w:val="00561150"/>
    <w:rsid w:val="00561172"/>
    <w:rsid w:val="00561453"/>
    <w:rsid w:val="0056164B"/>
    <w:rsid w:val="005618AA"/>
    <w:rsid w:val="00561985"/>
    <w:rsid w:val="00561A06"/>
    <w:rsid w:val="00561B75"/>
    <w:rsid w:val="00561BBF"/>
    <w:rsid w:val="00562050"/>
    <w:rsid w:val="0056212F"/>
    <w:rsid w:val="005622D7"/>
    <w:rsid w:val="00562508"/>
    <w:rsid w:val="005625B2"/>
    <w:rsid w:val="005627D0"/>
    <w:rsid w:val="005628DD"/>
    <w:rsid w:val="0056291A"/>
    <w:rsid w:val="005629EC"/>
    <w:rsid w:val="00562B03"/>
    <w:rsid w:val="00562C1F"/>
    <w:rsid w:val="00562C7E"/>
    <w:rsid w:val="00562D0D"/>
    <w:rsid w:val="00562D34"/>
    <w:rsid w:val="00562E05"/>
    <w:rsid w:val="0056306C"/>
    <w:rsid w:val="005630E5"/>
    <w:rsid w:val="00563116"/>
    <w:rsid w:val="005631FC"/>
    <w:rsid w:val="0056356E"/>
    <w:rsid w:val="00563704"/>
    <w:rsid w:val="005638F4"/>
    <w:rsid w:val="005639B2"/>
    <w:rsid w:val="005639CC"/>
    <w:rsid w:val="00563B8A"/>
    <w:rsid w:val="00563DCF"/>
    <w:rsid w:val="00563E46"/>
    <w:rsid w:val="00563EC4"/>
    <w:rsid w:val="005640F7"/>
    <w:rsid w:val="0056421B"/>
    <w:rsid w:val="005642B2"/>
    <w:rsid w:val="005647BB"/>
    <w:rsid w:val="005647D1"/>
    <w:rsid w:val="005648E1"/>
    <w:rsid w:val="005649C4"/>
    <w:rsid w:val="00564A42"/>
    <w:rsid w:val="00564A4C"/>
    <w:rsid w:val="00564AC9"/>
    <w:rsid w:val="00564BA8"/>
    <w:rsid w:val="00564D15"/>
    <w:rsid w:val="00564DB2"/>
    <w:rsid w:val="00564DBB"/>
    <w:rsid w:val="00564E69"/>
    <w:rsid w:val="00564F54"/>
    <w:rsid w:val="00564F86"/>
    <w:rsid w:val="00565249"/>
    <w:rsid w:val="00565442"/>
    <w:rsid w:val="0056544A"/>
    <w:rsid w:val="0056555F"/>
    <w:rsid w:val="0056566E"/>
    <w:rsid w:val="0056568B"/>
    <w:rsid w:val="00565696"/>
    <w:rsid w:val="0056584E"/>
    <w:rsid w:val="00565A6E"/>
    <w:rsid w:val="00565AA4"/>
    <w:rsid w:val="00565AD6"/>
    <w:rsid w:val="00565AFA"/>
    <w:rsid w:val="00565BDA"/>
    <w:rsid w:val="00565D4A"/>
    <w:rsid w:val="00565E5F"/>
    <w:rsid w:val="00565EC7"/>
    <w:rsid w:val="00566044"/>
    <w:rsid w:val="00566060"/>
    <w:rsid w:val="00566182"/>
    <w:rsid w:val="005662B6"/>
    <w:rsid w:val="0056642F"/>
    <w:rsid w:val="005664F7"/>
    <w:rsid w:val="00566668"/>
    <w:rsid w:val="00566835"/>
    <w:rsid w:val="0056697C"/>
    <w:rsid w:val="00566A45"/>
    <w:rsid w:val="00566C53"/>
    <w:rsid w:val="00566CBA"/>
    <w:rsid w:val="00566D56"/>
    <w:rsid w:val="00566D91"/>
    <w:rsid w:val="00567236"/>
    <w:rsid w:val="0056731F"/>
    <w:rsid w:val="00567416"/>
    <w:rsid w:val="00567468"/>
    <w:rsid w:val="005674FB"/>
    <w:rsid w:val="00567569"/>
    <w:rsid w:val="0056757B"/>
    <w:rsid w:val="005676C7"/>
    <w:rsid w:val="0056775A"/>
    <w:rsid w:val="00567814"/>
    <w:rsid w:val="00567965"/>
    <w:rsid w:val="00567B09"/>
    <w:rsid w:val="00567FB8"/>
    <w:rsid w:val="005701EE"/>
    <w:rsid w:val="0057037D"/>
    <w:rsid w:val="00570549"/>
    <w:rsid w:val="0057074D"/>
    <w:rsid w:val="0057088C"/>
    <w:rsid w:val="0057094D"/>
    <w:rsid w:val="005710FB"/>
    <w:rsid w:val="0057134C"/>
    <w:rsid w:val="00571409"/>
    <w:rsid w:val="005714EC"/>
    <w:rsid w:val="00571566"/>
    <w:rsid w:val="0057165C"/>
    <w:rsid w:val="0057170E"/>
    <w:rsid w:val="00571744"/>
    <w:rsid w:val="0057187A"/>
    <w:rsid w:val="005718F1"/>
    <w:rsid w:val="005719A2"/>
    <w:rsid w:val="005719BE"/>
    <w:rsid w:val="005719D4"/>
    <w:rsid w:val="00571BAE"/>
    <w:rsid w:val="00571DE4"/>
    <w:rsid w:val="00571FBF"/>
    <w:rsid w:val="00572090"/>
    <w:rsid w:val="00572119"/>
    <w:rsid w:val="005722F9"/>
    <w:rsid w:val="00572312"/>
    <w:rsid w:val="00572396"/>
    <w:rsid w:val="0057241C"/>
    <w:rsid w:val="0057242D"/>
    <w:rsid w:val="0057244D"/>
    <w:rsid w:val="00572872"/>
    <w:rsid w:val="005728A4"/>
    <w:rsid w:val="00572A14"/>
    <w:rsid w:val="00572A46"/>
    <w:rsid w:val="00572AB7"/>
    <w:rsid w:val="00572AED"/>
    <w:rsid w:val="00572B21"/>
    <w:rsid w:val="00572D5D"/>
    <w:rsid w:val="00572EBA"/>
    <w:rsid w:val="00572F66"/>
    <w:rsid w:val="00572F78"/>
    <w:rsid w:val="0057317C"/>
    <w:rsid w:val="00573180"/>
    <w:rsid w:val="00573274"/>
    <w:rsid w:val="0057327D"/>
    <w:rsid w:val="005738B1"/>
    <w:rsid w:val="00573B33"/>
    <w:rsid w:val="00573B8C"/>
    <w:rsid w:val="00573BBA"/>
    <w:rsid w:val="00573CD7"/>
    <w:rsid w:val="00573E0C"/>
    <w:rsid w:val="00573E16"/>
    <w:rsid w:val="00573FB1"/>
    <w:rsid w:val="005740BD"/>
    <w:rsid w:val="0057475C"/>
    <w:rsid w:val="0057477D"/>
    <w:rsid w:val="00574958"/>
    <w:rsid w:val="0057499C"/>
    <w:rsid w:val="00574AD2"/>
    <w:rsid w:val="00574C68"/>
    <w:rsid w:val="00574CAF"/>
    <w:rsid w:val="00574DA7"/>
    <w:rsid w:val="00574DD9"/>
    <w:rsid w:val="00574EC2"/>
    <w:rsid w:val="00574F4A"/>
    <w:rsid w:val="00574F4B"/>
    <w:rsid w:val="00574FB6"/>
    <w:rsid w:val="00574FE7"/>
    <w:rsid w:val="00575AE1"/>
    <w:rsid w:val="00575C3B"/>
    <w:rsid w:val="00575EC7"/>
    <w:rsid w:val="00575F03"/>
    <w:rsid w:val="00576002"/>
    <w:rsid w:val="005765BB"/>
    <w:rsid w:val="0057668C"/>
    <w:rsid w:val="0057668E"/>
    <w:rsid w:val="0057673D"/>
    <w:rsid w:val="00576767"/>
    <w:rsid w:val="00576909"/>
    <w:rsid w:val="0057699F"/>
    <w:rsid w:val="00576A70"/>
    <w:rsid w:val="00576AB5"/>
    <w:rsid w:val="00576C2A"/>
    <w:rsid w:val="00576CCA"/>
    <w:rsid w:val="00576D46"/>
    <w:rsid w:val="00576DC1"/>
    <w:rsid w:val="00576EA9"/>
    <w:rsid w:val="00576F8C"/>
    <w:rsid w:val="005773AB"/>
    <w:rsid w:val="005773DF"/>
    <w:rsid w:val="005775AE"/>
    <w:rsid w:val="00577702"/>
    <w:rsid w:val="0057772B"/>
    <w:rsid w:val="0057772D"/>
    <w:rsid w:val="005779F1"/>
    <w:rsid w:val="005779F2"/>
    <w:rsid w:val="00577AB3"/>
    <w:rsid w:val="00577F50"/>
    <w:rsid w:val="00577F6E"/>
    <w:rsid w:val="00577FC3"/>
    <w:rsid w:val="005800B3"/>
    <w:rsid w:val="005800E6"/>
    <w:rsid w:val="005801EA"/>
    <w:rsid w:val="005801F3"/>
    <w:rsid w:val="00580361"/>
    <w:rsid w:val="00580447"/>
    <w:rsid w:val="005805B2"/>
    <w:rsid w:val="00580767"/>
    <w:rsid w:val="005807DF"/>
    <w:rsid w:val="0058094F"/>
    <w:rsid w:val="00580ABA"/>
    <w:rsid w:val="00580BBA"/>
    <w:rsid w:val="00580DE5"/>
    <w:rsid w:val="00580E00"/>
    <w:rsid w:val="00580EBB"/>
    <w:rsid w:val="00580EC9"/>
    <w:rsid w:val="00581012"/>
    <w:rsid w:val="00581115"/>
    <w:rsid w:val="0058113B"/>
    <w:rsid w:val="00581340"/>
    <w:rsid w:val="00581457"/>
    <w:rsid w:val="005817E8"/>
    <w:rsid w:val="005817F4"/>
    <w:rsid w:val="00581870"/>
    <w:rsid w:val="00581993"/>
    <w:rsid w:val="00581A7F"/>
    <w:rsid w:val="00581D01"/>
    <w:rsid w:val="00581DAA"/>
    <w:rsid w:val="0058200B"/>
    <w:rsid w:val="0058211F"/>
    <w:rsid w:val="00582248"/>
    <w:rsid w:val="0058230D"/>
    <w:rsid w:val="0058289B"/>
    <w:rsid w:val="00582AAF"/>
    <w:rsid w:val="00582B90"/>
    <w:rsid w:val="00582C48"/>
    <w:rsid w:val="00582DBF"/>
    <w:rsid w:val="00582F2B"/>
    <w:rsid w:val="00582F80"/>
    <w:rsid w:val="00582FD7"/>
    <w:rsid w:val="005830F3"/>
    <w:rsid w:val="00583106"/>
    <w:rsid w:val="00583124"/>
    <w:rsid w:val="00583172"/>
    <w:rsid w:val="005832F4"/>
    <w:rsid w:val="0058369A"/>
    <w:rsid w:val="005836E6"/>
    <w:rsid w:val="005837BE"/>
    <w:rsid w:val="0058383C"/>
    <w:rsid w:val="005838AF"/>
    <w:rsid w:val="00583969"/>
    <w:rsid w:val="00583A5C"/>
    <w:rsid w:val="00583B1E"/>
    <w:rsid w:val="00583C0A"/>
    <w:rsid w:val="00583D1D"/>
    <w:rsid w:val="00583D92"/>
    <w:rsid w:val="0058422E"/>
    <w:rsid w:val="0058424B"/>
    <w:rsid w:val="005843D4"/>
    <w:rsid w:val="00584481"/>
    <w:rsid w:val="0058454E"/>
    <w:rsid w:val="00584603"/>
    <w:rsid w:val="00584608"/>
    <w:rsid w:val="0058481F"/>
    <w:rsid w:val="00584932"/>
    <w:rsid w:val="00584AD2"/>
    <w:rsid w:val="00584CC8"/>
    <w:rsid w:val="00584D00"/>
    <w:rsid w:val="00584D3C"/>
    <w:rsid w:val="00584F75"/>
    <w:rsid w:val="00585048"/>
    <w:rsid w:val="0058549C"/>
    <w:rsid w:val="005855ED"/>
    <w:rsid w:val="00585850"/>
    <w:rsid w:val="00585959"/>
    <w:rsid w:val="0058598B"/>
    <w:rsid w:val="00585A47"/>
    <w:rsid w:val="00585A98"/>
    <w:rsid w:val="00586050"/>
    <w:rsid w:val="00586453"/>
    <w:rsid w:val="0058660F"/>
    <w:rsid w:val="0058672B"/>
    <w:rsid w:val="005868C1"/>
    <w:rsid w:val="00586ADA"/>
    <w:rsid w:val="00586E7A"/>
    <w:rsid w:val="00586FDD"/>
    <w:rsid w:val="00587025"/>
    <w:rsid w:val="0058710C"/>
    <w:rsid w:val="0058731A"/>
    <w:rsid w:val="005874BB"/>
    <w:rsid w:val="005874FC"/>
    <w:rsid w:val="00587720"/>
    <w:rsid w:val="005877C5"/>
    <w:rsid w:val="005879BB"/>
    <w:rsid w:val="00587A28"/>
    <w:rsid w:val="00587BD5"/>
    <w:rsid w:val="00587C47"/>
    <w:rsid w:val="00587EE0"/>
    <w:rsid w:val="00587EE7"/>
    <w:rsid w:val="00587F36"/>
    <w:rsid w:val="00590352"/>
    <w:rsid w:val="005903AC"/>
    <w:rsid w:val="00590618"/>
    <w:rsid w:val="0059076E"/>
    <w:rsid w:val="0059086A"/>
    <w:rsid w:val="00590888"/>
    <w:rsid w:val="005909BC"/>
    <w:rsid w:val="00590AC8"/>
    <w:rsid w:val="00590C4C"/>
    <w:rsid w:val="00590CD6"/>
    <w:rsid w:val="00590E93"/>
    <w:rsid w:val="00591109"/>
    <w:rsid w:val="00591431"/>
    <w:rsid w:val="00591988"/>
    <w:rsid w:val="00591A79"/>
    <w:rsid w:val="00591B20"/>
    <w:rsid w:val="00591C9A"/>
    <w:rsid w:val="00591CA6"/>
    <w:rsid w:val="00591CAF"/>
    <w:rsid w:val="00591CDA"/>
    <w:rsid w:val="00591D4B"/>
    <w:rsid w:val="00591DCE"/>
    <w:rsid w:val="00591E70"/>
    <w:rsid w:val="005921DF"/>
    <w:rsid w:val="00592222"/>
    <w:rsid w:val="0059229B"/>
    <w:rsid w:val="005922CD"/>
    <w:rsid w:val="005924D5"/>
    <w:rsid w:val="005925FF"/>
    <w:rsid w:val="00592733"/>
    <w:rsid w:val="0059280A"/>
    <w:rsid w:val="00592A9D"/>
    <w:rsid w:val="00592AC5"/>
    <w:rsid w:val="00592C1F"/>
    <w:rsid w:val="00592DCA"/>
    <w:rsid w:val="00592EBE"/>
    <w:rsid w:val="00592F34"/>
    <w:rsid w:val="00592FD7"/>
    <w:rsid w:val="00593042"/>
    <w:rsid w:val="005934B0"/>
    <w:rsid w:val="005934B4"/>
    <w:rsid w:val="005935A2"/>
    <w:rsid w:val="00593628"/>
    <w:rsid w:val="0059369C"/>
    <w:rsid w:val="00593796"/>
    <w:rsid w:val="005937BC"/>
    <w:rsid w:val="00593914"/>
    <w:rsid w:val="00593928"/>
    <w:rsid w:val="0059399F"/>
    <w:rsid w:val="005939A7"/>
    <w:rsid w:val="005939E5"/>
    <w:rsid w:val="00593A3B"/>
    <w:rsid w:val="00593A47"/>
    <w:rsid w:val="00593A63"/>
    <w:rsid w:val="00593A79"/>
    <w:rsid w:val="00593AE5"/>
    <w:rsid w:val="00593BD7"/>
    <w:rsid w:val="00593E88"/>
    <w:rsid w:val="00593EE5"/>
    <w:rsid w:val="0059408F"/>
    <w:rsid w:val="00594195"/>
    <w:rsid w:val="005941A6"/>
    <w:rsid w:val="005941E8"/>
    <w:rsid w:val="0059423A"/>
    <w:rsid w:val="005942CF"/>
    <w:rsid w:val="005943CC"/>
    <w:rsid w:val="005944B1"/>
    <w:rsid w:val="00594552"/>
    <w:rsid w:val="005948FB"/>
    <w:rsid w:val="0059492A"/>
    <w:rsid w:val="00594A72"/>
    <w:rsid w:val="00594B09"/>
    <w:rsid w:val="00594B47"/>
    <w:rsid w:val="00594B5E"/>
    <w:rsid w:val="00594C41"/>
    <w:rsid w:val="00594D33"/>
    <w:rsid w:val="00594D7B"/>
    <w:rsid w:val="00594E86"/>
    <w:rsid w:val="00595000"/>
    <w:rsid w:val="00595006"/>
    <w:rsid w:val="005951D9"/>
    <w:rsid w:val="005951E3"/>
    <w:rsid w:val="005952B4"/>
    <w:rsid w:val="005954D3"/>
    <w:rsid w:val="0059552F"/>
    <w:rsid w:val="00595581"/>
    <w:rsid w:val="00595591"/>
    <w:rsid w:val="005956EE"/>
    <w:rsid w:val="00595746"/>
    <w:rsid w:val="00595AFE"/>
    <w:rsid w:val="00595BB1"/>
    <w:rsid w:val="00595CAF"/>
    <w:rsid w:val="00595D4F"/>
    <w:rsid w:val="00595EFD"/>
    <w:rsid w:val="0059610D"/>
    <w:rsid w:val="0059627C"/>
    <w:rsid w:val="005962A0"/>
    <w:rsid w:val="005962F8"/>
    <w:rsid w:val="005966C6"/>
    <w:rsid w:val="00596705"/>
    <w:rsid w:val="005967E9"/>
    <w:rsid w:val="005967EA"/>
    <w:rsid w:val="0059688C"/>
    <w:rsid w:val="00596B1D"/>
    <w:rsid w:val="00596CF1"/>
    <w:rsid w:val="00596D84"/>
    <w:rsid w:val="00596E8E"/>
    <w:rsid w:val="0059707C"/>
    <w:rsid w:val="00597149"/>
    <w:rsid w:val="005972FB"/>
    <w:rsid w:val="00597322"/>
    <w:rsid w:val="005973B0"/>
    <w:rsid w:val="005974CA"/>
    <w:rsid w:val="005974F1"/>
    <w:rsid w:val="00597515"/>
    <w:rsid w:val="00597528"/>
    <w:rsid w:val="005975D5"/>
    <w:rsid w:val="00597888"/>
    <w:rsid w:val="00597962"/>
    <w:rsid w:val="005979C7"/>
    <w:rsid w:val="005979F9"/>
    <w:rsid w:val="00597B36"/>
    <w:rsid w:val="00597B5C"/>
    <w:rsid w:val="00597C77"/>
    <w:rsid w:val="00597E3F"/>
    <w:rsid w:val="00597EE4"/>
    <w:rsid w:val="00597EFB"/>
    <w:rsid w:val="00597F2A"/>
    <w:rsid w:val="005A00CA"/>
    <w:rsid w:val="005A031F"/>
    <w:rsid w:val="005A0509"/>
    <w:rsid w:val="005A057B"/>
    <w:rsid w:val="005A05B8"/>
    <w:rsid w:val="005A0614"/>
    <w:rsid w:val="005A0648"/>
    <w:rsid w:val="005A069C"/>
    <w:rsid w:val="005A0756"/>
    <w:rsid w:val="005A075C"/>
    <w:rsid w:val="005A08E6"/>
    <w:rsid w:val="005A0E90"/>
    <w:rsid w:val="005A0F5C"/>
    <w:rsid w:val="005A10EF"/>
    <w:rsid w:val="005A116E"/>
    <w:rsid w:val="005A1405"/>
    <w:rsid w:val="005A174D"/>
    <w:rsid w:val="005A17D1"/>
    <w:rsid w:val="005A17D9"/>
    <w:rsid w:val="005A17E3"/>
    <w:rsid w:val="005A18C7"/>
    <w:rsid w:val="005A1B09"/>
    <w:rsid w:val="005A1BCD"/>
    <w:rsid w:val="005A1C79"/>
    <w:rsid w:val="005A1D13"/>
    <w:rsid w:val="005A1D5B"/>
    <w:rsid w:val="005A1D79"/>
    <w:rsid w:val="005A2130"/>
    <w:rsid w:val="005A2147"/>
    <w:rsid w:val="005A2355"/>
    <w:rsid w:val="005A2382"/>
    <w:rsid w:val="005A24F9"/>
    <w:rsid w:val="005A255F"/>
    <w:rsid w:val="005A265A"/>
    <w:rsid w:val="005A26A9"/>
    <w:rsid w:val="005A28A8"/>
    <w:rsid w:val="005A2D9B"/>
    <w:rsid w:val="005A2E26"/>
    <w:rsid w:val="005A2E73"/>
    <w:rsid w:val="005A2FF1"/>
    <w:rsid w:val="005A2FFB"/>
    <w:rsid w:val="005A3016"/>
    <w:rsid w:val="005A30F9"/>
    <w:rsid w:val="005A33E6"/>
    <w:rsid w:val="005A344E"/>
    <w:rsid w:val="005A355D"/>
    <w:rsid w:val="005A35F8"/>
    <w:rsid w:val="005A3662"/>
    <w:rsid w:val="005A3670"/>
    <w:rsid w:val="005A3935"/>
    <w:rsid w:val="005A3A3B"/>
    <w:rsid w:val="005A3C21"/>
    <w:rsid w:val="005A3CF2"/>
    <w:rsid w:val="005A3F84"/>
    <w:rsid w:val="005A42C9"/>
    <w:rsid w:val="005A4328"/>
    <w:rsid w:val="005A447B"/>
    <w:rsid w:val="005A44E4"/>
    <w:rsid w:val="005A4521"/>
    <w:rsid w:val="005A459E"/>
    <w:rsid w:val="005A48F6"/>
    <w:rsid w:val="005A49C3"/>
    <w:rsid w:val="005A49DF"/>
    <w:rsid w:val="005A4B31"/>
    <w:rsid w:val="005A4B34"/>
    <w:rsid w:val="005A4B65"/>
    <w:rsid w:val="005A4BF0"/>
    <w:rsid w:val="005A4D26"/>
    <w:rsid w:val="005A4EB5"/>
    <w:rsid w:val="005A4F83"/>
    <w:rsid w:val="005A4F9F"/>
    <w:rsid w:val="005A4FE5"/>
    <w:rsid w:val="005A519A"/>
    <w:rsid w:val="005A53B3"/>
    <w:rsid w:val="005A55E6"/>
    <w:rsid w:val="005A5731"/>
    <w:rsid w:val="005A5847"/>
    <w:rsid w:val="005A5C17"/>
    <w:rsid w:val="005A5CAD"/>
    <w:rsid w:val="005A5D85"/>
    <w:rsid w:val="005A5DD9"/>
    <w:rsid w:val="005A5E6F"/>
    <w:rsid w:val="005A5E7E"/>
    <w:rsid w:val="005A5F52"/>
    <w:rsid w:val="005A60A7"/>
    <w:rsid w:val="005A60B1"/>
    <w:rsid w:val="005A6510"/>
    <w:rsid w:val="005A6576"/>
    <w:rsid w:val="005A6706"/>
    <w:rsid w:val="005A672C"/>
    <w:rsid w:val="005A6864"/>
    <w:rsid w:val="005A686C"/>
    <w:rsid w:val="005A69A5"/>
    <w:rsid w:val="005A6AB7"/>
    <w:rsid w:val="005A6C73"/>
    <w:rsid w:val="005A7060"/>
    <w:rsid w:val="005A70DC"/>
    <w:rsid w:val="005A719F"/>
    <w:rsid w:val="005A733A"/>
    <w:rsid w:val="005A7418"/>
    <w:rsid w:val="005A7594"/>
    <w:rsid w:val="005A7681"/>
    <w:rsid w:val="005A7741"/>
    <w:rsid w:val="005A77A6"/>
    <w:rsid w:val="005A7801"/>
    <w:rsid w:val="005A7A6B"/>
    <w:rsid w:val="005A7BA5"/>
    <w:rsid w:val="005A7C94"/>
    <w:rsid w:val="005A7D28"/>
    <w:rsid w:val="005A7E52"/>
    <w:rsid w:val="005A7F7F"/>
    <w:rsid w:val="005A7FB6"/>
    <w:rsid w:val="005A7FC5"/>
    <w:rsid w:val="005B02DC"/>
    <w:rsid w:val="005B041B"/>
    <w:rsid w:val="005B0671"/>
    <w:rsid w:val="005B07A3"/>
    <w:rsid w:val="005B0C21"/>
    <w:rsid w:val="005B0CC1"/>
    <w:rsid w:val="005B0D1F"/>
    <w:rsid w:val="005B0DE2"/>
    <w:rsid w:val="005B0F6B"/>
    <w:rsid w:val="005B101D"/>
    <w:rsid w:val="005B127A"/>
    <w:rsid w:val="005B1353"/>
    <w:rsid w:val="005B14C0"/>
    <w:rsid w:val="005B151D"/>
    <w:rsid w:val="005B1615"/>
    <w:rsid w:val="005B163F"/>
    <w:rsid w:val="005B169B"/>
    <w:rsid w:val="005B16B4"/>
    <w:rsid w:val="005B17F7"/>
    <w:rsid w:val="005B1A3C"/>
    <w:rsid w:val="005B1B8A"/>
    <w:rsid w:val="005B1C13"/>
    <w:rsid w:val="005B1D02"/>
    <w:rsid w:val="005B1DFB"/>
    <w:rsid w:val="005B1E2B"/>
    <w:rsid w:val="005B2009"/>
    <w:rsid w:val="005B2080"/>
    <w:rsid w:val="005B20CB"/>
    <w:rsid w:val="005B21A5"/>
    <w:rsid w:val="005B2304"/>
    <w:rsid w:val="005B2344"/>
    <w:rsid w:val="005B2479"/>
    <w:rsid w:val="005B2573"/>
    <w:rsid w:val="005B2581"/>
    <w:rsid w:val="005B25B4"/>
    <w:rsid w:val="005B2772"/>
    <w:rsid w:val="005B29C9"/>
    <w:rsid w:val="005B2A88"/>
    <w:rsid w:val="005B2CD3"/>
    <w:rsid w:val="005B2CEE"/>
    <w:rsid w:val="005B2CF1"/>
    <w:rsid w:val="005B2D22"/>
    <w:rsid w:val="005B2DAA"/>
    <w:rsid w:val="005B2DC4"/>
    <w:rsid w:val="005B2ED5"/>
    <w:rsid w:val="005B326A"/>
    <w:rsid w:val="005B3297"/>
    <w:rsid w:val="005B32EC"/>
    <w:rsid w:val="005B35EB"/>
    <w:rsid w:val="005B36D3"/>
    <w:rsid w:val="005B373E"/>
    <w:rsid w:val="005B3755"/>
    <w:rsid w:val="005B37FF"/>
    <w:rsid w:val="005B394C"/>
    <w:rsid w:val="005B3954"/>
    <w:rsid w:val="005B3975"/>
    <w:rsid w:val="005B39B8"/>
    <w:rsid w:val="005B3A05"/>
    <w:rsid w:val="005B3A13"/>
    <w:rsid w:val="005B3A7B"/>
    <w:rsid w:val="005B3C7C"/>
    <w:rsid w:val="005B3EE2"/>
    <w:rsid w:val="005B4049"/>
    <w:rsid w:val="005B4062"/>
    <w:rsid w:val="005B42AB"/>
    <w:rsid w:val="005B4446"/>
    <w:rsid w:val="005B44B9"/>
    <w:rsid w:val="005B4532"/>
    <w:rsid w:val="005B462B"/>
    <w:rsid w:val="005B481F"/>
    <w:rsid w:val="005B4921"/>
    <w:rsid w:val="005B4983"/>
    <w:rsid w:val="005B4A8D"/>
    <w:rsid w:val="005B4B80"/>
    <w:rsid w:val="005B4ED3"/>
    <w:rsid w:val="005B4EEC"/>
    <w:rsid w:val="005B5053"/>
    <w:rsid w:val="005B505F"/>
    <w:rsid w:val="005B5082"/>
    <w:rsid w:val="005B50E4"/>
    <w:rsid w:val="005B50F6"/>
    <w:rsid w:val="005B5299"/>
    <w:rsid w:val="005B52E2"/>
    <w:rsid w:val="005B53AD"/>
    <w:rsid w:val="005B53BA"/>
    <w:rsid w:val="005B53D2"/>
    <w:rsid w:val="005B5448"/>
    <w:rsid w:val="005B545A"/>
    <w:rsid w:val="005B55BE"/>
    <w:rsid w:val="005B5723"/>
    <w:rsid w:val="005B57A6"/>
    <w:rsid w:val="005B595F"/>
    <w:rsid w:val="005B5A0C"/>
    <w:rsid w:val="005B5AD4"/>
    <w:rsid w:val="005B5E72"/>
    <w:rsid w:val="005B5E7E"/>
    <w:rsid w:val="005B5F10"/>
    <w:rsid w:val="005B600E"/>
    <w:rsid w:val="005B6249"/>
    <w:rsid w:val="005B64EB"/>
    <w:rsid w:val="005B67C5"/>
    <w:rsid w:val="005B67C8"/>
    <w:rsid w:val="005B6972"/>
    <w:rsid w:val="005B6983"/>
    <w:rsid w:val="005B69A2"/>
    <w:rsid w:val="005B6A04"/>
    <w:rsid w:val="005B6F76"/>
    <w:rsid w:val="005B716C"/>
    <w:rsid w:val="005B716E"/>
    <w:rsid w:val="005B7266"/>
    <w:rsid w:val="005B726C"/>
    <w:rsid w:val="005B73ED"/>
    <w:rsid w:val="005B7704"/>
    <w:rsid w:val="005B77FD"/>
    <w:rsid w:val="005B79F4"/>
    <w:rsid w:val="005B7B45"/>
    <w:rsid w:val="005B7B55"/>
    <w:rsid w:val="005B7BAF"/>
    <w:rsid w:val="005B7BF5"/>
    <w:rsid w:val="005B7D5D"/>
    <w:rsid w:val="005B7D78"/>
    <w:rsid w:val="005B7F0A"/>
    <w:rsid w:val="005C01E9"/>
    <w:rsid w:val="005C03C1"/>
    <w:rsid w:val="005C05BD"/>
    <w:rsid w:val="005C0616"/>
    <w:rsid w:val="005C0764"/>
    <w:rsid w:val="005C09DD"/>
    <w:rsid w:val="005C0A0C"/>
    <w:rsid w:val="005C0A5E"/>
    <w:rsid w:val="005C1164"/>
    <w:rsid w:val="005C1188"/>
    <w:rsid w:val="005C12E9"/>
    <w:rsid w:val="005C1305"/>
    <w:rsid w:val="005C13B1"/>
    <w:rsid w:val="005C14BC"/>
    <w:rsid w:val="005C15C0"/>
    <w:rsid w:val="005C16D4"/>
    <w:rsid w:val="005C18AF"/>
    <w:rsid w:val="005C18E3"/>
    <w:rsid w:val="005C1B3E"/>
    <w:rsid w:val="005C1C3D"/>
    <w:rsid w:val="005C1C80"/>
    <w:rsid w:val="005C1CF8"/>
    <w:rsid w:val="005C21D7"/>
    <w:rsid w:val="005C2453"/>
    <w:rsid w:val="005C27E0"/>
    <w:rsid w:val="005C29D7"/>
    <w:rsid w:val="005C2C7D"/>
    <w:rsid w:val="005C2D1D"/>
    <w:rsid w:val="005C2D65"/>
    <w:rsid w:val="005C2EF4"/>
    <w:rsid w:val="005C2F14"/>
    <w:rsid w:val="005C2F29"/>
    <w:rsid w:val="005C303C"/>
    <w:rsid w:val="005C30A1"/>
    <w:rsid w:val="005C321A"/>
    <w:rsid w:val="005C345D"/>
    <w:rsid w:val="005C3486"/>
    <w:rsid w:val="005C358B"/>
    <w:rsid w:val="005C3673"/>
    <w:rsid w:val="005C3966"/>
    <w:rsid w:val="005C39A7"/>
    <w:rsid w:val="005C3A76"/>
    <w:rsid w:val="005C3BE7"/>
    <w:rsid w:val="005C3F3E"/>
    <w:rsid w:val="005C3FC4"/>
    <w:rsid w:val="005C4452"/>
    <w:rsid w:val="005C445D"/>
    <w:rsid w:val="005C4506"/>
    <w:rsid w:val="005C45DA"/>
    <w:rsid w:val="005C4662"/>
    <w:rsid w:val="005C4675"/>
    <w:rsid w:val="005C4748"/>
    <w:rsid w:val="005C47BF"/>
    <w:rsid w:val="005C4971"/>
    <w:rsid w:val="005C4A77"/>
    <w:rsid w:val="005C4B83"/>
    <w:rsid w:val="005C4BBA"/>
    <w:rsid w:val="005C4C63"/>
    <w:rsid w:val="005C4E9E"/>
    <w:rsid w:val="005C4F2B"/>
    <w:rsid w:val="005C529A"/>
    <w:rsid w:val="005C52B7"/>
    <w:rsid w:val="005C52D0"/>
    <w:rsid w:val="005C5325"/>
    <w:rsid w:val="005C53F4"/>
    <w:rsid w:val="005C5431"/>
    <w:rsid w:val="005C5454"/>
    <w:rsid w:val="005C55DA"/>
    <w:rsid w:val="005C5644"/>
    <w:rsid w:val="005C5774"/>
    <w:rsid w:val="005C58F8"/>
    <w:rsid w:val="005C596D"/>
    <w:rsid w:val="005C599E"/>
    <w:rsid w:val="005C5C15"/>
    <w:rsid w:val="005C5EBA"/>
    <w:rsid w:val="005C6130"/>
    <w:rsid w:val="005C615D"/>
    <w:rsid w:val="005C61FA"/>
    <w:rsid w:val="005C62A1"/>
    <w:rsid w:val="005C62FF"/>
    <w:rsid w:val="005C64EC"/>
    <w:rsid w:val="005C6597"/>
    <w:rsid w:val="005C65AF"/>
    <w:rsid w:val="005C6602"/>
    <w:rsid w:val="005C68EE"/>
    <w:rsid w:val="005C6B1C"/>
    <w:rsid w:val="005C6B9D"/>
    <w:rsid w:val="005C6BE9"/>
    <w:rsid w:val="005C6EAC"/>
    <w:rsid w:val="005C6EFA"/>
    <w:rsid w:val="005C6F10"/>
    <w:rsid w:val="005C703F"/>
    <w:rsid w:val="005C7413"/>
    <w:rsid w:val="005C74E3"/>
    <w:rsid w:val="005C76FB"/>
    <w:rsid w:val="005C7808"/>
    <w:rsid w:val="005C7862"/>
    <w:rsid w:val="005C7962"/>
    <w:rsid w:val="005C7AD4"/>
    <w:rsid w:val="005C7CD5"/>
    <w:rsid w:val="005C7EF8"/>
    <w:rsid w:val="005C7FCC"/>
    <w:rsid w:val="005C7FD4"/>
    <w:rsid w:val="005D0024"/>
    <w:rsid w:val="005D0063"/>
    <w:rsid w:val="005D014D"/>
    <w:rsid w:val="005D01B0"/>
    <w:rsid w:val="005D029A"/>
    <w:rsid w:val="005D02A4"/>
    <w:rsid w:val="005D03B0"/>
    <w:rsid w:val="005D044E"/>
    <w:rsid w:val="005D067C"/>
    <w:rsid w:val="005D08CE"/>
    <w:rsid w:val="005D08F4"/>
    <w:rsid w:val="005D0A3C"/>
    <w:rsid w:val="005D0AE7"/>
    <w:rsid w:val="005D0D59"/>
    <w:rsid w:val="005D0DBC"/>
    <w:rsid w:val="005D1065"/>
    <w:rsid w:val="005D1125"/>
    <w:rsid w:val="005D142D"/>
    <w:rsid w:val="005D157B"/>
    <w:rsid w:val="005D15D7"/>
    <w:rsid w:val="005D165E"/>
    <w:rsid w:val="005D1684"/>
    <w:rsid w:val="005D180D"/>
    <w:rsid w:val="005D1A3A"/>
    <w:rsid w:val="005D1A96"/>
    <w:rsid w:val="005D1D86"/>
    <w:rsid w:val="005D1FA7"/>
    <w:rsid w:val="005D1FC5"/>
    <w:rsid w:val="005D1FCA"/>
    <w:rsid w:val="005D2053"/>
    <w:rsid w:val="005D21BF"/>
    <w:rsid w:val="005D22F9"/>
    <w:rsid w:val="005D2375"/>
    <w:rsid w:val="005D2443"/>
    <w:rsid w:val="005D24EA"/>
    <w:rsid w:val="005D2506"/>
    <w:rsid w:val="005D272A"/>
    <w:rsid w:val="005D2A6C"/>
    <w:rsid w:val="005D2D4C"/>
    <w:rsid w:val="005D2E9F"/>
    <w:rsid w:val="005D2FA7"/>
    <w:rsid w:val="005D30F9"/>
    <w:rsid w:val="005D3359"/>
    <w:rsid w:val="005D33BD"/>
    <w:rsid w:val="005D3593"/>
    <w:rsid w:val="005D36F3"/>
    <w:rsid w:val="005D38F8"/>
    <w:rsid w:val="005D39EA"/>
    <w:rsid w:val="005D3A47"/>
    <w:rsid w:val="005D3E02"/>
    <w:rsid w:val="005D3EA4"/>
    <w:rsid w:val="005D4323"/>
    <w:rsid w:val="005D44A7"/>
    <w:rsid w:val="005D459F"/>
    <w:rsid w:val="005D46D4"/>
    <w:rsid w:val="005D4709"/>
    <w:rsid w:val="005D49EE"/>
    <w:rsid w:val="005D4A2A"/>
    <w:rsid w:val="005D4A80"/>
    <w:rsid w:val="005D4AC6"/>
    <w:rsid w:val="005D4DAE"/>
    <w:rsid w:val="005D4E06"/>
    <w:rsid w:val="005D4E30"/>
    <w:rsid w:val="005D4E93"/>
    <w:rsid w:val="005D4EC9"/>
    <w:rsid w:val="005D4EFA"/>
    <w:rsid w:val="005D4FD1"/>
    <w:rsid w:val="005D5004"/>
    <w:rsid w:val="005D503D"/>
    <w:rsid w:val="005D506F"/>
    <w:rsid w:val="005D5253"/>
    <w:rsid w:val="005D527B"/>
    <w:rsid w:val="005D52CC"/>
    <w:rsid w:val="005D54E4"/>
    <w:rsid w:val="005D55CA"/>
    <w:rsid w:val="005D573D"/>
    <w:rsid w:val="005D5871"/>
    <w:rsid w:val="005D5B0A"/>
    <w:rsid w:val="005D5CF4"/>
    <w:rsid w:val="005D5D71"/>
    <w:rsid w:val="005D5E0C"/>
    <w:rsid w:val="005D5EB5"/>
    <w:rsid w:val="005D5FD9"/>
    <w:rsid w:val="005D60CC"/>
    <w:rsid w:val="005D6329"/>
    <w:rsid w:val="005D634D"/>
    <w:rsid w:val="005D6372"/>
    <w:rsid w:val="005D6450"/>
    <w:rsid w:val="005D66E1"/>
    <w:rsid w:val="005D67CF"/>
    <w:rsid w:val="005D6800"/>
    <w:rsid w:val="005D69DB"/>
    <w:rsid w:val="005D7083"/>
    <w:rsid w:val="005D70B6"/>
    <w:rsid w:val="005D717B"/>
    <w:rsid w:val="005D7214"/>
    <w:rsid w:val="005D7230"/>
    <w:rsid w:val="005D72D2"/>
    <w:rsid w:val="005D7418"/>
    <w:rsid w:val="005D7482"/>
    <w:rsid w:val="005D769F"/>
    <w:rsid w:val="005D773C"/>
    <w:rsid w:val="005D77A1"/>
    <w:rsid w:val="005D7BE6"/>
    <w:rsid w:val="005E00FA"/>
    <w:rsid w:val="005E018A"/>
    <w:rsid w:val="005E0333"/>
    <w:rsid w:val="005E05AA"/>
    <w:rsid w:val="005E071F"/>
    <w:rsid w:val="005E07A1"/>
    <w:rsid w:val="005E07D9"/>
    <w:rsid w:val="005E089B"/>
    <w:rsid w:val="005E090B"/>
    <w:rsid w:val="005E0BE4"/>
    <w:rsid w:val="005E0BF6"/>
    <w:rsid w:val="005E0CBF"/>
    <w:rsid w:val="005E0DD4"/>
    <w:rsid w:val="005E0F45"/>
    <w:rsid w:val="005E10D4"/>
    <w:rsid w:val="005E1120"/>
    <w:rsid w:val="005E118E"/>
    <w:rsid w:val="005E1447"/>
    <w:rsid w:val="005E156C"/>
    <w:rsid w:val="005E167A"/>
    <w:rsid w:val="005E1686"/>
    <w:rsid w:val="005E194E"/>
    <w:rsid w:val="005E1A3E"/>
    <w:rsid w:val="005E1D4A"/>
    <w:rsid w:val="005E1D4B"/>
    <w:rsid w:val="005E1F99"/>
    <w:rsid w:val="005E20AF"/>
    <w:rsid w:val="005E20B0"/>
    <w:rsid w:val="005E20B8"/>
    <w:rsid w:val="005E2384"/>
    <w:rsid w:val="005E26E2"/>
    <w:rsid w:val="005E26F3"/>
    <w:rsid w:val="005E2715"/>
    <w:rsid w:val="005E2719"/>
    <w:rsid w:val="005E27AC"/>
    <w:rsid w:val="005E282A"/>
    <w:rsid w:val="005E2914"/>
    <w:rsid w:val="005E2AEA"/>
    <w:rsid w:val="005E2B65"/>
    <w:rsid w:val="005E2D99"/>
    <w:rsid w:val="005E2E08"/>
    <w:rsid w:val="005E2E23"/>
    <w:rsid w:val="005E320E"/>
    <w:rsid w:val="005E3277"/>
    <w:rsid w:val="005E33B2"/>
    <w:rsid w:val="005E33E2"/>
    <w:rsid w:val="005E3591"/>
    <w:rsid w:val="005E35F3"/>
    <w:rsid w:val="005E3694"/>
    <w:rsid w:val="005E3708"/>
    <w:rsid w:val="005E3B87"/>
    <w:rsid w:val="005E3D20"/>
    <w:rsid w:val="005E3DAB"/>
    <w:rsid w:val="005E3E70"/>
    <w:rsid w:val="005E3E72"/>
    <w:rsid w:val="005E40CE"/>
    <w:rsid w:val="005E421B"/>
    <w:rsid w:val="005E42F8"/>
    <w:rsid w:val="005E43DE"/>
    <w:rsid w:val="005E44B6"/>
    <w:rsid w:val="005E46CE"/>
    <w:rsid w:val="005E485F"/>
    <w:rsid w:val="005E48BF"/>
    <w:rsid w:val="005E4978"/>
    <w:rsid w:val="005E4C12"/>
    <w:rsid w:val="005E4D01"/>
    <w:rsid w:val="005E4D6A"/>
    <w:rsid w:val="005E4DBF"/>
    <w:rsid w:val="005E4DE4"/>
    <w:rsid w:val="005E4DEA"/>
    <w:rsid w:val="005E4DF0"/>
    <w:rsid w:val="005E514A"/>
    <w:rsid w:val="005E5221"/>
    <w:rsid w:val="005E52EC"/>
    <w:rsid w:val="005E5469"/>
    <w:rsid w:val="005E554B"/>
    <w:rsid w:val="005E55B1"/>
    <w:rsid w:val="005E55DB"/>
    <w:rsid w:val="005E57B4"/>
    <w:rsid w:val="005E59FC"/>
    <w:rsid w:val="005E5A12"/>
    <w:rsid w:val="005E5A3F"/>
    <w:rsid w:val="005E5A62"/>
    <w:rsid w:val="005E5C03"/>
    <w:rsid w:val="005E5DCC"/>
    <w:rsid w:val="005E5E0C"/>
    <w:rsid w:val="005E5EC0"/>
    <w:rsid w:val="005E61AB"/>
    <w:rsid w:val="005E61DF"/>
    <w:rsid w:val="005E62B9"/>
    <w:rsid w:val="005E635C"/>
    <w:rsid w:val="005E6423"/>
    <w:rsid w:val="005E644F"/>
    <w:rsid w:val="005E6551"/>
    <w:rsid w:val="005E698C"/>
    <w:rsid w:val="005E6AC4"/>
    <w:rsid w:val="005E6CA9"/>
    <w:rsid w:val="005E6E76"/>
    <w:rsid w:val="005E70B3"/>
    <w:rsid w:val="005E7165"/>
    <w:rsid w:val="005E72B7"/>
    <w:rsid w:val="005E7302"/>
    <w:rsid w:val="005E735D"/>
    <w:rsid w:val="005E7402"/>
    <w:rsid w:val="005E75BF"/>
    <w:rsid w:val="005E761B"/>
    <w:rsid w:val="005E7788"/>
    <w:rsid w:val="005E7D14"/>
    <w:rsid w:val="005E7D7E"/>
    <w:rsid w:val="005E7D9E"/>
    <w:rsid w:val="005F0350"/>
    <w:rsid w:val="005F0855"/>
    <w:rsid w:val="005F0967"/>
    <w:rsid w:val="005F0B12"/>
    <w:rsid w:val="005F0C69"/>
    <w:rsid w:val="005F0F51"/>
    <w:rsid w:val="005F0FE9"/>
    <w:rsid w:val="005F0FF2"/>
    <w:rsid w:val="005F10CC"/>
    <w:rsid w:val="005F11FB"/>
    <w:rsid w:val="005F14D3"/>
    <w:rsid w:val="005F14D5"/>
    <w:rsid w:val="005F151B"/>
    <w:rsid w:val="005F1791"/>
    <w:rsid w:val="005F188D"/>
    <w:rsid w:val="005F18ED"/>
    <w:rsid w:val="005F1990"/>
    <w:rsid w:val="005F1BFD"/>
    <w:rsid w:val="005F1E05"/>
    <w:rsid w:val="005F2121"/>
    <w:rsid w:val="005F2290"/>
    <w:rsid w:val="005F2320"/>
    <w:rsid w:val="005F262D"/>
    <w:rsid w:val="005F26C5"/>
    <w:rsid w:val="005F28B2"/>
    <w:rsid w:val="005F28D8"/>
    <w:rsid w:val="005F2962"/>
    <w:rsid w:val="005F29AC"/>
    <w:rsid w:val="005F2A40"/>
    <w:rsid w:val="005F2AE1"/>
    <w:rsid w:val="005F2B22"/>
    <w:rsid w:val="005F2BCD"/>
    <w:rsid w:val="005F2BF8"/>
    <w:rsid w:val="005F2C18"/>
    <w:rsid w:val="005F2DCA"/>
    <w:rsid w:val="005F2F91"/>
    <w:rsid w:val="005F309D"/>
    <w:rsid w:val="005F3548"/>
    <w:rsid w:val="005F37D8"/>
    <w:rsid w:val="005F39EF"/>
    <w:rsid w:val="005F39FC"/>
    <w:rsid w:val="005F3A12"/>
    <w:rsid w:val="005F3ADA"/>
    <w:rsid w:val="005F3AE1"/>
    <w:rsid w:val="005F3BE0"/>
    <w:rsid w:val="005F3C35"/>
    <w:rsid w:val="005F3CBD"/>
    <w:rsid w:val="005F3FAC"/>
    <w:rsid w:val="005F41B8"/>
    <w:rsid w:val="005F42CC"/>
    <w:rsid w:val="005F434D"/>
    <w:rsid w:val="005F4552"/>
    <w:rsid w:val="005F459F"/>
    <w:rsid w:val="005F4693"/>
    <w:rsid w:val="005F484D"/>
    <w:rsid w:val="005F48FF"/>
    <w:rsid w:val="005F49A9"/>
    <w:rsid w:val="005F4B5A"/>
    <w:rsid w:val="005F4B84"/>
    <w:rsid w:val="005F4BB2"/>
    <w:rsid w:val="005F4D3A"/>
    <w:rsid w:val="005F4E56"/>
    <w:rsid w:val="005F4FB0"/>
    <w:rsid w:val="005F5074"/>
    <w:rsid w:val="005F518C"/>
    <w:rsid w:val="005F537F"/>
    <w:rsid w:val="005F55CE"/>
    <w:rsid w:val="005F56E6"/>
    <w:rsid w:val="005F570B"/>
    <w:rsid w:val="005F58D1"/>
    <w:rsid w:val="005F5977"/>
    <w:rsid w:val="005F5A11"/>
    <w:rsid w:val="005F5A5D"/>
    <w:rsid w:val="005F5B5C"/>
    <w:rsid w:val="005F5BE5"/>
    <w:rsid w:val="005F5BE9"/>
    <w:rsid w:val="005F5E7E"/>
    <w:rsid w:val="005F60AC"/>
    <w:rsid w:val="005F61A0"/>
    <w:rsid w:val="005F620A"/>
    <w:rsid w:val="005F62DB"/>
    <w:rsid w:val="005F6548"/>
    <w:rsid w:val="005F6722"/>
    <w:rsid w:val="005F676E"/>
    <w:rsid w:val="005F67BB"/>
    <w:rsid w:val="005F67CF"/>
    <w:rsid w:val="005F6805"/>
    <w:rsid w:val="005F698B"/>
    <w:rsid w:val="005F69A5"/>
    <w:rsid w:val="005F69CF"/>
    <w:rsid w:val="005F7006"/>
    <w:rsid w:val="005F728D"/>
    <w:rsid w:val="005F72DD"/>
    <w:rsid w:val="005F73E4"/>
    <w:rsid w:val="005F767A"/>
    <w:rsid w:val="005F76E9"/>
    <w:rsid w:val="005F7738"/>
    <w:rsid w:val="005F77DB"/>
    <w:rsid w:val="005F79E4"/>
    <w:rsid w:val="005F79E9"/>
    <w:rsid w:val="005F7A90"/>
    <w:rsid w:val="005F7FE5"/>
    <w:rsid w:val="00600143"/>
    <w:rsid w:val="006001B6"/>
    <w:rsid w:val="006001D6"/>
    <w:rsid w:val="00600263"/>
    <w:rsid w:val="006003D2"/>
    <w:rsid w:val="00600586"/>
    <w:rsid w:val="00600647"/>
    <w:rsid w:val="006006CE"/>
    <w:rsid w:val="0060089C"/>
    <w:rsid w:val="006008C7"/>
    <w:rsid w:val="00600A03"/>
    <w:rsid w:val="00600A34"/>
    <w:rsid w:val="00600E50"/>
    <w:rsid w:val="00601027"/>
    <w:rsid w:val="00601126"/>
    <w:rsid w:val="00601145"/>
    <w:rsid w:val="006014CE"/>
    <w:rsid w:val="006015E2"/>
    <w:rsid w:val="00601608"/>
    <w:rsid w:val="006016B5"/>
    <w:rsid w:val="00601713"/>
    <w:rsid w:val="00601791"/>
    <w:rsid w:val="0060195E"/>
    <w:rsid w:val="00601A12"/>
    <w:rsid w:val="00601CC8"/>
    <w:rsid w:val="00601DA5"/>
    <w:rsid w:val="006021BE"/>
    <w:rsid w:val="00602242"/>
    <w:rsid w:val="00602293"/>
    <w:rsid w:val="00602345"/>
    <w:rsid w:val="00602352"/>
    <w:rsid w:val="00602AA2"/>
    <w:rsid w:val="00602AC8"/>
    <w:rsid w:val="00602C26"/>
    <w:rsid w:val="00602CA8"/>
    <w:rsid w:val="00602DC1"/>
    <w:rsid w:val="00602E48"/>
    <w:rsid w:val="00602E90"/>
    <w:rsid w:val="00603011"/>
    <w:rsid w:val="006030DF"/>
    <w:rsid w:val="00603382"/>
    <w:rsid w:val="00603793"/>
    <w:rsid w:val="00603936"/>
    <w:rsid w:val="0060397C"/>
    <w:rsid w:val="006039D2"/>
    <w:rsid w:val="00603EA8"/>
    <w:rsid w:val="00604241"/>
    <w:rsid w:val="00604300"/>
    <w:rsid w:val="00604346"/>
    <w:rsid w:val="006044EF"/>
    <w:rsid w:val="0060452C"/>
    <w:rsid w:val="006045DF"/>
    <w:rsid w:val="006045E0"/>
    <w:rsid w:val="00604604"/>
    <w:rsid w:val="0060464B"/>
    <w:rsid w:val="0060471D"/>
    <w:rsid w:val="00604762"/>
    <w:rsid w:val="00604893"/>
    <w:rsid w:val="0060492D"/>
    <w:rsid w:val="00604C63"/>
    <w:rsid w:val="00604C67"/>
    <w:rsid w:val="00604F65"/>
    <w:rsid w:val="006050F6"/>
    <w:rsid w:val="00605229"/>
    <w:rsid w:val="00605246"/>
    <w:rsid w:val="0060536F"/>
    <w:rsid w:val="00605400"/>
    <w:rsid w:val="006056E0"/>
    <w:rsid w:val="006056E2"/>
    <w:rsid w:val="0060581F"/>
    <w:rsid w:val="00605966"/>
    <w:rsid w:val="00605BFB"/>
    <w:rsid w:val="00605C06"/>
    <w:rsid w:val="00605D3A"/>
    <w:rsid w:val="00605DEC"/>
    <w:rsid w:val="00606012"/>
    <w:rsid w:val="00606049"/>
    <w:rsid w:val="0060613C"/>
    <w:rsid w:val="00606745"/>
    <w:rsid w:val="00606852"/>
    <w:rsid w:val="006068B4"/>
    <w:rsid w:val="00606A7D"/>
    <w:rsid w:val="00606ACF"/>
    <w:rsid w:val="00606D50"/>
    <w:rsid w:val="00606D5F"/>
    <w:rsid w:val="00606DD1"/>
    <w:rsid w:val="00606E39"/>
    <w:rsid w:val="00606E80"/>
    <w:rsid w:val="00606E97"/>
    <w:rsid w:val="00606F24"/>
    <w:rsid w:val="00607041"/>
    <w:rsid w:val="00607061"/>
    <w:rsid w:val="0060708D"/>
    <w:rsid w:val="0060715C"/>
    <w:rsid w:val="0060720E"/>
    <w:rsid w:val="006072B9"/>
    <w:rsid w:val="006072EB"/>
    <w:rsid w:val="006073BF"/>
    <w:rsid w:val="006074F2"/>
    <w:rsid w:val="00607535"/>
    <w:rsid w:val="006077D8"/>
    <w:rsid w:val="00607A10"/>
    <w:rsid w:val="00607CBA"/>
    <w:rsid w:val="00607CC2"/>
    <w:rsid w:val="00607F5A"/>
    <w:rsid w:val="00607FE7"/>
    <w:rsid w:val="006103EE"/>
    <w:rsid w:val="00610629"/>
    <w:rsid w:val="006106DB"/>
    <w:rsid w:val="0061086B"/>
    <w:rsid w:val="00610A61"/>
    <w:rsid w:val="00610DC8"/>
    <w:rsid w:val="00610F00"/>
    <w:rsid w:val="00611242"/>
    <w:rsid w:val="006114D3"/>
    <w:rsid w:val="00611637"/>
    <w:rsid w:val="00611BFE"/>
    <w:rsid w:val="00611C9B"/>
    <w:rsid w:val="00611CD3"/>
    <w:rsid w:val="00611D80"/>
    <w:rsid w:val="00611DE7"/>
    <w:rsid w:val="00611FE3"/>
    <w:rsid w:val="006124E2"/>
    <w:rsid w:val="006125FD"/>
    <w:rsid w:val="00612656"/>
    <w:rsid w:val="00612752"/>
    <w:rsid w:val="006128AA"/>
    <w:rsid w:val="006129CE"/>
    <w:rsid w:val="00612A69"/>
    <w:rsid w:val="00612CC5"/>
    <w:rsid w:val="00612D71"/>
    <w:rsid w:val="00612EB6"/>
    <w:rsid w:val="00612EDA"/>
    <w:rsid w:val="00613098"/>
    <w:rsid w:val="00613136"/>
    <w:rsid w:val="00613346"/>
    <w:rsid w:val="0061383D"/>
    <w:rsid w:val="00613867"/>
    <w:rsid w:val="00613956"/>
    <w:rsid w:val="00613A05"/>
    <w:rsid w:val="00613C6A"/>
    <w:rsid w:val="00613CC2"/>
    <w:rsid w:val="00613DC7"/>
    <w:rsid w:val="00613EE7"/>
    <w:rsid w:val="0061436E"/>
    <w:rsid w:val="0061439F"/>
    <w:rsid w:val="006145AB"/>
    <w:rsid w:val="0061483C"/>
    <w:rsid w:val="006148A5"/>
    <w:rsid w:val="006149BB"/>
    <w:rsid w:val="00614A88"/>
    <w:rsid w:val="00614B42"/>
    <w:rsid w:val="00614CA6"/>
    <w:rsid w:val="00614E88"/>
    <w:rsid w:val="006152DE"/>
    <w:rsid w:val="006152E8"/>
    <w:rsid w:val="00615373"/>
    <w:rsid w:val="0061553B"/>
    <w:rsid w:val="00615726"/>
    <w:rsid w:val="0061573A"/>
    <w:rsid w:val="00615792"/>
    <w:rsid w:val="0061581B"/>
    <w:rsid w:val="00615926"/>
    <w:rsid w:val="00615A95"/>
    <w:rsid w:val="00615B0A"/>
    <w:rsid w:val="00615B58"/>
    <w:rsid w:val="00615CE3"/>
    <w:rsid w:val="00615F30"/>
    <w:rsid w:val="00615F5A"/>
    <w:rsid w:val="006160F0"/>
    <w:rsid w:val="0061610E"/>
    <w:rsid w:val="0061621C"/>
    <w:rsid w:val="006164B3"/>
    <w:rsid w:val="006164B8"/>
    <w:rsid w:val="0061657D"/>
    <w:rsid w:val="00616599"/>
    <w:rsid w:val="00616649"/>
    <w:rsid w:val="00616816"/>
    <w:rsid w:val="00616823"/>
    <w:rsid w:val="0061683E"/>
    <w:rsid w:val="00616888"/>
    <w:rsid w:val="00616963"/>
    <w:rsid w:val="00616C35"/>
    <w:rsid w:val="00616C76"/>
    <w:rsid w:val="00616D2B"/>
    <w:rsid w:val="00616E52"/>
    <w:rsid w:val="0061706A"/>
    <w:rsid w:val="00617275"/>
    <w:rsid w:val="0061727F"/>
    <w:rsid w:val="00617396"/>
    <w:rsid w:val="006175B6"/>
    <w:rsid w:val="00617620"/>
    <w:rsid w:val="0061763F"/>
    <w:rsid w:val="006177B6"/>
    <w:rsid w:val="006178C2"/>
    <w:rsid w:val="00617ACB"/>
    <w:rsid w:val="00617AFD"/>
    <w:rsid w:val="00617B4F"/>
    <w:rsid w:val="00617B7D"/>
    <w:rsid w:val="00617D62"/>
    <w:rsid w:val="00617EDF"/>
    <w:rsid w:val="00617EF0"/>
    <w:rsid w:val="00617FEE"/>
    <w:rsid w:val="00620002"/>
    <w:rsid w:val="00620127"/>
    <w:rsid w:val="00620181"/>
    <w:rsid w:val="0062050B"/>
    <w:rsid w:val="00620627"/>
    <w:rsid w:val="006206B4"/>
    <w:rsid w:val="006206EA"/>
    <w:rsid w:val="00620877"/>
    <w:rsid w:val="00620A6E"/>
    <w:rsid w:val="00620AEF"/>
    <w:rsid w:val="00620CB2"/>
    <w:rsid w:val="00620D02"/>
    <w:rsid w:val="00620D35"/>
    <w:rsid w:val="00620E92"/>
    <w:rsid w:val="006210BA"/>
    <w:rsid w:val="00621284"/>
    <w:rsid w:val="00621488"/>
    <w:rsid w:val="006215D9"/>
    <w:rsid w:val="0062164F"/>
    <w:rsid w:val="00621674"/>
    <w:rsid w:val="006216F7"/>
    <w:rsid w:val="00621883"/>
    <w:rsid w:val="006218BA"/>
    <w:rsid w:val="00621B22"/>
    <w:rsid w:val="00621B4B"/>
    <w:rsid w:val="00621D96"/>
    <w:rsid w:val="00621E23"/>
    <w:rsid w:val="00621E70"/>
    <w:rsid w:val="00621E76"/>
    <w:rsid w:val="00621F34"/>
    <w:rsid w:val="006222DA"/>
    <w:rsid w:val="0062241E"/>
    <w:rsid w:val="006224AC"/>
    <w:rsid w:val="00622632"/>
    <w:rsid w:val="00622684"/>
    <w:rsid w:val="0062268C"/>
    <w:rsid w:val="006227BE"/>
    <w:rsid w:val="006228AD"/>
    <w:rsid w:val="006228DC"/>
    <w:rsid w:val="00622965"/>
    <w:rsid w:val="00622CA6"/>
    <w:rsid w:val="00622D36"/>
    <w:rsid w:val="00622E41"/>
    <w:rsid w:val="00622EDA"/>
    <w:rsid w:val="00622EDF"/>
    <w:rsid w:val="0062307C"/>
    <w:rsid w:val="006230E1"/>
    <w:rsid w:val="006234AB"/>
    <w:rsid w:val="006234CB"/>
    <w:rsid w:val="006234DB"/>
    <w:rsid w:val="0062356D"/>
    <w:rsid w:val="0062378C"/>
    <w:rsid w:val="006237D3"/>
    <w:rsid w:val="006239DD"/>
    <w:rsid w:val="00623A8B"/>
    <w:rsid w:val="00623C20"/>
    <w:rsid w:val="00623C78"/>
    <w:rsid w:val="00623DB8"/>
    <w:rsid w:val="00623FBE"/>
    <w:rsid w:val="0062402C"/>
    <w:rsid w:val="00624101"/>
    <w:rsid w:val="00624563"/>
    <w:rsid w:val="006247C1"/>
    <w:rsid w:val="006248C9"/>
    <w:rsid w:val="00624982"/>
    <w:rsid w:val="00624A00"/>
    <w:rsid w:val="00624A1E"/>
    <w:rsid w:val="00624BE2"/>
    <w:rsid w:val="00624E15"/>
    <w:rsid w:val="00624ED6"/>
    <w:rsid w:val="00624EDD"/>
    <w:rsid w:val="00624F04"/>
    <w:rsid w:val="00624F09"/>
    <w:rsid w:val="00624F8D"/>
    <w:rsid w:val="00625012"/>
    <w:rsid w:val="00625032"/>
    <w:rsid w:val="00625089"/>
    <w:rsid w:val="00625092"/>
    <w:rsid w:val="0062521A"/>
    <w:rsid w:val="006252C6"/>
    <w:rsid w:val="006254AE"/>
    <w:rsid w:val="006255B2"/>
    <w:rsid w:val="00625A3F"/>
    <w:rsid w:val="00625B31"/>
    <w:rsid w:val="00625E4A"/>
    <w:rsid w:val="00625EE1"/>
    <w:rsid w:val="00626416"/>
    <w:rsid w:val="0062653A"/>
    <w:rsid w:val="0062657C"/>
    <w:rsid w:val="006265E0"/>
    <w:rsid w:val="00626645"/>
    <w:rsid w:val="006268DA"/>
    <w:rsid w:val="00626994"/>
    <w:rsid w:val="006269B2"/>
    <w:rsid w:val="00626A28"/>
    <w:rsid w:val="00626A4C"/>
    <w:rsid w:val="00626D6D"/>
    <w:rsid w:val="00626DD4"/>
    <w:rsid w:val="00626EDC"/>
    <w:rsid w:val="00626F46"/>
    <w:rsid w:val="00626FA8"/>
    <w:rsid w:val="00627008"/>
    <w:rsid w:val="006270DF"/>
    <w:rsid w:val="006276B1"/>
    <w:rsid w:val="0062777F"/>
    <w:rsid w:val="00627B60"/>
    <w:rsid w:val="00627C74"/>
    <w:rsid w:val="00627CE6"/>
    <w:rsid w:val="00627D09"/>
    <w:rsid w:val="00627E4C"/>
    <w:rsid w:val="00627F08"/>
    <w:rsid w:val="00630241"/>
    <w:rsid w:val="0063032A"/>
    <w:rsid w:val="00630426"/>
    <w:rsid w:val="00630496"/>
    <w:rsid w:val="006304FE"/>
    <w:rsid w:val="0063056F"/>
    <w:rsid w:val="0063064F"/>
    <w:rsid w:val="0063069C"/>
    <w:rsid w:val="006306F2"/>
    <w:rsid w:val="00630796"/>
    <w:rsid w:val="006307BA"/>
    <w:rsid w:val="00630880"/>
    <w:rsid w:val="00630A89"/>
    <w:rsid w:val="00630AEB"/>
    <w:rsid w:val="00630B50"/>
    <w:rsid w:val="00630D4D"/>
    <w:rsid w:val="00630E80"/>
    <w:rsid w:val="00630FCD"/>
    <w:rsid w:val="00631059"/>
    <w:rsid w:val="006310F3"/>
    <w:rsid w:val="00631116"/>
    <w:rsid w:val="006313E0"/>
    <w:rsid w:val="006314A2"/>
    <w:rsid w:val="00631511"/>
    <w:rsid w:val="0063175C"/>
    <w:rsid w:val="006317FB"/>
    <w:rsid w:val="00631825"/>
    <w:rsid w:val="00631924"/>
    <w:rsid w:val="00631B6E"/>
    <w:rsid w:val="00631B85"/>
    <w:rsid w:val="00631D48"/>
    <w:rsid w:val="00631E47"/>
    <w:rsid w:val="00631F9D"/>
    <w:rsid w:val="00631FD6"/>
    <w:rsid w:val="0063230B"/>
    <w:rsid w:val="00632488"/>
    <w:rsid w:val="006324C5"/>
    <w:rsid w:val="00632586"/>
    <w:rsid w:val="0063286E"/>
    <w:rsid w:val="00632915"/>
    <w:rsid w:val="0063295C"/>
    <w:rsid w:val="006329CD"/>
    <w:rsid w:val="00632A54"/>
    <w:rsid w:val="00632A69"/>
    <w:rsid w:val="00632DF9"/>
    <w:rsid w:val="00632E14"/>
    <w:rsid w:val="00632E53"/>
    <w:rsid w:val="00632E87"/>
    <w:rsid w:val="00633066"/>
    <w:rsid w:val="006331CC"/>
    <w:rsid w:val="00633625"/>
    <w:rsid w:val="00633647"/>
    <w:rsid w:val="006336A2"/>
    <w:rsid w:val="0063373D"/>
    <w:rsid w:val="006337A5"/>
    <w:rsid w:val="006337D3"/>
    <w:rsid w:val="0063387F"/>
    <w:rsid w:val="00633891"/>
    <w:rsid w:val="006338AF"/>
    <w:rsid w:val="0063392F"/>
    <w:rsid w:val="00633947"/>
    <w:rsid w:val="006339BA"/>
    <w:rsid w:val="00633D07"/>
    <w:rsid w:val="00633F34"/>
    <w:rsid w:val="00634238"/>
    <w:rsid w:val="006342C3"/>
    <w:rsid w:val="006342CC"/>
    <w:rsid w:val="00634428"/>
    <w:rsid w:val="00634590"/>
    <w:rsid w:val="006346FB"/>
    <w:rsid w:val="0063482D"/>
    <w:rsid w:val="00634892"/>
    <w:rsid w:val="00634947"/>
    <w:rsid w:val="00634BD1"/>
    <w:rsid w:val="00634CBC"/>
    <w:rsid w:val="00634FB3"/>
    <w:rsid w:val="006353E5"/>
    <w:rsid w:val="0063543F"/>
    <w:rsid w:val="0063546B"/>
    <w:rsid w:val="00635485"/>
    <w:rsid w:val="00635556"/>
    <w:rsid w:val="006355BB"/>
    <w:rsid w:val="006356E1"/>
    <w:rsid w:val="0063574F"/>
    <w:rsid w:val="0063588D"/>
    <w:rsid w:val="0063593E"/>
    <w:rsid w:val="00635C7F"/>
    <w:rsid w:val="0063614B"/>
    <w:rsid w:val="0063614F"/>
    <w:rsid w:val="006362D1"/>
    <w:rsid w:val="00636374"/>
    <w:rsid w:val="0063638D"/>
    <w:rsid w:val="00636438"/>
    <w:rsid w:val="006364D4"/>
    <w:rsid w:val="00636506"/>
    <w:rsid w:val="006365A2"/>
    <w:rsid w:val="00636603"/>
    <w:rsid w:val="006366C5"/>
    <w:rsid w:val="006366F9"/>
    <w:rsid w:val="006367EF"/>
    <w:rsid w:val="0063693D"/>
    <w:rsid w:val="006369B4"/>
    <w:rsid w:val="00636B2A"/>
    <w:rsid w:val="00636B7F"/>
    <w:rsid w:val="00636C45"/>
    <w:rsid w:val="00636CB3"/>
    <w:rsid w:val="00636E84"/>
    <w:rsid w:val="00636F1A"/>
    <w:rsid w:val="00637129"/>
    <w:rsid w:val="00637140"/>
    <w:rsid w:val="00637152"/>
    <w:rsid w:val="00637216"/>
    <w:rsid w:val="006375F5"/>
    <w:rsid w:val="00637690"/>
    <w:rsid w:val="0063790B"/>
    <w:rsid w:val="00637AD3"/>
    <w:rsid w:val="00637DD8"/>
    <w:rsid w:val="00637F66"/>
    <w:rsid w:val="00640063"/>
    <w:rsid w:val="006403A2"/>
    <w:rsid w:val="00640495"/>
    <w:rsid w:val="006404CD"/>
    <w:rsid w:val="006405C0"/>
    <w:rsid w:val="00640665"/>
    <w:rsid w:val="006408FB"/>
    <w:rsid w:val="00640901"/>
    <w:rsid w:val="00640AB8"/>
    <w:rsid w:val="00640F14"/>
    <w:rsid w:val="0064117D"/>
    <w:rsid w:val="006413E0"/>
    <w:rsid w:val="006415E9"/>
    <w:rsid w:val="006416CF"/>
    <w:rsid w:val="006417DC"/>
    <w:rsid w:val="00641A43"/>
    <w:rsid w:val="00641C83"/>
    <w:rsid w:val="00641C9B"/>
    <w:rsid w:val="00641CFC"/>
    <w:rsid w:val="00641D3A"/>
    <w:rsid w:val="00641F08"/>
    <w:rsid w:val="00641F53"/>
    <w:rsid w:val="00642016"/>
    <w:rsid w:val="00642185"/>
    <w:rsid w:val="0064230E"/>
    <w:rsid w:val="00642450"/>
    <w:rsid w:val="006424E4"/>
    <w:rsid w:val="00642526"/>
    <w:rsid w:val="0064265A"/>
    <w:rsid w:val="0064267D"/>
    <w:rsid w:val="00642768"/>
    <w:rsid w:val="006427F5"/>
    <w:rsid w:val="00642920"/>
    <w:rsid w:val="00642A30"/>
    <w:rsid w:val="00642A3E"/>
    <w:rsid w:val="00642B42"/>
    <w:rsid w:val="00642BBD"/>
    <w:rsid w:val="00642C0A"/>
    <w:rsid w:val="00642E36"/>
    <w:rsid w:val="00642ED7"/>
    <w:rsid w:val="00642EFA"/>
    <w:rsid w:val="00642F74"/>
    <w:rsid w:val="00642F8B"/>
    <w:rsid w:val="0064323E"/>
    <w:rsid w:val="00643A5D"/>
    <w:rsid w:val="00643AD0"/>
    <w:rsid w:val="00643C31"/>
    <w:rsid w:val="00643C87"/>
    <w:rsid w:val="00643CD1"/>
    <w:rsid w:val="00643F04"/>
    <w:rsid w:val="006440DC"/>
    <w:rsid w:val="00644243"/>
    <w:rsid w:val="00644432"/>
    <w:rsid w:val="00644434"/>
    <w:rsid w:val="00644475"/>
    <w:rsid w:val="0064449A"/>
    <w:rsid w:val="006446C0"/>
    <w:rsid w:val="00644826"/>
    <w:rsid w:val="00644840"/>
    <w:rsid w:val="006449E9"/>
    <w:rsid w:val="00644D66"/>
    <w:rsid w:val="00645042"/>
    <w:rsid w:val="00645130"/>
    <w:rsid w:val="00645379"/>
    <w:rsid w:val="0064573A"/>
    <w:rsid w:val="00645782"/>
    <w:rsid w:val="00645790"/>
    <w:rsid w:val="006457D8"/>
    <w:rsid w:val="00645A39"/>
    <w:rsid w:val="00645B75"/>
    <w:rsid w:val="00645C85"/>
    <w:rsid w:val="00645CD7"/>
    <w:rsid w:val="00645DAB"/>
    <w:rsid w:val="00645DB2"/>
    <w:rsid w:val="00645DFF"/>
    <w:rsid w:val="00645E3D"/>
    <w:rsid w:val="006460C7"/>
    <w:rsid w:val="006460D1"/>
    <w:rsid w:val="006466C7"/>
    <w:rsid w:val="006467A2"/>
    <w:rsid w:val="00646C37"/>
    <w:rsid w:val="00646C62"/>
    <w:rsid w:val="00646DBE"/>
    <w:rsid w:val="00646DDE"/>
    <w:rsid w:val="00646F78"/>
    <w:rsid w:val="006472BF"/>
    <w:rsid w:val="00647572"/>
    <w:rsid w:val="006475BE"/>
    <w:rsid w:val="0064779B"/>
    <w:rsid w:val="006478BA"/>
    <w:rsid w:val="00647998"/>
    <w:rsid w:val="00647B66"/>
    <w:rsid w:val="00647B70"/>
    <w:rsid w:val="00647BF4"/>
    <w:rsid w:val="00647C0D"/>
    <w:rsid w:val="00647D56"/>
    <w:rsid w:val="00647DF0"/>
    <w:rsid w:val="00647E33"/>
    <w:rsid w:val="0065047F"/>
    <w:rsid w:val="00650574"/>
    <w:rsid w:val="00650714"/>
    <w:rsid w:val="00650777"/>
    <w:rsid w:val="006507C2"/>
    <w:rsid w:val="006507D2"/>
    <w:rsid w:val="00650E8D"/>
    <w:rsid w:val="00650F88"/>
    <w:rsid w:val="006510D6"/>
    <w:rsid w:val="00651117"/>
    <w:rsid w:val="0065125A"/>
    <w:rsid w:val="0065158A"/>
    <w:rsid w:val="006517E7"/>
    <w:rsid w:val="00651AC5"/>
    <w:rsid w:val="00651B36"/>
    <w:rsid w:val="00651C69"/>
    <w:rsid w:val="00651D60"/>
    <w:rsid w:val="00651FAC"/>
    <w:rsid w:val="00652254"/>
    <w:rsid w:val="00652311"/>
    <w:rsid w:val="006525CC"/>
    <w:rsid w:val="00652715"/>
    <w:rsid w:val="0065279B"/>
    <w:rsid w:val="006527BD"/>
    <w:rsid w:val="006527F1"/>
    <w:rsid w:val="0065284E"/>
    <w:rsid w:val="00652904"/>
    <w:rsid w:val="00652924"/>
    <w:rsid w:val="00652991"/>
    <w:rsid w:val="00652CA9"/>
    <w:rsid w:val="00652D6B"/>
    <w:rsid w:val="00652F8B"/>
    <w:rsid w:val="00653068"/>
    <w:rsid w:val="006531ED"/>
    <w:rsid w:val="006532EB"/>
    <w:rsid w:val="006532F5"/>
    <w:rsid w:val="0065354D"/>
    <w:rsid w:val="0065354E"/>
    <w:rsid w:val="00653571"/>
    <w:rsid w:val="006535B2"/>
    <w:rsid w:val="00653665"/>
    <w:rsid w:val="00653816"/>
    <w:rsid w:val="00653955"/>
    <w:rsid w:val="00653A35"/>
    <w:rsid w:val="00653BF5"/>
    <w:rsid w:val="00653E71"/>
    <w:rsid w:val="006540CB"/>
    <w:rsid w:val="0065411E"/>
    <w:rsid w:val="006541C2"/>
    <w:rsid w:val="00654288"/>
    <w:rsid w:val="0065431B"/>
    <w:rsid w:val="006547F6"/>
    <w:rsid w:val="00654C4D"/>
    <w:rsid w:val="00654D37"/>
    <w:rsid w:val="00654F8A"/>
    <w:rsid w:val="00655046"/>
    <w:rsid w:val="006551B4"/>
    <w:rsid w:val="0065571B"/>
    <w:rsid w:val="00655C06"/>
    <w:rsid w:val="00655C22"/>
    <w:rsid w:val="00655C49"/>
    <w:rsid w:val="00655C8C"/>
    <w:rsid w:val="00656090"/>
    <w:rsid w:val="0065618B"/>
    <w:rsid w:val="0065619C"/>
    <w:rsid w:val="00656208"/>
    <w:rsid w:val="006563FD"/>
    <w:rsid w:val="006565E5"/>
    <w:rsid w:val="00656743"/>
    <w:rsid w:val="0065677B"/>
    <w:rsid w:val="00656865"/>
    <w:rsid w:val="006568A2"/>
    <w:rsid w:val="0065696A"/>
    <w:rsid w:val="00656A2D"/>
    <w:rsid w:val="00656A7A"/>
    <w:rsid w:val="00656A9B"/>
    <w:rsid w:val="00656B3D"/>
    <w:rsid w:val="00656BAE"/>
    <w:rsid w:val="00656EB1"/>
    <w:rsid w:val="00656F19"/>
    <w:rsid w:val="006571CB"/>
    <w:rsid w:val="00657431"/>
    <w:rsid w:val="0065751A"/>
    <w:rsid w:val="00657570"/>
    <w:rsid w:val="006575F7"/>
    <w:rsid w:val="006576A8"/>
    <w:rsid w:val="0065779C"/>
    <w:rsid w:val="00657871"/>
    <w:rsid w:val="0065796D"/>
    <w:rsid w:val="00657C1B"/>
    <w:rsid w:val="00657C75"/>
    <w:rsid w:val="00657FAB"/>
    <w:rsid w:val="00660009"/>
    <w:rsid w:val="00660228"/>
    <w:rsid w:val="00660431"/>
    <w:rsid w:val="00660737"/>
    <w:rsid w:val="006609BF"/>
    <w:rsid w:val="006609D2"/>
    <w:rsid w:val="006609FA"/>
    <w:rsid w:val="00660A61"/>
    <w:rsid w:val="00660C4E"/>
    <w:rsid w:val="00660DF8"/>
    <w:rsid w:val="00660F0D"/>
    <w:rsid w:val="00661090"/>
    <w:rsid w:val="006610B5"/>
    <w:rsid w:val="00661123"/>
    <w:rsid w:val="006616D4"/>
    <w:rsid w:val="0066176E"/>
    <w:rsid w:val="00661846"/>
    <w:rsid w:val="006618A2"/>
    <w:rsid w:val="006619C4"/>
    <w:rsid w:val="00661A04"/>
    <w:rsid w:val="00661FCB"/>
    <w:rsid w:val="0066211E"/>
    <w:rsid w:val="006621B2"/>
    <w:rsid w:val="00662226"/>
    <w:rsid w:val="006622CE"/>
    <w:rsid w:val="0066233D"/>
    <w:rsid w:val="00662432"/>
    <w:rsid w:val="00662A0C"/>
    <w:rsid w:val="00662BC1"/>
    <w:rsid w:val="00662C9A"/>
    <w:rsid w:val="00662E25"/>
    <w:rsid w:val="00662E84"/>
    <w:rsid w:val="00662FB1"/>
    <w:rsid w:val="00663022"/>
    <w:rsid w:val="0066309E"/>
    <w:rsid w:val="006631D1"/>
    <w:rsid w:val="00663279"/>
    <w:rsid w:val="0066327B"/>
    <w:rsid w:val="006632B6"/>
    <w:rsid w:val="006632ED"/>
    <w:rsid w:val="00663387"/>
    <w:rsid w:val="00663AD6"/>
    <w:rsid w:val="00663BD0"/>
    <w:rsid w:val="00663D1A"/>
    <w:rsid w:val="00663D3A"/>
    <w:rsid w:val="00663DAF"/>
    <w:rsid w:val="00663DEB"/>
    <w:rsid w:val="00663E42"/>
    <w:rsid w:val="00664352"/>
    <w:rsid w:val="006643CA"/>
    <w:rsid w:val="006643F8"/>
    <w:rsid w:val="0066448C"/>
    <w:rsid w:val="00664628"/>
    <w:rsid w:val="0066467D"/>
    <w:rsid w:val="006646D6"/>
    <w:rsid w:val="00664725"/>
    <w:rsid w:val="0066475B"/>
    <w:rsid w:val="006648AC"/>
    <w:rsid w:val="0066499C"/>
    <w:rsid w:val="00664C03"/>
    <w:rsid w:val="00664D75"/>
    <w:rsid w:val="00664D84"/>
    <w:rsid w:val="00664D9F"/>
    <w:rsid w:val="00664F82"/>
    <w:rsid w:val="00665084"/>
    <w:rsid w:val="006653EA"/>
    <w:rsid w:val="00665504"/>
    <w:rsid w:val="0066563F"/>
    <w:rsid w:val="00665784"/>
    <w:rsid w:val="006659DE"/>
    <w:rsid w:val="00665B0A"/>
    <w:rsid w:val="00665D5A"/>
    <w:rsid w:val="006660DF"/>
    <w:rsid w:val="006662F8"/>
    <w:rsid w:val="00666337"/>
    <w:rsid w:val="00666365"/>
    <w:rsid w:val="0066644A"/>
    <w:rsid w:val="0066667E"/>
    <w:rsid w:val="006666D2"/>
    <w:rsid w:val="00666D06"/>
    <w:rsid w:val="006671C2"/>
    <w:rsid w:val="006671CA"/>
    <w:rsid w:val="00667314"/>
    <w:rsid w:val="006677CE"/>
    <w:rsid w:val="0066789D"/>
    <w:rsid w:val="0066794D"/>
    <w:rsid w:val="00667970"/>
    <w:rsid w:val="00667973"/>
    <w:rsid w:val="00667BDB"/>
    <w:rsid w:val="00667D43"/>
    <w:rsid w:val="00667DE6"/>
    <w:rsid w:val="00667E12"/>
    <w:rsid w:val="00667F91"/>
    <w:rsid w:val="0067002E"/>
    <w:rsid w:val="00670038"/>
    <w:rsid w:val="00670531"/>
    <w:rsid w:val="00670897"/>
    <w:rsid w:val="006708C7"/>
    <w:rsid w:val="00670B5E"/>
    <w:rsid w:val="00670C59"/>
    <w:rsid w:val="00670C5B"/>
    <w:rsid w:val="00670DB2"/>
    <w:rsid w:val="00670EFF"/>
    <w:rsid w:val="00670FEA"/>
    <w:rsid w:val="00671283"/>
    <w:rsid w:val="006712E3"/>
    <w:rsid w:val="00671363"/>
    <w:rsid w:val="00671428"/>
    <w:rsid w:val="0067148E"/>
    <w:rsid w:val="00671797"/>
    <w:rsid w:val="00671821"/>
    <w:rsid w:val="00671945"/>
    <w:rsid w:val="00671AAE"/>
    <w:rsid w:val="00671E76"/>
    <w:rsid w:val="00671F7F"/>
    <w:rsid w:val="0067274E"/>
    <w:rsid w:val="0067276C"/>
    <w:rsid w:val="0067283F"/>
    <w:rsid w:val="006728ED"/>
    <w:rsid w:val="00672971"/>
    <w:rsid w:val="00672B25"/>
    <w:rsid w:val="00672B2C"/>
    <w:rsid w:val="00672C17"/>
    <w:rsid w:val="00672D2F"/>
    <w:rsid w:val="00672D73"/>
    <w:rsid w:val="00672FB8"/>
    <w:rsid w:val="00673113"/>
    <w:rsid w:val="00673180"/>
    <w:rsid w:val="0067329B"/>
    <w:rsid w:val="006733BE"/>
    <w:rsid w:val="00673608"/>
    <w:rsid w:val="00673705"/>
    <w:rsid w:val="00673787"/>
    <w:rsid w:val="00673888"/>
    <w:rsid w:val="00673955"/>
    <w:rsid w:val="0067399D"/>
    <w:rsid w:val="00673BAC"/>
    <w:rsid w:val="00673CA7"/>
    <w:rsid w:val="00674220"/>
    <w:rsid w:val="0067425C"/>
    <w:rsid w:val="006743ED"/>
    <w:rsid w:val="00674494"/>
    <w:rsid w:val="006745CB"/>
    <w:rsid w:val="0067479A"/>
    <w:rsid w:val="006747DD"/>
    <w:rsid w:val="00674940"/>
    <w:rsid w:val="00674A54"/>
    <w:rsid w:val="00674AD1"/>
    <w:rsid w:val="00674B5C"/>
    <w:rsid w:val="00674B66"/>
    <w:rsid w:val="0067547E"/>
    <w:rsid w:val="0067563D"/>
    <w:rsid w:val="00675701"/>
    <w:rsid w:val="00675896"/>
    <w:rsid w:val="00675A7C"/>
    <w:rsid w:val="00675B9D"/>
    <w:rsid w:val="00675C61"/>
    <w:rsid w:val="00675D74"/>
    <w:rsid w:val="00675ECE"/>
    <w:rsid w:val="00675EF1"/>
    <w:rsid w:val="00675EFF"/>
    <w:rsid w:val="00675F4F"/>
    <w:rsid w:val="0067606A"/>
    <w:rsid w:val="00676166"/>
    <w:rsid w:val="0067626B"/>
    <w:rsid w:val="006762EC"/>
    <w:rsid w:val="006764AC"/>
    <w:rsid w:val="0067665F"/>
    <w:rsid w:val="00676784"/>
    <w:rsid w:val="00676B48"/>
    <w:rsid w:val="00676B5B"/>
    <w:rsid w:val="00676B8B"/>
    <w:rsid w:val="00676DB3"/>
    <w:rsid w:val="00676F00"/>
    <w:rsid w:val="00676FDD"/>
    <w:rsid w:val="00677154"/>
    <w:rsid w:val="006773EE"/>
    <w:rsid w:val="00677472"/>
    <w:rsid w:val="0067749D"/>
    <w:rsid w:val="0067777E"/>
    <w:rsid w:val="006777D0"/>
    <w:rsid w:val="00677A44"/>
    <w:rsid w:val="00677AD7"/>
    <w:rsid w:val="00677BE0"/>
    <w:rsid w:val="00677C3C"/>
    <w:rsid w:val="00677C49"/>
    <w:rsid w:val="00677DBD"/>
    <w:rsid w:val="00677EF0"/>
    <w:rsid w:val="00677F30"/>
    <w:rsid w:val="00680086"/>
    <w:rsid w:val="006800C5"/>
    <w:rsid w:val="006803DA"/>
    <w:rsid w:val="0068042B"/>
    <w:rsid w:val="006805CF"/>
    <w:rsid w:val="0068068F"/>
    <w:rsid w:val="006806E8"/>
    <w:rsid w:val="00680878"/>
    <w:rsid w:val="00680B2C"/>
    <w:rsid w:val="00680B2E"/>
    <w:rsid w:val="00680BE9"/>
    <w:rsid w:val="00680C2A"/>
    <w:rsid w:val="00680E76"/>
    <w:rsid w:val="00680EFE"/>
    <w:rsid w:val="00680F9D"/>
    <w:rsid w:val="00681081"/>
    <w:rsid w:val="006811B4"/>
    <w:rsid w:val="0068133A"/>
    <w:rsid w:val="00681387"/>
    <w:rsid w:val="00681503"/>
    <w:rsid w:val="00681508"/>
    <w:rsid w:val="0068157F"/>
    <w:rsid w:val="006816CA"/>
    <w:rsid w:val="006816CD"/>
    <w:rsid w:val="006818E3"/>
    <w:rsid w:val="006819F3"/>
    <w:rsid w:val="00681A95"/>
    <w:rsid w:val="00681B36"/>
    <w:rsid w:val="00681DA1"/>
    <w:rsid w:val="00681E4A"/>
    <w:rsid w:val="00681E78"/>
    <w:rsid w:val="00681E96"/>
    <w:rsid w:val="00681F15"/>
    <w:rsid w:val="00681F28"/>
    <w:rsid w:val="00682052"/>
    <w:rsid w:val="00682322"/>
    <w:rsid w:val="0068248B"/>
    <w:rsid w:val="006825F1"/>
    <w:rsid w:val="00682643"/>
    <w:rsid w:val="00682AED"/>
    <w:rsid w:val="00682B59"/>
    <w:rsid w:val="00682E37"/>
    <w:rsid w:val="00682E4E"/>
    <w:rsid w:val="00683002"/>
    <w:rsid w:val="00683064"/>
    <w:rsid w:val="00683077"/>
    <w:rsid w:val="0068308E"/>
    <w:rsid w:val="006832E6"/>
    <w:rsid w:val="0068336E"/>
    <w:rsid w:val="00683452"/>
    <w:rsid w:val="006834F1"/>
    <w:rsid w:val="0068371E"/>
    <w:rsid w:val="00683907"/>
    <w:rsid w:val="00683BFE"/>
    <w:rsid w:val="00683CAE"/>
    <w:rsid w:val="00683DAD"/>
    <w:rsid w:val="00683DF3"/>
    <w:rsid w:val="00683F1C"/>
    <w:rsid w:val="006842CF"/>
    <w:rsid w:val="00684324"/>
    <w:rsid w:val="00684338"/>
    <w:rsid w:val="006843DF"/>
    <w:rsid w:val="0068456C"/>
    <w:rsid w:val="0068465F"/>
    <w:rsid w:val="00684744"/>
    <w:rsid w:val="00684751"/>
    <w:rsid w:val="006847E8"/>
    <w:rsid w:val="006847F5"/>
    <w:rsid w:val="006849C3"/>
    <w:rsid w:val="00684A06"/>
    <w:rsid w:val="00684A3C"/>
    <w:rsid w:val="00684AFD"/>
    <w:rsid w:val="00684BE8"/>
    <w:rsid w:val="00684F20"/>
    <w:rsid w:val="00684F9D"/>
    <w:rsid w:val="0068503F"/>
    <w:rsid w:val="0068513B"/>
    <w:rsid w:val="0068516E"/>
    <w:rsid w:val="00685254"/>
    <w:rsid w:val="00685283"/>
    <w:rsid w:val="00685349"/>
    <w:rsid w:val="006857A7"/>
    <w:rsid w:val="006858B2"/>
    <w:rsid w:val="00685A2E"/>
    <w:rsid w:val="00685C3D"/>
    <w:rsid w:val="00685C68"/>
    <w:rsid w:val="00685F6D"/>
    <w:rsid w:val="00686174"/>
    <w:rsid w:val="00686531"/>
    <w:rsid w:val="00686AF2"/>
    <w:rsid w:val="00686B95"/>
    <w:rsid w:val="00686D4F"/>
    <w:rsid w:val="00686E8D"/>
    <w:rsid w:val="00686FB5"/>
    <w:rsid w:val="006870BE"/>
    <w:rsid w:val="006874A1"/>
    <w:rsid w:val="0068750C"/>
    <w:rsid w:val="00687778"/>
    <w:rsid w:val="00687897"/>
    <w:rsid w:val="006879A3"/>
    <w:rsid w:val="00687A75"/>
    <w:rsid w:val="00687CDF"/>
    <w:rsid w:val="00690121"/>
    <w:rsid w:val="00690327"/>
    <w:rsid w:val="006907BE"/>
    <w:rsid w:val="00690896"/>
    <w:rsid w:val="00690A76"/>
    <w:rsid w:val="00690B0C"/>
    <w:rsid w:val="00690DA7"/>
    <w:rsid w:val="00690EC3"/>
    <w:rsid w:val="00691058"/>
    <w:rsid w:val="00691076"/>
    <w:rsid w:val="00691078"/>
    <w:rsid w:val="0069109C"/>
    <w:rsid w:val="006911AD"/>
    <w:rsid w:val="0069124C"/>
    <w:rsid w:val="0069127D"/>
    <w:rsid w:val="006913EC"/>
    <w:rsid w:val="00691548"/>
    <w:rsid w:val="006917BD"/>
    <w:rsid w:val="00691866"/>
    <w:rsid w:val="00691BBB"/>
    <w:rsid w:val="00691E4E"/>
    <w:rsid w:val="00691FFE"/>
    <w:rsid w:val="00692095"/>
    <w:rsid w:val="006924AE"/>
    <w:rsid w:val="00692576"/>
    <w:rsid w:val="00692598"/>
    <w:rsid w:val="006925D6"/>
    <w:rsid w:val="006928CE"/>
    <w:rsid w:val="00692CB6"/>
    <w:rsid w:val="00692EBA"/>
    <w:rsid w:val="00692F8D"/>
    <w:rsid w:val="00693029"/>
    <w:rsid w:val="006930CA"/>
    <w:rsid w:val="0069320A"/>
    <w:rsid w:val="00693287"/>
    <w:rsid w:val="00693298"/>
    <w:rsid w:val="0069340B"/>
    <w:rsid w:val="006939E8"/>
    <w:rsid w:val="00693A44"/>
    <w:rsid w:val="00693AEB"/>
    <w:rsid w:val="00693B20"/>
    <w:rsid w:val="00693CC6"/>
    <w:rsid w:val="00694013"/>
    <w:rsid w:val="00694038"/>
    <w:rsid w:val="00694088"/>
    <w:rsid w:val="00694180"/>
    <w:rsid w:val="006944A9"/>
    <w:rsid w:val="0069473D"/>
    <w:rsid w:val="00694946"/>
    <w:rsid w:val="006949A1"/>
    <w:rsid w:val="00694BF5"/>
    <w:rsid w:val="00694E3D"/>
    <w:rsid w:val="00694F0E"/>
    <w:rsid w:val="006951D5"/>
    <w:rsid w:val="0069555C"/>
    <w:rsid w:val="006956F2"/>
    <w:rsid w:val="00695722"/>
    <w:rsid w:val="00695799"/>
    <w:rsid w:val="006957F2"/>
    <w:rsid w:val="0069585A"/>
    <w:rsid w:val="0069594E"/>
    <w:rsid w:val="0069599C"/>
    <w:rsid w:val="00695B25"/>
    <w:rsid w:val="00695B6C"/>
    <w:rsid w:val="0069604A"/>
    <w:rsid w:val="00696050"/>
    <w:rsid w:val="0069609A"/>
    <w:rsid w:val="006960D8"/>
    <w:rsid w:val="006961C4"/>
    <w:rsid w:val="006964D5"/>
    <w:rsid w:val="0069662C"/>
    <w:rsid w:val="0069672A"/>
    <w:rsid w:val="006968BA"/>
    <w:rsid w:val="00696BA4"/>
    <w:rsid w:val="00696BCC"/>
    <w:rsid w:val="00696DB6"/>
    <w:rsid w:val="00696DBC"/>
    <w:rsid w:val="00696F48"/>
    <w:rsid w:val="0069704F"/>
    <w:rsid w:val="00697099"/>
    <w:rsid w:val="00697356"/>
    <w:rsid w:val="00697358"/>
    <w:rsid w:val="006973F8"/>
    <w:rsid w:val="00697579"/>
    <w:rsid w:val="00697638"/>
    <w:rsid w:val="00697658"/>
    <w:rsid w:val="006976DC"/>
    <w:rsid w:val="006977B0"/>
    <w:rsid w:val="00697845"/>
    <w:rsid w:val="00697890"/>
    <w:rsid w:val="00697AFE"/>
    <w:rsid w:val="00697BFE"/>
    <w:rsid w:val="00697C90"/>
    <w:rsid w:val="00697DE0"/>
    <w:rsid w:val="00697ED8"/>
    <w:rsid w:val="00697F02"/>
    <w:rsid w:val="006A0025"/>
    <w:rsid w:val="006A01CA"/>
    <w:rsid w:val="006A0279"/>
    <w:rsid w:val="006A04A4"/>
    <w:rsid w:val="006A0559"/>
    <w:rsid w:val="006A0AFE"/>
    <w:rsid w:val="006A0C90"/>
    <w:rsid w:val="006A0D49"/>
    <w:rsid w:val="006A0E27"/>
    <w:rsid w:val="006A0EF8"/>
    <w:rsid w:val="006A0F68"/>
    <w:rsid w:val="006A0FD9"/>
    <w:rsid w:val="006A11B8"/>
    <w:rsid w:val="006A1335"/>
    <w:rsid w:val="006A1A39"/>
    <w:rsid w:val="006A1A8E"/>
    <w:rsid w:val="006A1EBF"/>
    <w:rsid w:val="006A221B"/>
    <w:rsid w:val="006A22B7"/>
    <w:rsid w:val="006A237F"/>
    <w:rsid w:val="006A23EE"/>
    <w:rsid w:val="006A2544"/>
    <w:rsid w:val="006A2753"/>
    <w:rsid w:val="006A27DC"/>
    <w:rsid w:val="006A2943"/>
    <w:rsid w:val="006A29BA"/>
    <w:rsid w:val="006A2AA4"/>
    <w:rsid w:val="006A2ACD"/>
    <w:rsid w:val="006A2B1D"/>
    <w:rsid w:val="006A2BB5"/>
    <w:rsid w:val="006A2F81"/>
    <w:rsid w:val="006A315A"/>
    <w:rsid w:val="006A3290"/>
    <w:rsid w:val="006A33A5"/>
    <w:rsid w:val="006A3468"/>
    <w:rsid w:val="006A3474"/>
    <w:rsid w:val="006A379C"/>
    <w:rsid w:val="006A3908"/>
    <w:rsid w:val="006A3B0D"/>
    <w:rsid w:val="006A3B54"/>
    <w:rsid w:val="006A3BFC"/>
    <w:rsid w:val="006A3C48"/>
    <w:rsid w:val="006A3C8C"/>
    <w:rsid w:val="006A3CA7"/>
    <w:rsid w:val="006A3CE5"/>
    <w:rsid w:val="006A3EB2"/>
    <w:rsid w:val="006A4213"/>
    <w:rsid w:val="006A43A2"/>
    <w:rsid w:val="006A4495"/>
    <w:rsid w:val="006A4511"/>
    <w:rsid w:val="006A49A4"/>
    <w:rsid w:val="006A4A37"/>
    <w:rsid w:val="006A4B4A"/>
    <w:rsid w:val="006A4B6B"/>
    <w:rsid w:val="006A4D4B"/>
    <w:rsid w:val="006A4F6C"/>
    <w:rsid w:val="006A4FE5"/>
    <w:rsid w:val="006A5029"/>
    <w:rsid w:val="006A5044"/>
    <w:rsid w:val="006A5762"/>
    <w:rsid w:val="006A5806"/>
    <w:rsid w:val="006A583D"/>
    <w:rsid w:val="006A59DA"/>
    <w:rsid w:val="006A5BE3"/>
    <w:rsid w:val="006A5C6C"/>
    <w:rsid w:val="006A5E13"/>
    <w:rsid w:val="006A5E82"/>
    <w:rsid w:val="006A5E96"/>
    <w:rsid w:val="006A5EC4"/>
    <w:rsid w:val="006A5F50"/>
    <w:rsid w:val="006A5F82"/>
    <w:rsid w:val="006A61B4"/>
    <w:rsid w:val="006A657F"/>
    <w:rsid w:val="006A667A"/>
    <w:rsid w:val="006A670F"/>
    <w:rsid w:val="006A67B1"/>
    <w:rsid w:val="006A6873"/>
    <w:rsid w:val="006A68BF"/>
    <w:rsid w:val="006A694A"/>
    <w:rsid w:val="006A69CE"/>
    <w:rsid w:val="006A6A21"/>
    <w:rsid w:val="006A6B42"/>
    <w:rsid w:val="006A6BA3"/>
    <w:rsid w:val="006A6F49"/>
    <w:rsid w:val="006A6F76"/>
    <w:rsid w:val="006A7097"/>
    <w:rsid w:val="006A7376"/>
    <w:rsid w:val="006A74C7"/>
    <w:rsid w:val="006A74D3"/>
    <w:rsid w:val="006A7526"/>
    <w:rsid w:val="006A75AE"/>
    <w:rsid w:val="006A7A21"/>
    <w:rsid w:val="006A7ABC"/>
    <w:rsid w:val="006A7B34"/>
    <w:rsid w:val="006A7B97"/>
    <w:rsid w:val="006A7C46"/>
    <w:rsid w:val="006A7E25"/>
    <w:rsid w:val="006A7EDD"/>
    <w:rsid w:val="006A7FA3"/>
    <w:rsid w:val="006B0045"/>
    <w:rsid w:val="006B0099"/>
    <w:rsid w:val="006B00CE"/>
    <w:rsid w:val="006B012B"/>
    <w:rsid w:val="006B01B6"/>
    <w:rsid w:val="006B02D8"/>
    <w:rsid w:val="006B0764"/>
    <w:rsid w:val="006B08C4"/>
    <w:rsid w:val="006B090D"/>
    <w:rsid w:val="006B0AA9"/>
    <w:rsid w:val="006B0C4F"/>
    <w:rsid w:val="006B0D60"/>
    <w:rsid w:val="006B0D96"/>
    <w:rsid w:val="006B0DF7"/>
    <w:rsid w:val="006B0E2A"/>
    <w:rsid w:val="006B0F5B"/>
    <w:rsid w:val="006B0FEA"/>
    <w:rsid w:val="006B0FF3"/>
    <w:rsid w:val="006B115D"/>
    <w:rsid w:val="006B1381"/>
    <w:rsid w:val="006B1412"/>
    <w:rsid w:val="006B171E"/>
    <w:rsid w:val="006B17AE"/>
    <w:rsid w:val="006B17C3"/>
    <w:rsid w:val="006B1AF7"/>
    <w:rsid w:val="006B1D69"/>
    <w:rsid w:val="006B1D78"/>
    <w:rsid w:val="006B203E"/>
    <w:rsid w:val="006B21FC"/>
    <w:rsid w:val="006B22E9"/>
    <w:rsid w:val="006B23D8"/>
    <w:rsid w:val="006B2543"/>
    <w:rsid w:val="006B256E"/>
    <w:rsid w:val="006B25BC"/>
    <w:rsid w:val="006B2674"/>
    <w:rsid w:val="006B267D"/>
    <w:rsid w:val="006B26FD"/>
    <w:rsid w:val="006B28E3"/>
    <w:rsid w:val="006B296C"/>
    <w:rsid w:val="006B29C2"/>
    <w:rsid w:val="006B2C2E"/>
    <w:rsid w:val="006B2DB7"/>
    <w:rsid w:val="006B2E7D"/>
    <w:rsid w:val="006B3058"/>
    <w:rsid w:val="006B3555"/>
    <w:rsid w:val="006B3782"/>
    <w:rsid w:val="006B38BF"/>
    <w:rsid w:val="006B39F0"/>
    <w:rsid w:val="006B39F6"/>
    <w:rsid w:val="006B3AD1"/>
    <w:rsid w:val="006B3ADE"/>
    <w:rsid w:val="006B3B07"/>
    <w:rsid w:val="006B3B3E"/>
    <w:rsid w:val="006B3B63"/>
    <w:rsid w:val="006B3CA5"/>
    <w:rsid w:val="006B3E18"/>
    <w:rsid w:val="006B430C"/>
    <w:rsid w:val="006B436B"/>
    <w:rsid w:val="006B439F"/>
    <w:rsid w:val="006B4462"/>
    <w:rsid w:val="006B47EE"/>
    <w:rsid w:val="006B4950"/>
    <w:rsid w:val="006B4A14"/>
    <w:rsid w:val="006B4A7E"/>
    <w:rsid w:val="006B4AEA"/>
    <w:rsid w:val="006B4C0D"/>
    <w:rsid w:val="006B4C2F"/>
    <w:rsid w:val="006B4FFC"/>
    <w:rsid w:val="006B51CD"/>
    <w:rsid w:val="006B51EC"/>
    <w:rsid w:val="006B51ED"/>
    <w:rsid w:val="006B51F0"/>
    <w:rsid w:val="006B5278"/>
    <w:rsid w:val="006B53B8"/>
    <w:rsid w:val="006B56AC"/>
    <w:rsid w:val="006B5A0B"/>
    <w:rsid w:val="006B5AA8"/>
    <w:rsid w:val="006B5DEF"/>
    <w:rsid w:val="006B5E22"/>
    <w:rsid w:val="006B60E2"/>
    <w:rsid w:val="006B63D8"/>
    <w:rsid w:val="006B6636"/>
    <w:rsid w:val="006B6655"/>
    <w:rsid w:val="006B6657"/>
    <w:rsid w:val="006B667D"/>
    <w:rsid w:val="006B6D4B"/>
    <w:rsid w:val="006B6E92"/>
    <w:rsid w:val="006B70AB"/>
    <w:rsid w:val="006B74A9"/>
    <w:rsid w:val="006B7820"/>
    <w:rsid w:val="006B7931"/>
    <w:rsid w:val="006B7932"/>
    <w:rsid w:val="006B7B69"/>
    <w:rsid w:val="006B7B7E"/>
    <w:rsid w:val="006B7CF8"/>
    <w:rsid w:val="006B7EE2"/>
    <w:rsid w:val="006C0082"/>
    <w:rsid w:val="006C0298"/>
    <w:rsid w:val="006C058E"/>
    <w:rsid w:val="006C06A9"/>
    <w:rsid w:val="006C079D"/>
    <w:rsid w:val="006C07C5"/>
    <w:rsid w:val="006C07E9"/>
    <w:rsid w:val="006C083D"/>
    <w:rsid w:val="006C0962"/>
    <w:rsid w:val="006C0B4E"/>
    <w:rsid w:val="006C0F2C"/>
    <w:rsid w:val="006C0F3B"/>
    <w:rsid w:val="006C0FFC"/>
    <w:rsid w:val="006C0FFE"/>
    <w:rsid w:val="006C1131"/>
    <w:rsid w:val="006C1166"/>
    <w:rsid w:val="006C13E6"/>
    <w:rsid w:val="006C1406"/>
    <w:rsid w:val="006C1537"/>
    <w:rsid w:val="006C1B7A"/>
    <w:rsid w:val="006C1C81"/>
    <w:rsid w:val="006C1D18"/>
    <w:rsid w:val="006C20DA"/>
    <w:rsid w:val="006C20E7"/>
    <w:rsid w:val="006C2376"/>
    <w:rsid w:val="006C2463"/>
    <w:rsid w:val="006C2728"/>
    <w:rsid w:val="006C2A3B"/>
    <w:rsid w:val="006C2A46"/>
    <w:rsid w:val="006C2B4E"/>
    <w:rsid w:val="006C2D10"/>
    <w:rsid w:val="006C2FB6"/>
    <w:rsid w:val="006C30B9"/>
    <w:rsid w:val="006C315B"/>
    <w:rsid w:val="006C31A4"/>
    <w:rsid w:val="006C3282"/>
    <w:rsid w:val="006C33D2"/>
    <w:rsid w:val="006C3447"/>
    <w:rsid w:val="006C3493"/>
    <w:rsid w:val="006C34F1"/>
    <w:rsid w:val="006C357D"/>
    <w:rsid w:val="006C3629"/>
    <w:rsid w:val="006C3635"/>
    <w:rsid w:val="006C3757"/>
    <w:rsid w:val="006C37CF"/>
    <w:rsid w:val="006C3820"/>
    <w:rsid w:val="006C3944"/>
    <w:rsid w:val="006C3995"/>
    <w:rsid w:val="006C3A73"/>
    <w:rsid w:val="006C3C9B"/>
    <w:rsid w:val="006C3DF5"/>
    <w:rsid w:val="006C3EE4"/>
    <w:rsid w:val="006C3FE1"/>
    <w:rsid w:val="006C4291"/>
    <w:rsid w:val="006C42BB"/>
    <w:rsid w:val="006C441B"/>
    <w:rsid w:val="006C4443"/>
    <w:rsid w:val="006C44BB"/>
    <w:rsid w:val="006C44FA"/>
    <w:rsid w:val="006C44FF"/>
    <w:rsid w:val="006C4525"/>
    <w:rsid w:val="006C45DC"/>
    <w:rsid w:val="006C4629"/>
    <w:rsid w:val="006C462B"/>
    <w:rsid w:val="006C48DB"/>
    <w:rsid w:val="006C495E"/>
    <w:rsid w:val="006C4B14"/>
    <w:rsid w:val="006C4B4E"/>
    <w:rsid w:val="006C4B9D"/>
    <w:rsid w:val="006C4E24"/>
    <w:rsid w:val="006C4EF8"/>
    <w:rsid w:val="006C50BE"/>
    <w:rsid w:val="006C5221"/>
    <w:rsid w:val="006C55CB"/>
    <w:rsid w:val="006C5607"/>
    <w:rsid w:val="006C5743"/>
    <w:rsid w:val="006C5AF8"/>
    <w:rsid w:val="006C5E29"/>
    <w:rsid w:val="006C5F0E"/>
    <w:rsid w:val="006C602E"/>
    <w:rsid w:val="006C60C6"/>
    <w:rsid w:val="006C61E2"/>
    <w:rsid w:val="006C6391"/>
    <w:rsid w:val="006C64C1"/>
    <w:rsid w:val="006C6664"/>
    <w:rsid w:val="006C676E"/>
    <w:rsid w:val="006C6ADB"/>
    <w:rsid w:val="006C6B14"/>
    <w:rsid w:val="006C6B7A"/>
    <w:rsid w:val="006C6BC1"/>
    <w:rsid w:val="006C6C15"/>
    <w:rsid w:val="006C6CBF"/>
    <w:rsid w:val="006C6F35"/>
    <w:rsid w:val="006C6F44"/>
    <w:rsid w:val="006C701E"/>
    <w:rsid w:val="006C7115"/>
    <w:rsid w:val="006C71C9"/>
    <w:rsid w:val="006C730A"/>
    <w:rsid w:val="006C73B6"/>
    <w:rsid w:val="006C7518"/>
    <w:rsid w:val="006C7693"/>
    <w:rsid w:val="006C7929"/>
    <w:rsid w:val="006C7A68"/>
    <w:rsid w:val="006C7A9B"/>
    <w:rsid w:val="006C7BE7"/>
    <w:rsid w:val="006C7C22"/>
    <w:rsid w:val="006C7D1C"/>
    <w:rsid w:val="006C7F45"/>
    <w:rsid w:val="006C7FA3"/>
    <w:rsid w:val="006C7FB6"/>
    <w:rsid w:val="006C7FE2"/>
    <w:rsid w:val="006D0074"/>
    <w:rsid w:val="006D0093"/>
    <w:rsid w:val="006D0100"/>
    <w:rsid w:val="006D0103"/>
    <w:rsid w:val="006D0129"/>
    <w:rsid w:val="006D0216"/>
    <w:rsid w:val="006D04BE"/>
    <w:rsid w:val="006D0508"/>
    <w:rsid w:val="006D07ED"/>
    <w:rsid w:val="006D086F"/>
    <w:rsid w:val="006D0A2E"/>
    <w:rsid w:val="006D0B74"/>
    <w:rsid w:val="006D0B84"/>
    <w:rsid w:val="006D0BE6"/>
    <w:rsid w:val="006D0C10"/>
    <w:rsid w:val="006D0FEC"/>
    <w:rsid w:val="006D12AA"/>
    <w:rsid w:val="006D1313"/>
    <w:rsid w:val="006D136B"/>
    <w:rsid w:val="006D138C"/>
    <w:rsid w:val="006D13E4"/>
    <w:rsid w:val="006D1441"/>
    <w:rsid w:val="006D161B"/>
    <w:rsid w:val="006D1629"/>
    <w:rsid w:val="006D1B12"/>
    <w:rsid w:val="006D1ECD"/>
    <w:rsid w:val="006D1F54"/>
    <w:rsid w:val="006D1F77"/>
    <w:rsid w:val="006D1FF7"/>
    <w:rsid w:val="006D2763"/>
    <w:rsid w:val="006D27A5"/>
    <w:rsid w:val="006D27F9"/>
    <w:rsid w:val="006D295E"/>
    <w:rsid w:val="006D2AFA"/>
    <w:rsid w:val="006D2C58"/>
    <w:rsid w:val="006D2D7E"/>
    <w:rsid w:val="006D2DDF"/>
    <w:rsid w:val="006D2F58"/>
    <w:rsid w:val="006D2FBF"/>
    <w:rsid w:val="006D3016"/>
    <w:rsid w:val="006D3031"/>
    <w:rsid w:val="006D3090"/>
    <w:rsid w:val="006D3160"/>
    <w:rsid w:val="006D353B"/>
    <w:rsid w:val="006D3655"/>
    <w:rsid w:val="006D3738"/>
    <w:rsid w:val="006D3A06"/>
    <w:rsid w:val="006D3A3F"/>
    <w:rsid w:val="006D3A4F"/>
    <w:rsid w:val="006D3D83"/>
    <w:rsid w:val="006D3EA4"/>
    <w:rsid w:val="006D3EDE"/>
    <w:rsid w:val="006D3FB7"/>
    <w:rsid w:val="006D3FE0"/>
    <w:rsid w:val="006D3FF0"/>
    <w:rsid w:val="006D426B"/>
    <w:rsid w:val="006D4371"/>
    <w:rsid w:val="006D4439"/>
    <w:rsid w:val="006D444B"/>
    <w:rsid w:val="006D4712"/>
    <w:rsid w:val="006D47A1"/>
    <w:rsid w:val="006D4C42"/>
    <w:rsid w:val="006D4E15"/>
    <w:rsid w:val="006D4E43"/>
    <w:rsid w:val="006D4F00"/>
    <w:rsid w:val="006D51C4"/>
    <w:rsid w:val="006D51F8"/>
    <w:rsid w:val="006D5350"/>
    <w:rsid w:val="006D53DC"/>
    <w:rsid w:val="006D55B3"/>
    <w:rsid w:val="006D55B4"/>
    <w:rsid w:val="006D56C5"/>
    <w:rsid w:val="006D5776"/>
    <w:rsid w:val="006D5818"/>
    <w:rsid w:val="006D581D"/>
    <w:rsid w:val="006D5829"/>
    <w:rsid w:val="006D5ABC"/>
    <w:rsid w:val="006D5EA3"/>
    <w:rsid w:val="006D6037"/>
    <w:rsid w:val="006D61FB"/>
    <w:rsid w:val="006D634E"/>
    <w:rsid w:val="006D6427"/>
    <w:rsid w:val="006D64C3"/>
    <w:rsid w:val="006D64CA"/>
    <w:rsid w:val="006D6860"/>
    <w:rsid w:val="006D6870"/>
    <w:rsid w:val="006D6902"/>
    <w:rsid w:val="006D6B3F"/>
    <w:rsid w:val="006D6D18"/>
    <w:rsid w:val="006D6D5B"/>
    <w:rsid w:val="006D6D72"/>
    <w:rsid w:val="006D6E32"/>
    <w:rsid w:val="006D6E84"/>
    <w:rsid w:val="006D6F01"/>
    <w:rsid w:val="006D6FAF"/>
    <w:rsid w:val="006D7147"/>
    <w:rsid w:val="006D729D"/>
    <w:rsid w:val="006D75AD"/>
    <w:rsid w:val="006D778E"/>
    <w:rsid w:val="006D78CB"/>
    <w:rsid w:val="006D7F96"/>
    <w:rsid w:val="006D7FF1"/>
    <w:rsid w:val="006E030B"/>
    <w:rsid w:val="006E031F"/>
    <w:rsid w:val="006E03C6"/>
    <w:rsid w:val="006E0431"/>
    <w:rsid w:val="006E0435"/>
    <w:rsid w:val="006E04A3"/>
    <w:rsid w:val="006E04C7"/>
    <w:rsid w:val="006E0511"/>
    <w:rsid w:val="006E081B"/>
    <w:rsid w:val="006E09C0"/>
    <w:rsid w:val="006E0BE0"/>
    <w:rsid w:val="006E0C17"/>
    <w:rsid w:val="006E0D24"/>
    <w:rsid w:val="006E0E21"/>
    <w:rsid w:val="006E0E50"/>
    <w:rsid w:val="006E121E"/>
    <w:rsid w:val="006E1382"/>
    <w:rsid w:val="006E1390"/>
    <w:rsid w:val="006E144B"/>
    <w:rsid w:val="006E14E5"/>
    <w:rsid w:val="006E14EB"/>
    <w:rsid w:val="006E1658"/>
    <w:rsid w:val="006E1812"/>
    <w:rsid w:val="006E1A25"/>
    <w:rsid w:val="006E1B01"/>
    <w:rsid w:val="006E200C"/>
    <w:rsid w:val="006E2034"/>
    <w:rsid w:val="006E20D3"/>
    <w:rsid w:val="006E2224"/>
    <w:rsid w:val="006E25A2"/>
    <w:rsid w:val="006E2626"/>
    <w:rsid w:val="006E280D"/>
    <w:rsid w:val="006E298B"/>
    <w:rsid w:val="006E2C1C"/>
    <w:rsid w:val="006E2D0C"/>
    <w:rsid w:val="006E2D62"/>
    <w:rsid w:val="006E311E"/>
    <w:rsid w:val="006E31D0"/>
    <w:rsid w:val="006E31D1"/>
    <w:rsid w:val="006E325E"/>
    <w:rsid w:val="006E32BD"/>
    <w:rsid w:val="006E3471"/>
    <w:rsid w:val="006E36E3"/>
    <w:rsid w:val="006E37FC"/>
    <w:rsid w:val="006E382A"/>
    <w:rsid w:val="006E3A25"/>
    <w:rsid w:val="006E3B86"/>
    <w:rsid w:val="006E3D9B"/>
    <w:rsid w:val="006E3E69"/>
    <w:rsid w:val="006E40EB"/>
    <w:rsid w:val="006E4165"/>
    <w:rsid w:val="006E4233"/>
    <w:rsid w:val="006E432D"/>
    <w:rsid w:val="006E4404"/>
    <w:rsid w:val="006E463B"/>
    <w:rsid w:val="006E47DE"/>
    <w:rsid w:val="006E4ADC"/>
    <w:rsid w:val="006E4BDF"/>
    <w:rsid w:val="006E4BEA"/>
    <w:rsid w:val="006E4BFC"/>
    <w:rsid w:val="006E4C89"/>
    <w:rsid w:val="006E4CD5"/>
    <w:rsid w:val="006E4CD6"/>
    <w:rsid w:val="006E4DE5"/>
    <w:rsid w:val="006E4F49"/>
    <w:rsid w:val="006E4F60"/>
    <w:rsid w:val="006E4FB0"/>
    <w:rsid w:val="006E4FF5"/>
    <w:rsid w:val="006E501F"/>
    <w:rsid w:val="006E5197"/>
    <w:rsid w:val="006E5251"/>
    <w:rsid w:val="006E5293"/>
    <w:rsid w:val="006E52FB"/>
    <w:rsid w:val="006E5345"/>
    <w:rsid w:val="006E53FC"/>
    <w:rsid w:val="006E5683"/>
    <w:rsid w:val="006E57C1"/>
    <w:rsid w:val="006E57E3"/>
    <w:rsid w:val="006E57E8"/>
    <w:rsid w:val="006E5826"/>
    <w:rsid w:val="006E598F"/>
    <w:rsid w:val="006E5A71"/>
    <w:rsid w:val="006E5B2D"/>
    <w:rsid w:val="006E5E05"/>
    <w:rsid w:val="006E64D2"/>
    <w:rsid w:val="006E664E"/>
    <w:rsid w:val="006E67DB"/>
    <w:rsid w:val="006E67F8"/>
    <w:rsid w:val="006E68CD"/>
    <w:rsid w:val="006E68DE"/>
    <w:rsid w:val="006E68FE"/>
    <w:rsid w:val="006E6A6D"/>
    <w:rsid w:val="006E6A96"/>
    <w:rsid w:val="006E6C6C"/>
    <w:rsid w:val="006E6E45"/>
    <w:rsid w:val="006E6F2F"/>
    <w:rsid w:val="006E7161"/>
    <w:rsid w:val="006E71A8"/>
    <w:rsid w:val="006E71B4"/>
    <w:rsid w:val="006E723E"/>
    <w:rsid w:val="006E73BB"/>
    <w:rsid w:val="006E7525"/>
    <w:rsid w:val="006E7560"/>
    <w:rsid w:val="006E762F"/>
    <w:rsid w:val="006E76A2"/>
    <w:rsid w:val="006E772A"/>
    <w:rsid w:val="006E7BBD"/>
    <w:rsid w:val="006F0089"/>
    <w:rsid w:val="006F02F3"/>
    <w:rsid w:val="006F0420"/>
    <w:rsid w:val="006F05A2"/>
    <w:rsid w:val="006F05EC"/>
    <w:rsid w:val="006F07A7"/>
    <w:rsid w:val="006F09EF"/>
    <w:rsid w:val="006F0B1C"/>
    <w:rsid w:val="006F0BF3"/>
    <w:rsid w:val="006F0D4F"/>
    <w:rsid w:val="006F0ED8"/>
    <w:rsid w:val="006F0EE4"/>
    <w:rsid w:val="006F0F95"/>
    <w:rsid w:val="006F107B"/>
    <w:rsid w:val="006F1536"/>
    <w:rsid w:val="006F1628"/>
    <w:rsid w:val="006F16FC"/>
    <w:rsid w:val="006F1732"/>
    <w:rsid w:val="006F1771"/>
    <w:rsid w:val="006F1975"/>
    <w:rsid w:val="006F1C3B"/>
    <w:rsid w:val="006F1C94"/>
    <w:rsid w:val="006F1DBB"/>
    <w:rsid w:val="006F1E7B"/>
    <w:rsid w:val="006F1F31"/>
    <w:rsid w:val="006F1FDB"/>
    <w:rsid w:val="006F216A"/>
    <w:rsid w:val="006F229B"/>
    <w:rsid w:val="006F24C1"/>
    <w:rsid w:val="006F265D"/>
    <w:rsid w:val="006F267E"/>
    <w:rsid w:val="006F2A7E"/>
    <w:rsid w:val="006F2B7A"/>
    <w:rsid w:val="006F2C75"/>
    <w:rsid w:val="006F2C8C"/>
    <w:rsid w:val="006F2D16"/>
    <w:rsid w:val="006F2D66"/>
    <w:rsid w:val="006F2E42"/>
    <w:rsid w:val="006F2FB4"/>
    <w:rsid w:val="006F34D8"/>
    <w:rsid w:val="006F3543"/>
    <w:rsid w:val="006F3898"/>
    <w:rsid w:val="006F3B46"/>
    <w:rsid w:val="006F3B64"/>
    <w:rsid w:val="006F3BCE"/>
    <w:rsid w:val="006F3D74"/>
    <w:rsid w:val="006F3F1D"/>
    <w:rsid w:val="006F404F"/>
    <w:rsid w:val="006F4086"/>
    <w:rsid w:val="006F4251"/>
    <w:rsid w:val="006F42AD"/>
    <w:rsid w:val="006F4489"/>
    <w:rsid w:val="006F4494"/>
    <w:rsid w:val="006F44A9"/>
    <w:rsid w:val="006F4619"/>
    <w:rsid w:val="006F4627"/>
    <w:rsid w:val="006F465C"/>
    <w:rsid w:val="006F46EC"/>
    <w:rsid w:val="006F47B6"/>
    <w:rsid w:val="006F4857"/>
    <w:rsid w:val="006F49E0"/>
    <w:rsid w:val="006F4C13"/>
    <w:rsid w:val="006F4E51"/>
    <w:rsid w:val="006F4FB6"/>
    <w:rsid w:val="006F4FDF"/>
    <w:rsid w:val="006F5066"/>
    <w:rsid w:val="006F512F"/>
    <w:rsid w:val="006F5208"/>
    <w:rsid w:val="006F523A"/>
    <w:rsid w:val="006F530A"/>
    <w:rsid w:val="006F534A"/>
    <w:rsid w:val="006F5500"/>
    <w:rsid w:val="006F5547"/>
    <w:rsid w:val="006F561E"/>
    <w:rsid w:val="006F5644"/>
    <w:rsid w:val="006F56A8"/>
    <w:rsid w:val="006F5C1B"/>
    <w:rsid w:val="006F5F60"/>
    <w:rsid w:val="006F5F77"/>
    <w:rsid w:val="006F60DD"/>
    <w:rsid w:val="006F627E"/>
    <w:rsid w:val="006F62ED"/>
    <w:rsid w:val="006F6395"/>
    <w:rsid w:val="006F63A2"/>
    <w:rsid w:val="006F65A0"/>
    <w:rsid w:val="006F6768"/>
    <w:rsid w:val="006F68CE"/>
    <w:rsid w:val="006F6B48"/>
    <w:rsid w:val="006F6CD6"/>
    <w:rsid w:val="006F6CE4"/>
    <w:rsid w:val="006F6D0E"/>
    <w:rsid w:val="006F6D73"/>
    <w:rsid w:val="006F6EA9"/>
    <w:rsid w:val="006F712B"/>
    <w:rsid w:val="006F72E0"/>
    <w:rsid w:val="006F72E9"/>
    <w:rsid w:val="006F738C"/>
    <w:rsid w:val="006F75F5"/>
    <w:rsid w:val="006F7635"/>
    <w:rsid w:val="006F769E"/>
    <w:rsid w:val="006F7727"/>
    <w:rsid w:val="006F7924"/>
    <w:rsid w:val="006F7B38"/>
    <w:rsid w:val="006F7DE2"/>
    <w:rsid w:val="006F7EFC"/>
    <w:rsid w:val="006F7F54"/>
    <w:rsid w:val="007000FF"/>
    <w:rsid w:val="007001C4"/>
    <w:rsid w:val="007001D4"/>
    <w:rsid w:val="0070027B"/>
    <w:rsid w:val="007002F5"/>
    <w:rsid w:val="0070041A"/>
    <w:rsid w:val="0070044E"/>
    <w:rsid w:val="007006B1"/>
    <w:rsid w:val="00700801"/>
    <w:rsid w:val="00700916"/>
    <w:rsid w:val="00700B6A"/>
    <w:rsid w:val="00700B78"/>
    <w:rsid w:val="00700BEB"/>
    <w:rsid w:val="00700D1D"/>
    <w:rsid w:val="007010DA"/>
    <w:rsid w:val="00701532"/>
    <w:rsid w:val="00701545"/>
    <w:rsid w:val="007015DD"/>
    <w:rsid w:val="00701666"/>
    <w:rsid w:val="007016E9"/>
    <w:rsid w:val="00701723"/>
    <w:rsid w:val="00701807"/>
    <w:rsid w:val="00701814"/>
    <w:rsid w:val="00701A49"/>
    <w:rsid w:val="00701A95"/>
    <w:rsid w:val="00701F84"/>
    <w:rsid w:val="00702028"/>
    <w:rsid w:val="00702116"/>
    <w:rsid w:val="00702164"/>
    <w:rsid w:val="00702218"/>
    <w:rsid w:val="00702613"/>
    <w:rsid w:val="00702725"/>
    <w:rsid w:val="007029C1"/>
    <w:rsid w:val="007029EB"/>
    <w:rsid w:val="00702A7D"/>
    <w:rsid w:val="00702A9B"/>
    <w:rsid w:val="00702B76"/>
    <w:rsid w:val="00702B8B"/>
    <w:rsid w:val="00702B95"/>
    <w:rsid w:val="00702BD7"/>
    <w:rsid w:val="00702CA2"/>
    <w:rsid w:val="00702CAD"/>
    <w:rsid w:val="00702DC2"/>
    <w:rsid w:val="00702EDF"/>
    <w:rsid w:val="0070300F"/>
    <w:rsid w:val="00703144"/>
    <w:rsid w:val="0070325F"/>
    <w:rsid w:val="00703264"/>
    <w:rsid w:val="007032CE"/>
    <w:rsid w:val="00703326"/>
    <w:rsid w:val="007033DE"/>
    <w:rsid w:val="0070342C"/>
    <w:rsid w:val="00703536"/>
    <w:rsid w:val="007035CD"/>
    <w:rsid w:val="0070360D"/>
    <w:rsid w:val="00703801"/>
    <w:rsid w:val="007039B1"/>
    <w:rsid w:val="00703ACE"/>
    <w:rsid w:val="00703BB3"/>
    <w:rsid w:val="00703CDB"/>
    <w:rsid w:val="00703F62"/>
    <w:rsid w:val="007040CD"/>
    <w:rsid w:val="00704103"/>
    <w:rsid w:val="0070412F"/>
    <w:rsid w:val="007041CC"/>
    <w:rsid w:val="007042FC"/>
    <w:rsid w:val="0070437A"/>
    <w:rsid w:val="00704400"/>
    <w:rsid w:val="00704544"/>
    <w:rsid w:val="00704581"/>
    <w:rsid w:val="0070489A"/>
    <w:rsid w:val="0070490A"/>
    <w:rsid w:val="00704B3B"/>
    <w:rsid w:val="00704B7F"/>
    <w:rsid w:val="00704FCB"/>
    <w:rsid w:val="00705046"/>
    <w:rsid w:val="007050E8"/>
    <w:rsid w:val="00705344"/>
    <w:rsid w:val="0070554F"/>
    <w:rsid w:val="007056B9"/>
    <w:rsid w:val="00705879"/>
    <w:rsid w:val="007058F8"/>
    <w:rsid w:val="0070595C"/>
    <w:rsid w:val="00705A7A"/>
    <w:rsid w:val="00705C80"/>
    <w:rsid w:val="00705D9F"/>
    <w:rsid w:val="00706660"/>
    <w:rsid w:val="0070666B"/>
    <w:rsid w:val="007066DC"/>
    <w:rsid w:val="007066ED"/>
    <w:rsid w:val="00706760"/>
    <w:rsid w:val="007067DF"/>
    <w:rsid w:val="00706834"/>
    <w:rsid w:val="00706882"/>
    <w:rsid w:val="00706ADF"/>
    <w:rsid w:val="00706C0F"/>
    <w:rsid w:val="00706CD1"/>
    <w:rsid w:val="00707067"/>
    <w:rsid w:val="007070A4"/>
    <w:rsid w:val="007070E5"/>
    <w:rsid w:val="0070714E"/>
    <w:rsid w:val="0070734E"/>
    <w:rsid w:val="00707520"/>
    <w:rsid w:val="0070756C"/>
    <w:rsid w:val="00707694"/>
    <w:rsid w:val="0070778C"/>
    <w:rsid w:val="007077B8"/>
    <w:rsid w:val="00707C6D"/>
    <w:rsid w:val="00707D5A"/>
    <w:rsid w:val="00707FF1"/>
    <w:rsid w:val="007100A6"/>
    <w:rsid w:val="007101C9"/>
    <w:rsid w:val="00710440"/>
    <w:rsid w:val="00710608"/>
    <w:rsid w:val="007106B6"/>
    <w:rsid w:val="0071075E"/>
    <w:rsid w:val="007107F1"/>
    <w:rsid w:val="00710941"/>
    <w:rsid w:val="00710D28"/>
    <w:rsid w:val="00710E27"/>
    <w:rsid w:val="00710F0D"/>
    <w:rsid w:val="00710F3F"/>
    <w:rsid w:val="00711316"/>
    <w:rsid w:val="00711374"/>
    <w:rsid w:val="0071157D"/>
    <w:rsid w:val="0071163A"/>
    <w:rsid w:val="00711650"/>
    <w:rsid w:val="00711788"/>
    <w:rsid w:val="007117A2"/>
    <w:rsid w:val="00711B7B"/>
    <w:rsid w:val="00711C2D"/>
    <w:rsid w:val="0071206D"/>
    <w:rsid w:val="00712129"/>
    <w:rsid w:val="00712321"/>
    <w:rsid w:val="00712325"/>
    <w:rsid w:val="0071255E"/>
    <w:rsid w:val="00712719"/>
    <w:rsid w:val="00712820"/>
    <w:rsid w:val="00712839"/>
    <w:rsid w:val="00712894"/>
    <w:rsid w:val="00712948"/>
    <w:rsid w:val="00712A6A"/>
    <w:rsid w:val="00712F29"/>
    <w:rsid w:val="007130D1"/>
    <w:rsid w:val="00713124"/>
    <w:rsid w:val="0071325C"/>
    <w:rsid w:val="0071328A"/>
    <w:rsid w:val="007132ED"/>
    <w:rsid w:val="00713353"/>
    <w:rsid w:val="0071336E"/>
    <w:rsid w:val="0071343D"/>
    <w:rsid w:val="0071355C"/>
    <w:rsid w:val="00713564"/>
    <w:rsid w:val="007138DA"/>
    <w:rsid w:val="007138F8"/>
    <w:rsid w:val="00713B8D"/>
    <w:rsid w:val="00713D94"/>
    <w:rsid w:val="007140AC"/>
    <w:rsid w:val="0071418B"/>
    <w:rsid w:val="007141CD"/>
    <w:rsid w:val="0071424E"/>
    <w:rsid w:val="007143F4"/>
    <w:rsid w:val="00714411"/>
    <w:rsid w:val="00714489"/>
    <w:rsid w:val="007144E2"/>
    <w:rsid w:val="00714512"/>
    <w:rsid w:val="00714548"/>
    <w:rsid w:val="007149C5"/>
    <w:rsid w:val="007149F7"/>
    <w:rsid w:val="00714A42"/>
    <w:rsid w:val="00714A7E"/>
    <w:rsid w:val="00714F50"/>
    <w:rsid w:val="00714F7E"/>
    <w:rsid w:val="00715092"/>
    <w:rsid w:val="0071528E"/>
    <w:rsid w:val="0071529C"/>
    <w:rsid w:val="00715315"/>
    <w:rsid w:val="0071597F"/>
    <w:rsid w:val="007159AC"/>
    <w:rsid w:val="007159F6"/>
    <w:rsid w:val="00715A2C"/>
    <w:rsid w:val="00715D30"/>
    <w:rsid w:val="00715DBC"/>
    <w:rsid w:val="00715DCD"/>
    <w:rsid w:val="00715EA5"/>
    <w:rsid w:val="00715EBF"/>
    <w:rsid w:val="00715F84"/>
    <w:rsid w:val="0071611C"/>
    <w:rsid w:val="00716286"/>
    <w:rsid w:val="007162D1"/>
    <w:rsid w:val="007162D4"/>
    <w:rsid w:val="00716820"/>
    <w:rsid w:val="00716A92"/>
    <w:rsid w:val="00716AC5"/>
    <w:rsid w:val="00716C18"/>
    <w:rsid w:val="00716D29"/>
    <w:rsid w:val="00716D3A"/>
    <w:rsid w:val="00716F01"/>
    <w:rsid w:val="00716F19"/>
    <w:rsid w:val="007170F7"/>
    <w:rsid w:val="007171B0"/>
    <w:rsid w:val="007173A8"/>
    <w:rsid w:val="007173BF"/>
    <w:rsid w:val="00717457"/>
    <w:rsid w:val="007175E2"/>
    <w:rsid w:val="00717A1B"/>
    <w:rsid w:val="00717B76"/>
    <w:rsid w:val="00717B81"/>
    <w:rsid w:val="00717B84"/>
    <w:rsid w:val="00717D27"/>
    <w:rsid w:val="00717EED"/>
    <w:rsid w:val="007200FE"/>
    <w:rsid w:val="007203C8"/>
    <w:rsid w:val="00720666"/>
    <w:rsid w:val="00720AD3"/>
    <w:rsid w:val="00720ADF"/>
    <w:rsid w:val="00720CE8"/>
    <w:rsid w:val="00720E86"/>
    <w:rsid w:val="00720F64"/>
    <w:rsid w:val="00720F91"/>
    <w:rsid w:val="0072141E"/>
    <w:rsid w:val="00721455"/>
    <w:rsid w:val="0072146E"/>
    <w:rsid w:val="0072149D"/>
    <w:rsid w:val="007215D7"/>
    <w:rsid w:val="00721737"/>
    <w:rsid w:val="00721DC1"/>
    <w:rsid w:val="00721DEA"/>
    <w:rsid w:val="00721E00"/>
    <w:rsid w:val="00721F31"/>
    <w:rsid w:val="00721FD8"/>
    <w:rsid w:val="007220E5"/>
    <w:rsid w:val="007221A9"/>
    <w:rsid w:val="00722228"/>
    <w:rsid w:val="007224F0"/>
    <w:rsid w:val="00722751"/>
    <w:rsid w:val="0072277A"/>
    <w:rsid w:val="0072293B"/>
    <w:rsid w:val="0072294C"/>
    <w:rsid w:val="007229C6"/>
    <w:rsid w:val="007229E0"/>
    <w:rsid w:val="00722ABE"/>
    <w:rsid w:val="00722B95"/>
    <w:rsid w:val="00722DE8"/>
    <w:rsid w:val="00722E3F"/>
    <w:rsid w:val="00722EDF"/>
    <w:rsid w:val="00722F0D"/>
    <w:rsid w:val="00722F91"/>
    <w:rsid w:val="00722FF7"/>
    <w:rsid w:val="00723162"/>
    <w:rsid w:val="00723277"/>
    <w:rsid w:val="007232D7"/>
    <w:rsid w:val="00723327"/>
    <w:rsid w:val="0072337C"/>
    <w:rsid w:val="0072338D"/>
    <w:rsid w:val="00723601"/>
    <w:rsid w:val="00723631"/>
    <w:rsid w:val="007236B5"/>
    <w:rsid w:val="00723730"/>
    <w:rsid w:val="007237FD"/>
    <w:rsid w:val="00723916"/>
    <w:rsid w:val="0072393D"/>
    <w:rsid w:val="00723A2C"/>
    <w:rsid w:val="00723DA3"/>
    <w:rsid w:val="00723FCA"/>
    <w:rsid w:val="0072410D"/>
    <w:rsid w:val="0072437C"/>
    <w:rsid w:val="0072439D"/>
    <w:rsid w:val="007243E4"/>
    <w:rsid w:val="007243F4"/>
    <w:rsid w:val="00724411"/>
    <w:rsid w:val="007247C8"/>
    <w:rsid w:val="00724881"/>
    <w:rsid w:val="00724B53"/>
    <w:rsid w:val="00724DAE"/>
    <w:rsid w:val="00724E82"/>
    <w:rsid w:val="00724FF4"/>
    <w:rsid w:val="00725027"/>
    <w:rsid w:val="00725080"/>
    <w:rsid w:val="00725193"/>
    <w:rsid w:val="0072520B"/>
    <w:rsid w:val="00725250"/>
    <w:rsid w:val="00725302"/>
    <w:rsid w:val="007253AB"/>
    <w:rsid w:val="00725575"/>
    <w:rsid w:val="0072566E"/>
    <w:rsid w:val="00725881"/>
    <w:rsid w:val="007258B7"/>
    <w:rsid w:val="007259B0"/>
    <w:rsid w:val="00725DBD"/>
    <w:rsid w:val="00725EF0"/>
    <w:rsid w:val="00726052"/>
    <w:rsid w:val="0072624B"/>
    <w:rsid w:val="007262B8"/>
    <w:rsid w:val="00726420"/>
    <w:rsid w:val="00726472"/>
    <w:rsid w:val="007265C2"/>
    <w:rsid w:val="007265DC"/>
    <w:rsid w:val="00726687"/>
    <w:rsid w:val="0072672B"/>
    <w:rsid w:val="00726753"/>
    <w:rsid w:val="0072697A"/>
    <w:rsid w:val="007269C9"/>
    <w:rsid w:val="00726A2D"/>
    <w:rsid w:val="00726A84"/>
    <w:rsid w:val="00726B17"/>
    <w:rsid w:val="00726BF5"/>
    <w:rsid w:val="00726C3E"/>
    <w:rsid w:val="00726C74"/>
    <w:rsid w:val="00727350"/>
    <w:rsid w:val="0072759A"/>
    <w:rsid w:val="00727A48"/>
    <w:rsid w:val="00727C1B"/>
    <w:rsid w:val="00730078"/>
    <w:rsid w:val="007300F7"/>
    <w:rsid w:val="0073097C"/>
    <w:rsid w:val="00730A5F"/>
    <w:rsid w:val="00730CE4"/>
    <w:rsid w:val="00730CF0"/>
    <w:rsid w:val="00730D72"/>
    <w:rsid w:val="007310E5"/>
    <w:rsid w:val="007311C6"/>
    <w:rsid w:val="007312BF"/>
    <w:rsid w:val="00731615"/>
    <w:rsid w:val="00731645"/>
    <w:rsid w:val="007317DF"/>
    <w:rsid w:val="00731BB6"/>
    <w:rsid w:val="00731CC5"/>
    <w:rsid w:val="00731D35"/>
    <w:rsid w:val="00731D6E"/>
    <w:rsid w:val="00731DAC"/>
    <w:rsid w:val="00731DEF"/>
    <w:rsid w:val="00731E9E"/>
    <w:rsid w:val="00731EAC"/>
    <w:rsid w:val="00731F41"/>
    <w:rsid w:val="00731FD5"/>
    <w:rsid w:val="00732366"/>
    <w:rsid w:val="00732FA7"/>
    <w:rsid w:val="00732FEB"/>
    <w:rsid w:val="00733312"/>
    <w:rsid w:val="007333A1"/>
    <w:rsid w:val="007335B2"/>
    <w:rsid w:val="007338AF"/>
    <w:rsid w:val="00733932"/>
    <w:rsid w:val="0073397B"/>
    <w:rsid w:val="00733990"/>
    <w:rsid w:val="00733B95"/>
    <w:rsid w:val="00733C83"/>
    <w:rsid w:val="007341D3"/>
    <w:rsid w:val="00734248"/>
    <w:rsid w:val="00734255"/>
    <w:rsid w:val="00734259"/>
    <w:rsid w:val="0073428D"/>
    <w:rsid w:val="007343FC"/>
    <w:rsid w:val="00734764"/>
    <w:rsid w:val="0073485D"/>
    <w:rsid w:val="007348AF"/>
    <w:rsid w:val="00734A3A"/>
    <w:rsid w:val="00734CCB"/>
    <w:rsid w:val="00734CD1"/>
    <w:rsid w:val="00734CD3"/>
    <w:rsid w:val="00734D34"/>
    <w:rsid w:val="0073506A"/>
    <w:rsid w:val="007351CA"/>
    <w:rsid w:val="0073522A"/>
    <w:rsid w:val="00735294"/>
    <w:rsid w:val="0073547D"/>
    <w:rsid w:val="007356F1"/>
    <w:rsid w:val="007359C4"/>
    <w:rsid w:val="00735B0D"/>
    <w:rsid w:val="00735B26"/>
    <w:rsid w:val="00735C1C"/>
    <w:rsid w:val="00735C96"/>
    <w:rsid w:val="00735CB3"/>
    <w:rsid w:val="00735CE3"/>
    <w:rsid w:val="00735F2D"/>
    <w:rsid w:val="00736144"/>
    <w:rsid w:val="007361DC"/>
    <w:rsid w:val="00736351"/>
    <w:rsid w:val="0073635C"/>
    <w:rsid w:val="007363EB"/>
    <w:rsid w:val="00736439"/>
    <w:rsid w:val="00736443"/>
    <w:rsid w:val="0073691B"/>
    <w:rsid w:val="00736934"/>
    <w:rsid w:val="0073696F"/>
    <w:rsid w:val="00736F37"/>
    <w:rsid w:val="00736F44"/>
    <w:rsid w:val="00736F53"/>
    <w:rsid w:val="00736FDE"/>
    <w:rsid w:val="00737119"/>
    <w:rsid w:val="00737244"/>
    <w:rsid w:val="00737251"/>
    <w:rsid w:val="007373BB"/>
    <w:rsid w:val="0073740B"/>
    <w:rsid w:val="0073766F"/>
    <w:rsid w:val="007376D6"/>
    <w:rsid w:val="00737707"/>
    <w:rsid w:val="007378C2"/>
    <w:rsid w:val="00737975"/>
    <w:rsid w:val="00737AE5"/>
    <w:rsid w:val="00737D7E"/>
    <w:rsid w:val="00737ECC"/>
    <w:rsid w:val="00740228"/>
    <w:rsid w:val="00740479"/>
    <w:rsid w:val="00740523"/>
    <w:rsid w:val="00740559"/>
    <w:rsid w:val="0074055F"/>
    <w:rsid w:val="0074086E"/>
    <w:rsid w:val="00740886"/>
    <w:rsid w:val="007408A0"/>
    <w:rsid w:val="00740A30"/>
    <w:rsid w:val="00740AC4"/>
    <w:rsid w:val="00740BCB"/>
    <w:rsid w:val="00740D72"/>
    <w:rsid w:val="00740E61"/>
    <w:rsid w:val="00740F80"/>
    <w:rsid w:val="00741178"/>
    <w:rsid w:val="007412BB"/>
    <w:rsid w:val="007415C1"/>
    <w:rsid w:val="007415DA"/>
    <w:rsid w:val="00741657"/>
    <w:rsid w:val="00741730"/>
    <w:rsid w:val="00741758"/>
    <w:rsid w:val="00741776"/>
    <w:rsid w:val="0074179A"/>
    <w:rsid w:val="00741819"/>
    <w:rsid w:val="00741875"/>
    <w:rsid w:val="00741A6C"/>
    <w:rsid w:val="00741A9B"/>
    <w:rsid w:val="00741CB6"/>
    <w:rsid w:val="00741DE6"/>
    <w:rsid w:val="00741F97"/>
    <w:rsid w:val="00742109"/>
    <w:rsid w:val="00742113"/>
    <w:rsid w:val="007424F8"/>
    <w:rsid w:val="00742599"/>
    <w:rsid w:val="00742621"/>
    <w:rsid w:val="00742784"/>
    <w:rsid w:val="0074282A"/>
    <w:rsid w:val="007428BB"/>
    <w:rsid w:val="0074295A"/>
    <w:rsid w:val="007429F4"/>
    <w:rsid w:val="00742F5B"/>
    <w:rsid w:val="00743051"/>
    <w:rsid w:val="007432A1"/>
    <w:rsid w:val="007432E1"/>
    <w:rsid w:val="00743365"/>
    <w:rsid w:val="00743370"/>
    <w:rsid w:val="007434FB"/>
    <w:rsid w:val="0074353A"/>
    <w:rsid w:val="00743575"/>
    <w:rsid w:val="00743588"/>
    <w:rsid w:val="00743744"/>
    <w:rsid w:val="00743ED4"/>
    <w:rsid w:val="007440A0"/>
    <w:rsid w:val="00744150"/>
    <w:rsid w:val="00744163"/>
    <w:rsid w:val="0074460B"/>
    <w:rsid w:val="0074482C"/>
    <w:rsid w:val="007449FE"/>
    <w:rsid w:val="00744A0D"/>
    <w:rsid w:val="00744B3A"/>
    <w:rsid w:val="00744C21"/>
    <w:rsid w:val="00745125"/>
    <w:rsid w:val="0074521E"/>
    <w:rsid w:val="00745238"/>
    <w:rsid w:val="007452AB"/>
    <w:rsid w:val="0074547C"/>
    <w:rsid w:val="0074548F"/>
    <w:rsid w:val="0074554D"/>
    <w:rsid w:val="00745710"/>
    <w:rsid w:val="0074575B"/>
    <w:rsid w:val="007457CB"/>
    <w:rsid w:val="007457DC"/>
    <w:rsid w:val="00745949"/>
    <w:rsid w:val="00745AC0"/>
    <w:rsid w:val="00745CBB"/>
    <w:rsid w:val="00745D77"/>
    <w:rsid w:val="00745DC5"/>
    <w:rsid w:val="00745E12"/>
    <w:rsid w:val="00745E6C"/>
    <w:rsid w:val="00745EE6"/>
    <w:rsid w:val="007460E6"/>
    <w:rsid w:val="00746137"/>
    <w:rsid w:val="007461B1"/>
    <w:rsid w:val="00746204"/>
    <w:rsid w:val="00746279"/>
    <w:rsid w:val="00746348"/>
    <w:rsid w:val="007467FD"/>
    <w:rsid w:val="007468BA"/>
    <w:rsid w:val="007469E6"/>
    <w:rsid w:val="00746E8B"/>
    <w:rsid w:val="00746FE9"/>
    <w:rsid w:val="00746FF8"/>
    <w:rsid w:val="00747061"/>
    <w:rsid w:val="007470A6"/>
    <w:rsid w:val="0074711A"/>
    <w:rsid w:val="007473DA"/>
    <w:rsid w:val="007474BA"/>
    <w:rsid w:val="007475DC"/>
    <w:rsid w:val="007477AD"/>
    <w:rsid w:val="00747869"/>
    <w:rsid w:val="00747D5C"/>
    <w:rsid w:val="00747DFE"/>
    <w:rsid w:val="007500D0"/>
    <w:rsid w:val="007503C2"/>
    <w:rsid w:val="0075045E"/>
    <w:rsid w:val="007505B7"/>
    <w:rsid w:val="00750740"/>
    <w:rsid w:val="0075081C"/>
    <w:rsid w:val="00750A08"/>
    <w:rsid w:val="00750A9B"/>
    <w:rsid w:val="00750B02"/>
    <w:rsid w:val="00750B85"/>
    <w:rsid w:val="00750D92"/>
    <w:rsid w:val="00750E9A"/>
    <w:rsid w:val="00750FB2"/>
    <w:rsid w:val="00751162"/>
    <w:rsid w:val="007513CB"/>
    <w:rsid w:val="00751560"/>
    <w:rsid w:val="007516A7"/>
    <w:rsid w:val="00751799"/>
    <w:rsid w:val="007517D2"/>
    <w:rsid w:val="00751B78"/>
    <w:rsid w:val="00751C4B"/>
    <w:rsid w:val="00751E7E"/>
    <w:rsid w:val="00752070"/>
    <w:rsid w:val="007520E1"/>
    <w:rsid w:val="00752351"/>
    <w:rsid w:val="007523C1"/>
    <w:rsid w:val="007524A1"/>
    <w:rsid w:val="00752536"/>
    <w:rsid w:val="007527C9"/>
    <w:rsid w:val="007528F7"/>
    <w:rsid w:val="0075295C"/>
    <w:rsid w:val="00752CAA"/>
    <w:rsid w:val="00752E81"/>
    <w:rsid w:val="00752F7E"/>
    <w:rsid w:val="0075312B"/>
    <w:rsid w:val="00753132"/>
    <w:rsid w:val="0075323E"/>
    <w:rsid w:val="00753379"/>
    <w:rsid w:val="00753504"/>
    <w:rsid w:val="00753571"/>
    <w:rsid w:val="00753602"/>
    <w:rsid w:val="00753659"/>
    <w:rsid w:val="007539DD"/>
    <w:rsid w:val="00753AF2"/>
    <w:rsid w:val="00753D44"/>
    <w:rsid w:val="00753DC4"/>
    <w:rsid w:val="0075416E"/>
    <w:rsid w:val="00754312"/>
    <w:rsid w:val="0075442D"/>
    <w:rsid w:val="00754943"/>
    <w:rsid w:val="00754A3D"/>
    <w:rsid w:val="00754BBF"/>
    <w:rsid w:val="00754CE1"/>
    <w:rsid w:val="00754DF4"/>
    <w:rsid w:val="00754F17"/>
    <w:rsid w:val="00754F1F"/>
    <w:rsid w:val="00754FB8"/>
    <w:rsid w:val="00754FEF"/>
    <w:rsid w:val="00755330"/>
    <w:rsid w:val="00755411"/>
    <w:rsid w:val="0075556C"/>
    <w:rsid w:val="00755893"/>
    <w:rsid w:val="0075593A"/>
    <w:rsid w:val="007559A1"/>
    <w:rsid w:val="00755A07"/>
    <w:rsid w:val="00755CFF"/>
    <w:rsid w:val="00755E97"/>
    <w:rsid w:val="00755F79"/>
    <w:rsid w:val="0075634D"/>
    <w:rsid w:val="00756875"/>
    <w:rsid w:val="00756A6A"/>
    <w:rsid w:val="00756AFF"/>
    <w:rsid w:val="00756B47"/>
    <w:rsid w:val="00756B73"/>
    <w:rsid w:val="00756C2F"/>
    <w:rsid w:val="00756F88"/>
    <w:rsid w:val="007570FE"/>
    <w:rsid w:val="007570FF"/>
    <w:rsid w:val="0075724E"/>
    <w:rsid w:val="0075733A"/>
    <w:rsid w:val="00757399"/>
    <w:rsid w:val="007574A0"/>
    <w:rsid w:val="007575D7"/>
    <w:rsid w:val="00757921"/>
    <w:rsid w:val="007579B7"/>
    <w:rsid w:val="007579C0"/>
    <w:rsid w:val="00757AF7"/>
    <w:rsid w:val="00757B39"/>
    <w:rsid w:val="00757C29"/>
    <w:rsid w:val="00757FC0"/>
    <w:rsid w:val="0076004B"/>
    <w:rsid w:val="0076014D"/>
    <w:rsid w:val="00760153"/>
    <w:rsid w:val="0076025B"/>
    <w:rsid w:val="007603B0"/>
    <w:rsid w:val="0076050B"/>
    <w:rsid w:val="0076068B"/>
    <w:rsid w:val="00760778"/>
    <w:rsid w:val="007607BE"/>
    <w:rsid w:val="00760814"/>
    <w:rsid w:val="00760AFA"/>
    <w:rsid w:val="00760EAE"/>
    <w:rsid w:val="00760EF2"/>
    <w:rsid w:val="00760EFD"/>
    <w:rsid w:val="00761022"/>
    <w:rsid w:val="007611CD"/>
    <w:rsid w:val="00761350"/>
    <w:rsid w:val="007613C1"/>
    <w:rsid w:val="00761495"/>
    <w:rsid w:val="00761504"/>
    <w:rsid w:val="00761517"/>
    <w:rsid w:val="0076158F"/>
    <w:rsid w:val="007615A9"/>
    <w:rsid w:val="007615C4"/>
    <w:rsid w:val="007615ED"/>
    <w:rsid w:val="00761645"/>
    <w:rsid w:val="00761783"/>
    <w:rsid w:val="007618EE"/>
    <w:rsid w:val="007618FC"/>
    <w:rsid w:val="00761906"/>
    <w:rsid w:val="00761C33"/>
    <w:rsid w:val="00761C9A"/>
    <w:rsid w:val="00761CD2"/>
    <w:rsid w:val="00761D42"/>
    <w:rsid w:val="00761E52"/>
    <w:rsid w:val="00761FAE"/>
    <w:rsid w:val="00762059"/>
    <w:rsid w:val="00762198"/>
    <w:rsid w:val="007621F5"/>
    <w:rsid w:val="00762321"/>
    <w:rsid w:val="00762421"/>
    <w:rsid w:val="007627DF"/>
    <w:rsid w:val="007628B6"/>
    <w:rsid w:val="007628C5"/>
    <w:rsid w:val="007628EA"/>
    <w:rsid w:val="00762AFE"/>
    <w:rsid w:val="00762D78"/>
    <w:rsid w:val="00762E05"/>
    <w:rsid w:val="00762F7B"/>
    <w:rsid w:val="00762FB8"/>
    <w:rsid w:val="00763144"/>
    <w:rsid w:val="0076324F"/>
    <w:rsid w:val="007634C9"/>
    <w:rsid w:val="007636F0"/>
    <w:rsid w:val="00763763"/>
    <w:rsid w:val="007637C2"/>
    <w:rsid w:val="00763911"/>
    <w:rsid w:val="007639D9"/>
    <w:rsid w:val="00763C44"/>
    <w:rsid w:val="00763DE3"/>
    <w:rsid w:val="00763FE3"/>
    <w:rsid w:val="007641A8"/>
    <w:rsid w:val="007643F6"/>
    <w:rsid w:val="00764585"/>
    <w:rsid w:val="0076464F"/>
    <w:rsid w:val="00764712"/>
    <w:rsid w:val="007647E7"/>
    <w:rsid w:val="007648FA"/>
    <w:rsid w:val="00764C2E"/>
    <w:rsid w:val="00764F29"/>
    <w:rsid w:val="0076511B"/>
    <w:rsid w:val="007651C6"/>
    <w:rsid w:val="00765333"/>
    <w:rsid w:val="0076540D"/>
    <w:rsid w:val="00765491"/>
    <w:rsid w:val="0076577C"/>
    <w:rsid w:val="007657AF"/>
    <w:rsid w:val="00765843"/>
    <w:rsid w:val="007658AE"/>
    <w:rsid w:val="00765A6B"/>
    <w:rsid w:val="00765A75"/>
    <w:rsid w:val="00765C3E"/>
    <w:rsid w:val="00765D32"/>
    <w:rsid w:val="00765FDC"/>
    <w:rsid w:val="007661B4"/>
    <w:rsid w:val="00766696"/>
    <w:rsid w:val="007666E4"/>
    <w:rsid w:val="00766910"/>
    <w:rsid w:val="007670B3"/>
    <w:rsid w:val="00767153"/>
    <w:rsid w:val="0076747C"/>
    <w:rsid w:val="00767557"/>
    <w:rsid w:val="007675B4"/>
    <w:rsid w:val="0076767F"/>
    <w:rsid w:val="007676C9"/>
    <w:rsid w:val="00767AEF"/>
    <w:rsid w:val="00767C65"/>
    <w:rsid w:val="00767C8F"/>
    <w:rsid w:val="00767CDE"/>
    <w:rsid w:val="00767D30"/>
    <w:rsid w:val="00767E84"/>
    <w:rsid w:val="00767F22"/>
    <w:rsid w:val="007700DD"/>
    <w:rsid w:val="0077015A"/>
    <w:rsid w:val="007702FB"/>
    <w:rsid w:val="00770599"/>
    <w:rsid w:val="007706AB"/>
    <w:rsid w:val="00770709"/>
    <w:rsid w:val="0077073A"/>
    <w:rsid w:val="0077077A"/>
    <w:rsid w:val="007708DB"/>
    <w:rsid w:val="00770A3C"/>
    <w:rsid w:val="00770B67"/>
    <w:rsid w:val="00770C80"/>
    <w:rsid w:val="00770D75"/>
    <w:rsid w:val="00770DB5"/>
    <w:rsid w:val="00770DF1"/>
    <w:rsid w:val="00770EF6"/>
    <w:rsid w:val="00771006"/>
    <w:rsid w:val="00771261"/>
    <w:rsid w:val="0077130F"/>
    <w:rsid w:val="0077134D"/>
    <w:rsid w:val="007714A7"/>
    <w:rsid w:val="00771550"/>
    <w:rsid w:val="00771706"/>
    <w:rsid w:val="00771A76"/>
    <w:rsid w:val="00771A88"/>
    <w:rsid w:val="00771C5B"/>
    <w:rsid w:val="00771EB9"/>
    <w:rsid w:val="00771FDA"/>
    <w:rsid w:val="00772068"/>
    <w:rsid w:val="007720AD"/>
    <w:rsid w:val="007720EB"/>
    <w:rsid w:val="00772212"/>
    <w:rsid w:val="00772265"/>
    <w:rsid w:val="007722F0"/>
    <w:rsid w:val="00772401"/>
    <w:rsid w:val="00772504"/>
    <w:rsid w:val="00772583"/>
    <w:rsid w:val="007726EA"/>
    <w:rsid w:val="00772803"/>
    <w:rsid w:val="00772935"/>
    <w:rsid w:val="0077299B"/>
    <w:rsid w:val="00772A37"/>
    <w:rsid w:val="00772A9F"/>
    <w:rsid w:val="00772E51"/>
    <w:rsid w:val="00772F40"/>
    <w:rsid w:val="00772FC3"/>
    <w:rsid w:val="00773037"/>
    <w:rsid w:val="00773310"/>
    <w:rsid w:val="0077332B"/>
    <w:rsid w:val="00773740"/>
    <w:rsid w:val="00773965"/>
    <w:rsid w:val="00773C01"/>
    <w:rsid w:val="00773CDA"/>
    <w:rsid w:val="00773DB9"/>
    <w:rsid w:val="00773EC2"/>
    <w:rsid w:val="00773FE5"/>
    <w:rsid w:val="00774104"/>
    <w:rsid w:val="007741AE"/>
    <w:rsid w:val="0077423A"/>
    <w:rsid w:val="007742E3"/>
    <w:rsid w:val="007743ED"/>
    <w:rsid w:val="0077445F"/>
    <w:rsid w:val="0077468F"/>
    <w:rsid w:val="007746CA"/>
    <w:rsid w:val="007746D8"/>
    <w:rsid w:val="00774878"/>
    <w:rsid w:val="007749C9"/>
    <w:rsid w:val="00774B6A"/>
    <w:rsid w:val="00774BFD"/>
    <w:rsid w:val="007750D7"/>
    <w:rsid w:val="007750F9"/>
    <w:rsid w:val="0077512A"/>
    <w:rsid w:val="0077515D"/>
    <w:rsid w:val="007752C0"/>
    <w:rsid w:val="00775329"/>
    <w:rsid w:val="00775392"/>
    <w:rsid w:val="0077540D"/>
    <w:rsid w:val="0077556A"/>
    <w:rsid w:val="00775647"/>
    <w:rsid w:val="00775765"/>
    <w:rsid w:val="00775994"/>
    <w:rsid w:val="00775A44"/>
    <w:rsid w:val="00775B25"/>
    <w:rsid w:val="00775C51"/>
    <w:rsid w:val="00775D78"/>
    <w:rsid w:val="00776262"/>
    <w:rsid w:val="007762AA"/>
    <w:rsid w:val="00776513"/>
    <w:rsid w:val="007766A0"/>
    <w:rsid w:val="007766E8"/>
    <w:rsid w:val="0077688C"/>
    <w:rsid w:val="00776A6B"/>
    <w:rsid w:val="00776AF4"/>
    <w:rsid w:val="00776B63"/>
    <w:rsid w:val="00776BBB"/>
    <w:rsid w:val="00776C1B"/>
    <w:rsid w:val="00776DA0"/>
    <w:rsid w:val="00776ED5"/>
    <w:rsid w:val="00776F8D"/>
    <w:rsid w:val="00777015"/>
    <w:rsid w:val="00777162"/>
    <w:rsid w:val="0077749F"/>
    <w:rsid w:val="00777507"/>
    <w:rsid w:val="0077751E"/>
    <w:rsid w:val="00777558"/>
    <w:rsid w:val="00777623"/>
    <w:rsid w:val="007777A4"/>
    <w:rsid w:val="007778C4"/>
    <w:rsid w:val="00777951"/>
    <w:rsid w:val="00777ACA"/>
    <w:rsid w:val="00777DAF"/>
    <w:rsid w:val="00777FBC"/>
    <w:rsid w:val="00777FD3"/>
    <w:rsid w:val="00780201"/>
    <w:rsid w:val="00780244"/>
    <w:rsid w:val="00780476"/>
    <w:rsid w:val="0078059F"/>
    <w:rsid w:val="00780B74"/>
    <w:rsid w:val="00780B9A"/>
    <w:rsid w:val="00780C8F"/>
    <w:rsid w:val="00780D1A"/>
    <w:rsid w:val="00780D9E"/>
    <w:rsid w:val="00780E32"/>
    <w:rsid w:val="00780E7D"/>
    <w:rsid w:val="00781198"/>
    <w:rsid w:val="007811B0"/>
    <w:rsid w:val="00781228"/>
    <w:rsid w:val="007813AD"/>
    <w:rsid w:val="0078142E"/>
    <w:rsid w:val="007814BE"/>
    <w:rsid w:val="00781999"/>
    <w:rsid w:val="007819DA"/>
    <w:rsid w:val="00781A76"/>
    <w:rsid w:val="00781B51"/>
    <w:rsid w:val="00781BCF"/>
    <w:rsid w:val="00781F62"/>
    <w:rsid w:val="00781F91"/>
    <w:rsid w:val="007820B4"/>
    <w:rsid w:val="007820F2"/>
    <w:rsid w:val="00782168"/>
    <w:rsid w:val="00782246"/>
    <w:rsid w:val="007822C9"/>
    <w:rsid w:val="0078242D"/>
    <w:rsid w:val="007825BE"/>
    <w:rsid w:val="00782776"/>
    <w:rsid w:val="007827A2"/>
    <w:rsid w:val="0078286B"/>
    <w:rsid w:val="00782910"/>
    <w:rsid w:val="00782981"/>
    <w:rsid w:val="00782A8F"/>
    <w:rsid w:val="00782B9F"/>
    <w:rsid w:val="00782CD1"/>
    <w:rsid w:val="00782E1C"/>
    <w:rsid w:val="00782EDC"/>
    <w:rsid w:val="00783103"/>
    <w:rsid w:val="007831C5"/>
    <w:rsid w:val="007834F8"/>
    <w:rsid w:val="007835DD"/>
    <w:rsid w:val="0078365F"/>
    <w:rsid w:val="00783A51"/>
    <w:rsid w:val="00783C30"/>
    <w:rsid w:val="00783D94"/>
    <w:rsid w:val="00783DE5"/>
    <w:rsid w:val="00783EA1"/>
    <w:rsid w:val="00783EB5"/>
    <w:rsid w:val="00783F36"/>
    <w:rsid w:val="00783F91"/>
    <w:rsid w:val="007840CE"/>
    <w:rsid w:val="00784210"/>
    <w:rsid w:val="00784300"/>
    <w:rsid w:val="007844AE"/>
    <w:rsid w:val="00784920"/>
    <w:rsid w:val="00784961"/>
    <w:rsid w:val="00784ADE"/>
    <w:rsid w:val="00784B7A"/>
    <w:rsid w:val="00784BDB"/>
    <w:rsid w:val="00784C11"/>
    <w:rsid w:val="00784F70"/>
    <w:rsid w:val="0078515C"/>
    <w:rsid w:val="00785220"/>
    <w:rsid w:val="00785277"/>
    <w:rsid w:val="00785305"/>
    <w:rsid w:val="0078534E"/>
    <w:rsid w:val="00785467"/>
    <w:rsid w:val="007856B5"/>
    <w:rsid w:val="007856E6"/>
    <w:rsid w:val="0078586C"/>
    <w:rsid w:val="00785889"/>
    <w:rsid w:val="0078590B"/>
    <w:rsid w:val="00785999"/>
    <w:rsid w:val="00785AB5"/>
    <w:rsid w:val="00785AEA"/>
    <w:rsid w:val="00785BE0"/>
    <w:rsid w:val="00785DBC"/>
    <w:rsid w:val="0078611D"/>
    <w:rsid w:val="007861DA"/>
    <w:rsid w:val="007862F3"/>
    <w:rsid w:val="0078649F"/>
    <w:rsid w:val="007865BD"/>
    <w:rsid w:val="007865EA"/>
    <w:rsid w:val="0078671F"/>
    <w:rsid w:val="007868AD"/>
    <w:rsid w:val="00786C25"/>
    <w:rsid w:val="00786CAE"/>
    <w:rsid w:val="00786CCA"/>
    <w:rsid w:val="00786D25"/>
    <w:rsid w:val="00786FE9"/>
    <w:rsid w:val="0078740C"/>
    <w:rsid w:val="00787695"/>
    <w:rsid w:val="007877F7"/>
    <w:rsid w:val="00787869"/>
    <w:rsid w:val="00787984"/>
    <w:rsid w:val="00787CB1"/>
    <w:rsid w:val="00787D93"/>
    <w:rsid w:val="0079012A"/>
    <w:rsid w:val="007901FD"/>
    <w:rsid w:val="0079021D"/>
    <w:rsid w:val="0079037C"/>
    <w:rsid w:val="007906D0"/>
    <w:rsid w:val="007906E5"/>
    <w:rsid w:val="00790749"/>
    <w:rsid w:val="00790824"/>
    <w:rsid w:val="007908FB"/>
    <w:rsid w:val="00790A64"/>
    <w:rsid w:val="00790BE0"/>
    <w:rsid w:val="00790F0C"/>
    <w:rsid w:val="00790FB6"/>
    <w:rsid w:val="0079108F"/>
    <w:rsid w:val="007910DA"/>
    <w:rsid w:val="00791203"/>
    <w:rsid w:val="007914E2"/>
    <w:rsid w:val="00791504"/>
    <w:rsid w:val="007915F8"/>
    <w:rsid w:val="007916D2"/>
    <w:rsid w:val="00791712"/>
    <w:rsid w:val="00791865"/>
    <w:rsid w:val="0079204C"/>
    <w:rsid w:val="007920B3"/>
    <w:rsid w:val="00792696"/>
    <w:rsid w:val="00792781"/>
    <w:rsid w:val="0079298E"/>
    <w:rsid w:val="00792A6B"/>
    <w:rsid w:val="00792B0C"/>
    <w:rsid w:val="00792B54"/>
    <w:rsid w:val="00792B7C"/>
    <w:rsid w:val="00792D43"/>
    <w:rsid w:val="00792EAF"/>
    <w:rsid w:val="00792FDD"/>
    <w:rsid w:val="0079303D"/>
    <w:rsid w:val="0079331F"/>
    <w:rsid w:val="00793372"/>
    <w:rsid w:val="007933A0"/>
    <w:rsid w:val="007934BC"/>
    <w:rsid w:val="00793665"/>
    <w:rsid w:val="007937AB"/>
    <w:rsid w:val="00793933"/>
    <w:rsid w:val="0079394A"/>
    <w:rsid w:val="0079398F"/>
    <w:rsid w:val="00793B22"/>
    <w:rsid w:val="00793D9E"/>
    <w:rsid w:val="00793EF3"/>
    <w:rsid w:val="00793FBF"/>
    <w:rsid w:val="0079409A"/>
    <w:rsid w:val="00794392"/>
    <w:rsid w:val="0079457A"/>
    <w:rsid w:val="007945AD"/>
    <w:rsid w:val="00794812"/>
    <w:rsid w:val="00794862"/>
    <w:rsid w:val="00794913"/>
    <w:rsid w:val="00794A9E"/>
    <w:rsid w:val="00794CED"/>
    <w:rsid w:val="00794D53"/>
    <w:rsid w:val="00794D67"/>
    <w:rsid w:val="00794D77"/>
    <w:rsid w:val="00794EDD"/>
    <w:rsid w:val="007950A6"/>
    <w:rsid w:val="007952E0"/>
    <w:rsid w:val="0079538C"/>
    <w:rsid w:val="0079553B"/>
    <w:rsid w:val="007955FA"/>
    <w:rsid w:val="0079571C"/>
    <w:rsid w:val="007957DE"/>
    <w:rsid w:val="00795C7E"/>
    <w:rsid w:val="00795D7C"/>
    <w:rsid w:val="00795DF2"/>
    <w:rsid w:val="00795E58"/>
    <w:rsid w:val="00795E7E"/>
    <w:rsid w:val="00795F19"/>
    <w:rsid w:val="0079609A"/>
    <w:rsid w:val="007960C4"/>
    <w:rsid w:val="007963FD"/>
    <w:rsid w:val="007964BA"/>
    <w:rsid w:val="007966A9"/>
    <w:rsid w:val="007966EF"/>
    <w:rsid w:val="00796813"/>
    <w:rsid w:val="00796856"/>
    <w:rsid w:val="00796A0C"/>
    <w:rsid w:val="00796DB4"/>
    <w:rsid w:val="00796EE4"/>
    <w:rsid w:val="00796F0C"/>
    <w:rsid w:val="00797073"/>
    <w:rsid w:val="007972EB"/>
    <w:rsid w:val="007972F6"/>
    <w:rsid w:val="0079741C"/>
    <w:rsid w:val="007974BC"/>
    <w:rsid w:val="0079759C"/>
    <w:rsid w:val="007977A1"/>
    <w:rsid w:val="007977E6"/>
    <w:rsid w:val="007978D7"/>
    <w:rsid w:val="00797958"/>
    <w:rsid w:val="00797A66"/>
    <w:rsid w:val="00797ADA"/>
    <w:rsid w:val="00797B2B"/>
    <w:rsid w:val="00797BE4"/>
    <w:rsid w:val="00797DC9"/>
    <w:rsid w:val="00797FA4"/>
    <w:rsid w:val="007A003C"/>
    <w:rsid w:val="007A005D"/>
    <w:rsid w:val="007A00C2"/>
    <w:rsid w:val="007A0490"/>
    <w:rsid w:val="007A0509"/>
    <w:rsid w:val="007A050A"/>
    <w:rsid w:val="007A0568"/>
    <w:rsid w:val="007A0731"/>
    <w:rsid w:val="007A0AFB"/>
    <w:rsid w:val="007A0C88"/>
    <w:rsid w:val="007A0DBA"/>
    <w:rsid w:val="007A0E21"/>
    <w:rsid w:val="007A0E2D"/>
    <w:rsid w:val="007A101D"/>
    <w:rsid w:val="007A10B7"/>
    <w:rsid w:val="007A13D0"/>
    <w:rsid w:val="007A14A8"/>
    <w:rsid w:val="007A1529"/>
    <w:rsid w:val="007A17C7"/>
    <w:rsid w:val="007A1817"/>
    <w:rsid w:val="007A1B05"/>
    <w:rsid w:val="007A2007"/>
    <w:rsid w:val="007A20D9"/>
    <w:rsid w:val="007A224A"/>
    <w:rsid w:val="007A2597"/>
    <w:rsid w:val="007A2830"/>
    <w:rsid w:val="007A2836"/>
    <w:rsid w:val="007A283B"/>
    <w:rsid w:val="007A2935"/>
    <w:rsid w:val="007A2A08"/>
    <w:rsid w:val="007A2A78"/>
    <w:rsid w:val="007A2C70"/>
    <w:rsid w:val="007A2C93"/>
    <w:rsid w:val="007A2DCF"/>
    <w:rsid w:val="007A30E7"/>
    <w:rsid w:val="007A311C"/>
    <w:rsid w:val="007A317D"/>
    <w:rsid w:val="007A3195"/>
    <w:rsid w:val="007A359D"/>
    <w:rsid w:val="007A3AB1"/>
    <w:rsid w:val="007A3AEF"/>
    <w:rsid w:val="007A3B89"/>
    <w:rsid w:val="007A3B96"/>
    <w:rsid w:val="007A3C29"/>
    <w:rsid w:val="007A3FE8"/>
    <w:rsid w:val="007A4044"/>
    <w:rsid w:val="007A424F"/>
    <w:rsid w:val="007A4353"/>
    <w:rsid w:val="007A4586"/>
    <w:rsid w:val="007A46CC"/>
    <w:rsid w:val="007A478A"/>
    <w:rsid w:val="007A4880"/>
    <w:rsid w:val="007A4908"/>
    <w:rsid w:val="007A492A"/>
    <w:rsid w:val="007A4AAA"/>
    <w:rsid w:val="007A4CE4"/>
    <w:rsid w:val="007A509F"/>
    <w:rsid w:val="007A50D2"/>
    <w:rsid w:val="007A5140"/>
    <w:rsid w:val="007A51B3"/>
    <w:rsid w:val="007A5365"/>
    <w:rsid w:val="007A537C"/>
    <w:rsid w:val="007A5677"/>
    <w:rsid w:val="007A5881"/>
    <w:rsid w:val="007A5964"/>
    <w:rsid w:val="007A5975"/>
    <w:rsid w:val="007A59CD"/>
    <w:rsid w:val="007A5A54"/>
    <w:rsid w:val="007A5B86"/>
    <w:rsid w:val="007A5CB1"/>
    <w:rsid w:val="007A5E10"/>
    <w:rsid w:val="007A6187"/>
    <w:rsid w:val="007A61BD"/>
    <w:rsid w:val="007A6284"/>
    <w:rsid w:val="007A6327"/>
    <w:rsid w:val="007A6344"/>
    <w:rsid w:val="007A64A8"/>
    <w:rsid w:val="007A659A"/>
    <w:rsid w:val="007A65BE"/>
    <w:rsid w:val="007A6614"/>
    <w:rsid w:val="007A6645"/>
    <w:rsid w:val="007A6843"/>
    <w:rsid w:val="007A690D"/>
    <w:rsid w:val="007A6AAB"/>
    <w:rsid w:val="007A6B22"/>
    <w:rsid w:val="007A6BFF"/>
    <w:rsid w:val="007A6E1F"/>
    <w:rsid w:val="007A6F22"/>
    <w:rsid w:val="007A6FC3"/>
    <w:rsid w:val="007A70F1"/>
    <w:rsid w:val="007A7198"/>
    <w:rsid w:val="007A71FA"/>
    <w:rsid w:val="007A7220"/>
    <w:rsid w:val="007A73DA"/>
    <w:rsid w:val="007A7488"/>
    <w:rsid w:val="007A74EB"/>
    <w:rsid w:val="007A77AC"/>
    <w:rsid w:val="007A7860"/>
    <w:rsid w:val="007A788B"/>
    <w:rsid w:val="007A793F"/>
    <w:rsid w:val="007A794A"/>
    <w:rsid w:val="007A7A33"/>
    <w:rsid w:val="007A7B6C"/>
    <w:rsid w:val="007A7BBA"/>
    <w:rsid w:val="007A7BE8"/>
    <w:rsid w:val="007A7E07"/>
    <w:rsid w:val="007B0134"/>
    <w:rsid w:val="007B013E"/>
    <w:rsid w:val="007B047E"/>
    <w:rsid w:val="007B0719"/>
    <w:rsid w:val="007B078A"/>
    <w:rsid w:val="007B0874"/>
    <w:rsid w:val="007B0CB6"/>
    <w:rsid w:val="007B0DF7"/>
    <w:rsid w:val="007B0DFA"/>
    <w:rsid w:val="007B0E01"/>
    <w:rsid w:val="007B1076"/>
    <w:rsid w:val="007B1200"/>
    <w:rsid w:val="007B133B"/>
    <w:rsid w:val="007B13DB"/>
    <w:rsid w:val="007B1554"/>
    <w:rsid w:val="007B16A5"/>
    <w:rsid w:val="007B1769"/>
    <w:rsid w:val="007B1BC4"/>
    <w:rsid w:val="007B1CBD"/>
    <w:rsid w:val="007B1FDD"/>
    <w:rsid w:val="007B202D"/>
    <w:rsid w:val="007B21B6"/>
    <w:rsid w:val="007B24E7"/>
    <w:rsid w:val="007B2536"/>
    <w:rsid w:val="007B273D"/>
    <w:rsid w:val="007B277C"/>
    <w:rsid w:val="007B27AF"/>
    <w:rsid w:val="007B2914"/>
    <w:rsid w:val="007B2C28"/>
    <w:rsid w:val="007B2CE4"/>
    <w:rsid w:val="007B2F30"/>
    <w:rsid w:val="007B2F5B"/>
    <w:rsid w:val="007B2FC4"/>
    <w:rsid w:val="007B30F1"/>
    <w:rsid w:val="007B313E"/>
    <w:rsid w:val="007B3183"/>
    <w:rsid w:val="007B3199"/>
    <w:rsid w:val="007B31C7"/>
    <w:rsid w:val="007B32F7"/>
    <w:rsid w:val="007B3337"/>
    <w:rsid w:val="007B362A"/>
    <w:rsid w:val="007B370E"/>
    <w:rsid w:val="007B378E"/>
    <w:rsid w:val="007B38ED"/>
    <w:rsid w:val="007B39CC"/>
    <w:rsid w:val="007B3BF7"/>
    <w:rsid w:val="007B3F7C"/>
    <w:rsid w:val="007B4345"/>
    <w:rsid w:val="007B4432"/>
    <w:rsid w:val="007B4790"/>
    <w:rsid w:val="007B47FD"/>
    <w:rsid w:val="007B4835"/>
    <w:rsid w:val="007B483B"/>
    <w:rsid w:val="007B48AE"/>
    <w:rsid w:val="007B49C9"/>
    <w:rsid w:val="007B4A34"/>
    <w:rsid w:val="007B4B0F"/>
    <w:rsid w:val="007B4B66"/>
    <w:rsid w:val="007B4BC5"/>
    <w:rsid w:val="007B4CFC"/>
    <w:rsid w:val="007B4D39"/>
    <w:rsid w:val="007B4DAB"/>
    <w:rsid w:val="007B4E7D"/>
    <w:rsid w:val="007B51D7"/>
    <w:rsid w:val="007B51F6"/>
    <w:rsid w:val="007B5392"/>
    <w:rsid w:val="007B53E5"/>
    <w:rsid w:val="007B555E"/>
    <w:rsid w:val="007B5845"/>
    <w:rsid w:val="007B5855"/>
    <w:rsid w:val="007B5B03"/>
    <w:rsid w:val="007B5D14"/>
    <w:rsid w:val="007B5DBF"/>
    <w:rsid w:val="007B5DD9"/>
    <w:rsid w:val="007B5DF4"/>
    <w:rsid w:val="007B5E35"/>
    <w:rsid w:val="007B5E5C"/>
    <w:rsid w:val="007B5F7C"/>
    <w:rsid w:val="007B5FD3"/>
    <w:rsid w:val="007B5FE8"/>
    <w:rsid w:val="007B6144"/>
    <w:rsid w:val="007B618B"/>
    <w:rsid w:val="007B6335"/>
    <w:rsid w:val="007B63F9"/>
    <w:rsid w:val="007B6622"/>
    <w:rsid w:val="007B6A0C"/>
    <w:rsid w:val="007B6AF3"/>
    <w:rsid w:val="007B6BCA"/>
    <w:rsid w:val="007B6C22"/>
    <w:rsid w:val="007B6C55"/>
    <w:rsid w:val="007B6C69"/>
    <w:rsid w:val="007B6D27"/>
    <w:rsid w:val="007B6E6C"/>
    <w:rsid w:val="007B6EDB"/>
    <w:rsid w:val="007B6FC2"/>
    <w:rsid w:val="007B7268"/>
    <w:rsid w:val="007B7317"/>
    <w:rsid w:val="007B75C4"/>
    <w:rsid w:val="007B77D8"/>
    <w:rsid w:val="007B79FD"/>
    <w:rsid w:val="007B7AFF"/>
    <w:rsid w:val="007B7D9D"/>
    <w:rsid w:val="007C0133"/>
    <w:rsid w:val="007C0339"/>
    <w:rsid w:val="007C04A9"/>
    <w:rsid w:val="007C07E6"/>
    <w:rsid w:val="007C09CD"/>
    <w:rsid w:val="007C0A69"/>
    <w:rsid w:val="007C0AEE"/>
    <w:rsid w:val="007C0BC3"/>
    <w:rsid w:val="007C0D34"/>
    <w:rsid w:val="007C0E12"/>
    <w:rsid w:val="007C0ED4"/>
    <w:rsid w:val="007C11FB"/>
    <w:rsid w:val="007C1258"/>
    <w:rsid w:val="007C1300"/>
    <w:rsid w:val="007C1604"/>
    <w:rsid w:val="007C1F9E"/>
    <w:rsid w:val="007C2013"/>
    <w:rsid w:val="007C22D3"/>
    <w:rsid w:val="007C29D8"/>
    <w:rsid w:val="007C2A6E"/>
    <w:rsid w:val="007C2B74"/>
    <w:rsid w:val="007C2EC0"/>
    <w:rsid w:val="007C2F8E"/>
    <w:rsid w:val="007C30EC"/>
    <w:rsid w:val="007C3108"/>
    <w:rsid w:val="007C3166"/>
    <w:rsid w:val="007C33AD"/>
    <w:rsid w:val="007C388C"/>
    <w:rsid w:val="007C396F"/>
    <w:rsid w:val="007C39AB"/>
    <w:rsid w:val="007C3C47"/>
    <w:rsid w:val="007C406E"/>
    <w:rsid w:val="007C407B"/>
    <w:rsid w:val="007C413D"/>
    <w:rsid w:val="007C42D9"/>
    <w:rsid w:val="007C43C7"/>
    <w:rsid w:val="007C4495"/>
    <w:rsid w:val="007C4518"/>
    <w:rsid w:val="007C454D"/>
    <w:rsid w:val="007C463F"/>
    <w:rsid w:val="007C4669"/>
    <w:rsid w:val="007C47AC"/>
    <w:rsid w:val="007C47AE"/>
    <w:rsid w:val="007C4B63"/>
    <w:rsid w:val="007C4BB7"/>
    <w:rsid w:val="007C4D6F"/>
    <w:rsid w:val="007C4D78"/>
    <w:rsid w:val="007C5055"/>
    <w:rsid w:val="007C51C4"/>
    <w:rsid w:val="007C52D8"/>
    <w:rsid w:val="007C534B"/>
    <w:rsid w:val="007C5472"/>
    <w:rsid w:val="007C54A2"/>
    <w:rsid w:val="007C578A"/>
    <w:rsid w:val="007C59D7"/>
    <w:rsid w:val="007C5AD8"/>
    <w:rsid w:val="007C5C13"/>
    <w:rsid w:val="007C5D06"/>
    <w:rsid w:val="007C5D5A"/>
    <w:rsid w:val="007C5DB9"/>
    <w:rsid w:val="007C5F97"/>
    <w:rsid w:val="007C5FCD"/>
    <w:rsid w:val="007C605F"/>
    <w:rsid w:val="007C609C"/>
    <w:rsid w:val="007C61A1"/>
    <w:rsid w:val="007C651B"/>
    <w:rsid w:val="007C655F"/>
    <w:rsid w:val="007C66BE"/>
    <w:rsid w:val="007C68A0"/>
    <w:rsid w:val="007C691E"/>
    <w:rsid w:val="007C69BC"/>
    <w:rsid w:val="007C6A13"/>
    <w:rsid w:val="007C6B59"/>
    <w:rsid w:val="007C6EA0"/>
    <w:rsid w:val="007C6EF8"/>
    <w:rsid w:val="007C6FF1"/>
    <w:rsid w:val="007C70CF"/>
    <w:rsid w:val="007C711C"/>
    <w:rsid w:val="007C7307"/>
    <w:rsid w:val="007C734F"/>
    <w:rsid w:val="007C7395"/>
    <w:rsid w:val="007C74AA"/>
    <w:rsid w:val="007C7673"/>
    <w:rsid w:val="007C76D7"/>
    <w:rsid w:val="007C7813"/>
    <w:rsid w:val="007C79C7"/>
    <w:rsid w:val="007C7BCA"/>
    <w:rsid w:val="007C7CEC"/>
    <w:rsid w:val="007C7DC0"/>
    <w:rsid w:val="007C7F45"/>
    <w:rsid w:val="007C7FB1"/>
    <w:rsid w:val="007D005A"/>
    <w:rsid w:val="007D00CA"/>
    <w:rsid w:val="007D0105"/>
    <w:rsid w:val="007D035A"/>
    <w:rsid w:val="007D04C4"/>
    <w:rsid w:val="007D0541"/>
    <w:rsid w:val="007D0581"/>
    <w:rsid w:val="007D05B8"/>
    <w:rsid w:val="007D05C5"/>
    <w:rsid w:val="007D0642"/>
    <w:rsid w:val="007D0801"/>
    <w:rsid w:val="007D0886"/>
    <w:rsid w:val="007D0C2D"/>
    <w:rsid w:val="007D0C9C"/>
    <w:rsid w:val="007D0CAE"/>
    <w:rsid w:val="007D0CCC"/>
    <w:rsid w:val="007D0DA7"/>
    <w:rsid w:val="007D0E05"/>
    <w:rsid w:val="007D0E0F"/>
    <w:rsid w:val="007D0E41"/>
    <w:rsid w:val="007D0E4E"/>
    <w:rsid w:val="007D0F8D"/>
    <w:rsid w:val="007D1089"/>
    <w:rsid w:val="007D10DD"/>
    <w:rsid w:val="007D115C"/>
    <w:rsid w:val="007D1212"/>
    <w:rsid w:val="007D14E9"/>
    <w:rsid w:val="007D1618"/>
    <w:rsid w:val="007D167E"/>
    <w:rsid w:val="007D1867"/>
    <w:rsid w:val="007D189D"/>
    <w:rsid w:val="007D197F"/>
    <w:rsid w:val="007D1B57"/>
    <w:rsid w:val="007D1D1F"/>
    <w:rsid w:val="007D1F03"/>
    <w:rsid w:val="007D1F78"/>
    <w:rsid w:val="007D210F"/>
    <w:rsid w:val="007D21DB"/>
    <w:rsid w:val="007D2202"/>
    <w:rsid w:val="007D2211"/>
    <w:rsid w:val="007D22F8"/>
    <w:rsid w:val="007D22FF"/>
    <w:rsid w:val="007D23E1"/>
    <w:rsid w:val="007D2714"/>
    <w:rsid w:val="007D275A"/>
    <w:rsid w:val="007D29C6"/>
    <w:rsid w:val="007D2B72"/>
    <w:rsid w:val="007D2C9E"/>
    <w:rsid w:val="007D2E3D"/>
    <w:rsid w:val="007D2F1C"/>
    <w:rsid w:val="007D32AB"/>
    <w:rsid w:val="007D34E9"/>
    <w:rsid w:val="007D34EA"/>
    <w:rsid w:val="007D350A"/>
    <w:rsid w:val="007D3670"/>
    <w:rsid w:val="007D368C"/>
    <w:rsid w:val="007D3D54"/>
    <w:rsid w:val="007D3D82"/>
    <w:rsid w:val="007D3E3F"/>
    <w:rsid w:val="007D3F71"/>
    <w:rsid w:val="007D435F"/>
    <w:rsid w:val="007D4595"/>
    <w:rsid w:val="007D4628"/>
    <w:rsid w:val="007D474C"/>
    <w:rsid w:val="007D4806"/>
    <w:rsid w:val="007D4947"/>
    <w:rsid w:val="007D5368"/>
    <w:rsid w:val="007D54EC"/>
    <w:rsid w:val="007D55E9"/>
    <w:rsid w:val="007D5B9F"/>
    <w:rsid w:val="007D5BE8"/>
    <w:rsid w:val="007D5C2A"/>
    <w:rsid w:val="007D5CFD"/>
    <w:rsid w:val="007D5D6A"/>
    <w:rsid w:val="007D5D74"/>
    <w:rsid w:val="007D5DE8"/>
    <w:rsid w:val="007D5F3A"/>
    <w:rsid w:val="007D5F3F"/>
    <w:rsid w:val="007D616A"/>
    <w:rsid w:val="007D625E"/>
    <w:rsid w:val="007D6270"/>
    <w:rsid w:val="007D6308"/>
    <w:rsid w:val="007D68AE"/>
    <w:rsid w:val="007D6A7B"/>
    <w:rsid w:val="007D6C5B"/>
    <w:rsid w:val="007D6CC7"/>
    <w:rsid w:val="007D6CDA"/>
    <w:rsid w:val="007D6D36"/>
    <w:rsid w:val="007D6D61"/>
    <w:rsid w:val="007D7083"/>
    <w:rsid w:val="007D7122"/>
    <w:rsid w:val="007D7373"/>
    <w:rsid w:val="007D7514"/>
    <w:rsid w:val="007D771B"/>
    <w:rsid w:val="007D7792"/>
    <w:rsid w:val="007D7812"/>
    <w:rsid w:val="007D792A"/>
    <w:rsid w:val="007D7A05"/>
    <w:rsid w:val="007D7BF5"/>
    <w:rsid w:val="007D7CE7"/>
    <w:rsid w:val="007D7DF6"/>
    <w:rsid w:val="007D7EFB"/>
    <w:rsid w:val="007D7FC5"/>
    <w:rsid w:val="007E02CE"/>
    <w:rsid w:val="007E02F2"/>
    <w:rsid w:val="007E030F"/>
    <w:rsid w:val="007E069C"/>
    <w:rsid w:val="007E06B4"/>
    <w:rsid w:val="007E07FB"/>
    <w:rsid w:val="007E0884"/>
    <w:rsid w:val="007E0891"/>
    <w:rsid w:val="007E095C"/>
    <w:rsid w:val="007E0970"/>
    <w:rsid w:val="007E0973"/>
    <w:rsid w:val="007E0A1A"/>
    <w:rsid w:val="007E0B08"/>
    <w:rsid w:val="007E0BB9"/>
    <w:rsid w:val="007E0C32"/>
    <w:rsid w:val="007E0CB3"/>
    <w:rsid w:val="007E0E42"/>
    <w:rsid w:val="007E0E65"/>
    <w:rsid w:val="007E0ED9"/>
    <w:rsid w:val="007E0EFD"/>
    <w:rsid w:val="007E0F85"/>
    <w:rsid w:val="007E102E"/>
    <w:rsid w:val="007E114B"/>
    <w:rsid w:val="007E160F"/>
    <w:rsid w:val="007E174B"/>
    <w:rsid w:val="007E1794"/>
    <w:rsid w:val="007E1798"/>
    <w:rsid w:val="007E1A39"/>
    <w:rsid w:val="007E1BB9"/>
    <w:rsid w:val="007E1C52"/>
    <w:rsid w:val="007E1CF6"/>
    <w:rsid w:val="007E1E82"/>
    <w:rsid w:val="007E1F7D"/>
    <w:rsid w:val="007E22CB"/>
    <w:rsid w:val="007E236F"/>
    <w:rsid w:val="007E242A"/>
    <w:rsid w:val="007E243D"/>
    <w:rsid w:val="007E278F"/>
    <w:rsid w:val="007E28FF"/>
    <w:rsid w:val="007E29C1"/>
    <w:rsid w:val="007E2BD4"/>
    <w:rsid w:val="007E2C60"/>
    <w:rsid w:val="007E2CDA"/>
    <w:rsid w:val="007E316F"/>
    <w:rsid w:val="007E31D6"/>
    <w:rsid w:val="007E3243"/>
    <w:rsid w:val="007E3275"/>
    <w:rsid w:val="007E33D2"/>
    <w:rsid w:val="007E3786"/>
    <w:rsid w:val="007E38AA"/>
    <w:rsid w:val="007E39AA"/>
    <w:rsid w:val="007E3AAE"/>
    <w:rsid w:val="007E3AE5"/>
    <w:rsid w:val="007E3B1C"/>
    <w:rsid w:val="007E3B6A"/>
    <w:rsid w:val="007E3CD9"/>
    <w:rsid w:val="007E3D38"/>
    <w:rsid w:val="007E404E"/>
    <w:rsid w:val="007E4108"/>
    <w:rsid w:val="007E441C"/>
    <w:rsid w:val="007E45A6"/>
    <w:rsid w:val="007E47F8"/>
    <w:rsid w:val="007E4A1C"/>
    <w:rsid w:val="007E4AAC"/>
    <w:rsid w:val="007E4C63"/>
    <w:rsid w:val="007E50FF"/>
    <w:rsid w:val="007E5147"/>
    <w:rsid w:val="007E515C"/>
    <w:rsid w:val="007E515F"/>
    <w:rsid w:val="007E5198"/>
    <w:rsid w:val="007E5511"/>
    <w:rsid w:val="007E5633"/>
    <w:rsid w:val="007E56D0"/>
    <w:rsid w:val="007E5BFD"/>
    <w:rsid w:val="007E5D8B"/>
    <w:rsid w:val="007E5DE7"/>
    <w:rsid w:val="007E5E0F"/>
    <w:rsid w:val="007E5F22"/>
    <w:rsid w:val="007E6105"/>
    <w:rsid w:val="007E61F7"/>
    <w:rsid w:val="007E6229"/>
    <w:rsid w:val="007E64E9"/>
    <w:rsid w:val="007E64FB"/>
    <w:rsid w:val="007E653D"/>
    <w:rsid w:val="007E66A3"/>
    <w:rsid w:val="007E695D"/>
    <w:rsid w:val="007E6A0E"/>
    <w:rsid w:val="007E6A2C"/>
    <w:rsid w:val="007E6ACD"/>
    <w:rsid w:val="007E6C11"/>
    <w:rsid w:val="007E6C3C"/>
    <w:rsid w:val="007E71E6"/>
    <w:rsid w:val="007E7219"/>
    <w:rsid w:val="007E728D"/>
    <w:rsid w:val="007E7493"/>
    <w:rsid w:val="007E7737"/>
    <w:rsid w:val="007E7776"/>
    <w:rsid w:val="007E7824"/>
    <w:rsid w:val="007E782D"/>
    <w:rsid w:val="007E7B0C"/>
    <w:rsid w:val="007E7E57"/>
    <w:rsid w:val="007F0109"/>
    <w:rsid w:val="007F0251"/>
    <w:rsid w:val="007F027E"/>
    <w:rsid w:val="007F03E7"/>
    <w:rsid w:val="007F0690"/>
    <w:rsid w:val="007F0710"/>
    <w:rsid w:val="007F07E5"/>
    <w:rsid w:val="007F09C7"/>
    <w:rsid w:val="007F0D5A"/>
    <w:rsid w:val="007F0DB3"/>
    <w:rsid w:val="007F0EB4"/>
    <w:rsid w:val="007F0EE0"/>
    <w:rsid w:val="007F0F0B"/>
    <w:rsid w:val="007F0FA0"/>
    <w:rsid w:val="007F0FD9"/>
    <w:rsid w:val="007F1037"/>
    <w:rsid w:val="007F141D"/>
    <w:rsid w:val="007F14D2"/>
    <w:rsid w:val="007F14D3"/>
    <w:rsid w:val="007F15F6"/>
    <w:rsid w:val="007F16B9"/>
    <w:rsid w:val="007F181B"/>
    <w:rsid w:val="007F18AB"/>
    <w:rsid w:val="007F19FC"/>
    <w:rsid w:val="007F1A04"/>
    <w:rsid w:val="007F1A8F"/>
    <w:rsid w:val="007F1ADF"/>
    <w:rsid w:val="007F1BC7"/>
    <w:rsid w:val="007F1C38"/>
    <w:rsid w:val="007F1C7B"/>
    <w:rsid w:val="007F1CF2"/>
    <w:rsid w:val="007F1E3D"/>
    <w:rsid w:val="007F1F45"/>
    <w:rsid w:val="007F1F48"/>
    <w:rsid w:val="007F1FB7"/>
    <w:rsid w:val="007F1FDB"/>
    <w:rsid w:val="007F21CC"/>
    <w:rsid w:val="007F21D3"/>
    <w:rsid w:val="007F24D5"/>
    <w:rsid w:val="007F255F"/>
    <w:rsid w:val="007F2586"/>
    <w:rsid w:val="007F25A3"/>
    <w:rsid w:val="007F26D7"/>
    <w:rsid w:val="007F2A4F"/>
    <w:rsid w:val="007F2A9C"/>
    <w:rsid w:val="007F2AB7"/>
    <w:rsid w:val="007F2BE7"/>
    <w:rsid w:val="007F2C0F"/>
    <w:rsid w:val="007F30DE"/>
    <w:rsid w:val="007F3164"/>
    <w:rsid w:val="007F317D"/>
    <w:rsid w:val="007F3283"/>
    <w:rsid w:val="007F32B1"/>
    <w:rsid w:val="007F331A"/>
    <w:rsid w:val="007F33C7"/>
    <w:rsid w:val="007F3556"/>
    <w:rsid w:val="007F36C9"/>
    <w:rsid w:val="007F39FA"/>
    <w:rsid w:val="007F3FDA"/>
    <w:rsid w:val="007F4237"/>
    <w:rsid w:val="007F4277"/>
    <w:rsid w:val="007F4501"/>
    <w:rsid w:val="007F4514"/>
    <w:rsid w:val="007F47CE"/>
    <w:rsid w:val="007F48F1"/>
    <w:rsid w:val="007F4C5B"/>
    <w:rsid w:val="007F4EE7"/>
    <w:rsid w:val="007F50FB"/>
    <w:rsid w:val="007F5116"/>
    <w:rsid w:val="007F51D9"/>
    <w:rsid w:val="007F5410"/>
    <w:rsid w:val="007F5440"/>
    <w:rsid w:val="007F5455"/>
    <w:rsid w:val="007F562A"/>
    <w:rsid w:val="007F5740"/>
    <w:rsid w:val="007F5753"/>
    <w:rsid w:val="007F595C"/>
    <w:rsid w:val="007F597D"/>
    <w:rsid w:val="007F5BBD"/>
    <w:rsid w:val="007F5C11"/>
    <w:rsid w:val="007F5C8A"/>
    <w:rsid w:val="007F653A"/>
    <w:rsid w:val="007F6729"/>
    <w:rsid w:val="007F6893"/>
    <w:rsid w:val="007F68BD"/>
    <w:rsid w:val="007F68E3"/>
    <w:rsid w:val="007F6AE5"/>
    <w:rsid w:val="007F6DBF"/>
    <w:rsid w:val="007F6FE8"/>
    <w:rsid w:val="007F70FE"/>
    <w:rsid w:val="007F72B3"/>
    <w:rsid w:val="007F740C"/>
    <w:rsid w:val="007F7525"/>
    <w:rsid w:val="007F7560"/>
    <w:rsid w:val="007F75F1"/>
    <w:rsid w:val="007F77F8"/>
    <w:rsid w:val="007F780D"/>
    <w:rsid w:val="007F7836"/>
    <w:rsid w:val="007F7995"/>
    <w:rsid w:val="007F7C4C"/>
    <w:rsid w:val="0080021A"/>
    <w:rsid w:val="008002BC"/>
    <w:rsid w:val="00800300"/>
    <w:rsid w:val="00800840"/>
    <w:rsid w:val="0080098B"/>
    <w:rsid w:val="00800A2F"/>
    <w:rsid w:val="00800A9F"/>
    <w:rsid w:val="00800B16"/>
    <w:rsid w:val="00800CA8"/>
    <w:rsid w:val="00800D43"/>
    <w:rsid w:val="00800E61"/>
    <w:rsid w:val="00800E90"/>
    <w:rsid w:val="00800E9F"/>
    <w:rsid w:val="00801079"/>
    <w:rsid w:val="008010A5"/>
    <w:rsid w:val="008012A1"/>
    <w:rsid w:val="008012F2"/>
    <w:rsid w:val="00801329"/>
    <w:rsid w:val="00801363"/>
    <w:rsid w:val="008013A9"/>
    <w:rsid w:val="008016B6"/>
    <w:rsid w:val="008016CA"/>
    <w:rsid w:val="00801BA1"/>
    <w:rsid w:val="00801C95"/>
    <w:rsid w:val="00801D92"/>
    <w:rsid w:val="00801DF3"/>
    <w:rsid w:val="00801EC2"/>
    <w:rsid w:val="0080211A"/>
    <w:rsid w:val="00802150"/>
    <w:rsid w:val="0080231B"/>
    <w:rsid w:val="00802332"/>
    <w:rsid w:val="00802489"/>
    <w:rsid w:val="008024AB"/>
    <w:rsid w:val="00802509"/>
    <w:rsid w:val="0080261A"/>
    <w:rsid w:val="008026FE"/>
    <w:rsid w:val="00802777"/>
    <w:rsid w:val="0080284A"/>
    <w:rsid w:val="00802B28"/>
    <w:rsid w:val="00802BA4"/>
    <w:rsid w:val="00802C6F"/>
    <w:rsid w:val="00802D6D"/>
    <w:rsid w:val="00802E4F"/>
    <w:rsid w:val="00802FFE"/>
    <w:rsid w:val="008030B2"/>
    <w:rsid w:val="00803188"/>
    <w:rsid w:val="0080319C"/>
    <w:rsid w:val="008034D0"/>
    <w:rsid w:val="00803542"/>
    <w:rsid w:val="00803751"/>
    <w:rsid w:val="00803766"/>
    <w:rsid w:val="00803A3E"/>
    <w:rsid w:val="00803BF5"/>
    <w:rsid w:val="00803D43"/>
    <w:rsid w:val="00803DA5"/>
    <w:rsid w:val="00803DE2"/>
    <w:rsid w:val="00803DEF"/>
    <w:rsid w:val="00803F52"/>
    <w:rsid w:val="00803FAE"/>
    <w:rsid w:val="0080400C"/>
    <w:rsid w:val="008040CD"/>
    <w:rsid w:val="008040FA"/>
    <w:rsid w:val="0080412E"/>
    <w:rsid w:val="0080429D"/>
    <w:rsid w:val="008043F2"/>
    <w:rsid w:val="008044AA"/>
    <w:rsid w:val="00804543"/>
    <w:rsid w:val="00804897"/>
    <w:rsid w:val="0080489A"/>
    <w:rsid w:val="0080491A"/>
    <w:rsid w:val="0080494F"/>
    <w:rsid w:val="00804A55"/>
    <w:rsid w:val="00804B45"/>
    <w:rsid w:val="00805169"/>
    <w:rsid w:val="00805774"/>
    <w:rsid w:val="00805777"/>
    <w:rsid w:val="0080583F"/>
    <w:rsid w:val="0080598C"/>
    <w:rsid w:val="00805ACC"/>
    <w:rsid w:val="00805AE6"/>
    <w:rsid w:val="00805B28"/>
    <w:rsid w:val="00805B46"/>
    <w:rsid w:val="00805F69"/>
    <w:rsid w:val="00805F6F"/>
    <w:rsid w:val="00805F77"/>
    <w:rsid w:val="0080602B"/>
    <w:rsid w:val="0080619E"/>
    <w:rsid w:val="0080620E"/>
    <w:rsid w:val="008062A3"/>
    <w:rsid w:val="008062C9"/>
    <w:rsid w:val="00806655"/>
    <w:rsid w:val="00806658"/>
    <w:rsid w:val="0080667E"/>
    <w:rsid w:val="0080682B"/>
    <w:rsid w:val="00806865"/>
    <w:rsid w:val="00806A13"/>
    <w:rsid w:val="00806B73"/>
    <w:rsid w:val="00806D48"/>
    <w:rsid w:val="00806DDF"/>
    <w:rsid w:val="0080702A"/>
    <w:rsid w:val="0080704A"/>
    <w:rsid w:val="008075CF"/>
    <w:rsid w:val="008075FB"/>
    <w:rsid w:val="00807C0E"/>
    <w:rsid w:val="00807C69"/>
    <w:rsid w:val="00807D4C"/>
    <w:rsid w:val="00807E72"/>
    <w:rsid w:val="008100DA"/>
    <w:rsid w:val="008101D9"/>
    <w:rsid w:val="008105C4"/>
    <w:rsid w:val="00810614"/>
    <w:rsid w:val="008106BD"/>
    <w:rsid w:val="008106E5"/>
    <w:rsid w:val="0081077F"/>
    <w:rsid w:val="00810832"/>
    <w:rsid w:val="00810842"/>
    <w:rsid w:val="0081092D"/>
    <w:rsid w:val="00810933"/>
    <w:rsid w:val="008109F1"/>
    <w:rsid w:val="00810A6C"/>
    <w:rsid w:val="00810AB5"/>
    <w:rsid w:val="00810B17"/>
    <w:rsid w:val="00810BCF"/>
    <w:rsid w:val="00810C55"/>
    <w:rsid w:val="00810E20"/>
    <w:rsid w:val="00810EBC"/>
    <w:rsid w:val="00810F38"/>
    <w:rsid w:val="00811165"/>
    <w:rsid w:val="00811186"/>
    <w:rsid w:val="008112C0"/>
    <w:rsid w:val="00811590"/>
    <w:rsid w:val="008115C4"/>
    <w:rsid w:val="0081194C"/>
    <w:rsid w:val="00811CB9"/>
    <w:rsid w:val="00811CFA"/>
    <w:rsid w:val="00811FB2"/>
    <w:rsid w:val="008121C2"/>
    <w:rsid w:val="00812709"/>
    <w:rsid w:val="00812725"/>
    <w:rsid w:val="00812A10"/>
    <w:rsid w:val="00812C53"/>
    <w:rsid w:val="00812D03"/>
    <w:rsid w:val="00812D89"/>
    <w:rsid w:val="00812DDD"/>
    <w:rsid w:val="0081301E"/>
    <w:rsid w:val="008137EF"/>
    <w:rsid w:val="0081384A"/>
    <w:rsid w:val="0081388A"/>
    <w:rsid w:val="008138A9"/>
    <w:rsid w:val="00813976"/>
    <w:rsid w:val="0081397C"/>
    <w:rsid w:val="00813A0D"/>
    <w:rsid w:val="00813B9A"/>
    <w:rsid w:val="00813F1D"/>
    <w:rsid w:val="00814120"/>
    <w:rsid w:val="008141B5"/>
    <w:rsid w:val="00814323"/>
    <w:rsid w:val="008143A0"/>
    <w:rsid w:val="008143D2"/>
    <w:rsid w:val="00814452"/>
    <w:rsid w:val="008144C8"/>
    <w:rsid w:val="00814706"/>
    <w:rsid w:val="0081483B"/>
    <w:rsid w:val="0081490C"/>
    <w:rsid w:val="00814960"/>
    <w:rsid w:val="008149A0"/>
    <w:rsid w:val="008149E5"/>
    <w:rsid w:val="00814B2C"/>
    <w:rsid w:val="00814B96"/>
    <w:rsid w:val="00814C1E"/>
    <w:rsid w:val="00814D56"/>
    <w:rsid w:val="00814E76"/>
    <w:rsid w:val="00814FF3"/>
    <w:rsid w:val="0081520F"/>
    <w:rsid w:val="0081541A"/>
    <w:rsid w:val="008154E0"/>
    <w:rsid w:val="008154E2"/>
    <w:rsid w:val="008156B5"/>
    <w:rsid w:val="00815750"/>
    <w:rsid w:val="008157AD"/>
    <w:rsid w:val="00815C24"/>
    <w:rsid w:val="00815C99"/>
    <w:rsid w:val="00815D91"/>
    <w:rsid w:val="00815D96"/>
    <w:rsid w:val="00815F0D"/>
    <w:rsid w:val="00816061"/>
    <w:rsid w:val="008160E9"/>
    <w:rsid w:val="008161A4"/>
    <w:rsid w:val="008161B0"/>
    <w:rsid w:val="008161B4"/>
    <w:rsid w:val="008163A2"/>
    <w:rsid w:val="0081647A"/>
    <w:rsid w:val="0081648C"/>
    <w:rsid w:val="00816641"/>
    <w:rsid w:val="00816706"/>
    <w:rsid w:val="00816809"/>
    <w:rsid w:val="0081684D"/>
    <w:rsid w:val="008168AD"/>
    <w:rsid w:val="008169F6"/>
    <w:rsid w:val="00816B14"/>
    <w:rsid w:val="00816D63"/>
    <w:rsid w:val="00816EED"/>
    <w:rsid w:val="00817098"/>
    <w:rsid w:val="0081711B"/>
    <w:rsid w:val="008174B3"/>
    <w:rsid w:val="008177E7"/>
    <w:rsid w:val="00817830"/>
    <w:rsid w:val="00817890"/>
    <w:rsid w:val="00817A2F"/>
    <w:rsid w:val="00817B97"/>
    <w:rsid w:val="00817DE3"/>
    <w:rsid w:val="00817FC3"/>
    <w:rsid w:val="00817FCD"/>
    <w:rsid w:val="008200C9"/>
    <w:rsid w:val="00820103"/>
    <w:rsid w:val="00820731"/>
    <w:rsid w:val="0082076A"/>
    <w:rsid w:val="00820842"/>
    <w:rsid w:val="008208D8"/>
    <w:rsid w:val="008209AF"/>
    <w:rsid w:val="00820C4A"/>
    <w:rsid w:val="00820E0B"/>
    <w:rsid w:val="00820F84"/>
    <w:rsid w:val="00821042"/>
    <w:rsid w:val="008216DE"/>
    <w:rsid w:val="00821932"/>
    <w:rsid w:val="00821A31"/>
    <w:rsid w:val="00821CDF"/>
    <w:rsid w:val="00821D69"/>
    <w:rsid w:val="00821DC1"/>
    <w:rsid w:val="00821DE4"/>
    <w:rsid w:val="00822080"/>
    <w:rsid w:val="008220CD"/>
    <w:rsid w:val="00822109"/>
    <w:rsid w:val="00822314"/>
    <w:rsid w:val="0082252B"/>
    <w:rsid w:val="008225FE"/>
    <w:rsid w:val="00822613"/>
    <w:rsid w:val="00822619"/>
    <w:rsid w:val="0082262F"/>
    <w:rsid w:val="008226E1"/>
    <w:rsid w:val="0082280B"/>
    <w:rsid w:val="00822870"/>
    <w:rsid w:val="0082296D"/>
    <w:rsid w:val="00822A78"/>
    <w:rsid w:val="00822BDB"/>
    <w:rsid w:val="00822BE3"/>
    <w:rsid w:val="00822CFA"/>
    <w:rsid w:val="00822DDA"/>
    <w:rsid w:val="008230FD"/>
    <w:rsid w:val="0082320A"/>
    <w:rsid w:val="008236FD"/>
    <w:rsid w:val="008237E5"/>
    <w:rsid w:val="008238EA"/>
    <w:rsid w:val="00823A4A"/>
    <w:rsid w:val="00823AC6"/>
    <w:rsid w:val="00823BC1"/>
    <w:rsid w:val="00823DD3"/>
    <w:rsid w:val="00823E1A"/>
    <w:rsid w:val="00823E52"/>
    <w:rsid w:val="00823E73"/>
    <w:rsid w:val="00823E8C"/>
    <w:rsid w:val="00824007"/>
    <w:rsid w:val="00824243"/>
    <w:rsid w:val="00824372"/>
    <w:rsid w:val="00824425"/>
    <w:rsid w:val="008246B4"/>
    <w:rsid w:val="00824777"/>
    <w:rsid w:val="0082490A"/>
    <w:rsid w:val="00824A0A"/>
    <w:rsid w:val="00824B1A"/>
    <w:rsid w:val="00824C57"/>
    <w:rsid w:val="00824E63"/>
    <w:rsid w:val="00824F64"/>
    <w:rsid w:val="00824F6B"/>
    <w:rsid w:val="00824FEA"/>
    <w:rsid w:val="0082518E"/>
    <w:rsid w:val="00825232"/>
    <w:rsid w:val="00825479"/>
    <w:rsid w:val="008254A0"/>
    <w:rsid w:val="00825516"/>
    <w:rsid w:val="0082588E"/>
    <w:rsid w:val="008258A5"/>
    <w:rsid w:val="0082591E"/>
    <w:rsid w:val="00825B2E"/>
    <w:rsid w:val="00825B8C"/>
    <w:rsid w:val="00825C2C"/>
    <w:rsid w:val="00825C68"/>
    <w:rsid w:val="0082637B"/>
    <w:rsid w:val="008263E6"/>
    <w:rsid w:val="00826444"/>
    <w:rsid w:val="008269F8"/>
    <w:rsid w:val="00826ED6"/>
    <w:rsid w:val="00827341"/>
    <w:rsid w:val="008273F1"/>
    <w:rsid w:val="0082751D"/>
    <w:rsid w:val="008277EC"/>
    <w:rsid w:val="008278DD"/>
    <w:rsid w:val="008279F2"/>
    <w:rsid w:val="00827D0D"/>
    <w:rsid w:val="00827F57"/>
    <w:rsid w:val="00827F66"/>
    <w:rsid w:val="00827FCD"/>
    <w:rsid w:val="00827FE9"/>
    <w:rsid w:val="0083004E"/>
    <w:rsid w:val="0083044D"/>
    <w:rsid w:val="00830582"/>
    <w:rsid w:val="00830701"/>
    <w:rsid w:val="008308E4"/>
    <w:rsid w:val="0083091C"/>
    <w:rsid w:val="00830A5E"/>
    <w:rsid w:val="00830AF1"/>
    <w:rsid w:val="00830BB4"/>
    <w:rsid w:val="00830D3E"/>
    <w:rsid w:val="0083123F"/>
    <w:rsid w:val="008312C0"/>
    <w:rsid w:val="008312F1"/>
    <w:rsid w:val="008314D1"/>
    <w:rsid w:val="00831757"/>
    <w:rsid w:val="0083178B"/>
    <w:rsid w:val="00831A1D"/>
    <w:rsid w:val="00831A60"/>
    <w:rsid w:val="00831B51"/>
    <w:rsid w:val="00831F8D"/>
    <w:rsid w:val="00831F9C"/>
    <w:rsid w:val="00831F9F"/>
    <w:rsid w:val="008321C6"/>
    <w:rsid w:val="00832244"/>
    <w:rsid w:val="008322E8"/>
    <w:rsid w:val="00832315"/>
    <w:rsid w:val="0083262A"/>
    <w:rsid w:val="008326A8"/>
    <w:rsid w:val="0083273C"/>
    <w:rsid w:val="008328AC"/>
    <w:rsid w:val="0083293E"/>
    <w:rsid w:val="008329B9"/>
    <w:rsid w:val="00832A12"/>
    <w:rsid w:val="00832A1E"/>
    <w:rsid w:val="00832C1F"/>
    <w:rsid w:val="008330BA"/>
    <w:rsid w:val="008331C4"/>
    <w:rsid w:val="008333BC"/>
    <w:rsid w:val="0083344C"/>
    <w:rsid w:val="0083377B"/>
    <w:rsid w:val="00833907"/>
    <w:rsid w:val="00833930"/>
    <w:rsid w:val="00833993"/>
    <w:rsid w:val="008339B8"/>
    <w:rsid w:val="00833D56"/>
    <w:rsid w:val="00833FF5"/>
    <w:rsid w:val="00834224"/>
    <w:rsid w:val="00834375"/>
    <w:rsid w:val="00834561"/>
    <w:rsid w:val="00834660"/>
    <w:rsid w:val="008347C2"/>
    <w:rsid w:val="00834C42"/>
    <w:rsid w:val="00834E1C"/>
    <w:rsid w:val="00834E82"/>
    <w:rsid w:val="00835329"/>
    <w:rsid w:val="00835397"/>
    <w:rsid w:val="0083542C"/>
    <w:rsid w:val="00835436"/>
    <w:rsid w:val="0083556A"/>
    <w:rsid w:val="008355E9"/>
    <w:rsid w:val="008355ED"/>
    <w:rsid w:val="00835699"/>
    <w:rsid w:val="008356AA"/>
    <w:rsid w:val="008358A5"/>
    <w:rsid w:val="008358D0"/>
    <w:rsid w:val="0083593D"/>
    <w:rsid w:val="008359BB"/>
    <w:rsid w:val="00835A68"/>
    <w:rsid w:val="00835A97"/>
    <w:rsid w:val="00835C93"/>
    <w:rsid w:val="00835ECC"/>
    <w:rsid w:val="008360AA"/>
    <w:rsid w:val="0083612E"/>
    <w:rsid w:val="008361EE"/>
    <w:rsid w:val="008361F1"/>
    <w:rsid w:val="00836765"/>
    <w:rsid w:val="00836BE6"/>
    <w:rsid w:val="00836E23"/>
    <w:rsid w:val="00836EE2"/>
    <w:rsid w:val="00836FCB"/>
    <w:rsid w:val="0083704F"/>
    <w:rsid w:val="0083718D"/>
    <w:rsid w:val="00837457"/>
    <w:rsid w:val="0083750C"/>
    <w:rsid w:val="0083756E"/>
    <w:rsid w:val="00837594"/>
    <w:rsid w:val="00837638"/>
    <w:rsid w:val="008376D4"/>
    <w:rsid w:val="00837827"/>
    <w:rsid w:val="00837910"/>
    <w:rsid w:val="00837DFE"/>
    <w:rsid w:val="00837E61"/>
    <w:rsid w:val="00837F0B"/>
    <w:rsid w:val="0084004B"/>
    <w:rsid w:val="00840530"/>
    <w:rsid w:val="008406FF"/>
    <w:rsid w:val="00840792"/>
    <w:rsid w:val="0084081B"/>
    <w:rsid w:val="0084084A"/>
    <w:rsid w:val="008408DB"/>
    <w:rsid w:val="00840B17"/>
    <w:rsid w:val="00840B42"/>
    <w:rsid w:val="00840D32"/>
    <w:rsid w:val="00840D5A"/>
    <w:rsid w:val="00840D86"/>
    <w:rsid w:val="00840DAA"/>
    <w:rsid w:val="00840E32"/>
    <w:rsid w:val="00840E54"/>
    <w:rsid w:val="00840EDC"/>
    <w:rsid w:val="00840F1B"/>
    <w:rsid w:val="00841034"/>
    <w:rsid w:val="00841071"/>
    <w:rsid w:val="008410AE"/>
    <w:rsid w:val="008412D1"/>
    <w:rsid w:val="00841511"/>
    <w:rsid w:val="00841536"/>
    <w:rsid w:val="0084164F"/>
    <w:rsid w:val="008416FF"/>
    <w:rsid w:val="00841727"/>
    <w:rsid w:val="008417DE"/>
    <w:rsid w:val="00841887"/>
    <w:rsid w:val="00841A28"/>
    <w:rsid w:val="00841AAF"/>
    <w:rsid w:val="00841AC5"/>
    <w:rsid w:val="00841B2B"/>
    <w:rsid w:val="00842275"/>
    <w:rsid w:val="0084252A"/>
    <w:rsid w:val="00842569"/>
    <w:rsid w:val="008425EE"/>
    <w:rsid w:val="00842750"/>
    <w:rsid w:val="0084285C"/>
    <w:rsid w:val="00842A02"/>
    <w:rsid w:val="00842A52"/>
    <w:rsid w:val="00842A71"/>
    <w:rsid w:val="00842AA9"/>
    <w:rsid w:val="00842B84"/>
    <w:rsid w:val="00842CBD"/>
    <w:rsid w:val="00842CC0"/>
    <w:rsid w:val="00842DAC"/>
    <w:rsid w:val="00842E49"/>
    <w:rsid w:val="00842FB5"/>
    <w:rsid w:val="0084307E"/>
    <w:rsid w:val="00843081"/>
    <w:rsid w:val="0084343A"/>
    <w:rsid w:val="00843510"/>
    <w:rsid w:val="0084353D"/>
    <w:rsid w:val="00843794"/>
    <w:rsid w:val="008439BE"/>
    <w:rsid w:val="00843DE9"/>
    <w:rsid w:val="0084410A"/>
    <w:rsid w:val="008442A0"/>
    <w:rsid w:val="00844600"/>
    <w:rsid w:val="00844775"/>
    <w:rsid w:val="00844AAC"/>
    <w:rsid w:val="00844B81"/>
    <w:rsid w:val="00844BEF"/>
    <w:rsid w:val="00844D23"/>
    <w:rsid w:val="008450C3"/>
    <w:rsid w:val="008454DC"/>
    <w:rsid w:val="008457F2"/>
    <w:rsid w:val="00845820"/>
    <w:rsid w:val="0084593C"/>
    <w:rsid w:val="0084594B"/>
    <w:rsid w:val="00845BAF"/>
    <w:rsid w:val="00845BB6"/>
    <w:rsid w:val="00845CA9"/>
    <w:rsid w:val="00845CC2"/>
    <w:rsid w:val="00845D76"/>
    <w:rsid w:val="00845EAB"/>
    <w:rsid w:val="00845EC6"/>
    <w:rsid w:val="00846017"/>
    <w:rsid w:val="008465B1"/>
    <w:rsid w:val="00846725"/>
    <w:rsid w:val="00846A34"/>
    <w:rsid w:val="00846B6B"/>
    <w:rsid w:val="00846B71"/>
    <w:rsid w:val="00846BB5"/>
    <w:rsid w:val="00846EBB"/>
    <w:rsid w:val="00846EE9"/>
    <w:rsid w:val="00846F81"/>
    <w:rsid w:val="00847013"/>
    <w:rsid w:val="008470AA"/>
    <w:rsid w:val="008472BF"/>
    <w:rsid w:val="008476D6"/>
    <w:rsid w:val="008476E6"/>
    <w:rsid w:val="00847814"/>
    <w:rsid w:val="00847CAD"/>
    <w:rsid w:val="00847D9C"/>
    <w:rsid w:val="00847DA4"/>
    <w:rsid w:val="00847ECB"/>
    <w:rsid w:val="00847F10"/>
    <w:rsid w:val="00850123"/>
    <w:rsid w:val="008501A6"/>
    <w:rsid w:val="008501C5"/>
    <w:rsid w:val="00850206"/>
    <w:rsid w:val="0085031A"/>
    <w:rsid w:val="00850423"/>
    <w:rsid w:val="008506E2"/>
    <w:rsid w:val="008508CC"/>
    <w:rsid w:val="00850939"/>
    <w:rsid w:val="00850959"/>
    <w:rsid w:val="00850A61"/>
    <w:rsid w:val="00850C81"/>
    <w:rsid w:val="00850D09"/>
    <w:rsid w:val="00850D5D"/>
    <w:rsid w:val="00850EB4"/>
    <w:rsid w:val="00850F3B"/>
    <w:rsid w:val="0085100B"/>
    <w:rsid w:val="0085103F"/>
    <w:rsid w:val="00851040"/>
    <w:rsid w:val="00851267"/>
    <w:rsid w:val="008512C1"/>
    <w:rsid w:val="008512D5"/>
    <w:rsid w:val="00851327"/>
    <w:rsid w:val="00851462"/>
    <w:rsid w:val="00851480"/>
    <w:rsid w:val="00851556"/>
    <w:rsid w:val="008515D3"/>
    <w:rsid w:val="0085166A"/>
    <w:rsid w:val="00851686"/>
    <w:rsid w:val="00851727"/>
    <w:rsid w:val="00851808"/>
    <w:rsid w:val="0085195E"/>
    <w:rsid w:val="00851B33"/>
    <w:rsid w:val="00851C04"/>
    <w:rsid w:val="00851CA2"/>
    <w:rsid w:val="00851D32"/>
    <w:rsid w:val="00851E96"/>
    <w:rsid w:val="008521C8"/>
    <w:rsid w:val="008521D5"/>
    <w:rsid w:val="00852229"/>
    <w:rsid w:val="00852263"/>
    <w:rsid w:val="0085258C"/>
    <w:rsid w:val="00852741"/>
    <w:rsid w:val="008528F2"/>
    <w:rsid w:val="00852A0A"/>
    <w:rsid w:val="00852B24"/>
    <w:rsid w:val="00852BC8"/>
    <w:rsid w:val="00852CC3"/>
    <w:rsid w:val="00852DE3"/>
    <w:rsid w:val="00852F9E"/>
    <w:rsid w:val="00853006"/>
    <w:rsid w:val="00853029"/>
    <w:rsid w:val="008532AF"/>
    <w:rsid w:val="008534DD"/>
    <w:rsid w:val="00853614"/>
    <w:rsid w:val="008536C5"/>
    <w:rsid w:val="008537DC"/>
    <w:rsid w:val="00853864"/>
    <w:rsid w:val="008538E8"/>
    <w:rsid w:val="00853B80"/>
    <w:rsid w:val="00853E67"/>
    <w:rsid w:val="008540A2"/>
    <w:rsid w:val="0085425D"/>
    <w:rsid w:val="008543CD"/>
    <w:rsid w:val="0085473D"/>
    <w:rsid w:val="00854740"/>
    <w:rsid w:val="008547D1"/>
    <w:rsid w:val="008547F2"/>
    <w:rsid w:val="00854826"/>
    <w:rsid w:val="00854DAF"/>
    <w:rsid w:val="00854E21"/>
    <w:rsid w:val="00854F05"/>
    <w:rsid w:val="00855060"/>
    <w:rsid w:val="00855243"/>
    <w:rsid w:val="00855547"/>
    <w:rsid w:val="00855921"/>
    <w:rsid w:val="00855951"/>
    <w:rsid w:val="00855AE7"/>
    <w:rsid w:val="00855AFD"/>
    <w:rsid w:val="00855B01"/>
    <w:rsid w:val="00855B3E"/>
    <w:rsid w:val="00855D96"/>
    <w:rsid w:val="00855E91"/>
    <w:rsid w:val="00855F3E"/>
    <w:rsid w:val="008560D3"/>
    <w:rsid w:val="00856367"/>
    <w:rsid w:val="00856381"/>
    <w:rsid w:val="00856654"/>
    <w:rsid w:val="008566BA"/>
    <w:rsid w:val="008567EE"/>
    <w:rsid w:val="00856991"/>
    <w:rsid w:val="00856ACD"/>
    <w:rsid w:val="00856B42"/>
    <w:rsid w:val="00856C83"/>
    <w:rsid w:val="00856D6B"/>
    <w:rsid w:val="00856D6D"/>
    <w:rsid w:val="00856DE0"/>
    <w:rsid w:val="00856E78"/>
    <w:rsid w:val="00856E96"/>
    <w:rsid w:val="00856F65"/>
    <w:rsid w:val="00856FA9"/>
    <w:rsid w:val="00857170"/>
    <w:rsid w:val="008571F8"/>
    <w:rsid w:val="008574A5"/>
    <w:rsid w:val="00857538"/>
    <w:rsid w:val="008575D9"/>
    <w:rsid w:val="0085763A"/>
    <w:rsid w:val="0085775C"/>
    <w:rsid w:val="00857793"/>
    <w:rsid w:val="008577A7"/>
    <w:rsid w:val="00857969"/>
    <w:rsid w:val="008579ED"/>
    <w:rsid w:val="00857A5C"/>
    <w:rsid w:val="00857BDE"/>
    <w:rsid w:val="00857C79"/>
    <w:rsid w:val="00857D1A"/>
    <w:rsid w:val="00857EA6"/>
    <w:rsid w:val="00857FEE"/>
    <w:rsid w:val="0086025F"/>
    <w:rsid w:val="008603B9"/>
    <w:rsid w:val="00860490"/>
    <w:rsid w:val="008604B1"/>
    <w:rsid w:val="00860793"/>
    <w:rsid w:val="008607CC"/>
    <w:rsid w:val="0086096E"/>
    <w:rsid w:val="00860C1E"/>
    <w:rsid w:val="00860CD3"/>
    <w:rsid w:val="00860F45"/>
    <w:rsid w:val="00860F50"/>
    <w:rsid w:val="00860FB6"/>
    <w:rsid w:val="008610D1"/>
    <w:rsid w:val="008610F8"/>
    <w:rsid w:val="00861225"/>
    <w:rsid w:val="0086126B"/>
    <w:rsid w:val="00861398"/>
    <w:rsid w:val="00861549"/>
    <w:rsid w:val="00861681"/>
    <w:rsid w:val="008616E2"/>
    <w:rsid w:val="00861790"/>
    <w:rsid w:val="00861906"/>
    <w:rsid w:val="00861A56"/>
    <w:rsid w:val="00861B1F"/>
    <w:rsid w:val="00861B27"/>
    <w:rsid w:val="00861C4D"/>
    <w:rsid w:val="00861E8F"/>
    <w:rsid w:val="00862027"/>
    <w:rsid w:val="00862067"/>
    <w:rsid w:val="008620BE"/>
    <w:rsid w:val="008622A8"/>
    <w:rsid w:val="008623E7"/>
    <w:rsid w:val="00862549"/>
    <w:rsid w:val="008625DD"/>
    <w:rsid w:val="008627ED"/>
    <w:rsid w:val="00862986"/>
    <w:rsid w:val="00862A5C"/>
    <w:rsid w:val="00862A6E"/>
    <w:rsid w:val="00862AFD"/>
    <w:rsid w:val="00862C80"/>
    <w:rsid w:val="00862E1E"/>
    <w:rsid w:val="00862EBD"/>
    <w:rsid w:val="00862EDC"/>
    <w:rsid w:val="00862FC2"/>
    <w:rsid w:val="00863058"/>
    <w:rsid w:val="00863269"/>
    <w:rsid w:val="008633D4"/>
    <w:rsid w:val="00863585"/>
    <w:rsid w:val="0086384B"/>
    <w:rsid w:val="00863B4A"/>
    <w:rsid w:val="00863BBC"/>
    <w:rsid w:val="00863BF6"/>
    <w:rsid w:val="00863E6E"/>
    <w:rsid w:val="00863EBD"/>
    <w:rsid w:val="00863F0C"/>
    <w:rsid w:val="00864001"/>
    <w:rsid w:val="0086402E"/>
    <w:rsid w:val="00864051"/>
    <w:rsid w:val="0086409F"/>
    <w:rsid w:val="0086422A"/>
    <w:rsid w:val="008643E6"/>
    <w:rsid w:val="00864501"/>
    <w:rsid w:val="00864649"/>
    <w:rsid w:val="00864988"/>
    <w:rsid w:val="00864B48"/>
    <w:rsid w:val="00864B7F"/>
    <w:rsid w:val="00864EA1"/>
    <w:rsid w:val="0086511E"/>
    <w:rsid w:val="00865256"/>
    <w:rsid w:val="008652B4"/>
    <w:rsid w:val="008653AE"/>
    <w:rsid w:val="0086547D"/>
    <w:rsid w:val="00865600"/>
    <w:rsid w:val="00865DAE"/>
    <w:rsid w:val="00865F2E"/>
    <w:rsid w:val="00866020"/>
    <w:rsid w:val="00866035"/>
    <w:rsid w:val="008660F0"/>
    <w:rsid w:val="008662C7"/>
    <w:rsid w:val="008663F8"/>
    <w:rsid w:val="008664BD"/>
    <w:rsid w:val="008664C3"/>
    <w:rsid w:val="00866593"/>
    <w:rsid w:val="008666B5"/>
    <w:rsid w:val="00866B26"/>
    <w:rsid w:val="00866BE6"/>
    <w:rsid w:val="00866C2B"/>
    <w:rsid w:val="00866CA4"/>
    <w:rsid w:val="00866CD5"/>
    <w:rsid w:val="00866E32"/>
    <w:rsid w:val="00866E52"/>
    <w:rsid w:val="00866F48"/>
    <w:rsid w:val="00867497"/>
    <w:rsid w:val="008674EC"/>
    <w:rsid w:val="0086754F"/>
    <w:rsid w:val="00867778"/>
    <w:rsid w:val="00867BCC"/>
    <w:rsid w:val="00867C03"/>
    <w:rsid w:val="00867C6B"/>
    <w:rsid w:val="00867CFA"/>
    <w:rsid w:val="008703EC"/>
    <w:rsid w:val="008705F2"/>
    <w:rsid w:val="0087063E"/>
    <w:rsid w:val="00870839"/>
    <w:rsid w:val="00870BD2"/>
    <w:rsid w:val="00870C54"/>
    <w:rsid w:val="00870C9E"/>
    <w:rsid w:val="00870D99"/>
    <w:rsid w:val="00870DC2"/>
    <w:rsid w:val="00870E74"/>
    <w:rsid w:val="00871141"/>
    <w:rsid w:val="008712BE"/>
    <w:rsid w:val="00871382"/>
    <w:rsid w:val="008713DA"/>
    <w:rsid w:val="0087155C"/>
    <w:rsid w:val="00871674"/>
    <w:rsid w:val="008716EF"/>
    <w:rsid w:val="008718D6"/>
    <w:rsid w:val="00871A8F"/>
    <w:rsid w:val="00871FD2"/>
    <w:rsid w:val="0087207C"/>
    <w:rsid w:val="00872117"/>
    <w:rsid w:val="008721E3"/>
    <w:rsid w:val="0087228E"/>
    <w:rsid w:val="00872301"/>
    <w:rsid w:val="008724F1"/>
    <w:rsid w:val="00872518"/>
    <w:rsid w:val="0087259E"/>
    <w:rsid w:val="008725C7"/>
    <w:rsid w:val="0087272B"/>
    <w:rsid w:val="00872782"/>
    <w:rsid w:val="008728A3"/>
    <w:rsid w:val="00872BD2"/>
    <w:rsid w:val="00872FEC"/>
    <w:rsid w:val="0087306B"/>
    <w:rsid w:val="0087309C"/>
    <w:rsid w:val="008730C3"/>
    <w:rsid w:val="0087343D"/>
    <w:rsid w:val="0087369B"/>
    <w:rsid w:val="008736FD"/>
    <w:rsid w:val="00873826"/>
    <w:rsid w:val="00873850"/>
    <w:rsid w:val="0087392A"/>
    <w:rsid w:val="0087395C"/>
    <w:rsid w:val="00873BC0"/>
    <w:rsid w:val="00873CE1"/>
    <w:rsid w:val="00873D2E"/>
    <w:rsid w:val="00873FA4"/>
    <w:rsid w:val="00873FEC"/>
    <w:rsid w:val="00874034"/>
    <w:rsid w:val="008741BD"/>
    <w:rsid w:val="00874297"/>
    <w:rsid w:val="008743B0"/>
    <w:rsid w:val="008745BC"/>
    <w:rsid w:val="0087463B"/>
    <w:rsid w:val="00874669"/>
    <w:rsid w:val="00874715"/>
    <w:rsid w:val="00874D27"/>
    <w:rsid w:val="00874DEF"/>
    <w:rsid w:val="00874EFE"/>
    <w:rsid w:val="00874F68"/>
    <w:rsid w:val="00875082"/>
    <w:rsid w:val="008752A6"/>
    <w:rsid w:val="00875320"/>
    <w:rsid w:val="0087535E"/>
    <w:rsid w:val="00875367"/>
    <w:rsid w:val="008756B4"/>
    <w:rsid w:val="008756E8"/>
    <w:rsid w:val="0087577F"/>
    <w:rsid w:val="00875954"/>
    <w:rsid w:val="00875992"/>
    <w:rsid w:val="008759E9"/>
    <w:rsid w:val="00875B58"/>
    <w:rsid w:val="00875CAB"/>
    <w:rsid w:val="00875D9C"/>
    <w:rsid w:val="00875DCF"/>
    <w:rsid w:val="00875E6F"/>
    <w:rsid w:val="0087642D"/>
    <w:rsid w:val="008765CE"/>
    <w:rsid w:val="0087699F"/>
    <w:rsid w:val="00876A0F"/>
    <w:rsid w:val="00876BFE"/>
    <w:rsid w:val="00876CE2"/>
    <w:rsid w:val="00876D60"/>
    <w:rsid w:val="00876F35"/>
    <w:rsid w:val="0087712C"/>
    <w:rsid w:val="008773D3"/>
    <w:rsid w:val="00877482"/>
    <w:rsid w:val="008775F4"/>
    <w:rsid w:val="008777EE"/>
    <w:rsid w:val="008778A2"/>
    <w:rsid w:val="00877936"/>
    <w:rsid w:val="00877A1F"/>
    <w:rsid w:val="00877AB3"/>
    <w:rsid w:val="00877CBE"/>
    <w:rsid w:val="00877E70"/>
    <w:rsid w:val="00877FD1"/>
    <w:rsid w:val="00880265"/>
    <w:rsid w:val="008803C1"/>
    <w:rsid w:val="008805CE"/>
    <w:rsid w:val="008805F5"/>
    <w:rsid w:val="008807E7"/>
    <w:rsid w:val="008809A3"/>
    <w:rsid w:val="00880A7D"/>
    <w:rsid w:val="00880B21"/>
    <w:rsid w:val="00880C3C"/>
    <w:rsid w:val="00880EFB"/>
    <w:rsid w:val="00880F71"/>
    <w:rsid w:val="00881146"/>
    <w:rsid w:val="00881280"/>
    <w:rsid w:val="00881528"/>
    <w:rsid w:val="00881608"/>
    <w:rsid w:val="00881634"/>
    <w:rsid w:val="00881691"/>
    <w:rsid w:val="008816B2"/>
    <w:rsid w:val="008816C5"/>
    <w:rsid w:val="008818FE"/>
    <w:rsid w:val="00881B71"/>
    <w:rsid w:val="00881CB7"/>
    <w:rsid w:val="00881D77"/>
    <w:rsid w:val="00881FBD"/>
    <w:rsid w:val="00882188"/>
    <w:rsid w:val="00882286"/>
    <w:rsid w:val="0088235E"/>
    <w:rsid w:val="0088237F"/>
    <w:rsid w:val="00882497"/>
    <w:rsid w:val="008824A7"/>
    <w:rsid w:val="00882553"/>
    <w:rsid w:val="00882560"/>
    <w:rsid w:val="00882615"/>
    <w:rsid w:val="008826C3"/>
    <w:rsid w:val="008827D0"/>
    <w:rsid w:val="00882888"/>
    <w:rsid w:val="00882909"/>
    <w:rsid w:val="0088295B"/>
    <w:rsid w:val="00882984"/>
    <w:rsid w:val="00882C3C"/>
    <w:rsid w:val="00882D5D"/>
    <w:rsid w:val="00882D6F"/>
    <w:rsid w:val="00882E4A"/>
    <w:rsid w:val="00882ECC"/>
    <w:rsid w:val="00882EF8"/>
    <w:rsid w:val="00882F2F"/>
    <w:rsid w:val="0088302F"/>
    <w:rsid w:val="0088307A"/>
    <w:rsid w:val="008831BB"/>
    <w:rsid w:val="008832A1"/>
    <w:rsid w:val="0088332A"/>
    <w:rsid w:val="0088363E"/>
    <w:rsid w:val="008839F9"/>
    <w:rsid w:val="00883ADC"/>
    <w:rsid w:val="00883ADE"/>
    <w:rsid w:val="00883AF5"/>
    <w:rsid w:val="00883B72"/>
    <w:rsid w:val="0088411D"/>
    <w:rsid w:val="008843F9"/>
    <w:rsid w:val="0088448B"/>
    <w:rsid w:val="008845A8"/>
    <w:rsid w:val="008846DD"/>
    <w:rsid w:val="008848AA"/>
    <w:rsid w:val="008848B7"/>
    <w:rsid w:val="00884B2D"/>
    <w:rsid w:val="00884C19"/>
    <w:rsid w:val="00884F29"/>
    <w:rsid w:val="00885079"/>
    <w:rsid w:val="00885198"/>
    <w:rsid w:val="008851EB"/>
    <w:rsid w:val="008853F6"/>
    <w:rsid w:val="00885493"/>
    <w:rsid w:val="008855F6"/>
    <w:rsid w:val="00885726"/>
    <w:rsid w:val="00885757"/>
    <w:rsid w:val="008859EC"/>
    <w:rsid w:val="00885A0F"/>
    <w:rsid w:val="00885A1F"/>
    <w:rsid w:val="00885B61"/>
    <w:rsid w:val="00885B89"/>
    <w:rsid w:val="00885CB8"/>
    <w:rsid w:val="00885CBE"/>
    <w:rsid w:val="00885CCB"/>
    <w:rsid w:val="00885D8F"/>
    <w:rsid w:val="00885F58"/>
    <w:rsid w:val="00885FF1"/>
    <w:rsid w:val="00886019"/>
    <w:rsid w:val="0088601A"/>
    <w:rsid w:val="0088603A"/>
    <w:rsid w:val="0088604F"/>
    <w:rsid w:val="008860CA"/>
    <w:rsid w:val="008861B4"/>
    <w:rsid w:val="008861F9"/>
    <w:rsid w:val="00886236"/>
    <w:rsid w:val="00886293"/>
    <w:rsid w:val="00886405"/>
    <w:rsid w:val="00886438"/>
    <w:rsid w:val="008864DB"/>
    <w:rsid w:val="008865D2"/>
    <w:rsid w:val="00886626"/>
    <w:rsid w:val="00886748"/>
    <w:rsid w:val="008867BA"/>
    <w:rsid w:val="00886C9C"/>
    <w:rsid w:val="00886CB9"/>
    <w:rsid w:val="00886DDB"/>
    <w:rsid w:val="00886E42"/>
    <w:rsid w:val="00886EAC"/>
    <w:rsid w:val="00886F70"/>
    <w:rsid w:val="00886FC5"/>
    <w:rsid w:val="0088709E"/>
    <w:rsid w:val="008870A5"/>
    <w:rsid w:val="008871E8"/>
    <w:rsid w:val="00887208"/>
    <w:rsid w:val="00887352"/>
    <w:rsid w:val="008873BD"/>
    <w:rsid w:val="008874A8"/>
    <w:rsid w:val="00887654"/>
    <w:rsid w:val="00887687"/>
    <w:rsid w:val="008876E9"/>
    <w:rsid w:val="00887763"/>
    <w:rsid w:val="008878E1"/>
    <w:rsid w:val="00887AAB"/>
    <w:rsid w:val="00887B83"/>
    <w:rsid w:val="00887D25"/>
    <w:rsid w:val="00887F05"/>
    <w:rsid w:val="00890076"/>
    <w:rsid w:val="00890126"/>
    <w:rsid w:val="008905EA"/>
    <w:rsid w:val="0089061D"/>
    <w:rsid w:val="008908BD"/>
    <w:rsid w:val="0089097F"/>
    <w:rsid w:val="00890AAB"/>
    <w:rsid w:val="00890AF3"/>
    <w:rsid w:val="00890C9D"/>
    <w:rsid w:val="00890D60"/>
    <w:rsid w:val="00890DB9"/>
    <w:rsid w:val="00890FFB"/>
    <w:rsid w:val="00891005"/>
    <w:rsid w:val="0089109F"/>
    <w:rsid w:val="008910FA"/>
    <w:rsid w:val="00891108"/>
    <w:rsid w:val="00891182"/>
    <w:rsid w:val="008911A9"/>
    <w:rsid w:val="008911F2"/>
    <w:rsid w:val="0089121C"/>
    <w:rsid w:val="0089121E"/>
    <w:rsid w:val="008912F3"/>
    <w:rsid w:val="00891368"/>
    <w:rsid w:val="00891A78"/>
    <w:rsid w:val="00891A91"/>
    <w:rsid w:val="00891CE3"/>
    <w:rsid w:val="00891D3C"/>
    <w:rsid w:val="008920E1"/>
    <w:rsid w:val="0089269B"/>
    <w:rsid w:val="0089275E"/>
    <w:rsid w:val="00892A1E"/>
    <w:rsid w:val="00892A3D"/>
    <w:rsid w:val="00892A84"/>
    <w:rsid w:val="00892EFE"/>
    <w:rsid w:val="00892F71"/>
    <w:rsid w:val="00892FB3"/>
    <w:rsid w:val="0089305A"/>
    <w:rsid w:val="008935CE"/>
    <w:rsid w:val="00893626"/>
    <w:rsid w:val="0089399F"/>
    <w:rsid w:val="00893A91"/>
    <w:rsid w:val="00893C13"/>
    <w:rsid w:val="00893F76"/>
    <w:rsid w:val="0089427E"/>
    <w:rsid w:val="008943BA"/>
    <w:rsid w:val="00894614"/>
    <w:rsid w:val="00894AE9"/>
    <w:rsid w:val="00894DB6"/>
    <w:rsid w:val="00894E3E"/>
    <w:rsid w:val="00894EE4"/>
    <w:rsid w:val="0089503C"/>
    <w:rsid w:val="0089506A"/>
    <w:rsid w:val="008950D6"/>
    <w:rsid w:val="008951EF"/>
    <w:rsid w:val="0089529E"/>
    <w:rsid w:val="008954E3"/>
    <w:rsid w:val="00895596"/>
    <w:rsid w:val="008955E1"/>
    <w:rsid w:val="008957CD"/>
    <w:rsid w:val="008959AE"/>
    <w:rsid w:val="008959F0"/>
    <w:rsid w:val="00895A1C"/>
    <w:rsid w:val="00895A23"/>
    <w:rsid w:val="008961AE"/>
    <w:rsid w:val="00896416"/>
    <w:rsid w:val="008965DD"/>
    <w:rsid w:val="00896751"/>
    <w:rsid w:val="00896BA2"/>
    <w:rsid w:val="00896C5B"/>
    <w:rsid w:val="008970F7"/>
    <w:rsid w:val="0089722A"/>
    <w:rsid w:val="0089728C"/>
    <w:rsid w:val="00897544"/>
    <w:rsid w:val="00897983"/>
    <w:rsid w:val="00897B54"/>
    <w:rsid w:val="00897B80"/>
    <w:rsid w:val="00897DD5"/>
    <w:rsid w:val="00897E3B"/>
    <w:rsid w:val="00897F1B"/>
    <w:rsid w:val="00897F9B"/>
    <w:rsid w:val="008A0082"/>
    <w:rsid w:val="008A01CF"/>
    <w:rsid w:val="008A0371"/>
    <w:rsid w:val="008A05C0"/>
    <w:rsid w:val="008A0628"/>
    <w:rsid w:val="008A074C"/>
    <w:rsid w:val="008A07F1"/>
    <w:rsid w:val="008A082B"/>
    <w:rsid w:val="008A0AF3"/>
    <w:rsid w:val="008A0B04"/>
    <w:rsid w:val="008A0D87"/>
    <w:rsid w:val="008A0D97"/>
    <w:rsid w:val="008A0DC4"/>
    <w:rsid w:val="008A0F37"/>
    <w:rsid w:val="008A112F"/>
    <w:rsid w:val="008A1198"/>
    <w:rsid w:val="008A11F6"/>
    <w:rsid w:val="008A123E"/>
    <w:rsid w:val="008A1421"/>
    <w:rsid w:val="008A1500"/>
    <w:rsid w:val="008A1596"/>
    <w:rsid w:val="008A16B4"/>
    <w:rsid w:val="008A1711"/>
    <w:rsid w:val="008A1835"/>
    <w:rsid w:val="008A18C9"/>
    <w:rsid w:val="008A1918"/>
    <w:rsid w:val="008A1941"/>
    <w:rsid w:val="008A1959"/>
    <w:rsid w:val="008A1A24"/>
    <w:rsid w:val="008A1A60"/>
    <w:rsid w:val="008A1BFB"/>
    <w:rsid w:val="008A1C3E"/>
    <w:rsid w:val="008A1E0B"/>
    <w:rsid w:val="008A1F23"/>
    <w:rsid w:val="008A1F3D"/>
    <w:rsid w:val="008A20BE"/>
    <w:rsid w:val="008A2176"/>
    <w:rsid w:val="008A23ED"/>
    <w:rsid w:val="008A2575"/>
    <w:rsid w:val="008A25EF"/>
    <w:rsid w:val="008A271C"/>
    <w:rsid w:val="008A2758"/>
    <w:rsid w:val="008A2768"/>
    <w:rsid w:val="008A2814"/>
    <w:rsid w:val="008A294D"/>
    <w:rsid w:val="008A294E"/>
    <w:rsid w:val="008A2A1A"/>
    <w:rsid w:val="008A2A73"/>
    <w:rsid w:val="008A2C3F"/>
    <w:rsid w:val="008A2C81"/>
    <w:rsid w:val="008A2CBF"/>
    <w:rsid w:val="008A2F82"/>
    <w:rsid w:val="008A3124"/>
    <w:rsid w:val="008A31D4"/>
    <w:rsid w:val="008A31F7"/>
    <w:rsid w:val="008A3360"/>
    <w:rsid w:val="008A337E"/>
    <w:rsid w:val="008A33A8"/>
    <w:rsid w:val="008A33DE"/>
    <w:rsid w:val="008A3715"/>
    <w:rsid w:val="008A38AA"/>
    <w:rsid w:val="008A3B18"/>
    <w:rsid w:val="008A3CEF"/>
    <w:rsid w:val="008A3E07"/>
    <w:rsid w:val="008A3FBA"/>
    <w:rsid w:val="008A4063"/>
    <w:rsid w:val="008A40D7"/>
    <w:rsid w:val="008A4106"/>
    <w:rsid w:val="008A41B4"/>
    <w:rsid w:val="008A4320"/>
    <w:rsid w:val="008A4559"/>
    <w:rsid w:val="008A456A"/>
    <w:rsid w:val="008A4615"/>
    <w:rsid w:val="008A47A7"/>
    <w:rsid w:val="008A4B9F"/>
    <w:rsid w:val="008A4D4B"/>
    <w:rsid w:val="008A4D6A"/>
    <w:rsid w:val="008A4E76"/>
    <w:rsid w:val="008A5023"/>
    <w:rsid w:val="008A50EE"/>
    <w:rsid w:val="008A5134"/>
    <w:rsid w:val="008A523F"/>
    <w:rsid w:val="008A5272"/>
    <w:rsid w:val="008A537A"/>
    <w:rsid w:val="008A545C"/>
    <w:rsid w:val="008A57F7"/>
    <w:rsid w:val="008A5A1C"/>
    <w:rsid w:val="008A5CA9"/>
    <w:rsid w:val="008A5D34"/>
    <w:rsid w:val="008A5DFE"/>
    <w:rsid w:val="008A5E77"/>
    <w:rsid w:val="008A60D7"/>
    <w:rsid w:val="008A6464"/>
    <w:rsid w:val="008A649C"/>
    <w:rsid w:val="008A661D"/>
    <w:rsid w:val="008A67AB"/>
    <w:rsid w:val="008A67BE"/>
    <w:rsid w:val="008A6AE8"/>
    <w:rsid w:val="008A6C48"/>
    <w:rsid w:val="008A6C83"/>
    <w:rsid w:val="008A732F"/>
    <w:rsid w:val="008A7336"/>
    <w:rsid w:val="008A74F3"/>
    <w:rsid w:val="008A773D"/>
    <w:rsid w:val="008A77F6"/>
    <w:rsid w:val="008A7874"/>
    <w:rsid w:val="008A798D"/>
    <w:rsid w:val="008A79D9"/>
    <w:rsid w:val="008A7BA0"/>
    <w:rsid w:val="008A7BA3"/>
    <w:rsid w:val="008A7C09"/>
    <w:rsid w:val="008A7C31"/>
    <w:rsid w:val="008A7C53"/>
    <w:rsid w:val="008A7C7B"/>
    <w:rsid w:val="008A7DAF"/>
    <w:rsid w:val="008A7F25"/>
    <w:rsid w:val="008B016F"/>
    <w:rsid w:val="008B0197"/>
    <w:rsid w:val="008B03B2"/>
    <w:rsid w:val="008B03CF"/>
    <w:rsid w:val="008B0422"/>
    <w:rsid w:val="008B048A"/>
    <w:rsid w:val="008B04A3"/>
    <w:rsid w:val="008B05FC"/>
    <w:rsid w:val="008B07D1"/>
    <w:rsid w:val="008B0915"/>
    <w:rsid w:val="008B0A28"/>
    <w:rsid w:val="008B0C8A"/>
    <w:rsid w:val="008B0D39"/>
    <w:rsid w:val="008B0D68"/>
    <w:rsid w:val="008B0DC5"/>
    <w:rsid w:val="008B0E87"/>
    <w:rsid w:val="008B0F67"/>
    <w:rsid w:val="008B0F96"/>
    <w:rsid w:val="008B1180"/>
    <w:rsid w:val="008B1244"/>
    <w:rsid w:val="008B126F"/>
    <w:rsid w:val="008B159B"/>
    <w:rsid w:val="008B15AB"/>
    <w:rsid w:val="008B17F8"/>
    <w:rsid w:val="008B18D5"/>
    <w:rsid w:val="008B1933"/>
    <w:rsid w:val="008B19E0"/>
    <w:rsid w:val="008B1CCB"/>
    <w:rsid w:val="008B1DBB"/>
    <w:rsid w:val="008B1DED"/>
    <w:rsid w:val="008B1E5B"/>
    <w:rsid w:val="008B2478"/>
    <w:rsid w:val="008B24B5"/>
    <w:rsid w:val="008B2624"/>
    <w:rsid w:val="008B27E2"/>
    <w:rsid w:val="008B2854"/>
    <w:rsid w:val="008B2AC6"/>
    <w:rsid w:val="008B2EF9"/>
    <w:rsid w:val="008B2FA9"/>
    <w:rsid w:val="008B302E"/>
    <w:rsid w:val="008B3107"/>
    <w:rsid w:val="008B31B7"/>
    <w:rsid w:val="008B328C"/>
    <w:rsid w:val="008B3315"/>
    <w:rsid w:val="008B33B9"/>
    <w:rsid w:val="008B3433"/>
    <w:rsid w:val="008B3577"/>
    <w:rsid w:val="008B37A8"/>
    <w:rsid w:val="008B3826"/>
    <w:rsid w:val="008B3979"/>
    <w:rsid w:val="008B3A63"/>
    <w:rsid w:val="008B3A70"/>
    <w:rsid w:val="008B3CA5"/>
    <w:rsid w:val="008B3CF1"/>
    <w:rsid w:val="008B3F49"/>
    <w:rsid w:val="008B3F74"/>
    <w:rsid w:val="008B4013"/>
    <w:rsid w:val="008B4179"/>
    <w:rsid w:val="008B41C5"/>
    <w:rsid w:val="008B4316"/>
    <w:rsid w:val="008B4423"/>
    <w:rsid w:val="008B469C"/>
    <w:rsid w:val="008B4803"/>
    <w:rsid w:val="008B4828"/>
    <w:rsid w:val="008B4BE2"/>
    <w:rsid w:val="008B4C3C"/>
    <w:rsid w:val="008B4E49"/>
    <w:rsid w:val="008B4FCE"/>
    <w:rsid w:val="008B501A"/>
    <w:rsid w:val="008B512B"/>
    <w:rsid w:val="008B5149"/>
    <w:rsid w:val="008B52F2"/>
    <w:rsid w:val="008B5509"/>
    <w:rsid w:val="008B550E"/>
    <w:rsid w:val="008B5549"/>
    <w:rsid w:val="008B559A"/>
    <w:rsid w:val="008B578E"/>
    <w:rsid w:val="008B57A3"/>
    <w:rsid w:val="008B5A33"/>
    <w:rsid w:val="008B5AE7"/>
    <w:rsid w:val="008B5AEB"/>
    <w:rsid w:val="008B5BEB"/>
    <w:rsid w:val="008B5C91"/>
    <w:rsid w:val="008B5D75"/>
    <w:rsid w:val="008B5DDB"/>
    <w:rsid w:val="008B5EDC"/>
    <w:rsid w:val="008B61B8"/>
    <w:rsid w:val="008B6207"/>
    <w:rsid w:val="008B647D"/>
    <w:rsid w:val="008B6A68"/>
    <w:rsid w:val="008B6B5E"/>
    <w:rsid w:val="008B6DE3"/>
    <w:rsid w:val="008B71CA"/>
    <w:rsid w:val="008B722C"/>
    <w:rsid w:val="008B73EF"/>
    <w:rsid w:val="008B7493"/>
    <w:rsid w:val="008B7650"/>
    <w:rsid w:val="008B7742"/>
    <w:rsid w:val="008B7792"/>
    <w:rsid w:val="008B782E"/>
    <w:rsid w:val="008B7830"/>
    <w:rsid w:val="008B7957"/>
    <w:rsid w:val="008B7978"/>
    <w:rsid w:val="008B7E95"/>
    <w:rsid w:val="008B7EB7"/>
    <w:rsid w:val="008B7F25"/>
    <w:rsid w:val="008B7FB1"/>
    <w:rsid w:val="008C0036"/>
    <w:rsid w:val="008C0062"/>
    <w:rsid w:val="008C032C"/>
    <w:rsid w:val="008C03F2"/>
    <w:rsid w:val="008C0624"/>
    <w:rsid w:val="008C066E"/>
    <w:rsid w:val="008C069C"/>
    <w:rsid w:val="008C06F2"/>
    <w:rsid w:val="008C07B4"/>
    <w:rsid w:val="008C0B18"/>
    <w:rsid w:val="008C0B86"/>
    <w:rsid w:val="008C0C42"/>
    <w:rsid w:val="008C0D52"/>
    <w:rsid w:val="008C0E41"/>
    <w:rsid w:val="008C0FA4"/>
    <w:rsid w:val="008C1015"/>
    <w:rsid w:val="008C1149"/>
    <w:rsid w:val="008C1273"/>
    <w:rsid w:val="008C1287"/>
    <w:rsid w:val="008C1417"/>
    <w:rsid w:val="008C16EB"/>
    <w:rsid w:val="008C175B"/>
    <w:rsid w:val="008C18E6"/>
    <w:rsid w:val="008C1A12"/>
    <w:rsid w:val="008C1C27"/>
    <w:rsid w:val="008C1C3C"/>
    <w:rsid w:val="008C1D68"/>
    <w:rsid w:val="008C1EE6"/>
    <w:rsid w:val="008C201F"/>
    <w:rsid w:val="008C20AA"/>
    <w:rsid w:val="008C228B"/>
    <w:rsid w:val="008C22E3"/>
    <w:rsid w:val="008C2483"/>
    <w:rsid w:val="008C2492"/>
    <w:rsid w:val="008C254B"/>
    <w:rsid w:val="008C278E"/>
    <w:rsid w:val="008C29CC"/>
    <w:rsid w:val="008C2A25"/>
    <w:rsid w:val="008C2D8B"/>
    <w:rsid w:val="008C31AD"/>
    <w:rsid w:val="008C330D"/>
    <w:rsid w:val="008C3478"/>
    <w:rsid w:val="008C34BC"/>
    <w:rsid w:val="008C3742"/>
    <w:rsid w:val="008C387E"/>
    <w:rsid w:val="008C3926"/>
    <w:rsid w:val="008C3A69"/>
    <w:rsid w:val="008C3AC3"/>
    <w:rsid w:val="008C3B2F"/>
    <w:rsid w:val="008C3C1E"/>
    <w:rsid w:val="008C3FCC"/>
    <w:rsid w:val="008C41CD"/>
    <w:rsid w:val="008C41EE"/>
    <w:rsid w:val="008C4504"/>
    <w:rsid w:val="008C47F2"/>
    <w:rsid w:val="008C48E3"/>
    <w:rsid w:val="008C4976"/>
    <w:rsid w:val="008C4B9B"/>
    <w:rsid w:val="008C4E22"/>
    <w:rsid w:val="008C4ED5"/>
    <w:rsid w:val="008C4EFC"/>
    <w:rsid w:val="008C5088"/>
    <w:rsid w:val="008C50A8"/>
    <w:rsid w:val="008C5196"/>
    <w:rsid w:val="008C55B5"/>
    <w:rsid w:val="008C55D0"/>
    <w:rsid w:val="008C57E2"/>
    <w:rsid w:val="008C590A"/>
    <w:rsid w:val="008C5A48"/>
    <w:rsid w:val="008C5A9F"/>
    <w:rsid w:val="008C5B3F"/>
    <w:rsid w:val="008C5B5C"/>
    <w:rsid w:val="008C5C02"/>
    <w:rsid w:val="008C5D8D"/>
    <w:rsid w:val="008C5F59"/>
    <w:rsid w:val="008C62E9"/>
    <w:rsid w:val="008C6777"/>
    <w:rsid w:val="008C6799"/>
    <w:rsid w:val="008C6861"/>
    <w:rsid w:val="008C69AB"/>
    <w:rsid w:val="008C6B76"/>
    <w:rsid w:val="008C6CA9"/>
    <w:rsid w:val="008C6E36"/>
    <w:rsid w:val="008C704D"/>
    <w:rsid w:val="008C7318"/>
    <w:rsid w:val="008C7486"/>
    <w:rsid w:val="008C7524"/>
    <w:rsid w:val="008C75E0"/>
    <w:rsid w:val="008C767C"/>
    <w:rsid w:val="008C7845"/>
    <w:rsid w:val="008C78AA"/>
    <w:rsid w:val="008C7A81"/>
    <w:rsid w:val="008C7BCC"/>
    <w:rsid w:val="008C7DFB"/>
    <w:rsid w:val="008D006A"/>
    <w:rsid w:val="008D026A"/>
    <w:rsid w:val="008D02AF"/>
    <w:rsid w:val="008D042F"/>
    <w:rsid w:val="008D0459"/>
    <w:rsid w:val="008D06CA"/>
    <w:rsid w:val="008D06DA"/>
    <w:rsid w:val="008D0815"/>
    <w:rsid w:val="008D0860"/>
    <w:rsid w:val="008D0928"/>
    <w:rsid w:val="008D0A2A"/>
    <w:rsid w:val="008D0B91"/>
    <w:rsid w:val="008D0D64"/>
    <w:rsid w:val="008D0D90"/>
    <w:rsid w:val="008D0EF0"/>
    <w:rsid w:val="008D11CF"/>
    <w:rsid w:val="008D12B0"/>
    <w:rsid w:val="008D12E7"/>
    <w:rsid w:val="008D12F9"/>
    <w:rsid w:val="008D14A1"/>
    <w:rsid w:val="008D1528"/>
    <w:rsid w:val="008D1601"/>
    <w:rsid w:val="008D1670"/>
    <w:rsid w:val="008D167B"/>
    <w:rsid w:val="008D1684"/>
    <w:rsid w:val="008D1DF2"/>
    <w:rsid w:val="008D1F5A"/>
    <w:rsid w:val="008D1FFD"/>
    <w:rsid w:val="008D200A"/>
    <w:rsid w:val="008D2083"/>
    <w:rsid w:val="008D222D"/>
    <w:rsid w:val="008D22A1"/>
    <w:rsid w:val="008D2388"/>
    <w:rsid w:val="008D23F0"/>
    <w:rsid w:val="008D264C"/>
    <w:rsid w:val="008D2A4D"/>
    <w:rsid w:val="008D2D76"/>
    <w:rsid w:val="008D2FC9"/>
    <w:rsid w:val="008D308A"/>
    <w:rsid w:val="008D31CB"/>
    <w:rsid w:val="008D33B3"/>
    <w:rsid w:val="008D34CC"/>
    <w:rsid w:val="008D3636"/>
    <w:rsid w:val="008D38F5"/>
    <w:rsid w:val="008D3AC4"/>
    <w:rsid w:val="008D3AE3"/>
    <w:rsid w:val="008D3B28"/>
    <w:rsid w:val="008D40B8"/>
    <w:rsid w:val="008D40DC"/>
    <w:rsid w:val="008D4267"/>
    <w:rsid w:val="008D4294"/>
    <w:rsid w:val="008D43CF"/>
    <w:rsid w:val="008D44D0"/>
    <w:rsid w:val="008D4529"/>
    <w:rsid w:val="008D46E1"/>
    <w:rsid w:val="008D4799"/>
    <w:rsid w:val="008D47AE"/>
    <w:rsid w:val="008D47B4"/>
    <w:rsid w:val="008D48F0"/>
    <w:rsid w:val="008D4A5C"/>
    <w:rsid w:val="008D4B15"/>
    <w:rsid w:val="008D4E82"/>
    <w:rsid w:val="008D4F96"/>
    <w:rsid w:val="008D505E"/>
    <w:rsid w:val="008D5085"/>
    <w:rsid w:val="008D522C"/>
    <w:rsid w:val="008D52C9"/>
    <w:rsid w:val="008D5414"/>
    <w:rsid w:val="008D5703"/>
    <w:rsid w:val="008D57EE"/>
    <w:rsid w:val="008D5948"/>
    <w:rsid w:val="008D5A8B"/>
    <w:rsid w:val="008D5AF7"/>
    <w:rsid w:val="008D5CC4"/>
    <w:rsid w:val="008D5DB5"/>
    <w:rsid w:val="008D5EA3"/>
    <w:rsid w:val="008D5EA4"/>
    <w:rsid w:val="008D612E"/>
    <w:rsid w:val="008D618A"/>
    <w:rsid w:val="008D61E4"/>
    <w:rsid w:val="008D6271"/>
    <w:rsid w:val="008D62E6"/>
    <w:rsid w:val="008D62F3"/>
    <w:rsid w:val="008D631A"/>
    <w:rsid w:val="008D63BC"/>
    <w:rsid w:val="008D6482"/>
    <w:rsid w:val="008D65DD"/>
    <w:rsid w:val="008D6674"/>
    <w:rsid w:val="008D6843"/>
    <w:rsid w:val="008D6952"/>
    <w:rsid w:val="008D6971"/>
    <w:rsid w:val="008D69B4"/>
    <w:rsid w:val="008D6A56"/>
    <w:rsid w:val="008D6C2A"/>
    <w:rsid w:val="008D6F78"/>
    <w:rsid w:val="008D7284"/>
    <w:rsid w:val="008D7285"/>
    <w:rsid w:val="008D73E0"/>
    <w:rsid w:val="008D76AA"/>
    <w:rsid w:val="008D7717"/>
    <w:rsid w:val="008D799E"/>
    <w:rsid w:val="008D7A31"/>
    <w:rsid w:val="008D7A6E"/>
    <w:rsid w:val="008D7AD7"/>
    <w:rsid w:val="008D7DB4"/>
    <w:rsid w:val="008D7EDE"/>
    <w:rsid w:val="008D7EE0"/>
    <w:rsid w:val="008E0433"/>
    <w:rsid w:val="008E0523"/>
    <w:rsid w:val="008E0958"/>
    <w:rsid w:val="008E0A72"/>
    <w:rsid w:val="008E0C59"/>
    <w:rsid w:val="008E0C5B"/>
    <w:rsid w:val="008E0D43"/>
    <w:rsid w:val="008E0F62"/>
    <w:rsid w:val="008E1053"/>
    <w:rsid w:val="008E10FF"/>
    <w:rsid w:val="008E115F"/>
    <w:rsid w:val="008E11B8"/>
    <w:rsid w:val="008E11FE"/>
    <w:rsid w:val="008E1270"/>
    <w:rsid w:val="008E12FD"/>
    <w:rsid w:val="008E13B5"/>
    <w:rsid w:val="008E14BF"/>
    <w:rsid w:val="008E1544"/>
    <w:rsid w:val="008E155D"/>
    <w:rsid w:val="008E15BB"/>
    <w:rsid w:val="008E179C"/>
    <w:rsid w:val="008E1AE0"/>
    <w:rsid w:val="008E1C4A"/>
    <w:rsid w:val="008E1E1B"/>
    <w:rsid w:val="008E1E4E"/>
    <w:rsid w:val="008E1F0C"/>
    <w:rsid w:val="008E1F92"/>
    <w:rsid w:val="008E201E"/>
    <w:rsid w:val="008E20F7"/>
    <w:rsid w:val="008E247E"/>
    <w:rsid w:val="008E2511"/>
    <w:rsid w:val="008E294A"/>
    <w:rsid w:val="008E29AB"/>
    <w:rsid w:val="008E2DA5"/>
    <w:rsid w:val="008E2DBD"/>
    <w:rsid w:val="008E2DD4"/>
    <w:rsid w:val="008E2E7F"/>
    <w:rsid w:val="008E31AB"/>
    <w:rsid w:val="008E3423"/>
    <w:rsid w:val="008E347C"/>
    <w:rsid w:val="008E3515"/>
    <w:rsid w:val="008E362D"/>
    <w:rsid w:val="008E370D"/>
    <w:rsid w:val="008E3729"/>
    <w:rsid w:val="008E386D"/>
    <w:rsid w:val="008E387E"/>
    <w:rsid w:val="008E3A3C"/>
    <w:rsid w:val="008E3AB2"/>
    <w:rsid w:val="008E3B51"/>
    <w:rsid w:val="008E3B7D"/>
    <w:rsid w:val="008E3CB2"/>
    <w:rsid w:val="008E412A"/>
    <w:rsid w:val="008E4229"/>
    <w:rsid w:val="008E42CD"/>
    <w:rsid w:val="008E4447"/>
    <w:rsid w:val="008E44B6"/>
    <w:rsid w:val="008E45E8"/>
    <w:rsid w:val="008E46B5"/>
    <w:rsid w:val="008E47D9"/>
    <w:rsid w:val="008E4914"/>
    <w:rsid w:val="008E49BE"/>
    <w:rsid w:val="008E4B50"/>
    <w:rsid w:val="008E4CEC"/>
    <w:rsid w:val="008E4EAC"/>
    <w:rsid w:val="008E4F22"/>
    <w:rsid w:val="008E4FC8"/>
    <w:rsid w:val="008E50B6"/>
    <w:rsid w:val="008E5154"/>
    <w:rsid w:val="008E5179"/>
    <w:rsid w:val="008E5408"/>
    <w:rsid w:val="008E5583"/>
    <w:rsid w:val="008E56A3"/>
    <w:rsid w:val="008E57AE"/>
    <w:rsid w:val="008E58BA"/>
    <w:rsid w:val="008E59C8"/>
    <w:rsid w:val="008E5A3F"/>
    <w:rsid w:val="008E5A8F"/>
    <w:rsid w:val="008E5AA7"/>
    <w:rsid w:val="008E5D14"/>
    <w:rsid w:val="008E5D36"/>
    <w:rsid w:val="008E621B"/>
    <w:rsid w:val="008E6474"/>
    <w:rsid w:val="008E6489"/>
    <w:rsid w:val="008E651F"/>
    <w:rsid w:val="008E655E"/>
    <w:rsid w:val="008E6594"/>
    <w:rsid w:val="008E6674"/>
    <w:rsid w:val="008E6CDC"/>
    <w:rsid w:val="008E6D0B"/>
    <w:rsid w:val="008E6E0C"/>
    <w:rsid w:val="008E6EA8"/>
    <w:rsid w:val="008E70C1"/>
    <w:rsid w:val="008E730D"/>
    <w:rsid w:val="008E757E"/>
    <w:rsid w:val="008E7644"/>
    <w:rsid w:val="008E7693"/>
    <w:rsid w:val="008E7826"/>
    <w:rsid w:val="008E7C54"/>
    <w:rsid w:val="008E7C84"/>
    <w:rsid w:val="008E7DB2"/>
    <w:rsid w:val="008F0261"/>
    <w:rsid w:val="008F03A9"/>
    <w:rsid w:val="008F03D7"/>
    <w:rsid w:val="008F0530"/>
    <w:rsid w:val="008F0591"/>
    <w:rsid w:val="008F05A6"/>
    <w:rsid w:val="008F05BD"/>
    <w:rsid w:val="008F08E3"/>
    <w:rsid w:val="008F0915"/>
    <w:rsid w:val="008F0A6D"/>
    <w:rsid w:val="008F0A7A"/>
    <w:rsid w:val="008F0AA0"/>
    <w:rsid w:val="008F0B74"/>
    <w:rsid w:val="008F0BC0"/>
    <w:rsid w:val="008F0BD7"/>
    <w:rsid w:val="008F0D76"/>
    <w:rsid w:val="008F0E90"/>
    <w:rsid w:val="008F0F2A"/>
    <w:rsid w:val="008F0F87"/>
    <w:rsid w:val="008F1111"/>
    <w:rsid w:val="008F12F0"/>
    <w:rsid w:val="008F1325"/>
    <w:rsid w:val="008F14AD"/>
    <w:rsid w:val="008F14D9"/>
    <w:rsid w:val="008F156D"/>
    <w:rsid w:val="008F1789"/>
    <w:rsid w:val="008F17A7"/>
    <w:rsid w:val="008F17DC"/>
    <w:rsid w:val="008F1902"/>
    <w:rsid w:val="008F1B64"/>
    <w:rsid w:val="008F1CBC"/>
    <w:rsid w:val="008F1E2B"/>
    <w:rsid w:val="008F1F87"/>
    <w:rsid w:val="008F212C"/>
    <w:rsid w:val="008F21BD"/>
    <w:rsid w:val="008F22CA"/>
    <w:rsid w:val="008F22E6"/>
    <w:rsid w:val="008F23D8"/>
    <w:rsid w:val="008F2494"/>
    <w:rsid w:val="008F2651"/>
    <w:rsid w:val="008F2704"/>
    <w:rsid w:val="008F2734"/>
    <w:rsid w:val="008F2B68"/>
    <w:rsid w:val="008F2C41"/>
    <w:rsid w:val="008F2C9B"/>
    <w:rsid w:val="008F2E24"/>
    <w:rsid w:val="008F2EDE"/>
    <w:rsid w:val="008F303E"/>
    <w:rsid w:val="008F312A"/>
    <w:rsid w:val="008F3279"/>
    <w:rsid w:val="008F3299"/>
    <w:rsid w:val="008F33A7"/>
    <w:rsid w:val="008F3A74"/>
    <w:rsid w:val="008F3AB0"/>
    <w:rsid w:val="008F3AC9"/>
    <w:rsid w:val="008F3D88"/>
    <w:rsid w:val="008F407A"/>
    <w:rsid w:val="008F40AD"/>
    <w:rsid w:val="008F4155"/>
    <w:rsid w:val="008F415F"/>
    <w:rsid w:val="008F43A1"/>
    <w:rsid w:val="008F464D"/>
    <w:rsid w:val="008F481F"/>
    <w:rsid w:val="008F4991"/>
    <w:rsid w:val="008F49E8"/>
    <w:rsid w:val="008F4A16"/>
    <w:rsid w:val="008F4A23"/>
    <w:rsid w:val="008F4B07"/>
    <w:rsid w:val="008F4C7F"/>
    <w:rsid w:val="008F4E39"/>
    <w:rsid w:val="008F4EA4"/>
    <w:rsid w:val="008F5059"/>
    <w:rsid w:val="008F505D"/>
    <w:rsid w:val="008F5061"/>
    <w:rsid w:val="008F5238"/>
    <w:rsid w:val="008F536E"/>
    <w:rsid w:val="008F555B"/>
    <w:rsid w:val="008F5688"/>
    <w:rsid w:val="008F583D"/>
    <w:rsid w:val="008F58BB"/>
    <w:rsid w:val="008F59FE"/>
    <w:rsid w:val="008F5A11"/>
    <w:rsid w:val="008F5B32"/>
    <w:rsid w:val="008F5B7B"/>
    <w:rsid w:val="008F5C0B"/>
    <w:rsid w:val="008F5CE6"/>
    <w:rsid w:val="008F5CE9"/>
    <w:rsid w:val="008F5EAC"/>
    <w:rsid w:val="008F5F83"/>
    <w:rsid w:val="008F6070"/>
    <w:rsid w:val="008F60C6"/>
    <w:rsid w:val="008F6192"/>
    <w:rsid w:val="008F6271"/>
    <w:rsid w:val="008F63E6"/>
    <w:rsid w:val="008F6481"/>
    <w:rsid w:val="008F66C6"/>
    <w:rsid w:val="008F68D3"/>
    <w:rsid w:val="008F6911"/>
    <w:rsid w:val="008F6A56"/>
    <w:rsid w:val="008F6C04"/>
    <w:rsid w:val="008F6C7D"/>
    <w:rsid w:val="008F6E8B"/>
    <w:rsid w:val="008F6F1D"/>
    <w:rsid w:val="008F704B"/>
    <w:rsid w:val="008F7064"/>
    <w:rsid w:val="008F70CA"/>
    <w:rsid w:val="008F719A"/>
    <w:rsid w:val="008F731F"/>
    <w:rsid w:val="008F760F"/>
    <w:rsid w:val="008F768A"/>
    <w:rsid w:val="008F76E7"/>
    <w:rsid w:val="008F76FD"/>
    <w:rsid w:val="008F777B"/>
    <w:rsid w:val="008F7AC9"/>
    <w:rsid w:val="008F7D96"/>
    <w:rsid w:val="008F7E38"/>
    <w:rsid w:val="008F7EAE"/>
    <w:rsid w:val="008F7F5F"/>
    <w:rsid w:val="00900127"/>
    <w:rsid w:val="00900146"/>
    <w:rsid w:val="009002E3"/>
    <w:rsid w:val="009002F2"/>
    <w:rsid w:val="00900561"/>
    <w:rsid w:val="00900741"/>
    <w:rsid w:val="00900C03"/>
    <w:rsid w:val="00900C6D"/>
    <w:rsid w:val="00900D6E"/>
    <w:rsid w:val="00900EAA"/>
    <w:rsid w:val="00901265"/>
    <w:rsid w:val="00901476"/>
    <w:rsid w:val="00901554"/>
    <w:rsid w:val="00901579"/>
    <w:rsid w:val="009015D0"/>
    <w:rsid w:val="0090208A"/>
    <w:rsid w:val="00902179"/>
    <w:rsid w:val="0090224F"/>
    <w:rsid w:val="009023EB"/>
    <w:rsid w:val="0090243A"/>
    <w:rsid w:val="00902770"/>
    <w:rsid w:val="00902C48"/>
    <w:rsid w:val="00902C9F"/>
    <w:rsid w:val="00902D1D"/>
    <w:rsid w:val="00902D38"/>
    <w:rsid w:val="00902DDE"/>
    <w:rsid w:val="00902E55"/>
    <w:rsid w:val="00902EAD"/>
    <w:rsid w:val="00903056"/>
    <w:rsid w:val="0090325D"/>
    <w:rsid w:val="009032A5"/>
    <w:rsid w:val="0090331B"/>
    <w:rsid w:val="009037D4"/>
    <w:rsid w:val="00903A2A"/>
    <w:rsid w:val="00903BF2"/>
    <w:rsid w:val="00903C32"/>
    <w:rsid w:val="00903D97"/>
    <w:rsid w:val="00903DA1"/>
    <w:rsid w:val="009041B6"/>
    <w:rsid w:val="00904413"/>
    <w:rsid w:val="0090455F"/>
    <w:rsid w:val="0090469C"/>
    <w:rsid w:val="0090482A"/>
    <w:rsid w:val="00904898"/>
    <w:rsid w:val="00904986"/>
    <w:rsid w:val="009049F5"/>
    <w:rsid w:val="00904F4B"/>
    <w:rsid w:val="00904F9D"/>
    <w:rsid w:val="0090503E"/>
    <w:rsid w:val="009052EC"/>
    <w:rsid w:val="009054C1"/>
    <w:rsid w:val="009057FA"/>
    <w:rsid w:val="009058E9"/>
    <w:rsid w:val="0090592A"/>
    <w:rsid w:val="00905A1F"/>
    <w:rsid w:val="00905B18"/>
    <w:rsid w:val="00905B83"/>
    <w:rsid w:val="00905DD3"/>
    <w:rsid w:val="00905F37"/>
    <w:rsid w:val="00906050"/>
    <w:rsid w:val="009061C4"/>
    <w:rsid w:val="0090626A"/>
    <w:rsid w:val="00906499"/>
    <w:rsid w:val="0090675E"/>
    <w:rsid w:val="00906803"/>
    <w:rsid w:val="00906843"/>
    <w:rsid w:val="00906C22"/>
    <w:rsid w:val="00906CA2"/>
    <w:rsid w:val="00906CDD"/>
    <w:rsid w:val="00906DBD"/>
    <w:rsid w:val="00906DD7"/>
    <w:rsid w:val="00906E1A"/>
    <w:rsid w:val="00906E71"/>
    <w:rsid w:val="0090726C"/>
    <w:rsid w:val="009075C5"/>
    <w:rsid w:val="00907673"/>
    <w:rsid w:val="00907ABB"/>
    <w:rsid w:val="00907AC5"/>
    <w:rsid w:val="00907AEE"/>
    <w:rsid w:val="00907C8E"/>
    <w:rsid w:val="00907D6E"/>
    <w:rsid w:val="00907E7B"/>
    <w:rsid w:val="00907F23"/>
    <w:rsid w:val="00907F32"/>
    <w:rsid w:val="009101FF"/>
    <w:rsid w:val="00910368"/>
    <w:rsid w:val="0091049A"/>
    <w:rsid w:val="00910547"/>
    <w:rsid w:val="00910598"/>
    <w:rsid w:val="0091077A"/>
    <w:rsid w:val="00910797"/>
    <w:rsid w:val="00910A2B"/>
    <w:rsid w:val="00910A8A"/>
    <w:rsid w:val="00910A9C"/>
    <w:rsid w:val="00910D37"/>
    <w:rsid w:val="00910D68"/>
    <w:rsid w:val="0091105D"/>
    <w:rsid w:val="009110F4"/>
    <w:rsid w:val="009111E6"/>
    <w:rsid w:val="009111E8"/>
    <w:rsid w:val="009114CA"/>
    <w:rsid w:val="00911C2C"/>
    <w:rsid w:val="00911C31"/>
    <w:rsid w:val="00911C35"/>
    <w:rsid w:val="00911F4F"/>
    <w:rsid w:val="00911FAD"/>
    <w:rsid w:val="0091228C"/>
    <w:rsid w:val="00912544"/>
    <w:rsid w:val="00912ADB"/>
    <w:rsid w:val="00912AE0"/>
    <w:rsid w:val="00912B70"/>
    <w:rsid w:val="00912DEC"/>
    <w:rsid w:val="00912E7F"/>
    <w:rsid w:val="00912F25"/>
    <w:rsid w:val="00912F4E"/>
    <w:rsid w:val="009131AA"/>
    <w:rsid w:val="00913646"/>
    <w:rsid w:val="0091368D"/>
    <w:rsid w:val="00913775"/>
    <w:rsid w:val="009138D1"/>
    <w:rsid w:val="009138ED"/>
    <w:rsid w:val="00913A0F"/>
    <w:rsid w:val="00913A60"/>
    <w:rsid w:val="00913B0F"/>
    <w:rsid w:val="00913C59"/>
    <w:rsid w:val="00913C81"/>
    <w:rsid w:val="00913E16"/>
    <w:rsid w:val="00913E7A"/>
    <w:rsid w:val="00913EB5"/>
    <w:rsid w:val="00913F16"/>
    <w:rsid w:val="00913F6E"/>
    <w:rsid w:val="00913FA8"/>
    <w:rsid w:val="009141D4"/>
    <w:rsid w:val="0091431D"/>
    <w:rsid w:val="0091433F"/>
    <w:rsid w:val="009143C5"/>
    <w:rsid w:val="00914541"/>
    <w:rsid w:val="009146F5"/>
    <w:rsid w:val="009149C8"/>
    <w:rsid w:val="00914AA4"/>
    <w:rsid w:val="00914B8E"/>
    <w:rsid w:val="00914BC9"/>
    <w:rsid w:val="00914ECD"/>
    <w:rsid w:val="00915028"/>
    <w:rsid w:val="009153E5"/>
    <w:rsid w:val="0091548D"/>
    <w:rsid w:val="00915890"/>
    <w:rsid w:val="009158AA"/>
    <w:rsid w:val="00915ACC"/>
    <w:rsid w:val="00915C93"/>
    <w:rsid w:val="00915D19"/>
    <w:rsid w:val="00915E5B"/>
    <w:rsid w:val="00915ED7"/>
    <w:rsid w:val="00915F02"/>
    <w:rsid w:val="009162BA"/>
    <w:rsid w:val="0091646D"/>
    <w:rsid w:val="00916601"/>
    <w:rsid w:val="00916763"/>
    <w:rsid w:val="00916A17"/>
    <w:rsid w:val="00916C88"/>
    <w:rsid w:val="00916DE1"/>
    <w:rsid w:val="00916E49"/>
    <w:rsid w:val="009170BE"/>
    <w:rsid w:val="00917193"/>
    <w:rsid w:val="00917447"/>
    <w:rsid w:val="00917456"/>
    <w:rsid w:val="0091747A"/>
    <w:rsid w:val="00917528"/>
    <w:rsid w:val="00917563"/>
    <w:rsid w:val="00917727"/>
    <w:rsid w:val="00917735"/>
    <w:rsid w:val="00917996"/>
    <w:rsid w:val="00917AB4"/>
    <w:rsid w:val="00917C54"/>
    <w:rsid w:val="00917C93"/>
    <w:rsid w:val="00917D86"/>
    <w:rsid w:val="00917DBF"/>
    <w:rsid w:val="009201EB"/>
    <w:rsid w:val="00920227"/>
    <w:rsid w:val="00920285"/>
    <w:rsid w:val="0092035B"/>
    <w:rsid w:val="0092038A"/>
    <w:rsid w:val="0092055F"/>
    <w:rsid w:val="00920662"/>
    <w:rsid w:val="00920899"/>
    <w:rsid w:val="009208CC"/>
    <w:rsid w:val="00920D3F"/>
    <w:rsid w:val="00920F1A"/>
    <w:rsid w:val="009210F1"/>
    <w:rsid w:val="00921152"/>
    <w:rsid w:val="00921489"/>
    <w:rsid w:val="009215E8"/>
    <w:rsid w:val="009216BA"/>
    <w:rsid w:val="0092171E"/>
    <w:rsid w:val="00921AB8"/>
    <w:rsid w:val="00921B3C"/>
    <w:rsid w:val="00921BB7"/>
    <w:rsid w:val="00921C3D"/>
    <w:rsid w:val="00921CCB"/>
    <w:rsid w:val="009220B0"/>
    <w:rsid w:val="00922140"/>
    <w:rsid w:val="0092230D"/>
    <w:rsid w:val="00922519"/>
    <w:rsid w:val="009226B4"/>
    <w:rsid w:val="00922735"/>
    <w:rsid w:val="00922A3B"/>
    <w:rsid w:val="00922A8C"/>
    <w:rsid w:val="00922B0E"/>
    <w:rsid w:val="00922B1E"/>
    <w:rsid w:val="00922CF5"/>
    <w:rsid w:val="00922DCA"/>
    <w:rsid w:val="00922FEC"/>
    <w:rsid w:val="0092313E"/>
    <w:rsid w:val="00923244"/>
    <w:rsid w:val="0092339F"/>
    <w:rsid w:val="009233F1"/>
    <w:rsid w:val="0092356C"/>
    <w:rsid w:val="00923629"/>
    <w:rsid w:val="00923728"/>
    <w:rsid w:val="0092385C"/>
    <w:rsid w:val="00923CAC"/>
    <w:rsid w:val="00923CFC"/>
    <w:rsid w:val="00924079"/>
    <w:rsid w:val="009240AD"/>
    <w:rsid w:val="00924201"/>
    <w:rsid w:val="00924267"/>
    <w:rsid w:val="0092434B"/>
    <w:rsid w:val="00924670"/>
    <w:rsid w:val="00924721"/>
    <w:rsid w:val="0092481D"/>
    <w:rsid w:val="009248C3"/>
    <w:rsid w:val="00924AD1"/>
    <w:rsid w:val="00924BC2"/>
    <w:rsid w:val="00924EC9"/>
    <w:rsid w:val="0092503D"/>
    <w:rsid w:val="009251B2"/>
    <w:rsid w:val="0092527D"/>
    <w:rsid w:val="00925392"/>
    <w:rsid w:val="009253DB"/>
    <w:rsid w:val="009253FD"/>
    <w:rsid w:val="00925414"/>
    <w:rsid w:val="009256E0"/>
    <w:rsid w:val="00925700"/>
    <w:rsid w:val="009257F2"/>
    <w:rsid w:val="00925C79"/>
    <w:rsid w:val="00925E2F"/>
    <w:rsid w:val="00925E57"/>
    <w:rsid w:val="00925F62"/>
    <w:rsid w:val="00925FD3"/>
    <w:rsid w:val="009262F6"/>
    <w:rsid w:val="009267CC"/>
    <w:rsid w:val="009268AD"/>
    <w:rsid w:val="00926A7B"/>
    <w:rsid w:val="00926A8F"/>
    <w:rsid w:val="00926B1C"/>
    <w:rsid w:val="00926B3F"/>
    <w:rsid w:val="00926C29"/>
    <w:rsid w:val="00926C96"/>
    <w:rsid w:val="00926F00"/>
    <w:rsid w:val="00927010"/>
    <w:rsid w:val="009270A4"/>
    <w:rsid w:val="0092719D"/>
    <w:rsid w:val="0092723A"/>
    <w:rsid w:val="00927487"/>
    <w:rsid w:val="009274E9"/>
    <w:rsid w:val="009276CD"/>
    <w:rsid w:val="00927762"/>
    <w:rsid w:val="00927828"/>
    <w:rsid w:val="009279C6"/>
    <w:rsid w:val="00927E36"/>
    <w:rsid w:val="00927ECE"/>
    <w:rsid w:val="00927F69"/>
    <w:rsid w:val="0093003B"/>
    <w:rsid w:val="009300CB"/>
    <w:rsid w:val="009303AB"/>
    <w:rsid w:val="009303CF"/>
    <w:rsid w:val="009304A5"/>
    <w:rsid w:val="00930594"/>
    <w:rsid w:val="00930627"/>
    <w:rsid w:val="009307FB"/>
    <w:rsid w:val="00930952"/>
    <w:rsid w:val="00930965"/>
    <w:rsid w:val="00930A19"/>
    <w:rsid w:val="00930BCF"/>
    <w:rsid w:val="00930C67"/>
    <w:rsid w:val="00930D1F"/>
    <w:rsid w:val="00930D55"/>
    <w:rsid w:val="00931043"/>
    <w:rsid w:val="00931092"/>
    <w:rsid w:val="00931123"/>
    <w:rsid w:val="00931171"/>
    <w:rsid w:val="00931357"/>
    <w:rsid w:val="00931493"/>
    <w:rsid w:val="00931680"/>
    <w:rsid w:val="00931696"/>
    <w:rsid w:val="009317DB"/>
    <w:rsid w:val="00931815"/>
    <w:rsid w:val="009318D0"/>
    <w:rsid w:val="00931A71"/>
    <w:rsid w:val="00931AD4"/>
    <w:rsid w:val="00931B04"/>
    <w:rsid w:val="00931B0D"/>
    <w:rsid w:val="00931E0E"/>
    <w:rsid w:val="00931FD3"/>
    <w:rsid w:val="00932025"/>
    <w:rsid w:val="009321AE"/>
    <w:rsid w:val="00932365"/>
    <w:rsid w:val="009323F7"/>
    <w:rsid w:val="009324AC"/>
    <w:rsid w:val="0093257B"/>
    <w:rsid w:val="0093265B"/>
    <w:rsid w:val="009327B0"/>
    <w:rsid w:val="009328CD"/>
    <w:rsid w:val="00932957"/>
    <w:rsid w:val="00932DEF"/>
    <w:rsid w:val="00932DF3"/>
    <w:rsid w:val="00932F0E"/>
    <w:rsid w:val="0093325D"/>
    <w:rsid w:val="00933364"/>
    <w:rsid w:val="009335D5"/>
    <w:rsid w:val="00933617"/>
    <w:rsid w:val="00933680"/>
    <w:rsid w:val="009338FF"/>
    <w:rsid w:val="00933A32"/>
    <w:rsid w:val="00933AC4"/>
    <w:rsid w:val="00933BC4"/>
    <w:rsid w:val="00933CCE"/>
    <w:rsid w:val="00933D3D"/>
    <w:rsid w:val="00933D73"/>
    <w:rsid w:val="00933DB2"/>
    <w:rsid w:val="00933EBB"/>
    <w:rsid w:val="00933FFC"/>
    <w:rsid w:val="0093404D"/>
    <w:rsid w:val="00934056"/>
    <w:rsid w:val="009341D4"/>
    <w:rsid w:val="00934202"/>
    <w:rsid w:val="00934249"/>
    <w:rsid w:val="00934299"/>
    <w:rsid w:val="00934442"/>
    <w:rsid w:val="0093446E"/>
    <w:rsid w:val="0093478D"/>
    <w:rsid w:val="0093487D"/>
    <w:rsid w:val="00934CA7"/>
    <w:rsid w:val="00934D3A"/>
    <w:rsid w:val="00935049"/>
    <w:rsid w:val="00935117"/>
    <w:rsid w:val="00935166"/>
    <w:rsid w:val="0093518E"/>
    <w:rsid w:val="009352E5"/>
    <w:rsid w:val="0093538D"/>
    <w:rsid w:val="009353CC"/>
    <w:rsid w:val="00935448"/>
    <w:rsid w:val="0093572B"/>
    <w:rsid w:val="00935829"/>
    <w:rsid w:val="009359FF"/>
    <w:rsid w:val="00935BA3"/>
    <w:rsid w:val="00935C35"/>
    <w:rsid w:val="00935F04"/>
    <w:rsid w:val="00935F54"/>
    <w:rsid w:val="00935F55"/>
    <w:rsid w:val="00936104"/>
    <w:rsid w:val="00936151"/>
    <w:rsid w:val="0093646F"/>
    <w:rsid w:val="0093662B"/>
    <w:rsid w:val="0093682D"/>
    <w:rsid w:val="0093690A"/>
    <w:rsid w:val="00936919"/>
    <w:rsid w:val="00936B58"/>
    <w:rsid w:val="00936C12"/>
    <w:rsid w:val="00936C57"/>
    <w:rsid w:val="00937040"/>
    <w:rsid w:val="009371AE"/>
    <w:rsid w:val="009372DE"/>
    <w:rsid w:val="009373ED"/>
    <w:rsid w:val="00937485"/>
    <w:rsid w:val="009376D5"/>
    <w:rsid w:val="00937828"/>
    <w:rsid w:val="0093789E"/>
    <w:rsid w:val="009379BF"/>
    <w:rsid w:val="00937ACD"/>
    <w:rsid w:val="00937BF1"/>
    <w:rsid w:val="00937CC0"/>
    <w:rsid w:val="00937E20"/>
    <w:rsid w:val="00940284"/>
    <w:rsid w:val="0094028F"/>
    <w:rsid w:val="009402FE"/>
    <w:rsid w:val="0094031F"/>
    <w:rsid w:val="0094060E"/>
    <w:rsid w:val="0094068D"/>
    <w:rsid w:val="00940816"/>
    <w:rsid w:val="00940974"/>
    <w:rsid w:val="00940B5E"/>
    <w:rsid w:val="00940B6A"/>
    <w:rsid w:val="00940C1B"/>
    <w:rsid w:val="00940E01"/>
    <w:rsid w:val="00940E4E"/>
    <w:rsid w:val="00940FAA"/>
    <w:rsid w:val="00941259"/>
    <w:rsid w:val="00941270"/>
    <w:rsid w:val="00941366"/>
    <w:rsid w:val="0094138D"/>
    <w:rsid w:val="00941492"/>
    <w:rsid w:val="009414BB"/>
    <w:rsid w:val="00941550"/>
    <w:rsid w:val="009417B3"/>
    <w:rsid w:val="009417E0"/>
    <w:rsid w:val="009417F0"/>
    <w:rsid w:val="0094185D"/>
    <w:rsid w:val="009418F4"/>
    <w:rsid w:val="00941AB0"/>
    <w:rsid w:val="00941AEB"/>
    <w:rsid w:val="00941C22"/>
    <w:rsid w:val="00941C83"/>
    <w:rsid w:val="00941C9A"/>
    <w:rsid w:val="00941CD8"/>
    <w:rsid w:val="00941E1E"/>
    <w:rsid w:val="00941E96"/>
    <w:rsid w:val="00941F19"/>
    <w:rsid w:val="009420FD"/>
    <w:rsid w:val="00942239"/>
    <w:rsid w:val="009422BE"/>
    <w:rsid w:val="00942311"/>
    <w:rsid w:val="009423C4"/>
    <w:rsid w:val="0094245D"/>
    <w:rsid w:val="009424A9"/>
    <w:rsid w:val="0094262F"/>
    <w:rsid w:val="00942670"/>
    <w:rsid w:val="009427CB"/>
    <w:rsid w:val="00942A9D"/>
    <w:rsid w:val="00942B0D"/>
    <w:rsid w:val="00942B6F"/>
    <w:rsid w:val="00942C3D"/>
    <w:rsid w:val="0094300D"/>
    <w:rsid w:val="0094316F"/>
    <w:rsid w:val="00943269"/>
    <w:rsid w:val="00943419"/>
    <w:rsid w:val="0094343F"/>
    <w:rsid w:val="00943442"/>
    <w:rsid w:val="0094353B"/>
    <w:rsid w:val="00943703"/>
    <w:rsid w:val="009438A0"/>
    <w:rsid w:val="0094391F"/>
    <w:rsid w:val="00943AA0"/>
    <w:rsid w:val="00943B96"/>
    <w:rsid w:val="00943CDA"/>
    <w:rsid w:val="00943DC6"/>
    <w:rsid w:val="00943EAA"/>
    <w:rsid w:val="00943F3B"/>
    <w:rsid w:val="00944019"/>
    <w:rsid w:val="00944243"/>
    <w:rsid w:val="009442F4"/>
    <w:rsid w:val="0094448D"/>
    <w:rsid w:val="0094465C"/>
    <w:rsid w:val="0094472F"/>
    <w:rsid w:val="009448BA"/>
    <w:rsid w:val="009449C9"/>
    <w:rsid w:val="00944A88"/>
    <w:rsid w:val="00944B45"/>
    <w:rsid w:val="00944BAB"/>
    <w:rsid w:val="00944C26"/>
    <w:rsid w:val="00944D53"/>
    <w:rsid w:val="00944DC3"/>
    <w:rsid w:val="00944FD2"/>
    <w:rsid w:val="00944FE0"/>
    <w:rsid w:val="00945049"/>
    <w:rsid w:val="00945071"/>
    <w:rsid w:val="009450C9"/>
    <w:rsid w:val="00945104"/>
    <w:rsid w:val="0094530C"/>
    <w:rsid w:val="0094540F"/>
    <w:rsid w:val="00945410"/>
    <w:rsid w:val="0094542D"/>
    <w:rsid w:val="00945647"/>
    <w:rsid w:val="00945731"/>
    <w:rsid w:val="009457E3"/>
    <w:rsid w:val="00945830"/>
    <w:rsid w:val="0094585E"/>
    <w:rsid w:val="009459B4"/>
    <w:rsid w:val="00945AA4"/>
    <w:rsid w:val="00945B26"/>
    <w:rsid w:val="00945C31"/>
    <w:rsid w:val="00945CC8"/>
    <w:rsid w:val="00945D3E"/>
    <w:rsid w:val="00945D4D"/>
    <w:rsid w:val="00945DE7"/>
    <w:rsid w:val="00945F4B"/>
    <w:rsid w:val="0094607E"/>
    <w:rsid w:val="009461EC"/>
    <w:rsid w:val="009462D9"/>
    <w:rsid w:val="00946573"/>
    <w:rsid w:val="0094691B"/>
    <w:rsid w:val="00946940"/>
    <w:rsid w:val="00946B99"/>
    <w:rsid w:val="00946C9C"/>
    <w:rsid w:val="0094723C"/>
    <w:rsid w:val="009473AF"/>
    <w:rsid w:val="00947476"/>
    <w:rsid w:val="009474CD"/>
    <w:rsid w:val="009477DF"/>
    <w:rsid w:val="00947AA4"/>
    <w:rsid w:val="00947AE1"/>
    <w:rsid w:val="00947BB6"/>
    <w:rsid w:val="00947C38"/>
    <w:rsid w:val="00947E59"/>
    <w:rsid w:val="009500C2"/>
    <w:rsid w:val="009500FE"/>
    <w:rsid w:val="0095012C"/>
    <w:rsid w:val="0095050B"/>
    <w:rsid w:val="00950552"/>
    <w:rsid w:val="0095099B"/>
    <w:rsid w:val="00950A37"/>
    <w:rsid w:val="00950ACD"/>
    <w:rsid w:val="00950AD6"/>
    <w:rsid w:val="00950AFA"/>
    <w:rsid w:val="00950F67"/>
    <w:rsid w:val="00950FEC"/>
    <w:rsid w:val="00951047"/>
    <w:rsid w:val="0095106F"/>
    <w:rsid w:val="009510BD"/>
    <w:rsid w:val="009510D6"/>
    <w:rsid w:val="00951272"/>
    <w:rsid w:val="009512C9"/>
    <w:rsid w:val="00951532"/>
    <w:rsid w:val="00951A08"/>
    <w:rsid w:val="00951D04"/>
    <w:rsid w:val="00951E73"/>
    <w:rsid w:val="0095242B"/>
    <w:rsid w:val="00952504"/>
    <w:rsid w:val="009525E5"/>
    <w:rsid w:val="009527AD"/>
    <w:rsid w:val="009529A5"/>
    <w:rsid w:val="00952AF1"/>
    <w:rsid w:val="00952BC1"/>
    <w:rsid w:val="00952BD7"/>
    <w:rsid w:val="00952C0E"/>
    <w:rsid w:val="00952C77"/>
    <w:rsid w:val="00952EB1"/>
    <w:rsid w:val="00952F06"/>
    <w:rsid w:val="00952F27"/>
    <w:rsid w:val="009532E2"/>
    <w:rsid w:val="00953369"/>
    <w:rsid w:val="00953497"/>
    <w:rsid w:val="0095354E"/>
    <w:rsid w:val="00953977"/>
    <w:rsid w:val="00953A51"/>
    <w:rsid w:val="00953C53"/>
    <w:rsid w:val="00953C59"/>
    <w:rsid w:val="00953D15"/>
    <w:rsid w:val="00953D36"/>
    <w:rsid w:val="00953EAE"/>
    <w:rsid w:val="00953FC8"/>
    <w:rsid w:val="00954117"/>
    <w:rsid w:val="00954202"/>
    <w:rsid w:val="009543F0"/>
    <w:rsid w:val="00954615"/>
    <w:rsid w:val="00954749"/>
    <w:rsid w:val="00954A45"/>
    <w:rsid w:val="00954AF7"/>
    <w:rsid w:val="00954CBA"/>
    <w:rsid w:val="00954D9A"/>
    <w:rsid w:val="00954DAD"/>
    <w:rsid w:val="009550CD"/>
    <w:rsid w:val="00955141"/>
    <w:rsid w:val="00955164"/>
    <w:rsid w:val="0095518F"/>
    <w:rsid w:val="0095537F"/>
    <w:rsid w:val="00955387"/>
    <w:rsid w:val="009554C3"/>
    <w:rsid w:val="00955509"/>
    <w:rsid w:val="009555C9"/>
    <w:rsid w:val="009557ED"/>
    <w:rsid w:val="009559F3"/>
    <w:rsid w:val="00955B9A"/>
    <w:rsid w:val="00955C47"/>
    <w:rsid w:val="00955F94"/>
    <w:rsid w:val="00956047"/>
    <w:rsid w:val="009562AE"/>
    <w:rsid w:val="00956361"/>
    <w:rsid w:val="009563D8"/>
    <w:rsid w:val="00956417"/>
    <w:rsid w:val="009564A6"/>
    <w:rsid w:val="009564FA"/>
    <w:rsid w:val="0095662A"/>
    <w:rsid w:val="00956721"/>
    <w:rsid w:val="009567C5"/>
    <w:rsid w:val="00956A38"/>
    <w:rsid w:val="00956A7E"/>
    <w:rsid w:val="00956AAE"/>
    <w:rsid w:val="00956B07"/>
    <w:rsid w:val="00956BDB"/>
    <w:rsid w:val="00956BE5"/>
    <w:rsid w:val="0095712F"/>
    <w:rsid w:val="009571C7"/>
    <w:rsid w:val="00957558"/>
    <w:rsid w:val="009576C2"/>
    <w:rsid w:val="009576D3"/>
    <w:rsid w:val="009578DC"/>
    <w:rsid w:val="00957C42"/>
    <w:rsid w:val="00957CD8"/>
    <w:rsid w:val="00957FC1"/>
    <w:rsid w:val="00960164"/>
    <w:rsid w:val="00960215"/>
    <w:rsid w:val="009602B2"/>
    <w:rsid w:val="009603EB"/>
    <w:rsid w:val="00960427"/>
    <w:rsid w:val="009604F5"/>
    <w:rsid w:val="00960570"/>
    <w:rsid w:val="0096070B"/>
    <w:rsid w:val="009607B9"/>
    <w:rsid w:val="0096085A"/>
    <w:rsid w:val="009608B1"/>
    <w:rsid w:val="00960A3A"/>
    <w:rsid w:val="00960A48"/>
    <w:rsid w:val="00960AD0"/>
    <w:rsid w:val="00960D2A"/>
    <w:rsid w:val="00960E81"/>
    <w:rsid w:val="00960FBF"/>
    <w:rsid w:val="00960FEE"/>
    <w:rsid w:val="009610CE"/>
    <w:rsid w:val="009611D5"/>
    <w:rsid w:val="0096133F"/>
    <w:rsid w:val="009613C7"/>
    <w:rsid w:val="00961549"/>
    <w:rsid w:val="00961621"/>
    <w:rsid w:val="0096188E"/>
    <w:rsid w:val="009618B2"/>
    <w:rsid w:val="009618E3"/>
    <w:rsid w:val="009618F2"/>
    <w:rsid w:val="0096190D"/>
    <w:rsid w:val="009619E7"/>
    <w:rsid w:val="00961A99"/>
    <w:rsid w:val="00961B7E"/>
    <w:rsid w:val="00961D07"/>
    <w:rsid w:val="00961D67"/>
    <w:rsid w:val="00961ED2"/>
    <w:rsid w:val="00962608"/>
    <w:rsid w:val="00962739"/>
    <w:rsid w:val="0096287B"/>
    <w:rsid w:val="009628DB"/>
    <w:rsid w:val="009629DA"/>
    <w:rsid w:val="00962D19"/>
    <w:rsid w:val="00962D36"/>
    <w:rsid w:val="00962DBD"/>
    <w:rsid w:val="00962DEA"/>
    <w:rsid w:val="00962DEE"/>
    <w:rsid w:val="00962E47"/>
    <w:rsid w:val="00962E96"/>
    <w:rsid w:val="00963020"/>
    <w:rsid w:val="00963024"/>
    <w:rsid w:val="00963513"/>
    <w:rsid w:val="0096358D"/>
    <w:rsid w:val="00963695"/>
    <w:rsid w:val="009637CD"/>
    <w:rsid w:val="00963839"/>
    <w:rsid w:val="00963903"/>
    <w:rsid w:val="00963973"/>
    <w:rsid w:val="00963BDD"/>
    <w:rsid w:val="00963CDB"/>
    <w:rsid w:val="00963D99"/>
    <w:rsid w:val="00963F47"/>
    <w:rsid w:val="0096411A"/>
    <w:rsid w:val="00964145"/>
    <w:rsid w:val="009641A3"/>
    <w:rsid w:val="00964259"/>
    <w:rsid w:val="0096433C"/>
    <w:rsid w:val="009646B1"/>
    <w:rsid w:val="009646C3"/>
    <w:rsid w:val="00964742"/>
    <w:rsid w:val="009647A2"/>
    <w:rsid w:val="0096489B"/>
    <w:rsid w:val="00964A03"/>
    <w:rsid w:val="00964AEC"/>
    <w:rsid w:val="00964D0E"/>
    <w:rsid w:val="00964E0B"/>
    <w:rsid w:val="00964E56"/>
    <w:rsid w:val="00964EA3"/>
    <w:rsid w:val="009650BB"/>
    <w:rsid w:val="009650C6"/>
    <w:rsid w:val="009650DE"/>
    <w:rsid w:val="00965164"/>
    <w:rsid w:val="0096543A"/>
    <w:rsid w:val="00965529"/>
    <w:rsid w:val="00965774"/>
    <w:rsid w:val="009658D4"/>
    <w:rsid w:val="0096595E"/>
    <w:rsid w:val="00965B6F"/>
    <w:rsid w:val="00966424"/>
    <w:rsid w:val="0096644E"/>
    <w:rsid w:val="0096651F"/>
    <w:rsid w:val="009665EC"/>
    <w:rsid w:val="00966637"/>
    <w:rsid w:val="00966915"/>
    <w:rsid w:val="00966A3D"/>
    <w:rsid w:val="00966B9C"/>
    <w:rsid w:val="00966C48"/>
    <w:rsid w:val="00966C9D"/>
    <w:rsid w:val="00966CCE"/>
    <w:rsid w:val="00966CF5"/>
    <w:rsid w:val="00966DB7"/>
    <w:rsid w:val="00966EAB"/>
    <w:rsid w:val="00966EB1"/>
    <w:rsid w:val="00966F36"/>
    <w:rsid w:val="00967086"/>
    <w:rsid w:val="009672F9"/>
    <w:rsid w:val="00967592"/>
    <w:rsid w:val="00967615"/>
    <w:rsid w:val="0096763E"/>
    <w:rsid w:val="0096772C"/>
    <w:rsid w:val="00967960"/>
    <w:rsid w:val="0097005A"/>
    <w:rsid w:val="009704FE"/>
    <w:rsid w:val="00970751"/>
    <w:rsid w:val="009707BF"/>
    <w:rsid w:val="00970912"/>
    <w:rsid w:val="00970B21"/>
    <w:rsid w:val="00970B4B"/>
    <w:rsid w:val="00970BC8"/>
    <w:rsid w:val="00970CA9"/>
    <w:rsid w:val="00970DBE"/>
    <w:rsid w:val="00970EDA"/>
    <w:rsid w:val="00970F4A"/>
    <w:rsid w:val="0097156E"/>
    <w:rsid w:val="00971696"/>
    <w:rsid w:val="00971962"/>
    <w:rsid w:val="00971A5D"/>
    <w:rsid w:val="00971A77"/>
    <w:rsid w:val="00971CDD"/>
    <w:rsid w:val="00971CE0"/>
    <w:rsid w:val="00971E4B"/>
    <w:rsid w:val="00971FBD"/>
    <w:rsid w:val="00972151"/>
    <w:rsid w:val="0097215D"/>
    <w:rsid w:val="009721F6"/>
    <w:rsid w:val="009722D4"/>
    <w:rsid w:val="00972387"/>
    <w:rsid w:val="009724CA"/>
    <w:rsid w:val="009724EA"/>
    <w:rsid w:val="009726C3"/>
    <w:rsid w:val="009727A8"/>
    <w:rsid w:val="009729DC"/>
    <w:rsid w:val="00972BB9"/>
    <w:rsid w:val="00972CC4"/>
    <w:rsid w:val="00972D2A"/>
    <w:rsid w:val="00972E7A"/>
    <w:rsid w:val="00972FEB"/>
    <w:rsid w:val="00973069"/>
    <w:rsid w:val="00973089"/>
    <w:rsid w:val="00973163"/>
    <w:rsid w:val="00973267"/>
    <w:rsid w:val="009732DC"/>
    <w:rsid w:val="009732DF"/>
    <w:rsid w:val="0097331C"/>
    <w:rsid w:val="00973466"/>
    <w:rsid w:val="0097364A"/>
    <w:rsid w:val="0097375A"/>
    <w:rsid w:val="00973773"/>
    <w:rsid w:val="0097399A"/>
    <w:rsid w:val="009739EE"/>
    <w:rsid w:val="00973ADA"/>
    <w:rsid w:val="00973AE5"/>
    <w:rsid w:val="00973FE3"/>
    <w:rsid w:val="0097419C"/>
    <w:rsid w:val="009741FC"/>
    <w:rsid w:val="009742BB"/>
    <w:rsid w:val="00974336"/>
    <w:rsid w:val="009743E9"/>
    <w:rsid w:val="009747B7"/>
    <w:rsid w:val="0097486D"/>
    <w:rsid w:val="009748BC"/>
    <w:rsid w:val="00974AF4"/>
    <w:rsid w:val="00974CF6"/>
    <w:rsid w:val="00974D46"/>
    <w:rsid w:val="00975224"/>
    <w:rsid w:val="0097522A"/>
    <w:rsid w:val="00975A23"/>
    <w:rsid w:val="00975BC6"/>
    <w:rsid w:val="009760FF"/>
    <w:rsid w:val="009761FC"/>
    <w:rsid w:val="009765A7"/>
    <w:rsid w:val="00976830"/>
    <w:rsid w:val="00976949"/>
    <w:rsid w:val="00976A3D"/>
    <w:rsid w:val="00976CA7"/>
    <w:rsid w:val="00976D84"/>
    <w:rsid w:val="009770AC"/>
    <w:rsid w:val="009774CD"/>
    <w:rsid w:val="00977508"/>
    <w:rsid w:val="0097751B"/>
    <w:rsid w:val="009775B7"/>
    <w:rsid w:val="009778B4"/>
    <w:rsid w:val="00977ADF"/>
    <w:rsid w:val="00977D89"/>
    <w:rsid w:val="00977F2F"/>
    <w:rsid w:val="00980063"/>
    <w:rsid w:val="00980157"/>
    <w:rsid w:val="009801A7"/>
    <w:rsid w:val="00980247"/>
    <w:rsid w:val="0098049D"/>
    <w:rsid w:val="009804D6"/>
    <w:rsid w:val="0098078A"/>
    <w:rsid w:val="0098086B"/>
    <w:rsid w:val="009809E5"/>
    <w:rsid w:val="00980A0B"/>
    <w:rsid w:val="00980A21"/>
    <w:rsid w:val="00980B6E"/>
    <w:rsid w:val="00980BFD"/>
    <w:rsid w:val="00980CD5"/>
    <w:rsid w:val="00980F97"/>
    <w:rsid w:val="00981050"/>
    <w:rsid w:val="009810C8"/>
    <w:rsid w:val="0098110B"/>
    <w:rsid w:val="0098146E"/>
    <w:rsid w:val="0098163E"/>
    <w:rsid w:val="00981A40"/>
    <w:rsid w:val="00981BE5"/>
    <w:rsid w:val="00981D91"/>
    <w:rsid w:val="00981E1F"/>
    <w:rsid w:val="00981EB8"/>
    <w:rsid w:val="00981EE6"/>
    <w:rsid w:val="0098216A"/>
    <w:rsid w:val="0098218D"/>
    <w:rsid w:val="0098245D"/>
    <w:rsid w:val="009824F1"/>
    <w:rsid w:val="00982614"/>
    <w:rsid w:val="00982651"/>
    <w:rsid w:val="009826C1"/>
    <w:rsid w:val="009827BA"/>
    <w:rsid w:val="00982B14"/>
    <w:rsid w:val="00982B77"/>
    <w:rsid w:val="00982BB9"/>
    <w:rsid w:val="009830B7"/>
    <w:rsid w:val="009830BD"/>
    <w:rsid w:val="00983380"/>
    <w:rsid w:val="009833E5"/>
    <w:rsid w:val="00983449"/>
    <w:rsid w:val="009834A7"/>
    <w:rsid w:val="00983546"/>
    <w:rsid w:val="009835D9"/>
    <w:rsid w:val="009836D6"/>
    <w:rsid w:val="009836F8"/>
    <w:rsid w:val="00983708"/>
    <w:rsid w:val="00983720"/>
    <w:rsid w:val="0098374D"/>
    <w:rsid w:val="009839ED"/>
    <w:rsid w:val="009839F2"/>
    <w:rsid w:val="00983AC1"/>
    <w:rsid w:val="00983CC3"/>
    <w:rsid w:val="00983D6F"/>
    <w:rsid w:val="00983ECD"/>
    <w:rsid w:val="009840EE"/>
    <w:rsid w:val="009843A3"/>
    <w:rsid w:val="00984466"/>
    <w:rsid w:val="00984506"/>
    <w:rsid w:val="00984A1C"/>
    <w:rsid w:val="00984BF2"/>
    <w:rsid w:val="00984DB9"/>
    <w:rsid w:val="00984DC2"/>
    <w:rsid w:val="00984EE8"/>
    <w:rsid w:val="00984F51"/>
    <w:rsid w:val="00985158"/>
    <w:rsid w:val="00985295"/>
    <w:rsid w:val="009852AC"/>
    <w:rsid w:val="0098540B"/>
    <w:rsid w:val="009855B0"/>
    <w:rsid w:val="00985687"/>
    <w:rsid w:val="0098588D"/>
    <w:rsid w:val="009859F4"/>
    <w:rsid w:val="00985A15"/>
    <w:rsid w:val="00985C1C"/>
    <w:rsid w:val="00985E9F"/>
    <w:rsid w:val="00985EA1"/>
    <w:rsid w:val="00985EEF"/>
    <w:rsid w:val="009864A0"/>
    <w:rsid w:val="00986619"/>
    <w:rsid w:val="00986650"/>
    <w:rsid w:val="00986826"/>
    <w:rsid w:val="0098685F"/>
    <w:rsid w:val="00986C02"/>
    <w:rsid w:val="00986D72"/>
    <w:rsid w:val="00986D8A"/>
    <w:rsid w:val="00986F30"/>
    <w:rsid w:val="00986FDA"/>
    <w:rsid w:val="0098736D"/>
    <w:rsid w:val="009874D3"/>
    <w:rsid w:val="00987576"/>
    <w:rsid w:val="009877C8"/>
    <w:rsid w:val="00987E62"/>
    <w:rsid w:val="00987E73"/>
    <w:rsid w:val="00990131"/>
    <w:rsid w:val="0099015D"/>
    <w:rsid w:val="009901F5"/>
    <w:rsid w:val="00990313"/>
    <w:rsid w:val="009903A1"/>
    <w:rsid w:val="009905AF"/>
    <w:rsid w:val="00990780"/>
    <w:rsid w:val="00990A09"/>
    <w:rsid w:val="00990BB2"/>
    <w:rsid w:val="00990C58"/>
    <w:rsid w:val="00990CDE"/>
    <w:rsid w:val="00990CFB"/>
    <w:rsid w:val="00990E04"/>
    <w:rsid w:val="00990EA1"/>
    <w:rsid w:val="00990F9D"/>
    <w:rsid w:val="009910AB"/>
    <w:rsid w:val="009910BE"/>
    <w:rsid w:val="00991231"/>
    <w:rsid w:val="009913C6"/>
    <w:rsid w:val="00991431"/>
    <w:rsid w:val="0099153B"/>
    <w:rsid w:val="009915CF"/>
    <w:rsid w:val="00991606"/>
    <w:rsid w:val="009917DB"/>
    <w:rsid w:val="009917E4"/>
    <w:rsid w:val="00991BFF"/>
    <w:rsid w:val="00991DF2"/>
    <w:rsid w:val="00991E4F"/>
    <w:rsid w:val="00991E8C"/>
    <w:rsid w:val="00991FE6"/>
    <w:rsid w:val="0099211D"/>
    <w:rsid w:val="00992167"/>
    <w:rsid w:val="009922CD"/>
    <w:rsid w:val="00992342"/>
    <w:rsid w:val="009923C4"/>
    <w:rsid w:val="009923D6"/>
    <w:rsid w:val="009928AC"/>
    <w:rsid w:val="00992C3F"/>
    <w:rsid w:val="00992DFB"/>
    <w:rsid w:val="00992F48"/>
    <w:rsid w:val="00993152"/>
    <w:rsid w:val="00993478"/>
    <w:rsid w:val="009936BE"/>
    <w:rsid w:val="00993769"/>
    <w:rsid w:val="0099398D"/>
    <w:rsid w:val="0099399F"/>
    <w:rsid w:val="00993A06"/>
    <w:rsid w:val="00993B60"/>
    <w:rsid w:val="00993F26"/>
    <w:rsid w:val="00993F5A"/>
    <w:rsid w:val="00993F70"/>
    <w:rsid w:val="0099410E"/>
    <w:rsid w:val="0099414F"/>
    <w:rsid w:val="009941CD"/>
    <w:rsid w:val="0099429F"/>
    <w:rsid w:val="00994399"/>
    <w:rsid w:val="00994493"/>
    <w:rsid w:val="009945A7"/>
    <w:rsid w:val="009946FA"/>
    <w:rsid w:val="00994719"/>
    <w:rsid w:val="00994823"/>
    <w:rsid w:val="0099489A"/>
    <w:rsid w:val="00994976"/>
    <w:rsid w:val="009949CD"/>
    <w:rsid w:val="00994A8D"/>
    <w:rsid w:val="00994B65"/>
    <w:rsid w:val="009951D8"/>
    <w:rsid w:val="009952F3"/>
    <w:rsid w:val="009953E2"/>
    <w:rsid w:val="00995453"/>
    <w:rsid w:val="0099553B"/>
    <w:rsid w:val="0099574B"/>
    <w:rsid w:val="00995944"/>
    <w:rsid w:val="009959FB"/>
    <w:rsid w:val="00995A2C"/>
    <w:rsid w:val="00995C0B"/>
    <w:rsid w:val="00995C17"/>
    <w:rsid w:val="00995D9C"/>
    <w:rsid w:val="00996234"/>
    <w:rsid w:val="00996301"/>
    <w:rsid w:val="00996329"/>
    <w:rsid w:val="00996354"/>
    <w:rsid w:val="00996507"/>
    <w:rsid w:val="0099656A"/>
    <w:rsid w:val="0099675E"/>
    <w:rsid w:val="00996768"/>
    <w:rsid w:val="00996772"/>
    <w:rsid w:val="00996797"/>
    <w:rsid w:val="009967DF"/>
    <w:rsid w:val="0099681C"/>
    <w:rsid w:val="009968DD"/>
    <w:rsid w:val="00996941"/>
    <w:rsid w:val="00996968"/>
    <w:rsid w:val="00996B1B"/>
    <w:rsid w:val="00996C00"/>
    <w:rsid w:val="00996CD4"/>
    <w:rsid w:val="00996DAE"/>
    <w:rsid w:val="009970E6"/>
    <w:rsid w:val="009972B1"/>
    <w:rsid w:val="009975D7"/>
    <w:rsid w:val="009976D9"/>
    <w:rsid w:val="009976EC"/>
    <w:rsid w:val="00997792"/>
    <w:rsid w:val="0099785F"/>
    <w:rsid w:val="009979BA"/>
    <w:rsid w:val="00997A8E"/>
    <w:rsid w:val="00997B7E"/>
    <w:rsid w:val="00997C1E"/>
    <w:rsid w:val="00997DBA"/>
    <w:rsid w:val="00997EC2"/>
    <w:rsid w:val="00997F5B"/>
    <w:rsid w:val="00997F5E"/>
    <w:rsid w:val="009A00A7"/>
    <w:rsid w:val="009A02A3"/>
    <w:rsid w:val="009A036C"/>
    <w:rsid w:val="009A061F"/>
    <w:rsid w:val="009A0912"/>
    <w:rsid w:val="009A0B77"/>
    <w:rsid w:val="009A0CEA"/>
    <w:rsid w:val="009A1182"/>
    <w:rsid w:val="009A118A"/>
    <w:rsid w:val="009A1210"/>
    <w:rsid w:val="009A12E2"/>
    <w:rsid w:val="009A12F3"/>
    <w:rsid w:val="009A1343"/>
    <w:rsid w:val="009A1438"/>
    <w:rsid w:val="009A15D0"/>
    <w:rsid w:val="009A1774"/>
    <w:rsid w:val="009A17DA"/>
    <w:rsid w:val="009A18FD"/>
    <w:rsid w:val="009A197E"/>
    <w:rsid w:val="009A19C7"/>
    <w:rsid w:val="009A1A30"/>
    <w:rsid w:val="009A1A42"/>
    <w:rsid w:val="009A1AA0"/>
    <w:rsid w:val="009A1D8A"/>
    <w:rsid w:val="009A1DA3"/>
    <w:rsid w:val="009A2377"/>
    <w:rsid w:val="009A23F9"/>
    <w:rsid w:val="009A2481"/>
    <w:rsid w:val="009A2541"/>
    <w:rsid w:val="009A25D7"/>
    <w:rsid w:val="009A26F0"/>
    <w:rsid w:val="009A272C"/>
    <w:rsid w:val="009A273E"/>
    <w:rsid w:val="009A27A4"/>
    <w:rsid w:val="009A27E6"/>
    <w:rsid w:val="009A2922"/>
    <w:rsid w:val="009A2DE6"/>
    <w:rsid w:val="009A2F81"/>
    <w:rsid w:val="009A3117"/>
    <w:rsid w:val="009A3196"/>
    <w:rsid w:val="009A3484"/>
    <w:rsid w:val="009A36F2"/>
    <w:rsid w:val="009A390F"/>
    <w:rsid w:val="009A3A48"/>
    <w:rsid w:val="009A3B8A"/>
    <w:rsid w:val="009A3DB1"/>
    <w:rsid w:val="009A3FEF"/>
    <w:rsid w:val="009A4221"/>
    <w:rsid w:val="009A46CA"/>
    <w:rsid w:val="009A46E0"/>
    <w:rsid w:val="009A47D6"/>
    <w:rsid w:val="009A47E0"/>
    <w:rsid w:val="009A49E6"/>
    <w:rsid w:val="009A4ABA"/>
    <w:rsid w:val="009A4AC4"/>
    <w:rsid w:val="009A4D68"/>
    <w:rsid w:val="009A4E80"/>
    <w:rsid w:val="009A5103"/>
    <w:rsid w:val="009A5137"/>
    <w:rsid w:val="009A51E0"/>
    <w:rsid w:val="009A5273"/>
    <w:rsid w:val="009A54EA"/>
    <w:rsid w:val="009A5540"/>
    <w:rsid w:val="009A58EA"/>
    <w:rsid w:val="009A5BC4"/>
    <w:rsid w:val="009A5C3F"/>
    <w:rsid w:val="009A5FD0"/>
    <w:rsid w:val="009A60C6"/>
    <w:rsid w:val="009A60D9"/>
    <w:rsid w:val="009A614E"/>
    <w:rsid w:val="009A6239"/>
    <w:rsid w:val="009A6400"/>
    <w:rsid w:val="009A6460"/>
    <w:rsid w:val="009A65F9"/>
    <w:rsid w:val="009A6A6D"/>
    <w:rsid w:val="009A6C1B"/>
    <w:rsid w:val="009A6CEE"/>
    <w:rsid w:val="009A6D52"/>
    <w:rsid w:val="009A6DB6"/>
    <w:rsid w:val="009A71EA"/>
    <w:rsid w:val="009A744D"/>
    <w:rsid w:val="009A748B"/>
    <w:rsid w:val="009A776D"/>
    <w:rsid w:val="009A7AEE"/>
    <w:rsid w:val="009A7AF3"/>
    <w:rsid w:val="009A7AF6"/>
    <w:rsid w:val="009A7BC0"/>
    <w:rsid w:val="009A7E51"/>
    <w:rsid w:val="009A7EED"/>
    <w:rsid w:val="009B01F8"/>
    <w:rsid w:val="009B03E6"/>
    <w:rsid w:val="009B0562"/>
    <w:rsid w:val="009B05B8"/>
    <w:rsid w:val="009B0686"/>
    <w:rsid w:val="009B0795"/>
    <w:rsid w:val="009B0ADC"/>
    <w:rsid w:val="009B0C8B"/>
    <w:rsid w:val="009B0D15"/>
    <w:rsid w:val="009B0E36"/>
    <w:rsid w:val="009B0F46"/>
    <w:rsid w:val="009B100B"/>
    <w:rsid w:val="009B10A6"/>
    <w:rsid w:val="009B10CA"/>
    <w:rsid w:val="009B10F1"/>
    <w:rsid w:val="009B10FE"/>
    <w:rsid w:val="009B123B"/>
    <w:rsid w:val="009B12DE"/>
    <w:rsid w:val="009B13E3"/>
    <w:rsid w:val="009B1477"/>
    <w:rsid w:val="009B1820"/>
    <w:rsid w:val="009B18F2"/>
    <w:rsid w:val="009B18FD"/>
    <w:rsid w:val="009B1912"/>
    <w:rsid w:val="009B19B6"/>
    <w:rsid w:val="009B19D8"/>
    <w:rsid w:val="009B19FA"/>
    <w:rsid w:val="009B1A8D"/>
    <w:rsid w:val="009B1ADD"/>
    <w:rsid w:val="009B1B59"/>
    <w:rsid w:val="009B1CC3"/>
    <w:rsid w:val="009B1E44"/>
    <w:rsid w:val="009B1E79"/>
    <w:rsid w:val="009B219A"/>
    <w:rsid w:val="009B2224"/>
    <w:rsid w:val="009B2262"/>
    <w:rsid w:val="009B24AC"/>
    <w:rsid w:val="009B2596"/>
    <w:rsid w:val="009B28ED"/>
    <w:rsid w:val="009B2968"/>
    <w:rsid w:val="009B2C8F"/>
    <w:rsid w:val="009B2CF9"/>
    <w:rsid w:val="009B2F8C"/>
    <w:rsid w:val="009B2FB8"/>
    <w:rsid w:val="009B2FC9"/>
    <w:rsid w:val="009B2FF2"/>
    <w:rsid w:val="009B314B"/>
    <w:rsid w:val="009B3151"/>
    <w:rsid w:val="009B319E"/>
    <w:rsid w:val="009B3326"/>
    <w:rsid w:val="009B360D"/>
    <w:rsid w:val="009B36D2"/>
    <w:rsid w:val="009B37AC"/>
    <w:rsid w:val="009B3804"/>
    <w:rsid w:val="009B3A2E"/>
    <w:rsid w:val="009B3B99"/>
    <w:rsid w:val="009B3CEF"/>
    <w:rsid w:val="009B3D9A"/>
    <w:rsid w:val="009B3FFB"/>
    <w:rsid w:val="009B403B"/>
    <w:rsid w:val="009B40D6"/>
    <w:rsid w:val="009B4363"/>
    <w:rsid w:val="009B4408"/>
    <w:rsid w:val="009B4440"/>
    <w:rsid w:val="009B44E3"/>
    <w:rsid w:val="009B4553"/>
    <w:rsid w:val="009B459A"/>
    <w:rsid w:val="009B4717"/>
    <w:rsid w:val="009B4850"/>
    <w:rsid w:val="009B490F"/>
    <w:rsid w:val="009B49C3"/>
    <w:rsid w:val="009B4B1A"/>
    <w:rsid w:val="009B4D4A"/>
    <w:rsid w:val="009B4DFE"/>
    <w:rsid w:val="009B4FD9"/>
    <w:rsid w:val="009B506E"/>
    <w:rsid w:val="009B5124"/>
    <w:rsid w:val="009B526F"/>
    <w:rsid w:val="009B52CB"/>
    <w:rsid w:val="009B54CF"/>
    <w:rsid w:val="009B5882"/>
    <w:rsid w:val="009B59BA"/>
    <w:rsid w:val="009B5A27"/>
    <w:rsid w:val="009B5B76"/>
    <w:rsid w:val="009B5B8D"/>
    <w:rsid w:val="009B5C6C"/>
    <w:rsid w:val="009B5C6E"/>
    <w:rsid w:val="009B5CA6"/>
    <w:rsid w:val="009B5D7F"/>
    <w:rsid w:val="009B5DB0"/>
    <w:rsid w:val="009B5E4B"/>
    <w:rsid w:val="009B5FDA"/>
    <w:rsid w:val="009B5FDB"/>
    <w:rsid w:val="009B6193"/>
    <w:rsid w:val="009B6326"/>
    <w:rsid w:val="009B63A0"/>
    <w:rsid w:val="009B648C"/>
    <w:rsid w:val="009B6787"/>
    <w:rsid w:val="009B679E"/>
    <w:rsid w:val="009B6A87"/>
    <w:rsid w:val="009B6E21"/>
    <w:rsid w:val="009B6E72"/>
    <w:rsid w:val="009B6EAF"/>
    <w:rsid w:val="009B708C"/>
    <w:rsid w:val="009B7377"/>
    <w:rsid w:val="009B7383"/>
    <w:rsid w:val="009B7875"/>
    <w:rsid w:val="009B7B8F"/>
    <w:rsid w:val="009B7D37"/>
    <w:rsid w:val="009B7D54"/>
    <w:rsid w:val="009B7D8B"/>
    <w:rsid w:val="009B7DE8"/>
    <w:rsid w:val="009B7E99"/>
    <w:rsid w:val="009B7EFF"/>
    <w:rsid w:val="009C0088"/>
    <w:rsid w:val="009C00A3"/>
    <w:rsid w:val="009C00C5"/>
    <w:rsid w:val="009C01E2"/>
    <w:rsid w:val="009C04B7"/>
    <w:rsid w:val="009C0770"/>
    <w:rsid w:val="009C089A"/>
    <w:rsid w:val="009C08BF"/>
    <w:rsid w:val="009C0935"/>
    <w:rsid w:val="009C0997"/>
    <w:rsid w:val="009C09EA"/>
    <w:rsid w:val="009C0A21"/>
    <w:rsid w:val="009C0CE6"/>
    <w:rsid w:val="009C0FDC"/>
    <w:rsid w:val="009C0FF3"/>
    <w:rsid w:val="009C102B"/>
    <w:rsid w:val="009C10DD"/>
    <w:rsid w:val="009C1133"/>
    <w:rsid w:val="009C1150"/>
    <w:rsid w:val="009C11DE"/>
    <w:rsid w:val="009C11ED"/>
    <w:rsid w:val="009C12E5"/>
    <w:rsid w:val="009C133A"/>
    <w:rsid w:val="009C13F9"/>
    <w:rsid w:val="009C1536"/>
    <w:rsid w:val="009C177F"/>
    <w:rsid w:val="009C18EE"/>
    <w:rsid w:val="009C1D2C"/>
    <w:rsid w:val="009C1DA3"/>
    <w:rsid w:val="009C1EE5"/>
    <w:rsid w:val="009C21B9"/>
    <w:rsid w:val="009C21EF"/>
    <w:rsid w:val="009C2369"/>
    <w:rsid w:val="009C25B0"/>
    <w:rsid w:val="009C25C7"/>
    <w:rsid w:val="009C2785"/>
    <w:rsid w:val="009C2806"/>
    <w:rsid w:val="009C28F5"/>
    <w:rsid w:val="009C2905"/>
    <w:rsid w:val="009C293B"/>
    <w:rsid w:val="009C29B9"/>
    <w:rsid w:val="009C2A24"/>
    <w:rsid w:val="009C2C09"/>
    <w:rsid w:val="009C2C71"/>
    <w:rsid w:val="009C2C79"/>
    <w:rsid w:val="009C2ED1"/>
    <w:rsid w:val="009C2FFE"/>
    <w:rsid w:val="009C3010"/>
    <w:rsid w:val="009C31D7"/>
    <w:rsid w:val="009C327E"/>
    <w:rsid w:val="009C3427"/>
    <w:rsid w:val="009C3440"/>
    <w:rsid w:val="009C3503"/>
    <w:rsid w:val="009C3728"/>
    <w:rsid w:val="009C37F4"/>
    <w:rsid w:val="009C381C"/>
    <w:rsid w:val="009C3952"/>
    <w:rsid w:val="009C3C06"/>
    <w:rsid w:val="009C3C95"/>
    <w:rsid w:val="009C3CD8"/>
    <w:rsid w:val="009C3D9D"/>
    <w:rsid w:val="009C3F2C"/>
    <w:rsid w:val="009C3F5C"/>
    <w:rsid w:val="009C3FAB"/>
    <w:rsid w:val="009C41B9"/>
    <w:rsid w:val="009C425D"/>
    <w:rsid w:val="009C4427"/>
    <w:rsid w:val="009C4450"/>
    <w:rsid w:val="009C4502"/>
    <w:rsid w:val="009C4530"/>
    <w:rsid w:val="009C4563"/>
    <w:rsid w:val="009C45B5"/>
    <w:rsid w:val="009C47E4"/>
    <w:rsid w:val="009C48F1"/>
    <w:rsid w:val="009C4AB2"/>
    <w:rsid w:val="009C4B9E"/>
    <w:rsid w:val="009C4D3D"/>
    <w:rsid w:val="009C4F29"/>
    <w:rsid w:val="009C4F3E"/>
    <w:rsid w:val="009C5028"/>
    <w:rsid w:val="009C50B5"/>
    <w:rsid w:val="009C5168"/>
    <w:rsid w:val="009C51DD"/>
    <w:rsid w:val="009C51DE"/>
    <w:rsid w:val="009C551E"/>
    <w:rsid w:val="009C563A"/>
    <w:rsid w:val="009C56E3"/>
    <w:rsid w:val="009C5950"/>
    <w:rsid w:val="009C5A34"/>
    <w:rsid w:val="009C5A83"/>
    <w:rsid w:val="009C5E7E"/>
    <w:rsid w:val="009C5EC0"/>
    <w:rsid w:val="009C6006"/>
    <w:rsid w:val="009C6101"/>
    <w:rsid w:val="009C627C"/>
    <w:rsid w:val="009C62FF"/>
    <w:rsid w:val="009C64EF"/>
    <w:rsid w:val="009C682F"/>
    <w:rsid w:val="009C6860"/>
    <w:rsid w:val="009C6979"/>
    <w:rsid w:val="009C6997"/>
    <w:rsid w:val="009C6ABB"/>
    <w:rsid w:val="009C6AD1"/>
    <w:rsid w:val="009C6C5C"/>
    <w:rsid w:val="009C6D91"/>
    <w:rsid w:val="009C6DD7"/>
    <w:rsid w:val="009C6E0A"/>
    <w:rsid w:val="009C6FF6"/>
    <w:rsid w:val="009C7046"/>
    <w:rsid w:val="009C738E"/>
    <w:rsid w:val="009C73F7"/>
    <w:rsid w:val="009C7475"/>
    <w:rsid w:val="009C755E"/>
    <w:rsid w:val="009C7665"/>
    <w:rsid w:val="009C79B6"/>
    <w:rsid w:val="009C7BAE"/>
    <w:rsid w:val="009C7C33"/>
    <w:rsid w:val="009C7CC9"/>
    <w:rsid w:val="009C7DC3"/>
    <w:rsid w:val="009C7EB0"/>
    <w:rsid w:val="009C7ECF"/>
    <w:rsid w:val="009C7EEC"/>
    <w:rsid w:val="009C7F83"/>
    <w:rsid w:val="009D03C4"/>
    <w:rsid w:val="009D046F"/>
    <w:rsid w:val="009D0528"/>
    <w:rsid w:val="009D06E6"/>
    <w:rsid w:val="009D0722"/>
    <w:rsid w:val="009D0950"/>
    <w:rsid w:val="009D0A74"/>
    <w:rsid w:val="009D0AF5"/>
    <w:rsid w:val="009D0D7D"/>
    <w:rsid w:val="009D0F36"/>
    <w:rsid w:val="009D1030"/>
    <w:rsid w:val="009D104B"/>
    <w:rsid w:val="009D1357"/>
    <w:rsid w:val="009D15BB"/>
    <w:rsid w:val="009D17AB"/>
    <w:rsid w:val="009D1A88"/>
    <w:rsid w:val="009D1C39"/>
    <w:rsid w:val="009D1CEB"/>
    <w:rsid w:val="009D1DF8"/>
    <w:rsid w:val="009D1F7C"/>
    <w:rsid w:val="009D1FD1"/>
    <w:rsid w:val="009D20E2"/>
    <w:rsid w:val="009D2135"/>
    <w:rsid w:val="009D2190"/>
    <w:rsid w:val="009D23AD"/>
    <w:rsid w:val="009D2432"/>
    <w:rsid w:val="009D2592"/>
    <w:rsid w:val="009D2679"/>
    <w:rsid w:val="009D2776"/>
    <w:rsid w:val="009D27B3"/>
    <w:rsid w:val="009D2881"/>
    <w:rsid w:val="009D2902"/>
    <w:rsid w:val="009D2C4A"/>
    <w:rsid w:val="009D2C92"/>
    <w:rsid w:val="009D2EC5"/>
    <w:rsid w:val="009D2F7D"/>
    <w:rsid w:val="009D3325"/>
    <w:rsid w:val="009D33AD"/>
    <w:rsid w:val="009D33E1"/>
    <w:rsid w:val="009D36E0"/>
    <w:rsid w:val="009D388F"/>
    <w:rsid w:val="009D3A6F"/>
    <w:rsid w:val="009D3B1E"/>
    <w:rsid w:val="009D3B8D"/>
    <w:rsid w:val="009D3BEA"/>
    <w:rsid w:val="009D3C9C"/>
    <w:rsid w:val="009D3CEF"/>
    <w:rsid w:val="009D3D19"/>
    <w:rsid w:val="009D3FA0"/>
    <w:rsid w:val="009D41E9"/>
    <w:rsid w:val="009D41F3"/>
    <w:rsid w:val="009D4206"/>
    <w:rsid w:val="009D4453"/>
    <w:rsid w:val="009D458E"/>
    <w:rsid w:val="009D467E"/>
    <w:rsid w:val="009D46D1"/>
    <w:rsid w:val="009D46EB"/>
    <w:rsid w:val="009D484C"/>
    <w:rsid w:val="009D487C"/>
    <w:rsid w:val="009D4B1A"/>
    <w:rsid w:val="009D4BA9"/>
    <w:rsid w:val="009D4DDF"/>
    <w:rsid w:val="009D517B"/>
    <w:rsid w:val="009D5230"/>
    <w:rsid w:val="009D52AC"/>
    <w:rsid w:val="009D5431"/>
    <w:rsid w:val="009D5A78"/>
    <w:rsid w:val="009D5AEF"/>
    <w:rsid w:val="009D5B38"/>
    <w:rsid w:val="009D5B5F"/>
    <w:rsid w:val="009D5CB2"/>
    <w:rsid w:val="009D5D57"/>
    <w:rsid w:val="009D5D78"/>
    <w:rsid w:val="009D5E1D"/>
    <w:rsid w:val="009D5ED0"/>
    <w:rsid w:val="009D5EE8"/>
    <w:rsid w:val="009D5F17"/>
    <w:rsid w:val="009D5F36"/>
    <w:rsid w:val="009D5F5D"/>
    <w:rsid w:val="009D607D"/>
    <w:rsid w:val="009D6169"/>
    <w:rsid w:val="009D6259"/>
    <w:rsid w:val="009D632C"/>
    <w:rsid w:val="009D6727"/>
    <w:rsid w:val="009D69C5"/>
    <w:rsid w:val="009D69F7"/>
    <w:rsid w:val="009D6BB2"/>
    <w:rsid w:val="009D6CB1"/>
    <w:rsid w:val="009D6D55"/>
    <w:rsid w:val="009D6D62"/>
    <w:rsid w:val="009D72FE"/>
    <w:rsid w:val="009D74E1"/>
    <w:rsid w:val="009D782B"/>
    <w:rsid w:val="009D7AD2"/>
    <w:rsid w:val="009D7B08"/>
    <w:rsid w:val="009D7C04"/>
    <w:rsid w:val="009D7D04"/>
    <w:rsid w:val="009D7D0A"/>
    <w:rsid w:val="009D7D82"/>
    <w:rsid w:val="009D7DFB"/>
    <w:rsid w:val="009D7E00"/>
    <w:rsid w:val="009D7E0F"/>
    <w:rsid w:val="009D7EE4"/>
    <w:rsid w:val="009D7FAA"/>
    <w:rsid w:val="009E09A1"/>
    <w:rsid w:val="009E0A8E"/>
    <w:rsid w:val="009E0ACA"/>
    <w:rsid w:val="009E0BF1"/>
    <w:rsid w:val="009E0E57"/>
    <w:rsid w:val="009E0E9B"/>
    <w:rsid w:val="009E0EDF"/>
    <w:rsid w:val="009E0F2E"/>
    <w:rsid w:val="009E12D5"/>
    <w:rsid w:val="009E13F5"/>
    <w:rsid w:val="009E13FF"/>
    <w:rsid w:val="009E182D"/>
    <w:rsid w:val="009E190C"/>
    <w:rsid w:val="009E19A2"/>
    <w:rsid w:val="009E19C9"/>
    <w:rsid w:val="009E19E9"/>
    <w:rsid w:val="009E1BBF"/>
    <w:rsid w:val="009E1F9C"/>
    <w:rsid w:val="009E202B"/>
    <w:rsid w:val="009E22E2"/>
    <w:rsid w:val="009E24C5"/>
    <w:rsid w:val="009E2549"/>
    <w:rsid w:val="009E2577"/>
    <w:rsid w:val="009E275F"/>
    <w:rsid w:val="009E2783"/>
    <w:rsid w:val="009E282A"/>
    <w:rsid w:val="009E2867"/>
    <w:rsid w:val="009E28CD"/>
    <w:rsid w:val="009E2CBA"/>
    <w:rsid w:val="009E2D69"/>
    <w:rsid w:val="009E2F7E"/>
    <w:rsid w:val="009E3247"/>
    <w:rsid w:val="009E32B7"/>
    <w:rsid w:val="009E333F"/>
    <w:rsid w:val="009E3690"/>
    <w:rsid w:val="009E36A8"/>
    <w:rsid w:val="009E3970"/>
    <w:rsid w:val="009E3A84"/>
    <w:rsid w:val="009E3B9D"/>
    <w:rsid w:val="009E3BAC"/>
    <w:rsid w:val="009E3D82"/>
    <w:rsid w:val="009E3DDC"/>
    <w:rsid w:val="009E3E6A"/>
    <w:rsid w:val="009E3E8F"/>
    <w:rsid w:val="009E3EF6"/>
    <w:rsid w:val="009E3F51"/>
    <w:rsid w:val="009E3F81"/>
    <w:rsid w:val="009E3FD0"/>
    <w:rsid w:val="009E3FEB"/>
    <w:rsid w:val="009E3FEE"/>
    <w:rsid w:val="009E41A2"/>
    <w:rsid w:val="009E4295"/>
    <w:rsid w:val="009E4540"/>
    <w:rsid w:val="009E4726"/>
    <w:rsid w:val="009E4A42"/>
    <w:rsid w:val="009E4E61"/>
    <w:rsid w:val="009E4EEA"/>
    <w:rsid w:val="009E501F"/>
    <w:rsid w:val="009E518E"/>
    <w:rsid w:val="009E52BB"/>
    <w:rsid w:val="009E5457"/>
    <w:rsid w:val="009E5644"/>
    <w:rsid w:val="009E568D"/>
    <w:rsid w:val="009E5868"/>
    <w:rsid w:val="009E587F"/>
    <w:rsid w:val="009E58A8"/>
    <w:rsid w:val="009E592B"/>
    <w:rsid w:val="009E5BDD"/>
    <w:rsid w:val="009E5CF3"/>
    <w:rsid w:val="009E5D59"/>
    <w:rsid w:val="009E5D91"/>
    <w:rsid w:val="009E5E8B"/>
    <w:rsid w:val="009E5F54"/>
    <w:rsid w:val="009E621E"/>
    <w:rsid w:val="009E62BD"/>
    <w:rsid w:val="009E632D"/>
    <w:rsid w:val="009E63B2"/>
    <w:rsid w:val="009E66CC"/>
    <w:rsid w:val="009E68B6"/>
    <w:rsid w:val="009E6968"/>
    <w:rsid w:val="009E6BB7"/>
    <w:rsid w:val="009E6C98"/>
    <w:rsid w:val="009E6D03"/>
    <w:rsid w:val="009E6D77"/>
    <w:rsid w:val="009E6E0B"/>
    <w:rsid w:val="009E6E3E"/>
    <w:rsid w:val="009E6EA5"/>
    <w:rsid w:val="009E7092"/>
    <w:rsid w:val="009E715D"/>
    <w:rsid w:val="009E71D9"/>
    <w:rsid w:val="009E71DD"/>
    <w:rsid w:val="009E7311"/>
    <w:rsid w:val="009E736E"/>
    <w:rsid w:val="009E7381"/>
    <w:rsid w:val="009E742D"/>
    <w:rsid w:val="009E758E"/>
    <w:rsid w:val="009E76B6"/>
    <w:rsid w:val="009E774D"/>
    <w:rsid w:val="009E77EC"/>
    <w:rsid w:val="009E792B"/>
    <w:rsid w:val="009E7A5A"/>
    <w:rsid w:val="009E7AD2"/>
    <w:rsid w:val="009E7B54"/>
    <w:rsid w:val="009E7C40"/>
    <w:rsid w:val="009E7E8F"/>
    <w:rsid w:val="009E7F11"/>
    <w:rsid w:val="009E7FED"/>
    <w:rsid w:val="009F008E"/>
    <w:rsid w:val="009F03E7"/>
    <w:rsid w:val="009F0772"/>
    <w:rsid w:val="009F07C4"/>
    <w:rsid w:val="009F08FF"/>
    <w:rsid w:val="009F096A"/>
    <w:rsid w:val="009F0A52"/>
    <w:rsid w:val="009F0A90"/>
    <w:rsid w:val="009F0C51"/>
    <w:rsid w:val="009F0D4B"/>
    <w:rsid w:val="009F0D95"/>
    <w:rsid w:val="009F122B"/>
    <w:rsid w:val="009F13DD"/>
    <w:rsid w:val="009F1648"/>
    <w:rsid w:val="009F1970"/>
    <w:rsid w:val="009F19B9"/>
    <w:rsid w:val="009F1C8F"/>
    <w:rsid w:val="009F1EEF"/>
    <w:rsid w:val="009F1F59"/>
    <w:rsid w:val="009F20F8"/>
    <w:rsid w:val="009F2172"/>
    <w:rsid w:val="009F223B"/>
    <w:rsid w:val="009F231F"/>
    <w:rsid w:val="009F2368"/>
    <w:rsid w:val="009F2433"/>
    <w:rsid w:val="009F2729"/>
    <w:rsid w:val="009F28D2"/>
    <w:rsid w:val="009F28E3"/>
    <w:rsid w:val="009F28FC"/>
    <w:rsid w:val="009F2926"/>
    <w:rsid w:val="009F2971"/>
    <w:rsid w:val="009F2D2F"/>
    <w:rsid w:val="009F2DD7"/>
    <w:rsid w:val="009F2DDD"/>
    <w:rsid w:val="009F2DF4"/>
    <w:rsid w:val="009F2DF9"/>
    <w:rsid w:val="009F2E2B"/>
    <w:rsid w:val="009F2E39"/>
    <w:rsid w:val="009F2E45"/>
    <w:rsid w:val="009F2E48"/>
    <w:rsid w:val="009F2E83"/>
    <w:rsid w:val="009F2EA4"/>
    <w:rsid w:val="009F2F52"/>
    <w:rsid w:val="009F3019"/>
    <w:rsid w:val="009F31BD"/>
    <w:rsid w:val="009F34FF"/>
    <w:rsid w:val="009F3640"/>
    <w:rsid w:val="009F375A"/>
    <w:rsid w:val="009F3A8A"/>
    <w:rsid w:val="009F3AB9"/>
    <w:rsid w:val="009F3D43"/>
    <w:rsid w:val="009F3DA6"/>
    <w:rsid w:val="009F3E41"/>
    <w:rsid w:val="009F3E43"/>
    <w:rsid w:val="009F3FD6"/>
    <w:rsid w:val="009F418D"/>
    <w:rsid w:val="009F468F"/>
    <w:rsid w:val="009F4696"/>
    <w:rsid w:val="009F476D"/>
    <w:rsid w:val="009F4917"/>
    <w:rsid w:val="009F4AF3"/>
    <w:rsid w:val="009F4CC6"/>
    <w:rsid w:val="009F4D81"/>
    <w:rsid w:val="009F4E3C"/>
    <w:rsid w:val="009F4E68"/>
    <w:rsid w:val="009F4F9C"/>
    <w:rsid w:val="009F50F9"/>
    <w:rsid w:val="009F5130"/>
    <w:rsid w:val="009F51B0"/>
    <w:rsid w:val="009F54E0"/>
    <w:rsid w:val="009F55AC"/>
    <w:rsid w:val="009F582C"/>
    <w:rsid w:val="009F59D2"/>
    <w:rsid w:val="009F5C03"/>
    <w:rsid w:val="009F5C13"/>
    <w:rsid w:val="009F5C83"/>
    <w:rsid w:val="009F5DCC"/>
    <w:rsid w:val="009F6156"/>
    <w:rsid w:val="009F65AA"/>
    <w:rsid w:val="009F6661"/>
    <w:rsid w:val="009F68AF"/>
    <w:rsid w:val="009F6B25"/>
    <w:rsid w:val="009F6F03"/>
    <w:rsid w:val="009F7035"/>
    <w:rsid w:val="009F733B"/>
    <w:rsid w:val="009F73C0"/>
    <w:rsid w:val="009F7414"/>
    <w:rsid w:val="009F74F6"/>
    <w:rsid w:val="009F76C7"/>
    <w:rsid w:val="009F780E"/>
    <w:rsid w:val="009F78FB"/>
    <w:rsid w:val="009F7AA3"/>
    <w:rsid w:val="009F7B17"/>
    <w:rsid w:val="009F7B2B"/>
    <w:rsid w:val="009F7C97"/>
    <w:rsid w:val="009F7D11"/>
    <w:rsid w:val="009F7D96"/>
    <w:rsid w:val="009F7EE8"/>
    <w:rsid w:val="009F7F4D"/>
    <w:rsid w:val="00A00007"/>
    <w:rsid w:val="00A001B2"/>
    <w:rsid w:val="00A001CD"/>
    <w:rsid w:val="00A0024C"/>
    <w:rsid w:val="00A00295"/>
    <w:rsid w:val="00A0036E"/>
    <w:rsid w:val="00A00524"/>
    <w:rsid w:val="00A00538"/>
    <w:rsid w:val="00A005EA"/>
    <w:rsid w:val="00A006EF"/>
    <w:rsid w:val="00A0074F"/>
    <w:rsid w:val="00A00884"/>
    <w:rsid w:val="00A0089B"/>
    <w:rsid w:val="00A008DB"/>
    <w:rsid w:val="00A00C69"/>
    <w:rsid w:val="00A00F5E"/>
    <w:rsid w:val="00A010A5"/>
    <w:rsid w:val="00A0122A"/>
    <w:rsid w:val="00A015F6"/>
    <w:rsid w:val="00A01635"/>
    <w:rsid w:val="00A01734"/>
    <w:rsid w:val="00A0177B"/>
    <w:rsid w:val="00A017A7"/>
    <w:rsid w:val="00A018F9"/>
    <w:rsid w:val="00A0198C"/>
    <w:rsid w:val="00A01A4E"/>
    <w:rsid w:val="00A01BCD"/>
    <w:rsid w:val="00A01BED"/>
    <w:rsid w:val="00A01C52"/>
    <w:rsid w:val="00A01DCF"/>
    <w:rsid w:val="00A01EE4"/>
    <w:rsid w:val="00A02300"/>
    <w:rsid w:val="00A0237C"/>
    <w:rsid w:val="00A02722"/>
    <w:rsid w:val="00A027CD"/>
    <w:rsid w:val="00A02C28"/>
    <w:rsid w:val="00A02C48"/>
    <w:rsid w:val="00A02C50"/>
    <w:rsid w:val="00A02CBC"/>
    <w:rsid w:val="00A02F55"/>
    <w:rsid w:val="00A030D0"/>
    <w:rsid w:val="00A031C3"/>
    <w:rsid w:val="00A031EA"/>
    <w:rsid w:val="00A03306"/>
    <w:rsid w:val="00A036B8"/>
    <w:rsid w:val="00A038CF"/>
    <w:rsid w:val="00A03B2E"/>
    <w:rsid w:val="00A03C09"/>
    <w:rsid w:val="00A04096"/>
    <w:rsid w:val="00A04132"/>
    <w:rsid w:val="00A04471"/>
    <w:rsid w:val="00A045EB"/>
    <w:rsid w:val="00A04688"/>
    <w:rsid w:val="00A04777"/>
    <w:rsid w:val="00A047C3"/>
    <w:rsid w:val="00A04994"/>
    <w:rsid w:val="00A04A86"/>
    <w:rsid w:val="00A04A8E"/>
    <w:rsid w:val="00A04B50"/>
    <w:rsid w:val="00A04B99"/>
    <w:rsid w:val="00A04CDC"/>
    <w:rsid w:val="00A04E70"/>
    <w:rsid w:val="00A04EC7"/>
    <w:rsid w:val="00A04EF4"/>
    <w:rsid w:val="00A04FF7"/>
    <w:rsid w:val="00A050CB"/>
    <w:rsid w:val="00A0529F"/>
    <w:rsid w:val="00A052A1"/>
    <w:rsid w:val="00A05469"/>
    <w:rsid w:val="00A054A3"/>
    <w:rsid w:val="00A054E7"/>
    <w:rsid w:val="00A05550"/>
    <w:rsid w:val="00A055FA"/>
    <w:rsid w:val="00A05628"/>
    <w:rsid w:val="00A05662"/>
    <w:rsid w:val="00A05997"/>
    <w:rsid w:val="00A05A01"/>
    <w:rsid w:val="00A05A12"/>
    <w:rsid w:val="00A05BBB"/>
    <w:rsid w:val="00A05BD1"/>
    <w:rsid w:val="00A05D2F"/>
    <w:rsid w:val="00A05F48"/>
    <w:rsid w:val="00A060FD"/>
    <w:rsid w:val="00A06166"/>
    <w:rsid w:val="00A0624F"/>
    <w:rsid w:val="00A064BE"/>
    <w:rsid w:val="00A06668"/>
    <w:rsid w:val="00A0680D"/>
    <w:rsid w:val="00A06843"/>
    <w:rsid w:val="00A06856"/>
    <w:rsid w:val="00A068B0"/>
    <w:rsid w:val="00A06A71"/>
    <w:rsid w:val="00A06ADA"/>
    <w:rsid w:val="00A0704D"/>
    <w:rsid w:val="00A0706C"/>
    <w:rsid w:val="00A07091"/>
    <w:rsid w:val="00A07267"/>
    <w:rsid w:val="00A072BD"/>
    <w:rsid w:val="00A07348"/>
    <w:rsid w:val="00A07363"/>
    <w:rsid w:val="00A07458"/>
    <w:rsid w:val="00A0754D"/>
    <w:rsid w:val="00A07794"/>
    <w:rsid w:val="00A077A7"/>
    <w:rsid w:val="00A07A9D"/>
    <w:rsid w:val="00A07D7B"/>
    <w:rsid w:val="00A07DF9"/>
    <w:rsid w:val="00A10042"/>
    <w:rsid w:val="00A100C3"/>
    <w:rsid w:val="00A1051C"/>
    <w:rsid w:val="00A10534"/>
    <w:rsid w:val="00A105AB"/>
    <w:rsid w:val="00A10601"/>
    <w:rsid w:val="00A1064F"/>
    <w:rsid w:val="00A10661"/>
    <w:rsid w:val="00A109AA"/>
    <w:rsid w:val="00A109C9"/>
    <w:rsid w:val="00A109EA"/>
    <w:rsid w:val="00A10AA0"/>
    <w:rsid w:val="00A10C41"/>
    <w:rsid w:val="00A10E80"/>
    <w:rsid w:val="00A11363"/>
    <w:rsid w:val="00A11440"/>
    <w:rsid w:val="00A1163B"/>
    <w:rsid w:val="00A11ABA"/>
    <w:rsid w:val="00A11F39"/>
    <w:rsid w:val="00A11F54"/>
    <w:rsid w:val="00A12063"/>
    <w:rsid w:val="00A12213"/>
    <w:rsid w:val="00A1232C"/>
    <w:rsid w:val="00A12340"/>
    <w:rsid w:val="00A12392"/>
    <w:rsid w:val="00A12578"/>
    <w:rsid w:val="00A125C0"/>
    <w:rsid w:val="00A12BF7"/>
    <w:rsid w:val="00A12C12"/>
    <w:rsid w:val="00A12C1A"/>
    <w:rsid w:val="00A12E3E"/>
    <w:rsid w:val="00A12E69"/>
    <w:rsid w:val="00A12F3B"/>
    <w:rsid w:val="00A13011"/>
    <w:rsid w:val="00A13039"/>
    <w:rsid w:val="00A1305C"/>
    <w:rsid w:val="00A13062"/>
    <w:rsid w:val="00A13154"/>
    <w:rsid w:val="00A13311"/>
    <w:rsid w:val="00A1340E"/>
    <w:rsid w:val="00A135BC"/>
    <w:rsid w:val="00A138B0"/>
    <w:rsid w:val="00A13C73"/>
    <w:rsid w:val="00A13E19"/>
    <w:rsid w:val="00A13F7F"/>
    <w:rsid w:val="00A14042"/>
    <w:rsid w:val="00A14045"/>
    <w:rsid w:val="00A141C8"/>
    <w:rsid w:val="00A142E8"/>
    <w:rsid w:val="00A1445B"/>
    <w:rsid w:val="00A14719"/>
    <w:rsid w:val="00A14827"/>
    <w:rsid w:val="00A14BD3"/>
    <w:rsid w:val="00A14CFB"/>
    <w:rsid w:val="00A14D43"/>
    <w:rsid w:val="00A14F01"/>
    <w:rsid w:val="00A15003"/>
    <w:rsid w:val="00A15052"/>
    <w:rsid w:val="00A15149"/>
    <w:rsid w:val="00A1524D"/>
    <w:rsid w:val="00A15358"/>
    <w:rsid w:val="00A1553B"/>
    <w:rsid w:val="00A15602"/>
    <w:rsid w:val="00A159C0"/>
    <w:rsid w:val="00A15A96"/>
    <w:rsid w:val="00A15BFA"/>
    <w:rsid w:val="00A15C18"/>
    <w:rsid w:val="00A15CF2"/>
    <w:rsid w:val="00A15CFE"/>
    <w:rsid w:val="00A15DA4"/>
    <w:rsid w:val="00A15E3D"/>
    <w:rsid w:val="00A15ED0"/>
    <w:rsid w:val="00A15F08"/>
    <w:rsid w:val="00A15F46"/>
    <w:rsid w:val="00A15F52"/>
    <w:rsid w:val="00A15F83"/>
    <w:rsid w:val="00A16103"/>
    <w:rsid w:val="00A1636E"/>
    <w:rsid w:val="00A163C3"/>
    <w:rsid w:val="00A16403"/>
    <w:rsid w:val="00A16428"/>
    <w:rsid w:val="00A16593"/>
    <w:rsid w:val="00A16632"/>
    <w:rsid w:val="00A166D3"/>
    <w:rsid w:val="00A1678A"/>
    <w:rsid w:val="00A167A4"/>
    <w:rsid w:val="00A16988"/>
    <w:rsid w:val="00A16A01"/>
    <w:rsid w:val="00A16A2F"/>
    <w:rsid w:val="00A16A9C"/>
    <w:rsid w:val="00A16CC9"/>
    <w:rsid w:val="00A16DA0"/>
    <w:rsid w:val="00A16DA2"/>
    <w:rsid w:val="00A173CD"/>
    <w:rsid w:val="00A175FD"/>
    <w:rsid w:val="00A1768C"/>
    <w:rsid w:val="00A17746"/>
    <w:rsid w:val="00A1778F"/>
    <w:rsid w:val="00A177E1"/>
    <w:rsid w:val="00A178CC"/>
    <w:rsid w:val="00A17A23"/>
    <w:rsid w:val="00A17AEA"/>
    <w:rsid w:val="00A17F38"/>
    <w:rsid w:val="00A20364"/>
    <w:rsid w:val="00A2047C"/>
    <w:rsid w:val="00A20820"/>
    <w:rsid w:val="00A20880"/>
    <w:rsid w:val="00A20C3B"/>
    <w:rsid w:val="00A20D7F"/>
    <w:rsid w:val="00A20D8F"/>
    <w:rsid w:val="00A20FC4"/>
    <w:rsid w:val="00A2100B"/>
    <w:rsid w:val="00A2127C"/>
    <w:rsid w:val="00A213B7"/>
    <w:rsid w:val="00A21405"/>
    <w:rsid w:val="00A214B3"/>
    <w:rsid w:val="00A215D6"/>
    <w:rsid w:val="00A21627"/>
    <w:rsid w:val="00A219C8"/>
    <w:rsid w:val="00A21C70"/>
    <w:rsid w:val="00A21DBE"/>
    <w:rsid w:val="00A21E3A"/>
    <w:rsid w:val="00A21E44"/>
    <w:rsid w:val="00A21EC3"/>
    <w:rsid w:val="00A21F8D"/>
    <w:rsid w:val="00A21FA9"/>
    <w:rsid w:val="00A222E6"/>
    <w:rsid w:val="00A222F3"/>
    <w:rsid w:val="00A22352"/>
    <w:rsid w:val="00A22622"/>
    <w:rsid w:val="00A22896"/>
    <w:rsid w:val="00A2292C"/>
    <w:rsid w:val="00A22987"/>
    <w:rsid w:val="00A22A69"/>
    <w:rsid w:val="00A22B55"/>
    <w:rsid w:val="00A22CCD"/>
    <w:rsid w:val="00A22F55"/>
    <w:rsid w:val="00A22F7E"/>
    <w:rsid w:val="00A22FA5"/>
    <w:rsid w:val="00A22FB2"/>
    <w:rsid w:val="00A2317F"/>
    <w:rsid w:val="00A233E1"/>
    <w:rsid w:val="00A2361F"/>
    <w:rsid w:val="00A236AC"/>
    <w:rsid w:val="00A23850"/>
    <w:rsid w:val="00A23B90"/>
    <w:rsid w:val="00A23BF3"/>
    <w:rsid w:val="00A23C01"/>
    <w:rsid w:val="00A23E82"/>
    <w:rsid w:val="00A23E9D"/>
    <w:rsid w:val="00A23EAA"/>
    <w:rsid w:val="00A23EB1"/>
    <w:rsid w:val="00A23F98"/>
    <w:rsid w:val="00A24180"/>
    <w:rsid w:val="00A241FF"/>
    <w:rsid w:val="00A24276"/>
    <w:rsid w:val="00A243BA"/>
    <w:rsid w:val="00A24503"/>
    <w:rsid w:val="00A245CE"/>
    <w:rsid w:val="00A246D2"/>
    <w:rsid w:val="00A24872"/>
    <w:rsid w:val="00A24A39"/>
    <w:rsid w:val="00A24A6C"/>
    <w:rsid w:val="00A24A78"/>
    <w:rsid w:val="00A24BFF"/>
    <w:rsid w:val="00A24D5C"/>
    <w:rsid w:val="00A24D69"/>
    <w:rsid w:val="00A24D77"/>
    <w:rsid w:val="00A24D88"/>
    <w:rsid w:val="00A24DCC"/>
    <w:rsid w:val="00A24E39"/>
    <w:rsid w:val="00A25162"/>
    <w:rsid w:val="00A251E1"/>
    <w:rsid w:val="00A256BE"/>
    <w:rsid w:val="00A25835"/>
    <w:rsid w:val="00A2596B"/>
    <w:rsid w:val="00A25A5F"/>
    <w:rsid w:val="00A25A69"/>
    <w:rsid w:val="00A25D57"/>
    <w:rsid w:val="00A25F49"/>
    <w:rsid w:val="00A25FA9"/>
    <w:rsid w:val="00A26096"/>
    <w:rsid w:val="00A26106"/>
    <w:rsid w:val="00A26369"/>
    <w:rsid w:val="00A26488"/>
    <w:rsid w:val="00A26752"/>
    <w:rsid w:val="00A26859"/>
    <w:rsid w:val="00A26A29"/>
    <w:rsid w:val="00A26A3E"/>
    <w:rsid w:val="00A26B13"/>
    <w:rsid w:val="00A26D7A"/>
    <w:rsid w:val="00A26E79"/>
    <w:rsid w:val="00A26E8E"/>
    <w:rsid w:val="00A270F0"/>
    <w:rsid w:val="00A270F7"/>
    <w:rsid w:val="00A27143"/>
    <w:rsid w:val="00A271AC"/>
    <w:rsid w:val="00A27332"/>
    <w:rsid w:val="00A2741E"/>
    <w:rsid w:val="00A274E6"/>
    <w:rsid w:val="00A27632"/>
    <w:rsid w:val="00A2765D"/>
    <w:rsid w:val="00A278BA"/>
    <w:rsid w:val="00A278DA"/>
    <w:rsid w:val="00A27945"/>
    <w:rsid w:val="00A27A12"/>
    <w:rsid w:val="00A27B13"/>
    <w:rsid w:val="00A27B9B"/>
    <w:rsid w:val="00A27C71"/>
    <w:rsid w:val="00A27CB0"/>
    <w:rsid w:val="00A27D03"/>
    <w:rsid w:val="00A27DC4"/>
    <w:rsid w:val="00A27F80"/>
    <w:rsid w:val="00A27FDA"/>
    <w:rsid w:val="00A300AC"/>
    <w:rsid w:val="00A3037F"/>
    <w:rsid w:val="00A30408"/>
    <w:rsid w:val="00A3047E"/>
    <w:rsid w:val="00A307B5"/>
    <w:rsid w:val="00A30872"/>
    <w:rsid w:val="00A309BF"/>
    <w:rsid w:val="00A30A40"/>
    <w:rsid w:val="00A30AF6"/>
    <w:rsid w:val="00A30F71"/>
    <w:rsid w:val="00A310CD"/>
    <w:rsid w:val="00A31190"/>
    <w:rsid w:val="00A311EC"/>
    <w:rsid w:val="00A3131D"/>
    <w:rsid w:val="00A3141B"/>
    <w:rsid w:val="00A31464"/>
    <w:rsid w:val="00A31480"/>
    <w:rsid w:val="00A3163B"/>
    <w:rsid w:val="00A31816"/>
    <w:rsid w:val="00A3190D"/>
    <w:rsid w:val="00A31933"/>
    <w:rsid w:val="00A31B16"/>
    <w:rsid w:val="00A31B79"/>
    <w:rsid w:val="00A31E48"/>
    <w:rsid w:val="00A31F75"/>
    <w:rsid w:val="00A31FC8"/>
    <w:rsid w:val="00A32205"/>
    <w:rsid w:val="00A322B6"/>
    <w:rsid w:val="00A324A4"/>
    <w:rsid w:val="00A3262F"/>
    <w:rsid w:val="00A326D1"/>
    <w:rsid w:val="00A32723"/>
    <w:rsid w:val="00A327B1"/>
    <w:rsid w:val="00A32A92"/>
    <w:rsid w:val="00A32BB5"/>
    <w:rsid w:val="00A32C73"/>
    <w:rsid w:val="00A32D1D"/>
    <w:rsid w:val="00A33132"/>
    <w:rsid w:val="00A331D7"/>
    <w:rsid w:val="00A331DF"/>
    <w:rsid w:val="00A331E7"/>
    <w:rsid w:val="00A3329E"/>
    <w:rsid w:val="00A3353F"/>
    <w:rsid w:val="00A335A8"/>
    <w:rsid w:val="00A335D1"/>
    <w:rsid w:val="00A33793"/>
    <w:rsid w:val="00A337C6"/>
    <w:rsid w:val="00A33959"/>
    <w:rsid w:val="00A33CAC"/>
    <w:rsid w:val="00A33E08"/>
    <w:rsid w:val="00A33E3C"/>
    <w:rsid w:val="00A33FAE"/>
    <w:rsid w:val="00A34024"/>
    <w:rsid w:val="00A34058"/>
    <w:rsid w:val="00A340D2"/>
    <w:rsid w:val="00A3410B"/>
    <w:rsid w:val="00A34190"/>
    <w:rsid w:val="00A34430"/>
    <w:rsid w:val="00A3444A"/>
    <w:rsid w:val="00A3458B"/>
    <w:rsid w:val="00A34680"/>
    <w:rsid w:val="00A34761"/>
    <w:rsid w:val="00A347D1"/>
    <w:rsid w:val="00A34896"/>
    <w:rsid w:val="00A34998"/>
    <w:rsid w:val="00A34A24"/>
    <w:rsid w:val="00A34A46"/>
    <w:rsid w:val="00A34C0F"/>
    <w:rsid w:val="00A35271"/>
    <w:rsid w:val="00A3535C"/>
    <w:rsid w:val="00A3541B"/>
    <w:rsid w:val="00A35684"/>
    <w:rsid w:val="00A35847"/>
    <w:rsid w:val="00A35A42"/>
    <w:rsid w:val="00A35C88"/>
    <w:rsid w:val="00A35DD1"/>
    <w:rsid w:val="00A35E13"/>
    <w:rsid w:val="00A35E38"/>
    <w:rsid w:val="00A35E71"/>
    <w:rsid w:val="00A35F47"/>
    <w:rsid w:val="00A35FE2"/>
    <w:rsid w:val="00A36262"/>
    <w:rsid w:val="00A36318"/>
    <w:rsid w:val="00A3658E"/>
    <w:rsid w:val="00A36656"/>
    <w:rsid w:val="00A366CB"/>
    <w:rsid w:val="00A3673E"/>
    <w:rsid w:val="00A367A5"/>
    <w:rsid w:val="00A3687B"/>
    <w:rsid w:val="00A369BF"/>
    <w:rsid w:val="00A36B8C"/>
    <w:rsid w:val="00A36EB4"/>
    <w:rsid w:val="00A36F08"/>
    <w:rsid w:val="00A370AB"/>
    <w:rsid w:val="00A3718B"/>
    <w:rsid w:val="00A372F5"/>
    <w:rsid w:val="00A3730C"/>
    <w:rsid w:val="00A37458"/>
    <w:rsid w:val="00A376DF"/>
    <w:rsid w:val="00A379FE"/>
    <w:rsid w:val="00A37CC1"/>
    <w:rsid w:val="00A37D0D"/>
    <w:rsid w:val="00A37D16"/>
    <w:rsid w:val="00A37D28"/>
    <w:rsid w:val="00A37D33"/>
    <w:rsid w:val="00A37DEA"/>
    <w:rsid w:val="00A4018F"/>
    <w:rsid w:val="00A401E7"/>
    <w:rsid w:val="00A4053E"/>
    <w:rsid w:val="00A4059B"/>
    <w:rsid w:val="00A4059C"/>
    <w:rsid w:val="00A4076F"/>
    <w:rsid w:val="00A407A8"/>
    <w:rsid w:val="00A40B92"/>
    <w:rsid w:val="00A40BB6"/>
    <w:rsid w:val="00A40C26"/>
    <w:rsid w:val="00A40CE3"/>
    <w:rsid w:val="00A40DAD"/>
    <w:rsid w:val="00A40EF3"/>
    <w:rsid w:val="00A4107E"/>
    <w:rsid w:val="00A4148A"/>
    <w:rsid w:val="00A414B9"/>
    <w:rsid w:val="00A41600"/>
    <w:rsid w:val="00A41798"/>
    <w:rsid w:val="00A41A0E"/>
    <w:rsid w:val="00A41D40"/>
    <w:rsid w:val="00A41F98"/>
    <w:rsid w:val="00A420C4"/>
    <w:rsid w:val="00A42201"/>
    <w:rsid w:val="00A423F4"/>
    <w:rsid w:val="00A424AA"/>
    <w:rsid w:val="00A424E1"/>
    <w:rsid w:val="00A426DB"/>
    <w:rsid w:val="00A42702"/>
    <w:rsid w:val="00A4273E"/>
    <w:rsid w:val="00A42749"/>
    <w:rsid w:val="00A427F2"/>
    <w:rsid w:val="00A42842"/>
    <w:rsid w:val="00A42854"/>
    <w:rsid w:val="00A42A8E"/>
    <w:rsid w:val="00A42C7D"/>
    <w:rsid w:val="00A42D3F"/>
    <w:rsid w:val="00A43007"/>
    <w:rsid w:val="00A4314F"/>
    <w:rsid w:val="00A433D9"/>
    <w:rsid w:val="00A433FF"/>
    <w:rsid w:val="00A434B0"/>
    <w:rsid w:val="00A4358F"/>
    <w:rsid w:val="00A43762"/>
    <w:rsid w:val="00A437F9"/>
    <w:rsid w:val="00A43B0B"/>
    <w:rsid w:val="00A43CF1"/>
    <w:rsid w:val="00A43D0A"/>
    <w:rsid w:val="00A43FDC"/>
    <w:rsid w:val="00A441B3"/>
    <w:rsid w:val="00A441E6"/>
    <w:rsid w:val="00A442D2"/>
    <w:rsid w:val="00A4430D"/>
    <w:rsid w:val="00A4431C"/>
    <w:rsid w:val="00A443A4"/>
    <w:rsid w:val="00A44490"/>
    <w:rsid w:val="00A4461C"/>
    <w:rsid w:val="00A44781"/>
    <w:rsid w:val="00A448B3"/>
    <w:rsid w:val="00A44900"/>
    <w:rsid w:val="00A44923"/>
    <w:rsid w:val="00A4498E"/>
    <w:rsid w:val="00A449B6"/>
    <w:rsid w:val="00A44AC3"/>
    <w:rsid w:val="00A44D18"/>
    <w:rsid w:val="00A44E3B"/>
    <w:rsid w:val="00A44E87"/>
    <w:rsid w:val="00A450A2"/>
    <w:rsid w:val="00A450D5"/>
    <w:rsid w:val="00A451B0"/>
    <w:rsid w:val="00A455CB"/>
    <w:rsid w:val="00A45A47"/>
    <w:rsid w:val="00A45AE4"/>
    <w:rsid w:val="00A45FD2"/>
    <w:rsid w:val="00A46198"/>
    <w:rsid w:val="00A461B8"/>
    <w:rsid w:val="00A461F8"/>
    <w:rsid w:val="00A46220"/>
    <w:rsid w:val="00A46222"/>
    <w:rsid w:val="00A46227"/>
    <w:rsid w:val="00A462BA"/>
    <w:rsid w:val="00A462CC"/>
    <w:rsid w:val="00A466FB"/>
    <w:rsid w:val="00A4673C"/>
    <w:rsid w:val="00A468BF"/>
    <w:rsid w:val="00A46990"/>
    <w:rsid w:val="00A46DCD"/>
    <w:rsid w:val="00A471FD"/>
    <w:rsid w:val="00A47255"/>
    <w:rsid w:val="00A4725A"/>
    <w:rsid w:val="00A473A8"/>
    <w:rsid w:val="00A47488"/>
    <w:rsid w:val="00A476EC"/>
    <w:rsid w:val="00A476FD"/>
    <w:rsid w:val="00A47AF3"/>
    <w:rsid w:val="00A47C0D"/>
    <w:rsid w:val="00A47D02"/>
    <w:rsid w:val="00A47D24"/>
    <w:rsid w:val="00A47D70"/>
    <w:rsid w:val="00A47F47"/>
    <w:rsid w:val="00A5060C"/>
    <w:rsid w:val="00A50742"/>
    <w:rsid w:val="00A50883"/>
    <w:rsid w:val="00A508F9"/>
    <w:rsid w:val="00A50A84"/>
    <w:rsid w:val="00A50B35"/>
    <w:rsid w:val="00A50E45"/>
    <w:rsid w:val="00A50F4A"/>
    <w:rsid w:val="00A51100"/>
    <w:rsid w:val="00A51251"/>
    <w:rsid w:val="00A51360"/>
    <w:rsid w:val="00A51420"/>
    <w:rsid w:val="00A514BA"/>
    <w:rsid w:val="00A514E0"/>
    <w:rsid w:val="00A515BF"/>
    <w:rsid w:val="00A516B8"/>
    <w:rsid w:val="00A51748"/>
    <w:rsid w:val="00A51757"/>
    <w:rsid w:val="00A517E7"/>
    <w:rsid w:val="00A51924"/>
    <w:rsid w:val="00A51972"/>
    <w:rsid w:val="00A51F37"/>
    <w:rsid w:val="00A520C7"/>
    <w:rsid w:val="00A521C1"/>
    <w:rsid w:val="00A52459"/>
    <w:rsid w:val="00A52498"/>
    <w:rsid w:val="00A52745"/>
    <w:rsid w:val="00A527FD"/>
    <w:rsid w:val="00A52870"/>
    <w:rsid w:val="00A528EA"/>
    <w:rsid w:val="00A528F3"/>
    <w:rsid w:val="00A528F4"/>
    <w:rsid w:val="00A52A72"/>
    <w:rsid w:val="00A52B5F"/>
    <w:rsid w:val="00A52C8B"/>
    <w:rsid w:val="00A52C9E"/>
    <w:rsid w:val="00A533E4"/>
    <w:rsid w:val="00A53428"/>
    <w:rsid w:val="00A5342D"/>
    <w:rsid w:val="00A53479"/>
    <w:rsid w:val="00A53521"/>
    <w:rsid w:val="00A53750"/>
    <w:rsid w:val="00A53836"/>
    <w:rsid w:val="00A53961"/>
    <w:rsid w:val="00A53A25"/>
    <w:rsid w:val="00A53DA5"/>
    <w:rsid w:val="00A53DF1"/>
    <w:rsid w:val="00A53F9C"/>
    <w:rsid w:val="00A541B8"/>
    <w:rsid w:val="00A54504"/>
    <w:rsid w:val="00A5465E"/>
    <w:rsid w:val="00A548DC"/>
    <w:rsid w:val="00A54A6F"/>
    <w:rsid w:val="00A54B2E"/>
    <w:rsid w:val="00A54E2A"/>
    <w:rsid w:val="00A54FFA"/>
    <w:rsid w:val="00A55083"/>
    <w:rsid w:val="00A55480"/>
    <w:rsid w:val="00A55696"/>
    <w:rsid w:val="00A55746"/>
    <w:rsid w:val="00A5578C"/>
    <w:rsid w:val="00A557B1"/>
    <w:rsid w:val="00A55A9C"/>
    <w:rsid w:val="00A55F43"/>
    <w:rsid w:val="00A560FF"/>
    <w:rsid w:val="00A565CA"/>
    <w:rsid w:val="00A56A0A"/>
    <w:rsid w:val="00A56AB7"/>
    <w:rsid w:val="00A56E1B"/>
    <w:rsid w:val="00A56F6A"/>
    <w:rsid w:val="00A56FA9"/>
    <w:rsid w:val="00A5701A"/>
    <w:rsid w:val="00A570AC"/>
    <w:rsid w:val="00A5715B"/>
    <w:rsid w:val="00A57392"/>
    <w:rsid w:val="00A57419"/>
    <w:rsid w:val="00A57655"/>
    <w:rsid w:val="00A57781"/>
    <w:rsid w:val="00A578DC"/>
    <w:rsid w:val="00A57905"/>
    <w:rsid w:val="00A579CE"/>
    <w:rsid w:val="00A579F3"/>
    <w:rsid w:val="00A57B38"/>
    <w:rsid w:val="00A57C0D"/>
    <w:rsid w:val="00A57C38"/>
    <w:rsid w:val="00A600F0"/>
    <w:rsid w:val="00A606BE"/>
    <w:rsid w:val="00A606CF"/>
    <w:rsid w:val="00A606E6"/>
    <w:rsid w:val="00A60868"/>
    <w:rsid w:val="00A60C60"/>
    <w:rsid w:val="00A60C95"/>
    <w:rsid w:val="00A60CF9"/>
    <w:rsid w:val="00A60D5E"/>
    <w:rsid w:val="00A60DBE"/>
    <w:rsid w:val="00A610FF"/>
    <w:rsid w:val="00A61125"/>
    <w:rsid w:val="00A611AA"/>
    <w:rsid w:val="00A6126B"/>
    <w:rsid w:val="00A613E1"/>
    <w:rsid w:val="00A61496"/>
    <w:rsid w:val="00A615C8"/>
    <w:rsid w:val="00A61C84"/>
    <w:rsid w:val="00A61DD9"/>
    <w:rsid w:val="00A61E2E"/>
    <w:rsid w:val="00A61EC0"/>
    <w:rsid w:val="00A61EC8"/>
    <w:rsid w:val="00A6205E"/>
    <w:rsid w:val="00A62134"/>
    <w:rsid w:val="00A62162"/>
    <w:rsid w:val="00A62186"/>
    <w:rsid w:val="00A62204"/>
    <w:rsid w:val="00A62433"/>
    <w:rsid w:val="00A624A1"/>
    <w:rsid w:val="00A625E5"/>
    <w:rsid w:val="00A6267E"/>
    <w:rsid w:val="00A62775"/>
    <w:rsid w:val="00A62971"/>
    <w:rsid w:val="00A62ACE"/>
    <w:rsid w:val="00A62C24"/>
    <w:rsid w:val="00A62C25"/>
    <w:rsid w:val="00A62C2C"/>
    <w:rsid w:val="00A62D3B"/>
    <w:rsid w:val="00A62DAC"/>
    <w:rsid w:val="00A62DC1"/>
    <w:rsid w:val="00A62E2B"/>
    <w:rsid w:val="00A630D2"/>
    <w:rsid w:val="00A63230"/>
    <w:rsid w:val="00A6334B"/>
    <w:rsid w:val="00A635E8"/>
    <w:rsid w:val="00A6363B"/>
    <w:rsid w:val="00A6373D"/>
    <w:rsid w:val="00A637A8"/>
    <w:rsid w:val="00A6399B"/>
    <w:rsid w:val="00A63A2A"/>
    <w:rsid w:val="00A63AFA"/>
    <w:rsid w:val="00A63B62"/>
    <w:rsid w:val="00A63C2B"/>
    <w:rsid w:val="00A63C55"/>
    <w:rsid w:val="00A63DB5"/>
    <w:rsid w:val="00A63F2D"/>
    <w:rsid w:val="00A63F58"/>
    <w:rsid w:val="00A64102"/>
    <w:rsid w:val="00A64170"/>
    <w:rsid w:val="00A64264"/>
    <w:rsid w:val="00A642BE"/>
    <w:rsid w:val="00A6430C"/>
    <w:rsid w:val="00A64319"/>
    <w:rsid w:val="00A6431B"/>
    <w:rsid w:val="00A643CF"/>
    <w:rsid w:val="00A64496"/>
    <w:rsid w:val="00A6452F"/>
    <w:rsid w:val="00A64779"/>
    <w:rsid w:val="00A648AE"/>
    <w:rsid w:val="00A64911"/>
    <w:rsid w:val="00A64ACF"/>
    <w:rsid w:val="00A64B3F"/>
    <w:rsid w:val="00A64B53"/>
    <w:rsid w:val="00A64BDD"/>
    <w:rsid w:val="00A64BDF"/>
    <w:rsid w:val="00A64DA2"/>
    <w:rsid w:val="00A64DC3"/>
    <w:rsid w:val="00A64DE9"/>
    <w:rsid w:val="00A64F4F"/>
    <w:rsid w:val="00A65105"/>
    <w:rsid w:val="00A6510F"/>
    <w:rsid w:val="00A65353"/>
    <w:rsid w:val="00A653B9"/>
    <w:rsid w:val="00A654BA"/>
    <w:rsid w:val="00A6557B"/>
    <w:rsid w:val="00A65666"/>
    <w:rsid w:val="00A65763"/>
    <w:rsid w:val="00A65A47"/>
    <w:rsid w:val="00A65D0E"/>
    <w:rsid w:val="00A65EEA"/>
    <w:rsid w:val="00A65FAD"/>
    <w:rsid w:val="00A6623F"/>
    <w:rsid w:val="00A66429"/>
    <w:rsid w:val="00A664CB"/>
    <w:rsid w:val="00A665C9"/>
    <w:rsid w:val="00A665E2"/>
    <w:rsid w:val="00A66706"/>
    <w:rsid w:val="00A667CF"/>
    <w:rsid w:val="00A6694E"/>
    <w:rsid w:val="00A66991"/>
    <w:rsid w:val="00A669AB"/>
    <w:rsid w:val="00A66B5F"/>
    <w:rsid w:val="00A66BB0"/>
    <w:rsid w:val="00A67502"/>
    <w:rsid w:val="00A6766D"/>
    <w:rsid w:val="00A6777E"/>
    <w:rsid w:val="00A677C6"/>
    <w:rsid w:val="00A67910"/>
    <w:rsid w:val="00A67917"/>
    <w:rsid w:val="00A679A7"/>
    <w:rsid w:val="00A67BF5"/>
    <w:rsid w:val="00A67C36"/>
    <w:rsid w:val="00A67D6A"/>
    <w:rsid w:val="00A702F5"/>
    <w:rsid w:val="00A70356"/>
    <w:rsid w:val="00A705A9"/>
    <w:rsid w:val="00A705FC"/>
    <w:rsid w:val="00A70839"/>
    <w:rsid w:val="00A7088D"/>
    <w:rsid w:val="00A7089B"/>
    <w:rsid w:val="00A70BF8"/>
    <w:rsid w:val="00A70C03"/>
    <w:rsid w:val="00A70C9C"/>
    <w:rsid w:val="00A70D4C"/>
    <w:rsid w:val="00A70D95"/>
    <w:rsid w:val="00A71062"/>
    <w:rsid w:val="00A7109A"/>
    <w:rsid w:val="00A7136E"/>
    <w:rsid w:val="00A71447"/>
    <w:rsid w:val="00A71490"/>
    <w:rsid w:val="00A71555"/>
    <w:rsid w:val="00A7164A"/>
    <w:rsid w:val="00A716B4"/>
    <w:rsid w:val="00A7175E"/>
    <w:rsid w:val="00A7186A"/>
    <w:rsid w:val="00A718AD"/>
    <w:rsid w:val="00A718C0"/>
    <w:rsid w:val="00A71B5D"/>
    <w:rsid w:val="00A71D11"/>
    <w:rsid w:val="00A71DDC"/>
    <w:rsid w:val="00A71E1B"/>
    <w:rsid w:val="00A71EAE"/>
    <w:rsid w:val="00A71FDC"/>
    <w:rsid w:val="00A72064"/>
    <w:rsid w:val="00A7214C"/>
    <w:rsid w:val="00A722E0"/>
    <w:rsid w:val="00A725A9"/>
    <w:rsid w:val="00A72BB7"/>
    <w:rsid w:val="00A72C63"/>
    <w:rsid w:val="00A72D95"/>
    <w:rsid w:val="00A73063"/>
    <w:rsid w:val="00A73093"/>
    <w:rsid w:val="00A7311D"/>
    <w:rsid w:val="00A732A9"/>
    <w:rsid w:val="00A7331D"/>
    <w:rsid w:val="00A73530"/>
    <w:rsid w:val="00A735A4"/>
    <w:rsid w:val="00A73630"/>
    <w:rsid w:val="00A73783"/>
    <w:rsid w:val="00A738B7"/>
    <w:rsid w:val="00A7395C"/>
    <w:rsid w:val="00A7397E"/>
    <w:rsid w:val="00A73A63"/>
    <w:rsid w:val="00A73B70"/>
    <w:rsid w:val="00A73D98"/>
    <w:rsid w:val="00A73E05"/>
    <w:rsid w:val="00A73EB4"/>
    <w:rsid w:val="00A740A1"/>
    <w:rsid w:val="00A74239"/>
    <w:rsid w:val="00A7441A"/>
    <w:rsid w:val="00A74518"/>
    <w:rsid w:val="00A74AAB"/>
    <w:rsid w:val="00A74D59"/>
    <w:rsid w:val="00A74E52"/>
    <w:rsid w:val="00A7508C"/>
    <w:rsid w:val="00A75124"/>
    <w:rsid w:val="00A7518B"/>
    <w:rsid w:val="00A75223"/>
    <w:rsid w:val="00A752D3"/>
    <w:rsid w:val="00A75361"/>
    <w:rsid w:val="00A75412"/>
    <w:rsid w:val="00A7545B"/>
    <w:rsid w:val="00A7556F"/>
    <w:rsid w:val="00A757E1"/>
    <w:rsid w:val="00A7589B"/>
    <w:rsid w:val="00A75A23"/>
    <w:rsid w:val="00A75CD8"/>
    <w:rsid w:val="00A75D54"/>
    <w:rsid w:val="00A75E3F"/>
    <w:rsid w:val="00A75EC9"/>
    <w:rsid w:val="00A7605F"/>
    <w:rsid w:val="00A7617C"/>
    <w:rsid w:val="00A761D0"/>
    <w:rsid w:val="00A76430"/>
    <w:rsid w:val="00A764B7"/>
    <w:rsid w:val="00A76555"/>
    <w:rsid w:val="00A76648"/>
    <w:rsid w:val="00A76653"/>
    <w:rsid w:val="00A7678E"/>
    <w:rsid w:val="00A768A2"/>
    <w:rsid w:val="00A76962"/>
    <w:rsid w:val="00A769E7"/>
    <w:rsid w:val="00A76B10"/>
    <w:rsid w:val="00A76B61"/>
    <w:rsid w:val="00A76D0C"/>
    <w:rsid w:val="00A76F22"/>
    <w:rsid w:val="00A770D5"/>
    <w:rsid w:val="00A77142"/>
    <w:rsid w:val="00A7729E"/>
    <w:rsid w:val="00A77368"/>
    <w:rsid w:val="00A775F0"/>
    <w:rsid w:val="00A777CB"/>
    <w:rsid w:val="00A77801"/>
    <w:rsid w:val="00A779CD"/>
    <w:rsid w:val="00A77A20"/>
    <w:rsid w:val="00A77A23"/>
    <w:rsid w:val="00A77A2C"/>
    <w:rsid w:val="00A77EC3"/>
    <w:rsid w:val="00A77F22"/>
    <w:rsid w:val="00A77F5F"/>
    <w:rsid w:val="00A80092"/>
    <w:rsid w:val="00A800A3"/>
    <w:rsid w:val="00A8017F"/>
    <w:rsid w:val="00A801C5"/>
    <w:rsid w:val="00A80479"/>
    <w:rsid w:val="00A805E2"/>
    <w:rsid w:val="00A8061A"/>
    <w:rsid w:val="00A8063A"/>
    <w:rsid w:val="00A8067B"/>
    <w:rsid w:val="00A8070E"/>
    <w:rsid w:val="00A80A11"/>
    <w:rsid w:val="00A80A47"/>
    <w:rsid w:val="00A80BAE"/>
    <w:rsid w:val="00A80E14"/>
    <w:rsid w:val="00A810C6"/>
    <w:rsid w:val="00A81445"/>
    <w:rsid w:val="00A814B9"/>
    <w:rsid w:val="00A815D8"/>
    <w:rsid w:val="00A815F7"/>
    <w:rsid w:val="00A81767"/>
    <w:rsid w:val="00A81897"/>
    <w:rsid w:val="00A81A25"/>
    <w:rsid w:val="00A81AF6"/>
    <w:rsid w:val="00A81B4C"/>
    <w:rsid w:val="00A8204A"/>
    <w:rsid w:val="00A8225A"/>
    <w:rsid w:val="00A82267"/>
    <w:rsid w:val="00A822E6"/>
    <w:rsid w:val="00A8246E"/>
    <w:rsid w:val="00A824D4"/>
    <w:rsid w:val="00A8252E"/>
    <w:rsid w:val="00A8255A"/>
    <w:rsid w:val="00A8264F"/>
    <w:rsid w:val="00A82745"/>
    <w:rsid w:val="00A82772"/>
    <w:rsid w:val="00A8279C"/>
    <w:rsid w:val="00A827D6"/>
    <w:rsid w:val="00A827DD"/>
    <w:rsid w:val="00A829C6"/>
    <w:rsid w:val="00A82AC0"/>
    <w:rsid w:val="00A82AC7"/>
    <w:rsid w:val="00A82BAD"/>
    <w:rsid w:val="00A82C61"/>
    <w:rsid w:val="00A82F71"/>
    <w:rsid w:val="00A82F77"/>
    <w:rsid w:val="00A8319C"/>
    <w:rsid w:val="00A83205"/>
    <w:rsid w:val="00A8326C"/>
    <w:rsid w:val="00A832B6"/>
    <w:rsid w:val="00A83317"/>
    <w:rsid w:val="00A833A9"/>
    <w:rsid w:val="00A834A8"/>
    <w:rsid w:val="00A838D1"/>
    <w:rsid w:val="00A839F7"/>
    <w:rsid w:val="00A83AE9"/>
    <w:rsid w:val="00A83B32"/>
    <w:rsid w:val="00A83B7C"/>
    <w:rsid w:val="00A83D2E"/>
    <w:rsid w:val="00A83E53"/>
    <w:rsid w:val="00A83F3E"/>
    <w:rsid w:val="00A8405C"/>
    <w:rsid w:val="00A8420E"/>
    <w:rsid w:val="00A842C7"/>
    <w:rsid w:val="00A843FB"/>
    <w:rsid w:val="00A844D9"/>
    <w:rsid w:val="00A84581"/>
    <w:rsid w:val="00A84929"/>
    <w:rsid w:val="00A84BD9"/>
    <w:rsid w:val="00A84C44"/>
    <w:rsid w:val="00A84C5E"/>
    <w:rsid w:val="00A84C76"/>
    <w:rsid w:val="00A84CAE"/>
    <w:rsid w:val="00A84DF0"/>
    <w:rsid w:val="00A84E0B"/>
    <w:rsid w:val="00A851DF"/>
    <w:rsid w:val="00A85262"/>
    <w:rsid w:val="00A85447"/>
    <w:rsid w:val="00A85508"/>
    <w:rsid w:val="00A85A84"/>
    <w:rsid w:val="00A85AD6"/>
    <w:rsid w:val="00A85C2D"/>
    <w:rsid w:val="00A85DB7"/>
    <w:rsid w:val="00A85F18"/>
    <w:rsid w:val="00A86140"/>
    <w:rsid w:val="00A86198"/>
    <w:rsid w:val="00A864DA"/>
    <w:rsid w:val="00A865F2"/>
    <w:rsid w:val="00A8668E"/>
    <w:rsid w:val="00A8670B"/>
    <w:rsid w:val="00A86828"/>
    <w:rsid w:val="00A86937"/>
    <w:rsid w:val="00A86A6A"/>
    <w:rsid w:val="00A86A90"/>
    <w:rsid w:val="00A86BFE"/>
    <w:rsid w:val="00A86C3A"/>
    <w:rsid w:val="00A86CB3"/>
    <w:rsid w:val="00A86D91"/>
    <w:rsid w:val="00A86DFD"/>
    <w:rsid w:val="00A86E08"/>
    <w:rsid w:val="00A86E28"/>
    <w:rsid w:val="00A87017"/>
    <w:rsid w:val="00A871A0"/>
    <w:rsid w:val="00A8755E"/>
    <w:rsid w:val="00A876B7"/>
    <w:rsid w:val="00A8774A"/>
    <w:rsid w:val="00A8778C"/>
    <w:rsid w:val="00A87870"/>
    <w:rsid w:val="00A879E9"/>
    <w:rsid w:val="00A87BC4"/>
    <w:rsid w:val="00A87DF9"/>
    <w:rsid w:val="00A87E9F"/>
    <w:rsid w:val="00A9008F"/>
    <w:rsid w:val="00A901AD"/>
    <w:rsid w:val="00A90649"/>
    <w:rsid w:val="00A9072D"/>
    <w:rsid w:val="00A9092F"/>
    <w:rsid w:val="00A90B01"/>
    <w:rsid w:val="00A90D47"/>
    <w:rsid w:val="00A90EC1"/>
    <w:rsid w:val="00A90EE8"/>
    <w:rsid w:val="00A910CD"/>
    <w:rsid w:val="00A9112D"/>
    <w:rsid w:val="00A91194"/>
    <w:rsid w:val="00A9126E"/>
    <w:rsid w:val="00A91453"/>
    <w:rsid w:val="00A91954"/>
    <w:rsid w:val="00A91EBD"/>
    <w:rsid w:val="00A91F9D"/>
    <w:rsid w:val="00A91FA0"/>
    <w:rsid w:val="00A92160"/>
    <w:rsid w:val="00A923B3"/>
    <w:rsid w:val="00A924C6"/>
    <w:rsid w:val="00A925CA"/>
    <w:rsid w:val="00A927D1"/>
    <w:rsid w:val="00A927DE"/>
    <w:rsid w:val="00A92857"/>
    <w:rsid w:val="00A92BAB"/>
    <w:rsid w:val="00A92C8A"/>
    <w:rsid w:val="00A92F29"/>
    <w:rsid w:val="00A92F7C"/>
    <w:rsid w:val="00A9301D"/>
    <w:rsid w:val="00A93120"/>
    <w:rsid w:val="00A9318E"/>
    <w:rsid w:val="00A931B3"/>
    <w:rsid w:val="00A934EC"/>
    <w:rsid w:val="00A935AD"/>
    <w:rsid w:val="00A9367A"/>
    <w:rsid w:val="00A93722"/>
    <w:rsid w:val="00A93777"/>
    <w:rsid w:val="00A93A39"/>
    <w:rsid w:val="00A93A6A"/>
    <w:rsid w:val="00A93E17"/>
    <w:rsid w:val="00A93E87"/>
    <w:rsid w:val="00A93E89"/>
    <w:rsid w:val="00A93EA1"/>
    <w:rsid w:val="00A93FE8"/>
    <w:rsid w:val="00A94121"/>
    <w:rsid w:val="00A94391"/>
    <w:rsid w:val="00A9452D"/>
    <w:rsid w:val="00A94838"/>
    <w:rsid w:val="00A9492E"/>
    <w:rsid w:val="00A94A8C"/>
    <w:rsid w:val="00A94AA2"/>
    <w:rsid w:val="00A94B20"/>
    <w:rsid w:val="00A94B5E"/>
    <w:rsid w:val="00A94B61"/>
    <w:rsid w:val="00A94C37"/>
    <w:rsid w:val="00A94C7E"/>
    <w:rsid w:val="00A94E29"/>
    <w:rsid w:val="00A95147"/>
    <w:rsid w:val="00A9517C"/>
    <w:rsid w:val="00A952CF"/>
    <w:rsid w:val="00A95300"/>
    <w:rsid w:val="00A95483"/>
    <w:rsid w:val="00A954B2"/>
    <w:rsid w:val="00A9551C"/>
    <w:rsid w:val="00A95620"/>
    <w:rsid w:val="00A95818"/>
    <w:rsid w:val="00A95AA2"/>
    <w:rsid w:val="00A95AAA"/>
    <w:rsid w:val="00A95BD5"/>
    <w:rsid w:val="00A95CFA"/>
    <w:rsid w:val="00A95F58"/>
    <w:rsid w:val="00A95F6D"/>
    <w:rsid w:val="00A960DA"/>
    <w:rsid w:val="00A961CA"/>
    <w:rsid w:val="00A96216"/>
    <w:rsid w:val="00A9624C"/>
    <w:rsid w:val="00A964A0"/>
    <w:rsid w:val="00A96714"/>
    <w:rsid w:val="00A967CE"/>
    <w:rsid w:val="00A9683B"/>
    <w:rsid w:val="00A96880"/>
    <w:rsid w:val="00A96AE0"/>
    <w:rsid w:val="00A96B84"/>
    <w:rsid w:val="00A96CB3"/>
    <w:rsid w:val="00A96DD0"/>
    <w:rsid w:val="00A9700B"/>
    <w:rsid w:val="00A972CD"/>
    <w:rsid w:val="00A9736C"/>
    <w:rsid w:val="00A973A9"/>
    <w:rsid w:val="00A97459"/>
    <w:rsid w:val="00A9745E"/>
    <w:rsid w:val="00A974AA"/>
    <w:rsid w:val="00A975E8"/>
    <w:rsid w:val="00A97637"/>
    <w:rsid w:val="00A97799"/>
    <w:rsid w:val="00A979E8"/>
    <w:rsid w:val="00A97A4F"/>
    <w:rsid w:val="00A97B43"/>
    <w:rsid w:val="00A97E10"/>
    <w:rsid w:val="00A97E71"/>
    <w:rsid w:val="00A97FD9"/>
    <w:rsid w:val="00AA003D"/>
    <w:rsid w:val="00AA017C"/>
    <w:rsid w:val="00AA0279"/>
    <w:rsid w:val="00AA0332"/>
    <w:rsid w:val="00AA0412"/>
    <w:rsid w:val="00AA043A"/>
    <w:rsid w:val="00AA04A9"/>
    <w:rsid w:val="00AA05F1"/>
    <w:rsid w:val="00AA0689"/>
    <w:rsid w:val="00AA06D2"/>
    <w:rsid w:val="00AA0B1C"/>
    <w:rsid w:val="00AA0CC3"/>
    <w:rsid w:val="00AA0E2A"/>
    <w:rsid w:val="00AA0E35"/>
    <w:rsid w:val="00AA10C4"/>
    <w:rsid w:val="00AA1179"/>
    <w:rsid w:val="00AA11E6"/>
    <w:rsid w:val="00AA11ED"/>
    <w:rsid w:val="00AA1225"/>
    <w:rsid w:val="00AA12F4"/>
    <w:rsid w:val="00AA145C"/>
    <w:rsid w:val="00AA185D"/>
    <w:rsid w:val="00AA19DF"/>
    <w:rsid w:val="00AA1AF9"/>
    <w:rsid w:val="00AA1C6D"/>
    <w:rsid w:val="00AA1DE4"/>
    <w:rsid w:val="00AA201A"/>
    <w:rsid w:val="00AA207C"/>
    <w:rsid w:val="00AA211D"/>
    <w:rsid w:val="00AA23E6"/>
    <w:rsid w:val="00AA24E9"/>
    <w:rsid w:val="00AA26CE"/>
    <w:rsid w:val="00AA2765"/>
    <w:rsid w:val="00AA27B4"/>
    <w:rsid w:val="00AA28CA"/>
    <w:rsid w:val="00AA2AE2"/>
    <w:rsid w:val="00AA2AFA"/>
    <w:rsid w:val="00AA2CA4"/>
    <w:rsid w:val="00AA2DED"/>
    <w:rsid w:val="00AA2E67"/>
    <w:rsid w:val="00AA2F36"/>
    <w:rsid w:val="00AA3224"/>
    <w:rsid w:val="00AA330C"/>
    <w:rsid w:val="00AA3353"/>
    <w:rsid w:val="00AA36B1"/>
    <w:rsid w:val="00AA3725"/>
    <w:rsid w:val="00AA374E"/>
    <w:rsid w:val="00AA3876"/>
    <w:rsid w:val="00AA38C2"/>
    <w:rsid w:val="00AA3990"/>
    <w:rsid w:val="00AA3B6A"/>
    <w:rsid w:val="00AA3C83"/>
    <w:rsid w:val="00AA3F3B"/>
    <w:rsid w:val="00AA3F82"/>
    <w:rsid w:val="00AA4160"/>
    <w:rsid w:val="00AA4199"/>
    <w:rsid w:val="00AA423D"/>
    <w:rsid w:val="00AA426A"/>
    <w:rsid w:val="00AA467A"/>
    <w:rsid w:val="00AA4722"/>
    <w:rsid w:val="00AA490C"/>
    <w:rsid w:val="00AA4A84"/>
    <w:rsid w:val="00AA4AB0"/>
    <w:rsid w:val="00AA4BFB"/>
    <w:rsid w:val="00AA4F31"/>
    <w:rsid w:val="00AA4FB6"/>
    <w:rsid w:val="00AA5117"/>
    <w:rsid w:val="00AA518E"/>
    <w:rsid w:val="00AA5260"/>
    <w:rsid w:val="00AA54EB"/>
    <w:rsid w:val="00AA55B5"/>
    <w:rsid w:val="00AA564B"/>
    <w:rsid w:val="00AA5744"/>
    <w:rsid w:val="00AA57DC"/>
    <w:rsid w:val="00AA58E7"/>
    <w:rsid w:val="00AA59EA"/>
    <w:rsid w:val="00AA5C7D"/>
    <w:rsid w:val="00AA5CAA"/>
    <w:rsid w:val="00AA5E7A"/>
    <w:rsid w:val="00AA5EF1"/>
    <w:rsid w:val="00AA5F4A"/>
    <w:rsid w:val="00AA5F5A"/>
    <w:rsid w:val="00AA6033"/>
    <w:rsid w:val="00AA6084"/>
    <w:rsid w:val="00AA62B6"/>
    <w:rsid w:val="00AA645C"/>
    <w:rsid w:val="00AA6616"/>
    <w:rsid w:val="00AA66EC"/>
    <w:rsid w:val="00AA6774"/>
    <w:rsid w:val="00AA6A84"/>
    <w:rsid w:val="00AA6AAC"/>
    <w:rsid w:val="00AA6B4E"/>
    <w:rsid w:val="00AA6C1E"/>
    <w:rsid w:val="00AA6DBC"/>
    <w:rsid w:val="00AA6E5B"/>
    <w:rsid w:val="00AA6E71"/>
    <w:rsid w:val="00AA74CD"/>
    <w:rsid w:val="00AA75DB"/>
    <w:rsid w:val="00AA75E9"/>
    <w:rsid w:val="00AA767A"/>
    <w:rsid w:val="00AA76E7"/>
    <w:rsid w:val="00AA77B9"/>
    <w:rsid w:val="00AA7886"/>
    <w:rsid w:val="00AA793F"/>
    <w:rsid w:val="00AA79C6"/>
    <w:rsid w:val="00AA7A05"/>
    <w:rsid w:val="00AA7B68"/>
    <w:rsid w:val="00AA7E29"/>
    <w:rsid w:val="00AA7E90"/>
    <w:rsid w:val="00AB0026"/>
    <w:rsid w:val="00AB027C"/>
    <w:rsid w:val="00AB029E"/>
    <w:rsid w:val="00AB03C0"/>
    <w:rsid w:val="00AB03C6"/>
    <w:rsid w:val="00AB0471"/>
    <w:rsid w:val="00AB04EB"/>
    <w:rsid w:val="00AB0509"/>
    <w:rsid w:val="00AB069E"/>
    <w:rsid w:val="00AB0765"/>
    <w:rsid w:val="00AB0901"/>
    <w:rsid w:val="00AB0A05"/>
    <w:rsid w:val="00AB0AD2"/>
    <w:rsid w:val="00AB0B1E"/>
    <w:rsid w:val="00AB0DCA"/>
    <w:rsid w:val="00AB1186"/>
    <w:rsid w:val="00AB1305"/>
    <w:rsid w:val="00AB17EB"/>
    <w:rsid w:val="00AB19C8"/>
    <w:rsid w:val="00AB1BF2"/>
    <w:rsid w:val="00AB1F8B"/>
    <w:rsid w:val="00AB209C"/>
    <w:rsid w:val="00AB21FC"/>
    <w:rsid w:val="00AB22B2"/>
    <w:rsid w:val="00AB236F"/>
    <w:rsid w:val="00AB242A"/>
    <w:rsid w:val="00AB2540"/>
    <w:rsid w:val="00AB25B8"/>
    <w:rsid w:val="00AB26A4"/>
    <w:rsid w:val="00AB2A09"/>
    <w:rsid w:val="00AB2AE4"/>
    <w:rsid w:val="00AB2D14"/>
    <w:rsid w:val="00AB2FB1"/>
    <w:rsid w:val="00AB3055"/>
    <w:rsid w:val="00AB314E"/>
    <w:rsid w:val="00AB3185"/>
    <w:rsid w:val="00AB3198"/>
    <w:rsid w:val="00AB3482"/>
    <w:rsid w:val="00AB34CE"/>
    <w:rsid w:val="00AB378C"/>
    <w:rsid w:val="00AB3796"/>
    <w:rsid w:val="00AB38A3"/>
    <w:rsid w:val="00AB3C23"/>
    <w:rsid w:val="00AB3C37"/>
    <w:rsid w:val="00AB3CBC"/>
    <w:rsid w:val="00AB3DBB"/>
    <w:rsid w:val="00AB3E76"/>
    <w:rsid w:val="00AB3F43"/>
    <w:rsid w:val="00AB43D6"/>
    <w:rsid w:val="00AB4653"/>
    <w:rsid w:val="00AB48DF"/>
    <w:rsid w:val="00AB4A06"/>
    <w:rsid w:val="00AB4A57"/>
    <w:rsid w:val="00AB4CEF"/>
    <w:rsid w:val="00AB4DB3"/>
    <w:rsid w:val="00AB4EC0"/>
    <w:rsid w:val="00AB4F6A"/>
    <w:rsid w:val="00AB51A9"/>
    <w:rsid w:val="00AB5464"/>
    <w:rsid w:val="00AB574B"/>
    <w:rsid w:val="00AB579C"/>
    <w:rsid w:val="00AB5810"/>
    <w:rsid w:val="00AB5AA6"/>
    <w:rsid w:val="00AB5AB3"/>
    <w:rsid w:val="00AB5B5B"/>
    <w:rsid w:val="00AB5BA5"/>
    <w:rsid w:val="00AB5C73"/>
    <w:rsid w:val="00AB5C96"/>
    <w:rsid w:val="00AB5CF5"/>
    <w:rsid w:val="00AB5E67"/>
    <w:rsid w:val="00AB5EA4"/>
    <w:rsid w:val="00AB5F2A"/>
    <w:rsid w:val="00AB6105"/>
    <w:rsid w:val="00AB6368"/>
    <w:rsid w:val="00AB6939"/>
    <w:rsid w:val="00AB69BE"/>
    <w:rsid w:val="00AB6A20"/>
    <w:rsid w:val="00AB6AED"/>
    <w:rsid w:val="00AB6C1A"/>
    <w:rsid w:val="00AB6C48"/>
    <w:rsid w:val="00AB6F23"/>
    <w:rsid w:val="00AB7170"/>
    <w:rsid w:val="00AB72C8"/>
    <w:rsid w:val="00AB73D2"/>
    <w:rsid w:val="00AB741A"/>
    <w:rsid w:val="00AB75A5"/>
    <w:rsid w:val="00AB764F"/>
    <w:rsid w:val="00AB76B1"/>
    <w:rsid w:val="00AB78A8"/>
    <w:rsid w:val="00AB7A9D"/>
    <w:rsid w:val="00AB7B18"/>
    <w:rsid w:val="00AB7E4C"/>
    <w:rsid w:val="00AB7EC8"/>
    <w:rsid w:val="00AC005C"/>
    <w:rsid w:val="00AC00C1"/>
    <w:rsid w:val="00AC0196"/>
    <w:rsid w:val="00AC074F"/>
    <w:rsid w:val="00AC0D02"/>
    <w:rsid w:val="00AC0DA7"/>
    <w:rsid w:val="00AC112A"/>
    <w:rsid w:val="00AC1207"/>
    <w:rsid w:val="00AC1306"/>
    <w:rsid w:val="00AC1326"/>
    <w:rsid w:val="00AC134E"/>
    <w:rsid w:val="00AC150E"/>
    <w:rsid w:val="00AC1551"/>
    <w:rsid w:val="00AC1578"/>
    <w:rsid w:val="00AC1622"/>
    <w:rsid w:val="00AC16A7"/>
    <w:rsid w:val="00AC1798"/>
    <w:rsid w:val="00AC18A1"/>
    <w:rsid w:val="00AC19BA"/>
    <w:rsid w:val="00AC1A45"/>
    <w:rsid w:val="00AC1AA5"/>
    <w:rsid w:val="00AC1E10"/>
    <w:rsid w:val="00AC1E45"/>
    <w:rsid w:val="00AC1E8C"/>
    <w:rsid w:val="00AC1FC5"/>
    <w:rsid w:val="00AC2050"/>
    <w:rsid w:val="00AC2344"/>
    <w:rsid w:val="00AC2831"/>
    <w:rsid w:val="00AC2956"/>
    <w:rsid w:val="00AC2C96"/>
    <w:rsid w:val="00AC2D7B"/>
    <w:rsid w:val="00AC2E8E"/>
    <w:rsid w:val="00AC2EFA"/>
    <w:rsid w:val="00AC2FD8"/>
    <w:rsid w:val="00AC3397"/>
    <w:rsid w:val="00AC34E7"/>
    <w:rsid w:val="00AC3510"/>
    <w:rsid w:val="00AC35C9"/>
    <w:rsid w:val="00AC35F3"/>
    <w:rsid w:val="00AC36A6"/>
    <w:rsid w:val="00AC36DD"/>
    <w:rsid w:val="00AC37E5"/>
    <w:rsid w:val="00AC3857"/>
    <w:rsid w:val="00AC3F8C"/>
    <w:rsid w:val="00AC4020"/>
    <w:rsid w:val="00AC4079"/>
    <w:rsid w:val="00AC40D5"/>
    <w:rsid w:val="00AC40EF"/>
    <w:rsid w:val="00AC4299"/>
    <w:rsid w:val="00AC429F"/>
    <w:rsid w:val="00AC4414"/>
    <w:rsid w:val="00AC441F"/>
    <w:rsid w:val="00AC44AE"/>
    <w:rsid w:val="00AC44EB"/>
    <w:rsid w:val="00AC4545"/>
    <w:rsid w:val="00AC45F6"/>
    <w:rsid w:val="00AC4649"/>
    <w:rsid w:val="00AC47C3"/>
    <w:rsid w:val="00AC47D3"/>
    <w:rsid w:val="00AC48CB"/>
    <w:rsid w:val="00AC4A26"/>
    <w:rsid w:val="00AC4A2A"/>
    <w:rsid w:val="00AC4B1B"/>
    <w:rsid w:val="00AC4F46"/>
    <w:rsid w:val="00AC4FB5"/>
    <w:rsid w:val="00AC5257"/>
    <w:rsid w:val="00AC5351"/>
    <w:rsid w:val="00AC55EB"/>
    <w:rsid w:val="00AC56A9"/>
    <w:rsid w:val="00AC575B"/>
    <w:rsid w:val="00AC58C1"/>
    <w:rsid w:val="00AC5910"/>
    <w:rsid w:val="00AC59CE"/>
    <w:rsid w:val="00AC59EE"/>
    <w:rsid w:val="00AC5A7E"/>
    <w:rsid w:val="00AC5A82"/>
    <w:rsid w:val="00AC5C31"/>
    <w:rsid w:val="00AC5C86"/>
    <w:rsid w:val="00AC62BF"/>
    <w:rsid w:val="00AC64CE"/>
    <w:rsid w:val="00AC64F4"/>
    <w:rsid w:val="00AC6758"/>
    <w:rsid w:val="00AC67AB"/>
    <w:rsid w:val="00AC684D"/>
    <w:rsid w:val="00AC68DA"/>
    <w:rsid w:val="00AC69C1"/>
    <w:rsid w:val="00AC6A15"/>
    <w:rsid w:val="00AC6A6F"/>
    <w:rsid w:val="00AC6B54"/>
    <w:rsid w:val="00AC6BA8"/>
    <w:rsid w:val="00AC6CF4"/>
    <w:rsid w:val="00AC7582"/>
    <w:rsid w:val="00AC77E3"/>
    <w:rsid w:val="00AC77FF"/>
    <w:rsid w:val="00AC7865"/>
    <w:rsid w:val="00AC7A2E"/>
    <w:rsid w:val="00AC7A4B"/>
    <w:rsid w:val="00AC7B21"/>
    <w:rsid w:val="00AC7B6D"/>
    <w:rsid w:val="00AC7CC9"/>
    <w:rsid w:val="00AC7DF9"/>
    <w:rsid w:val="00AC7F4B"/>
    <w:rsid w:val="00AC7FF5"/>
    <w:rsid w:val="00AD0105"/>
    <w:rsid w:val="00AD0614"/>
    <w:rsid w:val="00AD07BB"/>
    <w:rsid w:val="00AD07FD"/>
    <w:rsid w:val="00AD0B53"/>
    <w:rsid w:val="00AD0F93"/>
    <w:rsid w:val="00AD10EA"/>
    <w:rsid w:val="00AD119E"/>
    <w:rsid w:val="00AD1233"/>
    <w:rsid w:val="00AD12FD"/>
    <w:rsid w:val="00AD141D"/>
    <w:rsid w:val="00AD145F"/>
    <w:rsid w:val="00AD1461"/>
    <w:rsid w:val="00AD155E"/>
    <w:rsid w:val="00AD15EC"/>
    <w:rsid w:val="00AD1688"/>
    <w:rsid w:val="00AD176F"/>
    <w:rsid w:val="00AD181D"/>
    <w:rsid w:val="00AD187A"/>
    <w:rsid w:val="00AD18D2"/>
    <w:rsid w:val="00AD196F"/>
    <w:rsid w:val="00AD19C0"/>
    <w:rsid w:val="00AD1ADA"/>
    <w:rsid w:val="00AD1D41"/>
    <w:rsid w:val="00AD1DD7"/>
    <w:rsid w:val="00AD1E1B"/>
    <w:rsid w:val="00AD1FE1"/>
    <w:rsid w:val="00AD1FE8"/>
    <w:rsid w:val="00AD20D9"/>
    <w:rsid w:val="00AD210D"/>
    <w:rsid w:val="00AD21D9"/>
    <w:rsid w:val="00AD234E"/>
    <w:rsid w:val="00AD23B7"/>
    <w:rsid w:val="00AD23E8"/>
    <w:rsid w:val="00AD2492"/>
    <w:rsid w:val="00AD2676"/>
    <w:rsid w:val="00AD27BC"/>
    <w:rsid w:val="00AD2815"/>
    <w:rsid w:val="00AD2817"/>
    <w:rsid w:val="00AD2953"/>
    <w:rsid w:val="00AD29EE"/>
    <w:rsid w:val="00AD2A20"/>
    <w:rsid w:val="00AD2AD8"/>
    <w:rsid w:val="00AD2AF8"/>
    <w:rsid w:val="00AD2CCA"/>
    <w:rsid w:val="00AD2F59"/>
    <w:rsid w:val="00AD2FB8"/>
    <w:rsid w:val="00AD32E0"/>
    <w:rsid w:val="00AD3415"/>
    <w:rsid w:val="00AD3499"/>
    <w:rsid w:val="00AD34A8"/>
    <w:rsid w:val="00AD354C"/>
    <w:rsid w:val="00AD36F7"/>
    <w:rsid w:val="00AD37F4"/>
    <w:rsid w:val="00AD3988"/>
    <w:rsid w:val="00AD3ADB"/>
    <w:rsid w:val="00AD3CF6"/>
    <w:rsid w:val="00AD4043"/>
    <w:rsid w:val="00AD40A8"/>
    <w:rsid w:val="00AD40D9"/>
    <w:rsid w:val="00AD411E"/>
    <w:rsid w:val="00AD42CB"/>
    <w:rsid w:val="00AD4354"/>
    <w:rsid w:val="00AD45FA"/>
    <w:rsid w:val="00AD4788"/>
    <w:rsid w:val="00AD48FD"/>
    <w:rsid w:val="00AD4B44"/>
    <w:rsid w:val="00AD4C42"/>
    <w:rsid w:val="00AD4D43"/>
    <w:rsid w:val="00AD4D73"/>
    <w:rsid w:val="00AD4DAE"/>
    <w:rsid w:val="00AD4DE7"/>
    <w:rsid w:val="00AD4E20"/>
    <w:rsid w:val="00AD536F"/>
    <w:rsid w:val="00AD54EF"/>
    <w:rsid w:val="00AD5540"/>
    <w:rsid w:val="00AD554D"/>
    <w:rsid w:val="00AD5827"/>
    <w:rsid w:val="00AD5983"/>
    <w:rsid w:val="00AD5A1B"/>
    <w:rsid w:val="00AD5AE8"/>
    <w:rsid w:val="00AD5D0A"/>
    <w:rsid w:val="00AD5D28"/>
    <w:rsid w:val="00AD5D88"/>
    <w:rsid w:val="00AD5DCC"/>
    <w:rsid w:val="00AD5E2C"/>
    <w:rsid w:val="00AD5FC0"/>
    <w:rsid w:val="00AD6010"/>
    <w:rsid w:val="00AD6029"/>
    <w:rsid w:val="00AD6361"/>
    <w:rsid w:val="00AD6539"/>
    <w:rsid w:val="00AD6546"/>
    <w:rsid w:val="00AD6851"/>
    <w:rsid w:val="00AD68B0"/>
    <w:rsid w:val="00AD69AF"/>
    <w:rsid w:val="00AD69DD"/>
    <w:rsid w:val="00AD6A07"/>
    <w:rsid w:val="00AD6B8B"/>
    <w:rsid w:val="00AD6C13"/>
    <w:rsid w:val="00AD6C89"/>
    <w:rsid w:val="00AD6CC6"/>
    <w:rsid w:val="00AD7084"/>
    <w:rsid w:val="00AD71BB"/>
    <w:rsid w:val="00AD71E0"/>
    <w:rsid w:val="00AD722E"/>
    <w:rsid w:val="00AD759D"/>
    <w:rsid w:val="00AD75F7"/>
    <w:rsid w:val="00AD760E"/>
    <w:rsid w:val="00AD78EE"/>
    <w:rsid w:val="00AD7B44"/>
    <w:rsid w:val="00AD7EF8"/>
    <w:rsid w:val="00AE010D"/>
    <w:rsid w:val="00AE0593"/>
    <w:rsid w:val="00AE0701"/>
    <w:rsid w:val="00AE07EC"/>
    <w:rsid w:val="00AE09AA"/>
    <w:rsid w:val="00AE0A3F"/>
    <w:rsid w:val="00AE0AC7"/>
    <w:rsid w:val="00AE0CEC"/>
    <w:rsid w:val="00AE0DCE"/>
    <w:rsid w:val="00AE0FE1"/>
    <w:rsid w:val="00AE12D2"/>
    <w:rsid w:val="00AE1382"/>
    <w:rsid w:val="00AE15DE"/>
    <w:rsid w:val="00AE1637"/>
    <w:rsid w:val="00AE16EC"/>
    <w:rsid w:val="00AE1895"/>
    <w:rsid w:val="00AE18C1"/>
    <w:rsid w:val="00AE194C"/>
    <w:rsid w:val="00AE1968"/>
    <w:rsid w:val="00AE1A65"/>
    <w:rsid w:val="00AE1B6A"/>
    <w:rsid w:val="00AE1E66"/>
    <w:rsid w:val="00AE1E79"/>
    <w:rsid w:val="00AE1F59"/>
    <w:rsid w:val="00AE1FE1"/>
    <w:rsid w:val="00AE241D"/>
    <w:rsid w:val="00AE25FA"/>
    <w:rsid w:val="00AE2630"/>
    <w:rsid w:val="00AE2692"/>
    <w:rsid w:val="00AE26E2"/>
    <w:rsid w:val="00AE2886"/>
    <w:rsid w:val="00AE2FDA"/>
    <w:rsid w:val="00AE2FDC"/>
    <w:rsid w:val="00AE3040"/>
    <w:rsid w:val="00AE309C"/>
    <w:rsid w:val="00AE30EB"/>
    <w:rsid w:val="00AE31AA"/>
    <w:rsid w:val="00AE33E3"/>
    <w:rsid w:val="00AE3406"/>
    <w:rsid w:val="00AE34AB"/>
    <w:rsid w:val="00AE34B7"/>
    <w:rsid w:val="00AE3937"/>
    <w:rsid w:val="00AE39FE"/>
    <w:rsid w:val="00AE3AAC"/>
    <w:rsid w:val="00AE3B61"/>
    <w:rsid w:val="00AE3C46"/>
    <w:rsid w:val="00AE3CCC"/>
    <w:rsid w:val="00AE3D5F"/>
    <w:rsid w:val="00AE4062"/>
    <w:rsid w:val="00AE40D2"/>
    <w:rsid w:val="00AE471A"/>
    <w:rsid w:val="00AE47D1"/>
    <w:rsid w:val="00AE49BF"/>
    <w:rsid w:val="00AE4AFB"/>
    <w:rsid w:val="00AE4AFF"/>
    <w:rsid w:val="00AE4BD1"/>
    <w:rsid w:val="00AE4BFE"/>
    <w:rsid w:val="00AE54B7"/>
    <w:rsid w:val="00AE5606"/>
    <w:rsid w:val="00AE5979"/>
    <w:rsid w:val="00AE5B89"/>
    <w:rsid w:val="00AE5C21"/>
    <w:rsid w:val="00AE6026"/>
    <w:rsid w:val="00AE60B2"/>
    <w:rsid w:val="00AE60B7"/>
    <w:rsid w:val="00AE60BD"/>
    <w:rsid w:val="00AE62DF"/>
    <w:rsid w:val="00AE633D"/>
    <w:rsid w:val="00AE63F0"/>
    <w:rsid w:val="00AE6435"/>
    <w:rsid w:val="00AE64D9"/>
    <w:rsid w:val="00AE671A"/>
    <w:rsid w:val="00AE6859"/>
    <w:rsid w:val="00AE69FD"/>
    <w:rsid w:val="00AE6B39"/>
    <w:rsid w:val="00AE6F27"/>
    <w:rsid w:val="00AE70D0"/>
    <w:rsid w:val="00AE718F"/>
    <w:rsid w:val="00AE72C7"/>
    <w:rsid w:val="00AE73EA"/>
    <w:rsid w:val="00AE76DE"/>
    <w:rsid w:val="00AE776B"/>
    <w:rsid w:val="00AE779B"/>
    <w:rsid w:val="00AE7850"/>
    <w:rsid w:val="00AE794F"/>
    <w:rsid w:val="00AE7AC2"/>
    <w:rsid w:val="00AE7B1B"/>
    <w:rsid w:val="00AE7BC8"/>
    <w:rsid w:val="00AE7C57"/>
    <w:rsid w:val="00AE7D36"/>
    <w:rsid w:val="00AE7D8A"/>
    <w:rsid w:val="00AF003F"/>
    <w:rsid w:val="00AF05B0"/>
    <w:rsid w:val="00AF0767"/>
    <w:rsid w:val="00AF0810"/>
    <w:rsid w:val="00AF0AB2"/>
    <w:rsid w:val="00AF0B00"/>
    <w:rsid w:val="00AF0D25"/>
    <w:rsid w:val="00AF0FEE"/>
    <w:rsid w:val="00AF10A6"/>
    <w:rsid w:val="00AF1385"/>
    <w:rsid w:val="00AF141F"/>
    <w:rsid w:val="00AF166F"/>
    <w:rsid w:val="00AF1A5A"/>
    <w:rsid w:val="00AF1CC6"/>
    <w:rsid w:val="00AF1D11"/>
    <w:rsid w:val="00AF1D3A"/>
    <w:rsid w:val="00AF1DBB"/>
    <w:rsid w:val="00AF23DA"/>
    <w:rsid w:val="00AF2528"/>
    <w:rsid w:val="00AF263D"/>
    <w:rsid w:val="00AF267A"/>
    <w:rsid w:val="00AF2933"/>
    <w:rsid w:val="00AF2A46"/>
    <w:rsid w:val="00AF2B00"/>
    <w:rsid w:val="00AF2B01"/>
    <w:rsid w:val="00AF2B12"/>
    <w:rsid w:val="00AF2B19"/>
    <w:rsid w:val="00AF2B2A"/>
    <w:rsid w:val="00AF2B8B"/>
    <w:rsid w:val="00AF2CB1"/>
    <w:rsid w:val="00AF2FA4"/>
    <w:rsid w:val="00AF2FE8"/>
    <w:rsid w:val="00AF31C8"/>
    <w:rsid w:val="00AF326D"/>
    <w:rsid w:val="00AF327C"/>
    <w:rsid w:val="00AF3403"/>
    <w:rsid w:val="00AF346A"/>
    <w:rsid w:val="00AF357E"/>
    <w:rsid w:val="00AF35D1"/>
    <w:rsid w:val="00AF374C"/>
    <w:rsid w:val="00AF3794"/>
    <w:rsid w:val="00AF38D0"/>
    <w:rsid w:val="00AF38EC"/>
    <w:rsid w:val="00AF3928"/>
    <w:rsid w:val="00AF3A87"/>
    <w:rsid w:val="00AF3EBA"/>
    <w:rsid w:val="00AF3F18"/>
    <w:rsid w:val="00AF3F65"/>
    <w:rsid w:val="00AF4375"/>
    <w:rsid w:val="00AF43CE"/>
    <w:rsid w:val="00AF455E"/>
    <w:rsid w:val="00AF47A6"/>
    <w:rsid w:val="00AF484E"/>
    <w:rsid w:val="00AF485A"/>
    <w:rsid w:val="00AF4882"/>
    <w:rsid w:val="00AF491B"/>
    <w:rsid w:val="00AF5062"/>
    <w:rsid w:val="00AF5065"/>
    <w:rsid w:val="00AF50F9"/>
    <w:rsid w:val="00AF5133"/>
    <w:rsid w:val="00AF5307"/>
    <w:rsid w:val="00AF539E"/>
    <w:rsid w:val="00AF53D2"/>
    <w:rsid w:val="00AF5559"/>
    <w:rsid w:val="00AF568D"/>
    <w:rsid w:val="00AF56DC"/>
    <w:rsid w:val="00AF578E"/>
    <w:rsid w:val="00AF57F1"/>
    <w:rsid w:val="00AF5C22"/>
    <w:rsid w:val="00AF5C29"/>
    <w:rsid w:val="00AF5CCF"/>
    <w:rsid w:val="00AF5D18"/>
    <w:rsid w:val="00AF5D7F"/>
    <w:rsid w:val="00AF5F7C"/>
    <w:rsid w:val="00AF5F9E"/>
    <w:rsid w:val="00AF6256"/>
    <w:rsid w:val="00AF62E0"/>
    <w:rsid w:val="00AF6A45"/>
    <w:rsid w:val="00AF6B4C"/>
    <w:rsid w:val="00AF6B58"/>
    <w:rsid w:val="00AF6CD8"/>
    <w:rsid w:val="00AF6EA5"/>
    <w:rsid w:val="00AF6FE1"/>
    <w:rsid w:val="00AF708E"/>
    <w:rsid w:val="00AF711F"/>
    <w:rsid w:val="00AF714B"/>
    <w:rsid w:val="00AF7197"/>
    <w:rsid w:val="00AF7250"/>
    <w:rsid w:val="00AF7739"/>
    <w:rsid w:val="00AF77B0"/>
    <w:rsid w:val="00AF78DD"/>
    <w:rsid w:val="00AF7D25"/>
    <w:rsid w:val="00AF7D4B"/>
    <w:rsid w:val="00AF7E49"/>
    <w:rsid w:val="00AF7E71"/>
    <w:rsid w:val="00B0058B"/>
    <w:rsid w:val="00B005B8"/>
    <w:rsid w:val="00B0088D"/>
    <w:rsid w:val="00B009E9"/>
    <w:rsid w:val="00B00AFD"/>
    <w:rsid w:val="00B00B69"/>
    <w:rsid w:val="00B00BC2"/>
    <w:rsid w:val="00B00D2D"/>
    <w:rsid w:val="00B00DF3"/>
    <w:rsid w:val="00B00F77"/>
    <w:rsid w:val="00B00F88"/>
    <w:rsid w:val="00B00FA5"/>
    <w:rsid w:val="00B00FEE"/>
    <w:rsid w:val="00B010E2"/>
    <w:rsid w:val="00B0129A"/>
    <w:rsid w:val="00B012B8"/>
    <w:rsid w:val="00B015DC"/>
    <w:rsid w:val="00B0162E"/>
    <w:rsid w:val="00B01659"/>
    <w:rsid w:val="00B017CB"/>
    <w:rsid w:val="00B0180D"/>
    <w:rsid w:val="00B01902"/>
    <w:rsid w:val="00B01903"/>
    <w:rsid w:val="00B01B67"/>
    <w:rsid w:val="00B01BD0"/>
    <w:rsid w:val="00B01BFC"/>
    <w:rsid w:val="00B01CA2"/>
    <w:rsid w:val="00B01E44"/>
    <w:rsid w:val="00B01EA1"/>
    <w:rsid w:val="00B01F61"/>
    <w:rsid w:val="00B0205F"/>
    <w:rsid w:val="00B021BE"/>
    <w:rsid w:val="00B02271"/>
    <w:rsid w:val="00B023A3"/>
    <w:rsid w:val="00B024B1"/>
    <w:rsid w:val="00B024BE"/>
    <w:rsid w:val="00B025FB"/>
    <w:rsid w:val="00B027DB"/>
    <w:rsid w:val="00B02868"/>
    <w:rsid w:val="00B02B1E"/>
    <w:rsid w:val="00B02B3D"/>
    <w:rsid w:val="00B02BA8"/>
    <w:rsid w:val="00B02BD8"/>
    <w:rsid w:val="00B02E78"/>
    <w:rsid w:val="00B02F7B"/>
    <w:rsid w:val="00B02F86"/>
    <w:rsid w:val="00B030C3"/>
    <w:rsid w:val="00B032C8"/>
    <w:rsid w:val="00B0330B"/>
    <w:rsid w:val="00B033A4"/>
    <w:rsid w:val="00B033B2"/>
    <w:rsid w:val="00B034B3"/>
    <w:rsid w:val="00B034FC"/>
    <w:rsid w:val="00B03547"/>
    <w:rsid w:val="00B0358D"/>
    <w:rsid w:val="00B035EA"/>
    <w:rsid w:val="00B039EA"/>
    <w:rsid w:val="00B03BE0"/>
    <w:rsid w:val="00B03DEF"/>
    <w:rsid w:val="00B03E14"/>
    <w:rsid w:val="00B041A9"/>
    <w:rsid w:val="00B042CE"/>
    <w:rsid w:val="00B0440C"/>
    <w:rsid w:val="00B0444C"/>
    <w:rsid w:val="00B04469"/>
    <w:rsid w:val="00B0467D"/>
    <w:rsid w:val="00B04698"/>
    <w:rsid w:val="00B04763"/>
    <w:rsid w:val="00B047C4"/>
    <w:rsid w:val="00B04C97"/>
    <w:rsid w:val="00B04E0A"/>
    <w:rsid w:val="00B05252"/>
    <w:rsid w:val="00B05365"/>
    <w:rsid w:val="00B0539D"/>
    <w:rsid w:val="00B05458"/>
    <w:rsid w:val="00B054D3"/>
    <w:rsid w:val="00B056F5"/>
    <w:rsid w:val="00B057C5"/>
    <w:rsid w:val="00B05936"/>
    <w:rsid w:val="00B05A51"/>
    <w:rsid w:val="00B05C77"/>
    <w:rsid w:val="00B05F10"/>
    <w:rsid w:val="00B06274"/>
    <w:rsid w:val="00B06452"/>
    <w:rsid w:val="00B0655C"/>
    <w:rsid w:val="00B06639"/>
    <w:rsid w:val="00B066CD"/>
    <w:rsid w:val="00B06A6B"/>
    <w:rsid w:val="00B06C6B"/>
    <w:rsid w:val="00B06CCF"/>
    <w:rsid w:val="00B06E1C"/>
    <w:rsid w:val="00B06E70"/>
    <w:rsid w:val="00B07323"/>
    <w:rsid w:val="00B075EB"/>
    <w:rsid w:val="00B07748"/>
    <w:rsid w:val="00B07988"/>
    <w:rsid w:val="00B07C49"/>
    <w:rsid w:val="00B07D7D"/>
    <w:rsid w:val="00B07F3D"/>
    <w:rsid w:val="00B07F69"/>
    <w:rsid w:val="00B07F6F"/>
    <w:rsid w:val="00B100DC"/>
    <w:rsid w:val="00B102CA"/>
    <w:rsid w:val="00B104C0"/>
    <w:rsid w:val="00B10580"/>
    <w:rsid w:val="00B10618"/>
    <w:rsid w:val="00B10B96"/>
    <w:rsid w:val="00B10C67"/>
    <w:rsid w:val="00B10CC3"/>
    <w:rsid w:val="00B10E67"/>
    <w:rsid w:val="00B11191"/>
    <w:rsid w:val="00B111DE"/>
    <w:rsid w:val="00B1141D"/>
    <w:rsid w:val="00B118DD"/>
    <w:rsid w:val="00B11988"/>
    <w:rsid w:val="00B11A75"/>
    <w:rsid w:val="00B11DBD"/>
    <w:rsid w:val="00B11DD9"/>
    <w:rsid w:val="00B11FFA"/>
    <w:rsid w:val="00B120FB"/>
    <w:rsid w:val="00B12141"/>
    <w:rsid w:val="00B12232"/>
    <w:rsid w:val="00B12307"/>
    <w:rsid w:val="00B1233C"/>
    <w:rsid w:val="00B123D8"/>
    <w:rsid w:val="00B12425"/>
    <w:rsid w:val="00B124EF"/>
    <w:rsid w:val="00B12518"/>
    <w:rsid w:val="00B12625"/>
    <w:rsid w:val="00B12723"/>
    <w:rsid w:val="00B12777"/>
    <w:rsid w:val="00B1283A"/>
    <w:rsid w:val="00B12B67"/>
    <w:rsid w:val="00B12B74"/>
    <w:rsid w:val="00B12D79"/>
    <w:rsid w:val="00B13073"/>
    <w:rsid w:val="00B131FD"/>
    <w:rsid w:val="00B132EC"/>
    <w:rsid w:val="00B1337A"/>
    <w:rsid w:val="00B133BC"/>
    <w:rsid w:val="00B134FD"/>
    <w:rsid w:val="00B1362D"/>
    <w:rsid w:val="00B1364B"/>
    <w:rsid w:val="00B1379B"/>
    <w:rsid w:val="00B138BE"/>
    <w:rsid w:val="00B13A19"/>
    <w:rsid w:val="00B13B50"/>
    <w:rsid w:val="00B13CFD"/>
    <w:rsid w:val="00B13EAC"/>
    <w:rsid w:val="00B13F69"/>
    <w:rsid w:val="00B13FD9"/>
    <w:rsid w:val="00B14121"/>
    <w:rsid w:val="00B142CE"/>
    <w:rsid w:val="00B14325"/>
    <w:rsid w:val="00B14861"/>
    <w:rsid w:val="00B14937"/>
    <w:rsid w:val="00B149E0"/>
    <w:rsid w:val="00B14AE6"/>
    <w:rsid w:val="00B14B44"/>
    <w:rsid w:val="00B14D2C"/>
    <w:rsid w:val="00B15128"/>
    <w:rsid w:val="00B151BB"/>
    <w:rsid w:val="00B1533A"/>
    <w:rsid w:val="00B153F6"/>
    <w:rsid w:val="00B154A0"/>
    <w:rsid w:val="00B154F4"/>
    <w:rsid w:val="00B15832"/>
    <w:rsid w:val="00B15AA6"/>
    <w:rsid w:val="00B15B34"/>
    <w:rsid w:val="00B15B38"/>
    <w:rsid w:val="00B15D71"/>
    <w:rsid w:val="00B15D80"/>
    <w:rsid w:val="00B15F64"/>
    <w:rsid w:val="00B160D4"/>
    <w:rsid w:val="00B16173"/>
    <w:rsid w:val="00B16191"/>
    <w:rsid w:val="00B16211"/>
    <w:rsid w:val="00B16379"/>
    <w:rsid w:val="00B16546"/>
    <w:rsid w:val="00B165D4"/>
    <w:rsid w:val="00B16748"/>
    <w:rsid w:val="00B16752"/>
    <w:rsid w:val="00B16843"/>
    <w:rsid w:val="00B16913"/>
    <w:rsid w:val="00B16BF3"/>
    <w:rsid w:val="00B16CF3"/>
    <w:rsid w:val="00B16D7A"/>
    <w:rsid w:val="00B16DF2"/>
    <w:rsid w:val="00B16DFD"/>
    <w:rsid w:val="00B16F21"/>
    <w:rsid w:val="00B17291"/>
    <w:rsid w:val="00B173A9"/>
    <w:rsid w:val="00B17488"/>
    <w:rsid w:val="00B1755E"/>
    <w:rsid w:val="00B175EB"/>
    <w:rsid w:val="00B17695"/>
    <w:rsid w:val="00B17713"/>
    <w:rsid w:val="00B17724"/>
    <w:rsid w:val="00B17759"/>
    <w:rsid w:val="00B177C3"/>
    <w:rsid w:val="00B17A0B"/>
    <w:rsid w:val="00B17B3C"/>
    <w:rsid w:val="00B17BE4"/>
    <w:rsid w:val="00B17CE5"/>
    <w:rsid w:val="00B17ED7"/>
    <w:rsid w:val="00B20445"/>
    <w:rsid w:val="00B20470"/>
    <w:rsid w:val="00B2058B"/>
    <w:rsid w:val="00B205C7"/>
    <w:rsid w:val="00B205F8"/>
    <w:rsid w:val="00B2060C"/>
    <w:rsid w:val="00B206CE"/>
    <w:rsid w:val="00B2082B"/>
    <w:rsid w:val="00B209DC"/>
    <w:rsid w:val="00B20AA8"/>
    <w:rsid w:val="00B20B3F"/>
    <w:rsid w:val="00B20B97"/>
    <w:rsid w:val="00B20B98"/>
    <w:rsid w:val="00B20E80"/>
    <w:rsid w:val="00B211C3"/>
    <w:rsid w:val="00B211DA"/>
    <w:rsid w:val="00B2121F"/>
    <w:rsid w:val="00B2122E"/>
    <w:rsid w:val="00B2132A"/>
    <w:rsid w:val="00B2138B"/>
    <w:rsid w:val="00B21519"/>
    <w:rsid w:val="00B216E6"/>
    <w:rsid w:val="00B21972"/>
    <w:rsid w:val="00B21BF8"/>
    <w:rsid w:val="00B21C22"/>
    <w:rsid w:val="00B21C5A"/>
    <w:rsid w:val="00B21E9C"/>
    <w:rsid w:val="00B21EFC"/>
    <w:rsid w:val="00B21F48"/>
    <w:rsid w:val="00B21F86"/>
    <w:rsid w:val="00B21FEC"/>
    <w:rsid w:val="00B22002"/>
    <w:rsid w:val="00B22107"/>
    <w:rsid w:val="00B2219C"/>
    <w:rsid w:val="00B22481"/>
    <w:rsid w:val="00B22726"/>
    <w:rsid w:val="00B227F7"/>
    <w:rsid w:val="00B22840"/>
    <w:rsid w:val="00B22924"/>
    <w:rsid w:val="00B22A28"/>
    <w:rsid w:val="00B22A48"/>
    <w:rsid w:val="00B22A63"/>
    <w:rsid w:val="00B22AB5"/>
    <w:rsid w:val="00B22C6F"/>
    <w:rsid w:val="00B22CC9"/>
    <w:rsid w:val="00B22D91"/>
    <w:rsid w:val="00B2313F"/>
    <w:rsid w:val="00B23207"/>
    <w:rsid w:val="00B23225"/>
    <w:rsid w:val="00B232F0"/>
    <w:rsid w:val="00B233F3"/>
    <w:rsid w:val="00B2346F"/>
    <w:rsid w:val="00B23574"/>
    <w:rsid w:val="00B236C4"/>
    <w:rsid w:val="00B236D0"/>
    <w:rsid w:val="00B239C9"/>
    <w:rsid w:val="00B23A42"/>
    <w:rsid w:val="00B23AA8"/>
    <w:rsid w:val="00B23DEE"/>
    <w:rsid w:val="00B23E30"/>
    <w:rsid w:val="00B23E91"/>
    <w:rsid w:val="00B23F56"/>
    <w:rsid w:val="00B240CA"/>
    <w:rsid w:val="00B242C8"/>
    <w:rsid w:val="00B24304"/>
    <w:rsid w:val="00B244C1"/>
    <w:rsid w:val="00B24502"/>
    <w:rsid w:val="00B24546"/>
    <w:rsid w:val="00B245E7"/>
    <w:rsid w:val="00B24602"/>
    <w:rsid w:val="00B24630"/>
    <w:rsid w:val="00B24769"/>
    <w:rsid w:val="00B247EC"/>
    <w:rsid w:val="00B247FD"/>
    <w:rsid w:val="00B2480F"/>
    <w:rsid w:val="00B2498C"/>
    <w:rsid w:val="00B24C94"/>
    <w:rsid w:val="00B24D2D"/>
    <w:rsid w:val="00B24EE2"/>
    <w:rsid w:val="00B24F79"/>
    <w:rsid w:val="00B24FDD"/>
    <w:rsid w:val="00B25132"/>
    <w:rsid w:val="00B252E3"/>
    <w:rsid w:val="00B25335"/>
    <w:rsid w:val="00B25400"/>
    <w:rsid w:val="00B25480"/>
    <w:rsid w:val="00B25651"/>
    <w:rsid w:val="00B2576E"/>
    <w:rsid w:val="00B2579C"/>
    <w:rsid w:val="00B257F5"/>
    <w:rsid w:val="00B25954"/>
    <w:rsid w:val="00B259CF"/>
    <w:rsid w:val="00B25A30"/>
    <w:rsid w:val="00B25B55"/>
    <w:rsid w:val="00B25CC5"/>
    <w:rsid w:val="00B25D2E"/>
    <w:rsid w:val="00B25D30"/>
    <w:rsid w:val="00B25D48"/>
    <w:rsid w:val="00B25D83"/>
    <w:rsid w:val="00B261E8"/>
    <w:rsid w:val="00B262DB"/>
    <w:rsid w:val="00B2633C"/>
    <w:rsid w:val="00B26591"/>
    <w:rsid w:val="00B265C6"/>
    <w:rsid w:val="00B267CE"/>
    <w:rsid w:val="00B26868"/>
    <w:rsid w:val="00B26969"/>
    <w:rsid w:val="00B26E0C"/>
    <w:rsid w:val="00B26EA0"/>
    <w:rsid w:val="00B2701F"/>
    <w:rsid w:val="00B27092"/>
    <w:rsid w:val="00B27204"/>
    <w:rsid w:val="00B27383"/>
    <w:rsid w:val="00B273EA"/>
    <w:rsid w:val="00B2742A"/>
    <w:rsid w:val="00B274ED"/>
    <w:rsid w:val="00B274F6"/>
    <w:rsid w:val="00B2763A"/>
    <w:rsid w:val="00B278CA"/>
    <w:rsid w:val="00B2798D"/>
    <w:rsid w:val="00B27A04"/>
    <w:rsid w:val="00B27AAE"/>
    <w:rsid w:val="00B27C19"/>
    <w:rsid w:val="00B27D0A"/>
    <w:rsid w:val="00B27D72"/>
    <w:rsid w:val="00B27E15"/>
    <w:rsid w:val="00B27E74"/>
    <w:rsid w:val="00B27FC3"/>
    <w:rsid w:val="00B30012"/>
    <w:rsid w:val="00B3004B"/>
    <w:rsid w:val="00B300C4"/>
    <w:rsid w:val="00B301F4"/>
    <w:rsid w:val="00B3046A"/>
    <w:rsid w:val="00B304AF"/>
    <w:rsid w:val="00B306A2"/>
    <w:rsid w:val="00B30807"/>
    <w:rsid w:val="00B308D7"/>
    <w:rsid w:val="00B308F2"/>
    <w:rsid w:val="00B3096A"/>
    <w:rsid w:val="00B30A70"/>
    <w:rsid w:val="00B30B76"/>
    <w:rsid w:val="00B30BA0"/>
    <w:rsid w:val="00B30BA7"/>
    <w:rsid w:val="00B30CCA"/>
    <w:rsid w:val="00B30E97"/>
    <w:rsid w:val="00B31763"/>
    <w:rsid w:val="00B31937"/>
    <w:rsid w:val="00B31A6F"/>
    <w:rsid w:val="00B31A93"/>
    <w:rsid w:val="00B31CB8"/>
    <w:rsid w:val="00B31D18"/>
    <w:rsid w:val="00B31D2D"/>
    <w:rsid w:val="00B31E92"/>
    <w:rsid w:val="00B32059"/>
    <w:rsid w:val="00B321A5"/>
    <w:rsid w:val="00B321FF"/>
    <w:rsid w:val="00B32293"/>
    <w:rsid w:val="00B32430"/>
    <w:rsid w:val="00B3247A"/>
    <w:rsid w:val="00B3258A"/>
    <w:rsid w:val="00B32592"/>
    <w:rsid w:val="00B326A7"/>
    <w:rsid w:val="00B32829"/>
    <w:rsid w:val="00B32ABB"/>
    <w:rsid w:val="00B32B5A"/>
    <w:rsid w:val="00B32C8F"/>
    <w:rsid w:val="00B32E87"/>
    <w:rsid w:val="00B3305C"/>
    <w:rsid w:val="00B33074"/>
    <w:rsid w:val="00B33156"/>
    <w:rsid w:val="00B331F1"/>
    <w:rsid w:val="00B3330F"/>
    <w:rsid w:val="00B33336"/>
    <w:rsid w:val="00B334A9"/>
    <w:rsid w:val="00B3357C"/>
    <w:rsid w:val="00B33693"/>
    <w:rsid w:val="00B336B6"/>
    <w:rsid w:val="00B33722"/>
    <w:rsid w:val="00B337F3"/>
    <w:rsid w:val="00B33812"/>
    <w:rsid w:val="00B33830"/>
    <w:rsid w:val="00B33851"/>
    <w:rsid w:val="00B33AD3"/>
    <w:rsid w:val="00B33AE5"/>
    <w:rsid w:val="00B33C54"/>
    <w:rsid w:val="00B33D88"/>
    <w:rsid w:val="00B33E53"/>
    <w:rsid w:val="00B33EA1"/>
    <w:rsid w:val="00B33FEE"/>
    <w:rsid w:val="00B3408A"/>
    <w:rsid w:val="00B34232"/>
    <w:rsid w:val="00B34433"/>
    <w:rsid w:val="00B347B6"/>
    <w:rsid w:val="00B34857"/>
    <w:rsid w:val="00B34AC3"/>
    <w:rsid w:val="00B34ADB"/>
    <w:rsid w:val="00B34BE6"/>
    <w:rsid w:val="00B34CA8"/>
    <w:rsid w:val="00B34CD8"/>
    <w:rsid w:val="00B34D36"/>
    <w:rsid w:val="00B34D44"/>
    <w:rsid w:val="00B34E8C"/>
    <w:rsid w:val="00B35015"/>
    <w:rsid w:val="00B351A7"/>
    <w:rsid w:val="00B3528C"/>
    <w:rsid w:val="00B353B6"/>
    <w:rsid w:val="00B35476"/>
    <w:rsid w:val="00B3568B"/>
    <w:rsid w:val="00B35696"/>
    <w:rsid w:val="00B359C8"/>
    <w:rsid w:val="00B35A63"/>
    <w:rsid w:val="00B35B75"/>
    <w:rsid w:val="00B35C9F"/>
    <w:rsid w:val="00B35CF2"/>
    <w:rsid w:val="00B35E4F"/>
    <w:rsid w:val="00B35E83"/>
    <w:rsid w:val="00B35ECA"/>
    <w:rsid w:val="00B35F55"/>
    <w:rsid w:val="00B36129"/>
    <w:rsid w:val="00B3616B"/>
    <w:rsid w:val="00B362B2"/>
    <w:rsid w:val="00B362D6"/>
    <w:rsid w:val="00B36408"/>
    <w:rsid w:val="00B3643B"/>
    <w:rsid w:val="00B364C3"/>
    <w:rsid w:val="00B3658C"/>
    <w:rsid w:val="00B3659C"/>
    <w:rsid w:val="00B3669A"/>
    <w:rsid w:val="00B3669D"/>
    <w:rsid w:val="00B36715"/>
    <w:rsid w:val="00B368AA"/>
    <w:rsid w:val="00B36983"/>
    <w:rsid w:val="00B36B80"/>
    <w:rsid w:val="00B36CFC"/>
    <w:rsid w:val="00B36DFE"/>
    <w:rsid w:val="00B36E89"/>
    <w:rsid w:val="00B3717D"/>
    <w:rsid w:val="00B37298"/>
    <w:rsid w:val="00B374D6"/>
    <w:rsid w:val="00B3750F"/>
    <w:rsid w:val="00B37549"/>
    <w:rsid w:val="00B3762F"/>
    <w:rsid w:val="00B3799C"/>
    <w:rsid w:val="00B379D2"/>
    <w:rsid w:val="00B37AAE"/>
    <w:rsid w:val="00B37B34"/>
    <w:rsid w:val="00B37BC5"/>
    <w:rsid w:val="00B37C8A"/>
    <w:rsid w:val="00B4004D"/>
    <w:rsid w:val="00B4025E"/>
    <w:rsid w:val="00B40413"/>
    <w:rsid w:val="00B407E1"/>
    <w:rsid w:val="00B408F7"/>
    <w:rsid w:val="00B40AFE"/>
    <w:rsid w:val="00B40C9F"/>
    <w:rsid w:val="00B40EB2"/>
    <w:rsid w:val="00B40F25"/>
    <w:rsid w:val="00B4130D"/>
    <w:rsid w:val="00B414C9"/>
    <w:rsid w:val="00B414E2"/>
    <w:rsid w:val="00B4163C"/>
    <w:rsid w:val="00B41784"/>
    <w:rsid w:val="00B41AD4"/>
    <w:rsid w:val="00B41DA7"/>
    <w:rsid w:val="00B41E2E"/>
    <w:rsid w:val="00B41F21"/>
    <w:rsid w:val="00B4200E"/>
    <w:rsid w:val="00B4259D"/>
    <w:rsid w:val="00B4262F"/>
    <w:rsid w:val="00B4272B"/>
    <w:rsid w:val="00B42778"/>
    <w:rsid w:val="00B42963"/>
    <w:rsid w:val="00B4298E"/>
    <w:rsid w:val="00B42A60"/>
    <w:rsid w:val="00B42AD1"/>
    <w:rsid w:val="00B43020"/>
    <w:rsid w:val="00B4310C"/>
    <w:rsid w:val="00B431AB"/>
    <w:rsid w:val="00B43533"/>
    <w:rsid w:val="00B43C91"/>
    <w:rsid w:val="00B43ECB"/>
    <w:rsid w:val="00B43EF9"/>
    <w:rsid w:val="00B43FF7"/>
    <w:rsid w:val="00B44043"/>
    <w:rsid w:val="00B44505"/>
    <w:rsid w:val="00B44593"/>
    <w:rsid w:val="00B44633"/>
    <w:rsid w:val="00B4476B"/>
    <w:rsid w:val="00B44779"/>
    <w:rsid w:val="00B4497A"/>
    <w:rsid w:val="00B449E3"/>
    <w:rsid w:val="00B44A6D"/>
    <w:rsid w:val="00B44B90"/>
    <w:rsid w:val="00B44E87"/>
    <w:rsid w:val="00B4501C"/>
    <w:rsid w:val="00B45313"/>
    <w:rsid w:val="00B455A4"/>
    <w:rsid w:val="00B45B03"/>
    <w:rsid w:val="00B45BCF"/>
    <w:rsid w:val="00B45BE5"/>
    <w:rsid w:val="00B45DE5"/>
    <w:rsid w:val="00B45E80"/>
    <w:rsid w:val="00B45EED"/>
    <w:rsid w:val="00B4604E"/>
    <w:rsid w:val="00B46195"/>
    <w:rsid w:val="00B462AF"/>
    <w:rsid w:val="00B462CA"/>
    <w:rsid w:val="00B4630C"/>
    <w:rsid w:val="00B46437"/>
    <w:rsid w:val="00B4647A"/>
    <w:rsid w:val="00B46616"/>
    <w:rsid w:val="00B466A4"/>
    <w:rsid w:val="00B469BF"/>
    <w:rsid w:val="00B46B26"/>
    <w:rsid w:val="00B46BB5"/>
    <w:rsid w:val="00B46C6B"/>
    <w:rsid w:val="00B46C97"/>
    <w:rsid w:val="00B46D1C"/>
    <w:rsid w:val="00B46E47"/>
    <w:rsid w:val="00B46EA9"/>
    <w:rsid w:val="00B470D4"/>
    <w:rsid w:val="00B471FD"/>
    <w:rsid w:val="00B475B5"/>
    <w:rsid w:val="00B47699"/>
    <w:rsid w:val="00B476D2"/>
    <w:rsid w:val="00B47850"/>
    <w:rsid w:val="00B478BE"/>
    <w:rsid w:val="00B4794A"/>
    <w:rsid w:val="00B47A32"/>
    <w:rsid w:val="00B47B6B"/>
    <w:rsid w:val="00B47BA1"/>
    <w:rsid w:val="00B47E1B"/>
    <w:rsid w:val="00B50058"/>
    <w:rsid w:val="00B503DB"/>
    <w:rsid w:val="00B50486"/>
    <w:rsid w:val="00B504FF"/>
    <w:rsid w:val="00B506B1"/>
    <w:rsid w:val="00B506BB"/>
    <w:rsid w:val="00B50753"/>
    <w:rsid w:val="00B507E4"/>
    <w:rsid w:val="00B50866"/>
    <w:rsid w:val="00B509A6"/>
    <w:rsid w:val="00B509DB"/>
    <w:rsid w:val="00B50E43"/>
    <w:rsid w:val="00B50EC6"/>
    <w:rsid w:val="00B5106B"/>
    <w:rsid w:val="00B510EF"/>
    <w:rsid w:val="00B51257"/>
    <w:rsid w:val="00B51342"/>
    <w:rsid w:val="00B5146C"/>
    <w:rsid w:val="00B515A3"/>
    <w:rsid w:val="00B5171E"/>
    <w:rsid w:val="00B51773"/>
    <w:rsid w:val="00B517DF"/>
    <w:rsid w:val="00B517F6"/>
    <w:rsid w:val="00B51AD2"/>
    <w:rsid w:val="00B51AF2"/>
    <w:rsid w:val="00B51B44"/>
    <w:rsid w:val="00B51CC7"/>
    <w:rsid w:val="00B51DBF"/>
    <w:rsid w:val="00B51E07"/>
    <w:rsid w:val="00B51E3E"/>
    <w:rsid w:val="00B51E5B"/>
    <w:rsid w:val="00B51F76"/>
    <w:rsid w:val="00B51F77"/>
    <w:rsid w:val="00B51FB6"/>
    <w:rsid w:val="00B5204E"/>
    <w:rsid w:val="00B520AD"/>
    <w:rsid w:val="00B52494"/>
    <w:rsid w:val="00B5267D"/>
    <w:rsid w:val="00B52683"/>
    <w:rsid w:val="00B52786"/>
    <w:rsid w:val="00B527EB"/>
    <w:rsid w:val="00B52872"/>
    <w:rsid w:val="00B5295E"/>
    <w:rsid w:val="00B52B4C"/>
    <w:rsid w:val="00B52BE5"/>
    <w:rsid w:val="00B52D81"/>
    <w:rsid w:val="00B52E10"/>
    <w:rsid w:val="00B52E54"/>
    <w:rsid w:val="00B52E5E"/>
    <w:rsid w:val="00B53092"/>
    <w:rsid w:val="00B534CB"/>
    <w:rsid w:val="00B53524"/>
    <w:rsid w:val="00B5359A"/>
    <w:rsid w:val="00B535FB"/>
    <w:rsid w:val="00B5363B"/>
    <w:rsid w:val="00B53645"/>
    <w:rsid w:val="00B536AF"/>
    <w:rsid w:val="00B537DA"/>
    <w:rsid w:val="00B53804"/>
    <w:rsid w:val="00B539AF"/>
    <w:rsid w:val="00B53BD3"/>
    <w:rsid w:val="00B53E8E"/>
    <w:rsid w:val="00B5451D"/>
    <w:rsid w:val="00B54657"/>
    <w:rsid w:val="00B5468B"/>
    <w:rsid w:val="00B547B4"/>
    <w:rsid w:val="00B548B1"/>
    <w:rsid w:val="00B548C4"/>
    <w:rsid w:val="00B5491F"/>
    <w:rsid w:val="00B54D3D"/>
    <w:rsid w:val="00B54E63"/>
    <w:rsid w:val="00B55430"/>
    <w:rsid w:val="00B554AF"/>
    <w:rsid w:val="00B55571"/>
    <w:rsid w:val="00B5588E"/>
    <w:rsid w:val="00B5589C"/>
    <w:rsid w:val="00B558EB"/>
    <w:rsid w:val="00B5598F"/>
    <w:rsid w:val="00B559E1"/>
    <w:rsid w:val="00B559ED"/>
    <w:rsid w:val="00B55A36"/>
    <w:rsid w:val="00B55AEC"/>
    <w:rsid w:val="00B55C71"/>
    <w:rsid w:val="00B55D25"/>
    <w:rsid w:val="00B55F79"/>
    <w:rsid w:val="00B560BA"/>
    <w:rsid w:val="00B56262"/>
    <w:rsid w:val="00B56355"/>
    <w:rsid w:val="00B56399"/>
    <w:rsid w:val="00B563D7"/>
    <w:rsid w:val="00B56441"/>
    <w:rsid w:val="00B56750"/>
    <w:rsid w:val="00B569FE"/>
    <w:rsid w:val="00B56BCC"/>
    <w:rsid w:val="00B56E59"/>
    <w:rsid w:val="00B56E8E"/>
    <w:rsid w:val="00B57104"/>
    <w:rsid w:val="00B57387"/>
    <w:rsid w:val="00B5743D"/>
    <w:rsid w:val="00B57445"/>
    <w:rsid w:val="00B57537"/>
    <w:rsid w:val="00B57593"/>
    <w:rsid w:val="00B578F6"/>
    <w:rsid w:val="00B579D5"/>
    <w:rsid w:val="00B57A0A"/>
    <w:rsid w:val="00B57B1B"/>
    <w:rsid w:val="00B57BFF"/>
    <w:rsid w:val="00B60122"/>
    <w:rsid w:val="00B601D0"/>
    <w:rsid w:val="00B6020C"/>
    <w:rsid w:val="00B6024E"/>
    <w:rsid w:val="00B602EF"/>
    <w:rsid w:val="00B605DB"/>
    <w:rsid w:val="00B6079B"/>
    <w:rsid w:val="00B608B9"/>
    <w:rsid w:val="00B609CF"/>
    <w:rsid w:val="00B60A7E"/>
    <w:rsid w:val="00B60BA3"/>
    <w:rsid w:val="00B60FBD"/>
    <w:rsid w:val="00B61151"/>
    <w:rsid w:val="00B61458"/>
    <w:rsid w:val="00B614A4"/>
    <w:rsid w:val="00B615AC"/>
    <w:rsid w:val="00B6163C"/>
    <w:rsid w:val="00B6180E"/>
    <w:rsid w:val="00B618CC"/>
    <w:rsid w:val="00B61903"/>
    <w:rsid w:val="00B61A42"/>
    <w:rsid w:val="00B61B36"/>
    <w:rsid w:val="00B61C51"/>
    <w:rsid w:val="00B61D74"/>
    <w:rsid w:val="00B61D94"/>
    <w:rsid w:val="00B61E07"/>
    <w:rsid w:val="00B61E22"/>
    <w:rsid w:val="00B61F0D"/>
    <w:rsid w:val="00B61F12"/>
    <w:rsid w:val="00B621E2"/>
    <w:rsid w:val="00B623CB"/>
    <w:rsid w:val="00B62453"/>
    <w:rsid w:val="00B627A1"/>
    <w:rsid w:val="00B6288A"/>
    <w:rsid w:val="00B628D5"/>
    <w:rsid w:val="00B628D8"/>
    <w:rsid w:val="00B62ADE"/>
    <w:rsid w:val="00B62B4F"/>
    <w:rsid w:val="00B62BB8"/>
    <w:rsid w:val="00B62D3C"/>
    <w:rsid w:val="00B6303C"/>
    <w:rsid w:val="00B63169"/>
    <w:rsid w:val="00B63278"/>
    <w:rsid w:val="00B6352C"/>
    <w:rsid w:val="00B63619"/>
    <w:rsid w:val="00B6376A"/>
    <w:rsid w:val="00B63904"/>
    <w:rsid w:val="00B63AFB"/>
    <w:rsid w:val="00B63DDD"/>
    <w:rsid w:val="00B63E49"/>
    <w:rsid w:val="00B63E8D"/>
    <w:rsid w:val="00B63F59"/>
    <w:rsid w:val="00B6415D"/>
    <w:rsid w:val="00B6420E"/>
    <w:rsid w:val="00B64230"/>
    <w:rsid w:val="00B64407"/>
    <w:rsid w:val="00B644A6"/>
    <w:rsid w:val="00B64565"/>
    <w:rsid w:val="00B64585"/>
    <w:rsid w:val="00B64904"/>
    <w:rsid w:val="00B649CB"/>
    <w:rsid w:val="00B649E1"/>
    <w:rsid w:val="00B64B57"/>
    <w:rsid w:val="00B64E02"/>
    <w:rsid w:val="00B6504C"/>
    <w:rsid w:val="00B6520D"/>
    <w:rsid w:val="00B653BE"/>
    <w:rsid w:val="00B6543D"/>
    <w:rsid w:val="00B65497"/>
    <w:rsid w:val="00B656A2"/>
    <w:rsid w:val="00B65771"/>
    <w:rsid w:val="00B657BC"/>
    <w:rsid w:val="00B6596C"/>
    <w:rsid w:val="00B6597B"/>
    <w:rsid w:val="00B65B93"/>
    <w:rsid w:val="00B65BB6"/>
    <w:rsid w:val="00B65C10"/>
    <w:rsid w:val="00B65D79"/>
    <w:rsid w:val="00B65EA4"/>
    <w:rsid w:val="00B65F98"/>
    <w:rsid w:val="00B6600E"/>
    <w:rsid w:val="00B6601C"/>
    <w:rsid w:val="00B660A4"/>
    <w:rsid w:val="00B660DE"/>
    <w:rsid w:val="00B6616B"/>
    <w:rsid w:val="00B661FE"/>
    <w:rsid w:val="00B6622E"/>
    <w:rsid w:val="00B66393"/>
    <w:rsid w:val="00B665AC"/>
    <w:rsid w:val="00B66657"/>
    <w:rsid w:val="00B66801"/>
    <w:rsid w:val="00B66897"/>
    <w:rsid w:val="00B66B89"/>
    <w:rsid w:val="00B66C2B"/>
    <w:rsid w:val="00B66C5C"/>
    <w:rsid w:val="00B66E78"/>
    <w:rsid w:val="00B67011"/>
    <w:rsid w:val="00B6709D"/>
    <w:rsid w:val="00B670CC"/>
    <w:rsid w:val="00B670E3"/>
    <w:rsid w:val="00B67364"/>
    <w:rsid w:val="00B6738B"/>
    <w:rsid w:val="00B673A0"/>
    <w:rsid w:val="00B673FB"/>
    <w:rsid w:val="00B6748C"/>
    <w:rsid w:val="00B677B1"/>
    <w:rsid w:val="00B677F2"/>
    <w:rsid w:val="00B679DA"/>
    <w:rsid w:val="00B67BA9"/>
    <w:rsid w:val="00B67BBD"/>
    <w:rsid w:val="00B67BFE"/>
    <w:rsid w:val="00B67DFA"/>
    <w:rsid w:val="00B67E1E"/>
    <w:rsid w:val="00B67F0A"/>
    <w:rsid w:val="00B67F65"/>
    <w:rsid w:val="00B7001D"/>
    <w:rsid w:val="00B70043"/>
    <w:rsid w:val="00B70249"/>
    <w:rsid w:val="00B70357"/>
    <w:rsid w:val="00B7042D"/>
    <w:rsid w:val="00B704B2"/>
    <w:rsid w:val="00B70604"/>
    <w:rsid w:val="00B707AC"/>
    <w:rsid w:val="00B70A6C"/>
    <w:rsid w:val="00B70B8E"/>
    <w:rsid w:val="00B70C0B"/>
    <w:rsid w:val="00B70E2F"/>
    <w:rsid w:val="00B70EEC"/>
    <w:rsid w:val="00B712B4"/>
    <w:rsid w:val="00B7157B"/>
    <w:rsid w:val="00B715AC"/>
    <w:rsid w:val="00B7160F"/>
    <w:rsid w:val="00B716C7"/>
    <w:rsid w:val="00B717A9"/>
    <w:rsid w:val="00B71825"/>
    <w:rsid w:val="00B7188D"/>
    <w:rsid w:val="00B718F6"/>
    <w:rsid w:val="00B7190D"/>
    <w:rsid w:val="00B71B56"/>
    <w:rsid w:val="00B71C3C"/>
    <w:rsid w:val="00B71D14"/>
    <w:rsid w:val="00B71E3C"/>
    <w:rsid w:val="00B71E58"/>
    <w:rsid w:val="00B7207C"/>
    <w:rsid w:val="00B72099"/>
    <w:rsid w:val="00B720EC"/>
    <w:rsid w:val="00B7216C"/>
    <w:rsid w:val="00B72399"/>
    <w:rsid w:val="00B724AE"/>
    <w:rsid w:val="00B725F8"/>
    <w:rsid w:val="00B726F0"/>
    <w:rsid w:val="00B72790"/>
    <w:rsid w:val="00B72871"/>
    <w:rsid w:val="00B728B7"/>
    <w:rsid w:val="00B72CFE"/>
    <w:rsid w:val="00B72DB2"/>
    <w:rsid w:val="00B72E03"/>
    <w:rsid w:val="00B72F3B"/>
    <w:rsid w:val="00B7315D"/>
    <w:rsid w:val="00B73303"/>
    <w:rsid w:val="00B73374"/>
    <w:rsid w:val="00B733AA"/>
    <w:rsid w:val="00B73641"/>
    <w:rsid w:val="00B737B8"/>
    <w:rsid w:val="00B73920"/>
    <w:rsid w:val="00B73925"/>
    <w:rsid w:val="00B73C4C"/>
    <w:rsid w:val="00B73E31"/>
    <w:rsid w:val="00B74201"/>
    <w:rsid w:val="00B74229"/>
    <w:rsid w:val="00B74433"/>
    <w:rsid w:val="00B7464A"/>
    <w:rsid w:val="00B7473C"/>
    <w:rsid w:val="00B747A3"/>
    <w:rsid w:val="00B74BDE"/>
    <w:rsid w:val="00B74C01"/>
    <w:rsid w:val="00B74C37"/>
    <w:rsid w:val="00B74C76"/>
    <w:rsid w:val="00B74D0A"/>
    <w:rsid w:val="00B74D6E"/>
    <w:rsid w:val="00B74E55"/>
    <w:rsid w:val="00B74EC9"/>
    <w:rsid w:val="00B75233"/>
    <w:rsid w:val="00B752A4"/>
    <w:rsid w:val="00B75565"/>
    <w:rsid w:val="00B756A7"/>
    <w:rsid w:val="00B7574A"/>
    <w:rsid w:val="00B758E1"/>
    <w:rsid w:val="00B758EF"/>
    <w:rsid w:val="00B75A5F"/>
    <w:rsid w:val="00B75D93"/>
    <w:rsid w:val="00B75E18"/>
    <w:rsid w:val="00B76036"/>
    <w:rsid w:val="00B76229"/>
    <w:rsid w:val="00B7627A"/>
    <w:rsid w:val="00B76338"/>
    <w:rsid w:val="00B763D2"/>
    <w:rsid w:val="00B7698A"/>
    <w:rsid w:val="00B76AF9"/>
    <w:rsid w:val="00B76C1C"/>
    <w:rsid w:val="00B76C98"/>
    <w:rsid w:val="00B76D2B"/>
    <w:rsid w:val="00B76E0B"/>
    <w:rsid w:val="00B76E2E"/>
    <w:rsid w:val="00B76E3B"/>
    <w:rsid w:val="00B77235"/>
    <w:rsid w:val="00B77410"/>
    <w:rsid w:val="00B7750C"/>
    <w:rsid w:val="00B77561"/>
    <w:rsid w:val="00B77583"/>
    <w:rsid w:val="00B775A2"/>
    <w:rsid w:val="00B776EA"/>
    <w:rsid w:val="00B7785E"/>
    <w:rsid w:val="00B7787B"/>
    <w:rsid w:val="00B779E2"/>
    <w:rsid w:val="00B77AB5"/>
    <w:rsid w:val="00B77B7F"/>
    <w:rsid w:val="00B77B9A"/>
    <w:rsid w:val="00B77BF3"/>
    <w:rsid w:val="00B77D24"/>
    <w:rsid w:val="00B77D3F"/>
    <w:rsid w:val="00B80087"/>
    <w:rsid w:val="00B80344"/>
    <w:rsid w:val="00B80408"/>
    <w:rsid w:val="00B80456"/>
    <w:rsid w:val="00B805C9"/>
    <w:rsid w:val="00B806D1"/>
    <w:rsid w:val="00B8070E"/>
    <w:rsid w:val="00B807E9"/>
    <w:rsid w:val="00B8088A"/>
    <w:rsid w:val="00B809E8"/>
    <w:rsid w:val="00B80B83"/>
    <w:rsid w:val="00B80BA2"/>
    <w:rsid w:val="00B80EB6"/>
    <w:rsid w:val="00B80F2F"/>
    <w:rsid w:val="00B81351"/>
    <w:rsid w:val="00B814C6"/>
    <w:rsid w:val="00B81626"/>
    <w:rsid w:val="00B816FC"/>
    <w:rsid w:val="00B8199C"/>
    <w:rsid w:val="00B81A69"/>
    <w:rsid w:val="00B81AB6"/>
    <w:rsid w:val="00B81CE7"/>
    <w:rsid w:val="00B81ED8"/>
    <w:rsid w:val="00B82049"/>
    <w:rsid w:val="00B8223D"/>
    <w:rsid w:val="00B8224D"/>
    <w:rsid w:val="00B824D6"/>
    <w:rsid w:val="00B82515"/>
    <w:rsid w:val="00B825E5"/>
    <w:rsid w:val="00B827DB"/>
    <w:rsid w:val="00B829A0"/>
    <w:rsid w:val="00B82ABA"/>
    <w:rsid w:val="00B82B34"/>
    <w:rsid w:val="00B82D7F"/>
    <w:rsid w:val="00B83033"/>
    <w:rsid w:val="00B830B1"/>
    <w:rsid w:val="00B830FF"/>
    <w:rsid w:val="00B83217"/>
    <w:rsid w:val="00B834E2"/>
    <w:rsid w:val="00B8354E"/>
    <w:rsid w:val="00B838BA"/>
    <w:rsid w:val="00B839DE"/>
    <w:rsid w:val="00B83A51"/>
    <w:rsid w:val="00B83AD6"/>
    <w:rsid w:val="00B83C5B"/>
    <w:rsid w:val="00B83CAE"/>
    <w:rsid w:val="00B83D8B"/>
    <w:rsid w:val="00B83EC7"/>
    <w:rsid w:val="00B83F5B"/>
    <w:rsid w:val="00B83F79"/>
    <w:rsid w:val="00B84167"/>
    <w:rsid w:val="00B842E1"/>
    <w:rsid w:val="00B8440C"/>
    <w:rsid w:val="00B84439"/>
    <w:rsid w:val="00B846B2"/>
    <w:rsid w:val="00B84804"/>
    <w:rsid w:val="00B8486D"/>
    <w:rsid w:val="00B84983"/>
    <w:rsid w:val="00B849CD"/>
    <w:rsid w:val="00B84A11"/>
    <w:rsid w:val="00B84BFA"/>
    <w:rsid w:val="00B84D93"/>
    <w:rsid w:val="00B84F26"/>
    <w:rsid w:val="00B84F2D"/>
    <w:rsid w:val="00B84FA6"/>
    <w:rsid w:val="00B851F2"/>
    <w:rsid w:val="00B851F3"/>
    <w:rsid w:val="00B85215"/>
    <w:rsid w:val="00B8545D"/>
    <w:rsid w:val="00B85602"/>
    <w:rsid w:val="00B85630"/>
    <w:rsid w:val="00B85702"/>
    <w:rsid w:val="00B85830"/>
    <w:rsid w:val="00B85B3D"/>
    <w:rsid w:val="00B85D7E"/>
    <w:rsid w:val="00B85E07"/>
    <w:rsid w:val="00B85E9F"/>
    <w:rsid w:val="00B85F52"/>
    <w:rsid w:val="00B864D8"/>
    <w:rsid w:val="00B865E2"/>
    <w:rsid w:val="00B8666E"/>
    <w:rsid w:val="00B867DF"/>
    <w:rsid w:val="00B869FB"/>
    <w:rsid w:val="00B86A1B"/>
    <w:rsid w:val="00B86AB8"/>
    <w:rsid w:val="00B86C13"/>
    <w:rsid w:val="00B86D80"/>
    <w:rsid w:val="00B86FE2"/>
    <w:rsid w:val="00B86FF4"/>
    <w:rsid w:val="00B87004"/>
    <w:rsid w:val="00B87347"/>
    <w:rsid w:val="00B874A9"/>
    <w:rsid w:val="00B87593"/>
    <w:rsid w:val="00B87645"/>
    <w:rsid w:val="00B8775F"/>
    <w:rsid w:val="00B879E0"/>
    <w:rsid w:val="00B87AE5"/>
    <w:rsid w:val="00B87B63"/>
    <w:rsid w:val="00B87B7A"/>
    <w:rsid w:val="00B87D35"/>
    <w:rsid w:val="00B87DB5"/>
    <w:rsid w:val="00B87E55"/>
    <w:rsid w:val="00B87F8E"/>
    <w:rsid w:val="00B87F99"/>
    <w:rsid w:val="00B903BB"/>
    <w:rsid w:val="00B9041F"/>
    <w:rsid w:val="00B9048E"/>
    <w:rsid w:val="00B906A8"/>
    <w:rsid w:val="00B9092A"/>
    <w:rsid w:val="00B90B69"/>
    <w:rsid w:val="00B90D5C"/>
    <w:rsid w:val="00B90E04"/>
    <w:rsid w:val="00B90EF8"/>
    <w:rsid w:val="00B90F1D"/>
    <w:rsid w:val="00B90F8B"/>
    <w:rsid w:val="00B90FF3"/>
    <w:rsid w:val="00B91075"/>
    <w:rsid w:val="00B91123"/>
    <w:rsid w:val="00B91163"/>
    <w:rsid w:val="00B91236"/>
    <w:rsid w:val="00B91318"/>
    <w:rsid w:val="00B9136C"/>
    <w:rsid w:val="00B9137C"/>
    <w:rsid w:val="00B91440"/>
    <w:rsid w:val="00B91446"/>
    <w:rsid w:val="00B9151E"/>
    <w:rsid w:val="00B915DF"/>
    <w:rsid w:val="00B91600"/>
    <w:rsid w:val="00B91677"/>
    <w:rsid w:val="00B9176D"/>
    <w:rsid w:val="00B91781"/>
    <w:rsid w:val="00B917D0"/>
    <w:rsid w:val="00B91BB3"/>
    <w:rsid w:val="00B91BD3"/>
    <w:rsid w:val="00B91BD6"/>
    <w:rsid w:val="00B91FCD"/>
    <w:rsid w:val="00B9208F"/>
    <w:rsid w:val="00B920E8"/>
    <w:rsid w:val="00B923DD"/>
    <w:rsid w:val="00B92532"/>
    <w:rsid w:val="00B92545"/>
    <w:rsid w:val="00B92652"/>
    <w:rsid w:val="00B9284B"/>
    <w:rsid w:val="00B9294F"/>
    <w:rsid w:val="00B92B16"/>
    <w:rsid w:val="00B92B60"/>
    <w:rsid w:val="00B92BE8"/>
    <w:rsid w:val="00B92E34"/>
    <w:rsid w:val="00B92F12"/>
    <w:rsid w:val="00B92FB5"/>
    <w:rsid w:val="00B935E5"/>
    <w:rsid w:val="00B9369C"/>
    <w:rsid w:val="00B93977"/>
    <w:rsid w:val="00B93BAA"/>
    <w:rsid w:val="00B93D77"/>
    <w:rsid w:val="00B93D79"/>
    <w:rsid w:val="00B93E00"/>
    <w:rsid w:val="00B93E09"/>
    <w:rsid w:val="00B94256"/>
    <w:rsid w:val="00B942B1"/>
    <w:rsid w:val="00B942BE"/>
    <w:rsid w:val="00B94332"/>
    <w:rsid w:val="00B94453"/>
    <w:rsid w:val="00B94591"/>
    <w:rsid w:val="00B945D5"/>
    <w:rsid w:val="00B948C5"/>
    <w:rsid w:val="00B94908"/>
    <w:rsid w:val="00B94A77"/>
    <w:rsid w:val="00B94B20"/>
    <w:rsid w:val="00B94ECA"/>
    <w:rsid w:val="00B94F03"/>
    <w:rsid w:val="00B95046"/>
    <w:rsid w:val="00B9539F"/>
    <w:rsid w:val="00B956B2"/>
    <w:rsid w:val="00B95826"/>
    <w:rsid w:val="00B95BB9"/>
    <w:rsid w:val="00B95C4E"/>
    <w:rsid w:val="00B95CEA"/>
    <w:rsid w:val="00B95DE5"/>
    <w:rsid w:val="00B9623E"/>
    <w:rsid w:val="00B9680D"/>
    <w:rsid w:val="00B9697C"/>
    <w:rsid w:val="00B96C83"/>
    <w:rsid w:val="00B96D40"/>
    <w:rsid w:val="00B96E5E"/>
    <w:rsid w:val="00B96E87"/>
    <w:rsid w:val="00B96EF4"/>
    <w:rsid w:val="00B96FA8"/>
    <w:rsid w:val="00B97395"/>
    <w:rsid w:val="00B973B2"/>
    <w:rsid w:val="00B9777E"/>
    <w:rsid w:val="00B97EA4"/>
    <w:rsid w:val="00B97EC2"/>
    <w:rsid w:val="00B97F1E"/>
    <w:rsid w:val="00BA01D2"/>
    <w:rsid w:val="00BA03A5"/>
    <w:rsid w:val="00BA0429"/>
    <w:rsid w:val="00BA062D"/>
    <w:rsid w:val="00BA0C2B"/>
    <w:rsid w:val="00BA0F41"/>
    <w:rsid w:val="00BA0F74"/>
    <w:rsid w:val="00BA1088"/>
    <w:rsid w:val="00BA1211"/>
    <w:rsid w:val="00BA141B"/>
    <w:rsid w:val="00BA14F4"/>
    <w:rsid w:val="00BA16D1"/>
    <w:rsid w:val="00BA18AB"/>
    <w:rsid w:val="00BA198A"/>
    <w:rsid w:val="00BA19DF"/>
    <w:rsid w:val="00BA1B2A"/>
    <w:rsid w:val="00BA1C9B"/>
    <w:rsid w:val="00BA1DCE"/>
    <w:rsid w:val="00BA1DF7"/>
    <w:rsid w:val="00BA1EC6"/>
    <w:rsid w:val="00BA1F0D"/>
    <w:rsid w:val="00BA22E5"/>
    <w:rsid w:val="00BA2417"/>
    <w:rsid w:val="00BA2630"/>
    <w:rsid w:val="00BA2740"/>
    <w:rsid w:val="00BA27BE"/>
    <w:rsid w:val="00BA2A49"/>
    <w:rsid w:val="00BA2AA6"/>
    <w:rsid w:val="00BA2E69"/>
    <w:rsid w:val="00BA2E8A"/>
    <w:rsid w:val="00BA2E9E"/>
    <w:rsid w:val="00BA30DC"/>
    <w:rsid w:val="00BA3290"/>
    <w:rsid w:val="00BA32D2"/>
    <w:rsid w:val="00BA342C"/>
    <w:rsid w:val="00BA3480"/>
    <w:rsid w:val="00BA37FF"/>
    <w:rsid w:val="00BA38BA"/>
    <w:rsid w:val="00BA38D5"/>
    <w:rsid w:val="00BA39EF"/>
    <w:rsid w:val="00BA3CCF"/>
    <w:rsid w:val="00BA3D8C"/>
    <w:rsid w:val="00BA427D"/>
    <w:rsid w:val="00BA4623"/>
    <w:rsid w:val="00BA473F"/>
    <w:rsid w:val="00BA47C5"/>
    <w:rsid w:val="00BA48D0"/>
    <w:rsid w:val="00BA4BC6"/>
    <w:rsid w:val="00BA4C4B"/>
    <w:rsid w:val="00BA4D2C"/>
    <w:rsid w:val="00BA4DB9"/>
    <w:rsid w:val="00BA4E36"/>
    <w:rsid w:val="00BA4EC9"/>
    <w:rsid w:val="00BA4FFB"/>
    <w:rsid w:val="00BA50B7"/>
    <w:rsid w:val="00BA514C"/>
    <w:rsid w:val="00BA528A"/>
    <w:rsid w:val="00BA564F"/>
    <w:rsid w:val="00BA56FB"/>
    <w:rsid w:val="00BA5811"/>
    <w:rsid w:val="00BA58FC"/>
    <w:rsid w:val="00BA5A78"/>
    <w:rsid w:val="00BA5F77"/>
    <w:rsid w:val="00BA6035"/>
    <w:rsid w:val="00BA61A5"/>
    <w:rsid w:val="00BA62CB"/>
    <w:rsid w:val="00BA632B"/>
    <w:rsid w:val="00BA649B"/>
    <w:rsid w:val="00BA64B0"/>
    <w:rsid w:val="00BA64E0"/>
    <w:rsid w:val="00BA650E"/>
    <w:rsid w:val="00BA66D4"/>
    <w:rsid w:val="00BA6AC2"/>
    <w:rsid w:val="00BA6CFC"/>
    <w:rsid w:val="00BA6DFB"/>
    <w:rsid w:val="00BA7096"/>
    <w:rsid w:val="00BA723D"/>
    <w:rsid w:val="00BA743D"/>
    <w:rsid w:val="00BA7498"/>
    <w:rsid w:val="00BA75A5"/>
    <w:rsid w:val="00BA761E"/>
    <w:rsid w:val="00BA7702"/>
    <w:rsid w:val="00BA77CD"/>
    <w:rsid w:val="00BA78A0"/>
    <w:rsid w:val="00BA7A63"/>
    <w:rsid w:val="00BA7B04"/>
    <w:rsid w:val="00BA7B2E"/>
    <w:rsid w:val="00BA7B6E"/>
    <w:rsid w:val="00BA7C0B"/>
    <w:rsid w:val="00BA7C67"/>
    <w:rsid w:val="00BA7D9C"/>
    <w:rsid w:val="00BA7E81"/>
    <w:rsid w:val="00BB0057"/>
    <w:rsid w:val="00BB0097"/>
    <w:rsid w:val="00BB03D6"/>
    <w:rsid w:val="00BB073C"/>
    <w:rsid w:val="00BB092A"/>
    <w:rsid w:val="00BB0B3D"/>
    <w:rsid w:val="00BB0B7E"/>
    <w:rsid w:val="00BB0C5B"/>
    <w:rsid w:val="00BB0DA0"/>
    <w:rsid w:val="00BB0DEE"/>
    <w:rsid w:val="00BB0EEC"/>
    <w:rsid w:val="00BB1151"/>
    <w:rsid w:val="00BB11E8"/>
    <w:rsid w:val="00BB12D1"/>
    <w:rsid w:val="00BB1A53"/>
    <w:rsid w:val="00BB1B5E"/>
    <w:rsid w:val="00BB1D12"/>
    <w:rsid w:val="00BB1D63"/>
    <w:rsid w:val="00BB1DB8"/>
    <w:rsid w:val="00BB1E54"/>
    <w:rsid w:val="00BB21CC"/>
    <w:rsid w:val="00BB2244"/>
    <w:rsid w:val="00BB238F"/>
    <w:rsid w:val="00BB25D7"/>
    <w:rsid w:val="00BB2758"/>
    <w:rsid w:val="00BB2853"/>
    <w:rsid w:val="00BB29E0"/>
    <w:rsid w:val="00BB2ABB"/>
    <w:rsid w:val="00BB2B3F"/>
    <w:rsid w:val="00BB2BA7"/>
    <w:rsid w:val="00BB2DDA"/>
    <w:rsid w:val="00BB30FA"/>
    <w:rsid w:val="00BB3369"/>
    <w:rsid w:val="00BB343C"/>
    <w:rsid w:val="00BB3440"/>
    <w:rsid w:val="00BB34A7"/>
    <w:rsid w:val="00BB35F0"/>
    <w:rsid w:val="00BB3641"/>
    <w:rsid w:val="00BB3686"/>
    <w:rsid w:val="00BB36B3"/>
    <w:rsid w:val="00BB37DE"/>
    <w:rsid w:val="00BB3899"/>
    <w:rsid w:val="00BB38C4"/>
    <w:rsid w:val="00BB39BC"/>
    <w:rsid w:val="00BB3B2C"/>
    <w:rsid w:val="00BB3E71"/>
    <w:rsid w:val="00BB3EE2"/>
    <w:rsid w:val="00BB41B5"/>
    <w:rsid w:val="00BB431B"/>
    <w:rsid w:val="00BB4484"/>
    <w:rsid w:val="00BB4596"/>
    <w:rsid w:val="00BB4773"/>
    <w:rsid w:val="00BB482F"/>
    <w:rsid w:val="00BB486F"/>
    <w:rsid w:val="00BB4883"/>
    <w:rsid w:val="00BB4965"/>
    <w:rsid w:val="00BB49C2"/>
    <w:rsid w:val="00BB4A8D"/>
    <w:rsid w:val="00BB4F5C"/>
    <w:rsid w:val="00BB50D3"/>
    <w:rsid w:val="00BB5204"/>
    <w:rsid w:val="00BB521E"/>
    <w:rsid w:val="00BB537B"/>
    <w:rsid w:val="00BB559C"/>
    <w:rsid w:val="00BB5640"/>
    <w:rsid w:val="00BB57A0"/>
    <w:rsid w:val="00BB57D0"/>
    <w:rsid w:val="00BB5A1D"/>
    <w:rsid w:val="00BB5BBB"/>
    <w:rsid w:val="00BB5BFF"/>
    <w:rsid w:val="00BB5F4D"/>
    <w:rsid w:val="00BB5FAB"/>
    <w:rsid w:val="00BB6258"/>
    <w:rsid w:val="00BB682E"/>
    <w:rsid w:val="00BB692D"/>
    <w:rsid w:val="00BB6E0D"/>
    <w:rsid w:val="00BB6E8F"/>
    <w:rsid w:val="00BB7157"/>
    <w:rsid w:val="00BB7279"/>
    <w:rsid w:val="00BB75F3"/>
    <w:rsid w:val="00BB75F7"/>
    <w:rsid w:val="00BB77B6"/>
    <w:rsid w:val="00BB7998"/>
    <w:rsid w:val="00BB7C00"/>
    <w:rsid w:val="00BB7C45"/>
    <w:rsid w:val="00BB7ECE"/>
    <w:rsid w:val="00BB7FF7"/>
    <w:rsid w:val="00BC014D"/>
    <w:rsid w:val="00BC023A"/>
    <w:rsid w:val="00BC025D"/>
    <w:rsid w:val="00BC02C2"/>
    <w:rsid w:val="00BC0351"/>
    <w:rsid w:val="00BC0359"/>
    <w:rsid w:val="00BC0367"/>
    <w:rsid w:val="00BC0401"/>
    <w:rsid w:val="00BC063E"/>
    <w:rsid w:val="00BC0B1C"/>
    <w:rsid w:val="00BC0B7A"/>
    <w:rsid w:val="00BC0C9D"/>
    <w:rsid w:val="00BC1030"/>
    <w:rsid w:val="00BC1287"/>
    <w:rsid w:val="00BC1574"/>
    <w:rsid w:val="00BC184C"/>
    <w:rsid w:val="00BC18D0"/>
    <w:rsid w:val="00BC1901"/>
    <w:rsid w:val="00BC1B7E"/>
    <w:rsid w:val="00BC1BD4"/>
    <w:rsid w:val="00BC1C93"/>
    <w:rsid w:val="00BC1D50"/>
    <w:rsid w:val="00BC1D86"/>
    <w:rsid w:val="00BC211B"/>
    <w:rsid w:val="00BC23D3"/>
    <w:rsid w:val="00BC2528"/>
    <w:rsid w:val="00BC2770"/>
    <w:rsid w:val="00BC2907"/>
    <w:rsid w:val="00BC2928"/>
    <w:rsid w:val="00BC2B38"/>
    <w:rsid w:val="00BC2C26"/>
    <w:rsid w:val="00BC2C4F"/>
    <w:rsid w:val="00BC2C6C"/>
    <w:rsid w:val="00BC2CAE"/>
    <w:rsid w:val="00BC2D88"/>
    <w:rsid w:val="00BC2F32"/>
    <w:rsid w:val="00BC2FE5"/>
    <w:rsid w:val="00BC3156"/>
    <w:rsid w:val="00BC32E0"/>
    <w:rsid w:val="00BC35BD"/>
    <w:rsid w:val="00BC36BB"/>
    <w:rsid w:val="00BC37E7"/>
    <w:rsid w:val="00BC38F8"/>
    <w:rsid w:val="00BC39EC"/>
    <w:rsid w:val="00BC3BA0"/>
    <w:rsid w:val="00BC3DA3"/>
    <w:rsid w:val="00BC3F3B"/>
    <w:rsid w:val="00BC3FE2"/>
    <w:rsid w:val="00BC412A"/>
    <w:rsid w:val="00BC41A7"/>
    <w:rsid w:val="00BC42CB"/>
    <w:rsid w:val="00BC43B4"/>
    <w:rsid w:val="00BC445F"/>
    <w:rsid w:val="00BC44AF"/>
    <w:rsid w:val="00BC45C4"/>
    <w:rsid w:val="00BC4636"/>
    <w:rsid w:val="00BC470C"/>
    <w:rsid w:val="00BC4874"/>
    <w:rsid w:val="00BC488E"/>
    <w:rsid w:val="00BC4974"/>
    <w:rsid w:val="00BC4A92"/>
    <w:rsid w:val="00BC4DC3"/>
    <w:rsid w:val="00BC4DDB"/>
    <w:rsid w:val="00BC4F99"/>
    <w:rsid w:val="00BC511D"/>
    <w:rsid w:val="00BC51F2"/>
    <w:rsid w:val="00BC5399"/>
    <w:rsid w:val="00BC5560"/>
    <w:rsid w:val="00BC55DC"/>
    <w:rsid w:val="00BC570A"/>
    <w:rsid w:val="00BC58E9"/>
    <w:rsid w:val="00BC5A2E"/>
    <w:rsid w:val="00BC5A43"/>
    <w:rsid w:val="00BC5B9B"/>
    <w:rsid w:val="00BC5BD6"/>
    <w:rsid w:val="00BC5BF7"/>
    <w:rsid w:val="00BC5C20"/>
    <w:rsid w:val="00BC5C2E"/>
    <w:rsid w:val="00BC5DE0"/>
    <w:rsid w:val="00BC5F12"/>
    <w:rsid w:val="00BC5F5B"/>
    <w:rsid w:val="00BC5F86"/>
    <w:rsid w:val="00BC60C3"/>
    <w:rsid w:val="00BC633E"/>
    <w:rsid w:val="00BC636E"/>
    <w:rsid w:val="00BC63EF"/>
    <w:rsid w:val="00BC673A"/>
    <w:rsid w:val="00BC691F"/>
    <w:rsid w:val="00BC6C2E"/>
    <w:rsid w:val="00BC6CC9"/>
    <w:rsid w:val="00BC6E72"/>
    <w:rsid w:val="00BC71DC"/>
    <w:rsid w:val="00BC724B"/>
    <w:rsid w:val="00BC72EA"/>
    <w:rsid w:val="00BC72FC"/>
    <w:rsid w:val="00BC7457"/>
    <w:rsid w:val="00BC7514"/>
    <w:rsid w:val="00BC76D1"/>
    <w:rsid w:val="00BC7786"/>
    <w:rsid w:val="00BC7899"/>
    <w:rsid w:val="00BC789F"/>
    <w:rsid w:val="00BC78A4"/>
    <w:rsid w:val="00BC7954"/>
    <w:rsid w:val="00BC79F6"/>
    <w:rsid w:val="00BC7A36"/>
    <w:rsid w:val="00BC7E31"/>
    <w:rsid w:val="00BC7E82"/>
    <w:rsid w:val="00BC7EF2"/>
    <w:rsid w:val="00BD002A"/>
    <w:rsid w:val="00BD0096"/>
    <w:rsid w:val="00BD0325"/>
    <w:rsid w:val="00BD0351"/>
    <w:rsid w:val="00BD0427"/>
    <w:rsid w:val="00BD058C"/>
    <w:rsid w:val="00BD064B"/>
    <w:rsid w:val="00BD06A5"/>
    <w:rsid w:val="00BD06CA"/>
    <w:rsid w:val="00BD06CF"/>
    <w:rsid w:val="00BD074F"/>
    <w:rsid w:val="00BD0768"/>
    <w:rsid w:val="00BD0806"/>
    <w:rsid w:val="00BD0A5A"/>
    <w:rsid w:val="00BD0A62"/>
    <w:rsid w:val="00BD0AA0"/>
    <w:rsid w:val="00BD0D00"/>
    <w:rsid w:val="00BD0EA0"/>
    <w:rsid w:val="00BD0ED0"/>
    <w:rsid w:val="00BD171C"/>
    <w:rsid w:val="00BD1AEE"/>
    <w:rsid w:val="00BD1CD5"/>
    <w:rsid w:val="00BD1D42"/>
    <w:rsid w:val="00BD1D4F"/>
    <w:rsid w:val="00BD1E7B"/>
    <w:rsid w:val="00BD1EC9"/>
    <w:rsid w:val="00BD1F95"/>
    <w:rsid w:val="00BD209D"/>
    <w:rsid w:val="00BD214A"/>
    <w:rsid w:val="00BD234A"/>
    <w:rsid w:val="00BD237F"/>
    <w:rsid w:val="00BD25D0"/>
    <w:rsid w:val="00BD26BA"/>
    <w:rsid w:val="00BD2847"/>
    <w:rsid w:val="00BD2BD5"/>
    <w:rsid w:val="00BD2C7F"/>
    <w:rsid w:val="00BD2DFB"/>
    <w:rsid w:val="00BD2FDA"/>
    <w:rsid w:val="00BD3123"/>
    <w:rsid w:val="00BD3256"/>
    <w:rsid w:val="00BD330C"/>
    <w:rsid w:val="00BD3405"/>
    <w:rsid w:val="00BD352E"/>
    <w:rsid w:val="00BD364B"/>
    <w:rsid w:val="00BD3716"/>
    <w:rsid w:val="00BD3725"/>
    <w:rsid w:val="00BD37AD"/>
    <w:rsid w:val="00BD3989"/>
    <w:rsid w:val="00BD39C6"/>
    <w:rsid w:val="00BD3B45"/>
    <w:rsid w:val="00BD3C5C"/>
    <w:rsid w:val="00BD3D1B"/>
    <w:rsid w:val="00BD3D6A"/>
    <w:rsid w:val="00BD3E0D"/>
    <w:rsid w:val="00BD3E3B"/>
    <w:rsid w:val="00BD3F2D"/>
    <w:rsid w:val="00BD4031"/>
    <w:rsid w:val="00BD408F"/>
    <w:rsid w:val="00BD4215"/>
    <w:rsid w:val="00BD4283"/>
    <w:rsid w:val="00BD4338"/>
    <w:rsid w:val="00BD47B3"/>
    <w:rsid w:val="00BD48B6"/>
    <w:rsid w:val="00BD497B"/>
    <w:rsid w:val="00BD49BC"/>
    <w:rsid w:val="00BD4B45"/>
    <w:rsid w:val="00BD4B4E"/>
    <w:rsid w:val="00BD4B62"/>
    <w:rsid w:val="00BD4B69"/>
    <w:rsid w:val="00BD5174"/>
    <w:rsid w:val="00BD542B"/>
    <w:rsid w:val="00BD54B6"/>
    <w:rsid w:val="00BD58A1"/>
    <w:rsid w:val="00BD58D4"/>
    <w:rsid w:val="00BD593D"/>
    <w:rsid w:val="00BD5ABA"/>
    <w:rsid w:val="00BD5C4F"/>
    <w:rsid w:val="00BD5C64"/>
    <w:rsid w:val="00BD6075"/>
    <w:rsid w:val="00BD61F5"/>
    <w:rsid w:val="00BD627F"/>
    <w:rsid w:val="00BD63C4"/>
    <w:rsid w:val="00BD646E"/>
    <w:rsid w:val="00BD6601"/>
    <w:rsid w:val="00BD68D2"/>
    <w:rsid w:val="00BD6937"/>
    <w:rsid w:val="00BD6A3A"/>
    <w:rsid w:val="00BD6A3B"/>
    <w:rsid w:val="00BD6A6E"/>
    <w:rsid w:val="00BD6AB8"/>
    <w:rsid w:val="00BD6BC2"/>
    <w:rsid w:val="00BD6C13"/>
    <w:rsid w:val="00BD6C20"/>
    <w:rsid w:val="00BD6F81"/>
    <w:rsid w:val="00BD70B1"/>
    <w:rsid w:val="00BD734F"/>
    <w:rsid w:val="00BD73ED"/>
    <w:rsid w:val="00BD74FB"/>
    <w:rsid w:val="00BD75A0"/>
    <w:rsid w:val="00BD7641"/>
    <w:rsid w:val="00BD7646"/>
    <w:rsid w:val="00BD7735"/>
    <w:rsid w:val="00BD795A"/>
    <w:rsid w:val="00BD795C"/>
    <w:rsid w:val="00BD7B04"/>
    <w:rsid w:val="00BD7B87"/>
    <w:rsid w:val="00BD7CEF"/>
    <w:rsid w:val="00BD7DAE"/>
    <w:rsid w:val="00BD7F4E"/>
    <w:rsid w:val="00BE00B7"/>
    <w:rsid w:val="00BE0433"/>
    <w:rsid w:val="00BE04AC"/>
    <w:rsid w:val="00BE067A"/>
    <w:rsid w:val="00BE0972"/>
    <w:rsid w:val="00BE0B88"/>
    <w:rsid w:val="00BE0C63"/>
    <w:rsid w:val="00BE0F16"/>
    <w:rsid w:val="00BE0FA2"/>
    <w:rsid w:val="00BE106D"/>
    <w:rsid w:val="00BE10AA"/>
    <w:rsid w:val="00BE110B"/>
    <w:rsid w:val="00BE111D"/>
    <w:rsid w:val="00BE11F5"/>
    <w:rsid w:val="00BE1527"/>
    <w:rsid w:val="00BE1652"/>
    <w:rsid w:val="00BE17E9"/>
    <w:rsid w:val="00BE190F"/>
    <w:rsid w:val="00BE1A2B"/>
    <w:rsid w:val="00BE1BF7"/>
    <w:rsid w:val="00BE1C79"/>
    <w:rsid w:val="00BE1CE8"/>
    <w:rsid w:val="00BE1D82"/>
    <w:rsid w:val="00BE1EA2"/>
    <w:rsid w:val="00BE1EA3"/>
    <w:rsid w:val="00BE1F35"/>
    <w:rsid w:val="00BE1F89"/>
    <w:rsid w:val="00BE21B2"/>
    <w:rsid w:val="00BE22CE"/>
    <w:rsid w:val="00BE22E4"/>
    <w:rsid w:val="00BE2418"/>
    <w:rsid w:val="00BE2499"/>
    <w:rsid w:val="00BE286C"/>
    <w:rsid w:val="00BE2902"/>
    <w:rsid w:val="00BE2B19"/>
    <w:rsid w:val="00BE2B31"/>
    <w:rsid w:val="00BE2BF9"/>
    <w:rsid w:val="00BE2D9F"/>
    <w:rsid w:val="00BE2F2F"/>
    <w:rsid w:val="00BE3051"/>
    <w:rsid w:val="00BE34E3"/>
    <w:rsid w:val="00BE3528"/>
    <w:rsid w:val="00BE35BF"/>
    <w:rsid w:val="00BE35D2"/>
    <w:rsid w:val="00BE35F2"/>
    <w:rsid w:val="00BE3665"/>
    <w:rsid w:val="00BE379E"/>
    <w:rsid w:val="00BE381C"/>
    <w:rsid w:val="00BE3A65"/>
    <w:rsid w:val="00BE3BA6"/>
    <w:rsid w:val="00BE3C52"/>
    <w:rsid w:val="00BE3CC7"/>
    <w:rsid w:val="00BE40A4"/>
    <w:rsid w:val="00BE411B"/>
    <w:rsid w:val="00BE4250"/>
    <w:rsid w:val="00BE4358"/>
    <w:rsid w:val="00BE4484"/>
    <w:rsid w:val="00BE46B1"/>
    <w:rsid w:val="00BE49E0"/>
    <w:rsid w:val="00BE4B6C"/>
    <w:rsid w:val="00BE4BDF"/>
    <w:rsid w:val="00BE4C40"/>
    <w:rsid w:val="00BE4CF7"/>
    <w:rsid w:val="00BE4E7D"/>
    <w:rsid w:val="00BE4FCB"/>
    <w:rsid w:val="00BE4FDB"/>
    <w:rsid w:val="00BE52E5"/>
    <w:rsid w:val="00BE5636"/>
    <w:rsid w:val="00BE564B"/>
    <w:rsid w:val="00BE5967"/>
    <w:rsid w:val="00BE5A0B"/>
    <w:rsid w:val="00BE5C59"/>
    <w:rsid w:val="00BE5CBF"/>
    <w:rsid w:val="00BE5E25"/>
    <w:rsid w:val="00BE5EF3"/>
    <w:rsid w:val="00BE6171"/>
    <w:rsid w:val="00BE6204"/>
    <w:rsid w:val="00BE62D8"/>
    <w:rsid w:val="00BE6302"/>
    <w:rsid w:val="00BE658A"/>
    <w:rsid w:val="00BE65F4"/>
    <w:rsid w:val="00BE673A"/>
    <w:rsid w:val="00BE6878"/>
    <w:rsid w:val="00BE687E"/>
    <w:rsid w:val="00BE6B8A"/>
    <w:rsid w:val="00BE6C5A"/>
    <w:rsid w:val="00BE6D08"/>
    <w:rsid w:val="00BE6F04"/>
    <w:rsid w:val="00BE709D"/>
    <w:rsid w:val="00BE7182"/>
    <w:rsid w:val="00BE7200"/>
    <w:rsid w:val="00BE7420"/>
    <w:rsid w:val="00BE7479"/>
    <w:rsid w:val="00BE773A"/>
    <w:rsid w:val="00BE7A95"/>
    <w:rsid w:val="00BE7AEB"/>
    <w:rsid w:val="00BE7CD0"/>
    <w:rsid w:val="00BE7D5B"/>
    <w:rsid w:val="00BE7E99"/>
    <w:rsid w:val="00BE7FAF"/>
    <w:rsid w:val="00BE7FD7"/>
    <w:rsid w:val="00BE7FE2"/>
    <w:rsid w:val="00BF0188"/>
    <w:rsid w:val="00BF03A6"/>
    <w:rsid w:val="00BF06C8"/>
    <w:rsid w:val="00BF071E"/>
    <w:rsid w:val="00BF0772"/>
    <w:rsid w:val="00BF09C7"/>
    <w:rsid w:val="00BF0A08"/>
    <w:rsid w:val="00BF0A0E"/>
    <w:rsid w:val="00BF0B35"/>
    <w:rsid w:val="00BF0C9A"/>
    <w:rsid w:val="00BF0E34"/>
    <w:rsid w:val="00BF134C"/>
    <w:rsid w:val="00BF173B"/>
    <w:rsid w:val="00BF19B7"/>
    <w:rsid w:val="00BF1B66"/>
    <w:rsid w:val="00BF1C44"/>
    <w:rsid w:val="00BF20FD"/>
    <w:rsid w:val="00BF2223"/>
    <w:rsid w:val="00BF231D"/>
    <w:rsid w:val="00BF243D"/>
    <w:rsid w:val="00BF2593"/>
    <w:rsid w:val="00BF2706"/>
    <w:rsid w:val="00BF2790"/>
    <w:rsid w:val="00BF2813"/>
    <w:rsid w:val="00BF28CD"/>
    <w:rsid w:val="00BF28E3"/>
    <w:rsid w:val="00BF2917"/>
    <w:rsid w:val="00BF29DF"/>
    <w:rsid w:val="00BF2A9F"/>
    <w:rsid w:val="00BF2B04"/>
    <w:rsid w:val="00BF2BD8"/>
    <w:rsid w:val="00BF2CD9"/>
    <w:rsid w:val="00BF2D61"/>
    <w:rsid w:val="00BF2DF9"/>
    <w:rsid w:val="00BF2DFF"/>
    <w:rsid w:val="00BF2F66"/>
    <w:rsid w:val="00BF3081"/>
    <w:rsid w:val="00BF31A5"/>
    <w:rsid w:val="00BF32AF"/>
    <w:rsid w:val="00BF34C9"/>
    <w:rsid w:val="00BF3519"/>
    <w:rsid w:val="00BF38D5"/>
    <w:rsid w:val="00BF3BCD"/>
    <w:rsid w:val="00BF3C2E"/>
    <w:rsid w:val="00BF3C4A"/>
    <w:rsid w:val="00BF3C8D"/>
    <w:rsid w:val="00BF3D3D"/>
    <w:rsid w:val="00BF3D52"/>
    <w:rsid w:val="00BF3DA4"/>
    <w:rsid w:val="00BF3E3B"/>
    <w:rsid w:val="00BF3E54"/>
    <w:rsid w:val="00BF3F99"/>
    <w:rsid w:val="00BF41C8"/>
    <w:rsid w:val="00BF454C"/>
    <w:rsid w:val="00BF47CA"/>
    <w:rsid w:val="00BF4984"/>
    <w:rsid w:val="00BF49A3"/>
    <w:rsid w:val="00BF4CA7"/>
    <w:rsid w:val="00BF4E5D"/>
    <w:rsid w:val="00BF4EB3"/>
    <w:rsid w:val="00BF4FDD"/>
    <w:rsid w:val="00BF5074"/>
    <w:rsid w:val="00BF50F1"/>
    <w:rsid w:val="00BF51EA"/>
    <w:rsid w:val="00BF527F"/>
    <w:rsid w:val="00BF5370"/>
    <w:rsid w:val="00BF55C2"/>
    <w:rsid w:val="00BF57B4"/>
    <w:rsid w:val="00BF57EE"/>
    <w:rsid w:val="00BF57FB"/>
    <w:rsid w:val="00BF5870"/>
    <w:rsid w:val="00BF5F8E"/>
    <w:rsid w:val="00BF5FF0"/>
    <w:rsid w:val="00BF604C"/>
    <w:rsid w:val="00BF6170"/>
    <w:rsid w:val="00BF631C"/>
    <w:rsid w:val="00BF63F0"/>
    <w:rsid w:val="00BF6480"/>
    <w:rsid w:val="00BF6638"/>
    <w:rsid w:val="00BF6764"/>
    <w:rsid w:val="00BF6789"/>
    <w:rsid w:val="00BF67F0"/>
    <w:rsid w:val="00BF682E"/>
    <w:rsid w:val="00BF6B11"/>
    <w:rsid w:val="00BF6B12"/>
    <w:rsid w:val="00BF6B8B"/>
    <w:rsid w:val="00BF6D1B"/>
    <w:rsid w:val="00BF6D55"/>
    <w:rsid w:val="00BF6EAA"/>
    <w:rsid w:val="00BF6ECB"/>
    <w:rsid w:val="00BF72E4"/>
    <w:rsid w:val="00BF745B"/>
    <w:rsid w:val="00BF7625"/>
    <w:rsid w:val="00BF7761"/>
    <w:rsid w:val="00BF7AF9"/>
    <w:rsid w:val="00BF7BEB"/>
    <w:rsid w:val="00BF7C87"/>
    <w:rsid w:val="00BF7C8B"/>
    <w:rsid w:val="00BF7D59"/>
    <w:rsid w:val="00BF7E19"/>
    <w:rsid w:val="00BF7F9A"/>
    <w:rsid w:val="00C00010"/>
    <w:rsid w:val="00C000DD"/>
    <w:rsid w:val="00C00156"/>
    <w:rsid w:val="00C0016A"/>
    <w:rsid w:val="00C001C1"/>
    <w:rsid w:val="00C002D4"/>
    <w:rsid w:val="00C002DA"/>
    <w:rsid w:val="00C00643"/>
    <w:rsid w:val="00C0066C"/>
    <w:rsid w:val="00C00762"/>
    <w:rsid w:val="00C00829"/>
    <w:rsid w:val="00C008BF"/>
    <w:rsid w:val="00C00C64"/>
    <w:rsid w:val="00C00C9F"/>
    <w:rsid w:val="00C00DFD"/>
    <w:rsid w:val="00C00F5E"/>
    <w:rsid w:val="00C0155E"/>
    <w:rsid w:val="00C015F4"/>
    <w:rsid w:val="00C01767"/>
    <w:rsid w:val="00C019A6"/>
    <w:rsid w:val="00C01B62"/>
    <w:rsid w:val="00C01C73"/>
    <w:rsid w:val="00C01D59"/>
    <w:rsid w:val="00C01D6E"/>
    <w:rsid w:val="00C02000"/>
    <w:rsid w:val="00C020D3"/>
    <w:rsid w:val="00C020D8"/>
    <w:rsid w:val="00C020E9"/>
    <w:rsid w:val="00C022B2"/>
    <w:rsid w:val="00C0269B"/>
    <w:rsid w:val="00C02777"/>
    <w:rsid w:val="00C02BEB"/>
    <w:rsid w:val="00C02C4E"/>
    <w:rsid w:val="00C02D6C"/>
    <w:rsid w:val="00C02ECF"/>
    <w:rsid w:val="00C02FD8"/>
    <w:rsid w:val="00C0304C"/>
    <w:rsid w:val="00C030E5"/>
    <w:rsid w:val="00C0327C"/>
    <w:rsid w:val="00C032E8"/>
    <w:rsid w:val="00C03366"/>
    <w:rsid w:val="00C03557"/>
    <w:rsid w:val="00C0355F"/>
    <w:rsid w:val="00C03685"/>
    <w:rsid w:val="00C037D2"/>
    <w:rsid w:val="00C03852"/>
    <w:rsid w:val="00C03B04"/>
    <w:rsid w:val="00C03C31"/>
    <w:rsid w:val="00C03E0A"/>
    <w:rsid w:val="00C03E91"/>
    <w:rsid w:val="00C03F03"/>
    <w:rsid w:val="00C04217"/>
    <w:rsid w:val="00C04263"/>
    <w:rsid w:val="00C04297"/>
    <w:rsid w:val="00C042CD"/>
    <w:rsid w:val="00C044A4"/>
    <w:rsid w:val="00C04720"/>
    <w:rsid w:val="00C047EF"/>
    <w:rsid w:val="00C048DC"/>
    <w:rsid w:val="00C04F9E"/>
    <w:rsid w:val="00C04FB4"/>
    <w:rsid w:val="00C05316"/>
    <w:rsid w:val="00C0540B"/>
    <w:rsid w:val="00C05412"/>
    <w:rsid w:val="00C055FC"/>
    <w:rsid w:val="00C05600"/>
    <w:rsid w:val="00C056B1"/>
    <w:rsid w:val="00C05722"/>
    <w:rsid w:val="00C05AB3"/>
    <w:rsid w:val="00C05B29"/>
    <w:rsid w:val="00C05BB1"/>
    <w:rsid w:val="00C05C26"/>
    <w:rsid w:val="00C05D54"/>
    <w:rsid w:val="00C05DD6"/>
    <w:rsid w:val="00C05DFA"/>
    <w:rsid w:val="00C05E0D"/>
    <w:rsid w:val="00C06200"/>
    <w:rsid w:val="00C063C0"/>
    <w:rsid w:val="00C0646C"/>
    <w:rsid w:val="00C065D7"/>
    <w:rsid w:val="00C06DAC"/>
    <w:rsid w:val="00C06E2A"/>
    <w:rsid w:val="00C06F95"/>
    <w:rsid w:val="00C06FDF"/>
    <w:rsid w:val="00C0718F"/>
    <w:rsid w:val="00C076FB"/>
    <w:rsid w:val="00C07A79"/>
    <w:rsid w:val="00C07AAA"/>
    <w:rsid w:val="00C07BFB"/>
    <w:rsid w:val="00C103AC"/>
    <w:rsid w:val="00C1059C"/>
    <w:rsid w:val="00C106A2"/>
    <w:rsid w:val="00C106C4"/>
    <w:rsid w:val="00C108FF"/>
    <w:rsid w:val="00C1099C"/>
    <w:rsid w:val="00C10D18"/>
    <w:rsid w:val="00C10E9D"/>
    <w:rsid w:val="00C11189"/>
    <w:rsid w:val="00C1130D"/>
    <w:rsid w:val="00C113DA"/>
    <w:rsid w:val="00C1140F"/>
    <w:rsid w:val="00C1142D"/>
    <w:rsid w:val="00C118EB"/>
    <w:rsid w:val="00C11CB3"/>
    <w:rsid w:val="00C11D52"/>
    <w:rsid w:val="00C11D54"/>
    <w:rsid w:val="00C11F30"/>
    <w:rsid w:val="00C11F62"/>
    <w:rsid w:val="00C1208E"/>
    <w:rsid w:val="00C120D6"/>
    <w:rsid w:val="00C122F6"/>
    <w:rsid w:val="00C12325"/>
    <w:rsid w:val="00C125C3"/>
    <w:rsid w:val="00C126CB"/>
    <w:rsid w:val="00C12853"/>
    <w:rsid w:val="00C12858"/>
    <w:rsid w:val="00C12939"/>
    <w:rsid w:val="00C1296C"/>
    <w:rsid w:val="00C129E5"/>
    <w:rsid w:val="00C12AA7"/>
    <w:rsid w:val="00C12C56"/>
    <w:rsid w:val="00C12DE1"/>
    <w:rsid w:val="00C12F60"/>
    <w:rsid w:val="00C1307E"/>
    <w:rsid w:val="00C1318B"/>
    <w:rsid w:val="00C13291"/>
    <w:rsid w:val="00C132F2"/>
    <w:rsid w:val="00C13466"/>
    <w:rsid w:val="00C1373B"/>
    <w:rsid w:val="00C13A25"/>
    <w:rsid w:val="00C13A63"/>
    <w:rsid w:val="00C13ACE"/>
    <w:rsid w:val="00C13BED"/>
    <w:rsid w:val="00C13C4A"/>
    <w:rsid w:val="00C13C6A"/>
    <w:rsid w:val="00C13DC6"/>
    <w:rsid w:val="00C13EE2"/>
    <w:rsid w:val="00C13EFF"/>
    <w:rsid w:val="00C13FD9"/>
    <w:rsid w:val="00C140E7"/>
    <w:rsid w:val="00C14149"/>
    <w:rsid w:val="00C141FE"/>
    <w:rsid w:val="00C14226"/>
    <w:rsid w:val="00C14A95"/>
    <w:rsid w:val="00C14B9D"/>
    <w:rsid w:val="00C14BA4"/>
    <w:rsid w:val="00C14BAF"/>
    <w:rsid w:val="00C14C2A"/>
    <w:rsid w:val="00C14C35"/>
    <w:rsid w:val="00C14D02"/>
    <w:rsid w:val="00C14D29"/>
    <w:rsid w:val="00C14E57"/>
    <w:rsid w:val="00C14F36"/>
    <w:rsid w:val="00C150BD"/>
    <w:rsid w:val="00C1567B"/>
    <w:rsid w:val="00C15688"/>
    <w:rsid w:val="00C156BB"/>
    <w:rsid w:val="00C15840"/>
    <w:rsid w:val="00C159D3"/>
    <w:rsid w:val="00C15A33"/>
    <w:rsid w:val="00C15B2F"/>
    <w:rsid w:val="00C16065"/>
    <w:rsid w:val="00C161C6"/>
    <w:rsid w:val="00C16287"/>
    <w:rsid w:val="00C162DB"/>
    <w:rsid w:val="00C162F2"/>
    <w:rsid w:val="00C1658B"/>
    <w:rsid w:val="00C16614"/>
    <w:rsid w:val="00C16675"/>
    <w:rsid w:val="00C16706"/>
    <w:rsid w:val="00C16835"/>
    <w:rsid w:val="00C16B54"/>
    <w:rsid w:val="00C16BBD"/>
    <w:rsid w:val="00C16DC2"/>
    <w:rsid w:val="00C16EBA"/>
    <w:rsid w:val="00C16F7F"/>
    <w:rsid w:val="00C17006"/>
    <w:rsid w:val="00C17439"/>
    <w:rsid w:val="00C174FD"/>
    <w:rsid w:val="00C175F0"/>
    <w:rsid w:val="00C17707"/>
    <w:rsid w:val="00C17750"/>
    <w:rsid w:val="00C17801"/>
    <w:rsid w:val="00C20050"/>
    <w:rsid w:val="00C20214"/>
    <w:rsid w:val="00C20530"/>
    <w:rsid w:val="00C205E1"/>
    <w:rsid w:val="00C205E3"/>
    <w:rsid w:val="00C2081B"/>
    <w:rsid w:val="00C20886"/>
    <w:rsid w:val="00C20B29"/>
    <w:rsid w:val="00C20B46"/>
    <w:rsid w:val="00C20CF8"/>
    <w:rsid w:val="00C20DF8"/>
    <w:rsid w:val="00C20EF6"/>
    <w:rsid w:val="00C213B3"/>
    <w:rsid w:val="00C219EE"/>
    <w:rsid w:val="00C21B09"/>
    <w:rsid w:val="00C21B40"/>
    <w:rsid w:val="00C21B54"/>
    <w:rsid w:val="00C21D8B"/>
    <w:rsid w:val="00C21F12"/>
    <w:rsid w:val="00C21F14"/>
    <w:rsid w:val="00C21FCA"/>
    <w:rsid w:val="00C21FD4"/>
    <w:rsid w:val="00C21FE3"/>
    <w:rsid w:val="00C21FF5"/>
    <w:rsid w:val="00C2201E"/>
    <w:rsid w:val="00C22175"/>
    <w:rsid w:val="00C22344"/>
    <w:rsid w:val="00C2238A"/>
    <w:rsid w:val="00C224A9"/>
    <w:rsid w:val="00C22505"/>
    <w:rsid w:val="00C22573"/>
    <w:rsid w:val="00C225D9"/>
    <w:rsid w:val="00C2260F"/>
    <w:rsid w:val="00C2269B"/>
    <w:rsid w:val="00C226C6"/>
    <w:rsid w:val="00C2274E"/>
    <w:rsid w:val="00C22E25"/>
    <w:rsid w:val="00C22EEC"/>
    <w:rsid w:val="00C22F89"/>
    <w:rsid w:val="00C233E0"/>
    <w:rsid w:val="00C233FE"/>
    <w:rsid w:val="00C23446"/>
    <w:rsid w:val="00C234D8"/>
    <w:rsid w:val="00C2358D"/>
    <w:rsid w:val="00C238C4"/>
    <w:rsid w:val="00C2393A"/>
    <w:rsid w:val="00C2399B"/>
    <w:rsid w:val="00C23C73"/>
    <w:rsid w:val="00C23C7D"/>
    <w:rsid w:val="00C23CB2"/>
    <w:rsid w:val="00C23D04"/>
    <w:rsid w:val="00C23D13"/>
    <w:rsid w:val="00C23DFD"/>
    <w:rsid w:val="00C23E85"/>
    <w:rsid w:val="00C2405D"/>
    <w:rsid w:val="00C240B4"/>
    <w:rsid w:val="00C241AB"/>
    <w:rsid w:val="00C242D3"/>
    <w:rsid w:val="00C243DF"/>
    <w:rsid w:val="00C244C1"/>
    <w:rsid w:val="00C24623"/>
    <w:rsid w:val="00C24633"/>
    <w:rsid w:val="00C2477C"/>
    <w:rsid w:val="00C247BA"/>
    <w:rsid w:val="00C24840"/>
    <w:rsid w:val="00C2489A"/>
    <w:rsid w:val="00C248B1"/>
    <w:rsid w:val="00C24938"/>
    <w:rsid w:val="00C24A00"/>
    <w:rsid w:val="00C24E3C"/>
    <w:rsid w:val="00C25133"/>
    <w:rsid w:val="00C252FE"/>
    <w:rsid w:val="00C2542C"/>
    <w:rsid w:val="00C25467"/>
    <w:rsid w:val="00C254F6"/>
    <w:rsid w:val="00C25584"/>
    <w:rsid w:val="00C25825"/>
    <w:rsid w:val="00C25894"/>
    <w:rsid w:val="00C2589E"/>
    <w:rsid w:val="00C25E7E"/>
    <w:rsid w:val="00C2602E"/>
    <w:rsid w:val="00C26227"/>
    <w:rsid w:val="00C263CD"/>
    <w:rsid w:val="00C263E7"/>
    <w:rsid w:val="00C2655A"/>
    <w:rsid w:val="00C26631"/>
    <w:rsid w:val="00C266E5"/>
    <w:rsid w:val="00C26818"/>
    <w:rsid w:val="00C268B7"/>
    <w:rsid w:val="00C26AD9"/>
    <w:rsid w:val="00C26C88"/>
    <w:rsid w:val="00C26CCB"/>
    <w:rsid w:val="00C26D93"/>
    <w:rsid w:val="00C26DAD"/>
    <w:rsid w:val="00C26E3A"/>
    <w:rsid w:val="00C26E44"/>
    <w:rsid w:val="00C26E6D"/>
    <w:rsid w:val="00C26F04"/>
    <w:rsid w:val="00C27017"/>
    <w:rsid w:val="00C27035"/>
    <w:rsid w:val="00C27320"/>
    <w:rsid w:val="00C27398"/>
    <w:rsid w:val="00C277F2"/>
    <w:rsid w:val="00C27A98"/>
    <w:rsid w:val="00C27C94"/>
    <w:rsid w:val="00C27CE9"/>
    <w:rsid w:val="00C27D7F"/>
    <w:rsid w:val="00C30031"/>
    <w:rsid w:val="00C30214"/>
    <w:rsid w:val="00C30227"/>
    <w:rsid w:val="00C30358"/>
    <w:rsid w:val="00C304DC"/>
    <w:rsid w:val="00C308E8"/>
    <w:rsid w:val="00C309A0"/>
    <w:rsid w:val="00C30A19"/>
    <w:rsid w:val="00C30D3A"/>
    <w:rsid w:val="00C30DDD"/>
    <w:rsid w:val="00C30F4B"/>
    <w:rsid w:val="00C31246"/>
    <w:rsid w:val="00C314C6"/>
    <w:rsid w:val="00C31549"/>
    <w:rsid w:val="00C315A9"/>
    <w:rsid w:val="00C315BE"/>
    <w:rsid w:val="00C316AF"/>
    <w:rsid w:val="00C31848"/>
    <w:rsid w:val="00C318A3"/>
    <w:rsid w:val="00C31B24"/>
    <w:rsid w:val="00C31CD2"/>
    <w:rsid w:val="00C31DA6"/>
    <w:rsid w:val="00C32043"/>
    <w:rsid w:val="00C3212D"/>
    <w:rsid w:val="00C32294"/>
    <w:rsid w:val="00C32361"/>
    <w:rsid w:val="00C3243C"/>
    <w:rsid w:val="00C324BC"/>
    <w:rsid w:val="00C324C9"/>
    <w:rsid w:val="00C32550"/>
    <w:rsid w:val="00C3269F"/>
    <w:rsid w:val="00C32791"/>
    <w:rsid w:val="00C32855"/>
    <w:rsid w:val="00C328DB"/>
    <w:rsid w:val="00C32A0A"/>
    <w:rsid w:val="00C32A49"/>
    <w:rsid w:val="00C32B99"/>
    <w:rsid w:val="00C32C7E"/>
    <w:rsid w:val="00C32D47"/>
    <w:rsid w:val="00C33031"/>
    <w:rsid w:val="00C33097"/>
    <w:rsid w:val="00C33182"/>
    <w:rsid w:val="00C33300"/>
    <w:rsid w:val="00C33497"/>
    <w:rsid w:val="00C33505"/>
    <w:rsid w:val="00C33616"/>
    <w:rsid w:val="00C338D2"/>
    <w:rsid w:val="00C339AE"/>
    <w:rsid w:val="00C33B05"/>
    <w:rsid w:val="00C33E03"/>
    <w:rsid w:val="00C33E2C"/>
    <w:rsid w:val="00C33E9A"/>
    <w:rsid w:val="00C33EFE"/>
    <w:rsid w:val="00C340E4"/>
    <w:rsid w:val="00C342FC"/>
    <w:rsid w:val="00C344DF"/>
    <w:rsid w:val="00C344E3"/>
    <w:rsid w:val="00C34738"/>
    <w:rsid w:val="00C3475C"/>
    <w:rsid w:val="00C347CF"/>
    <w:rsid w:val="00C3480F"/>
    <w:rsid w:val="00C3494D"/>
    <w:rsid w:val="00C34CC3"/>
    <w:rsid w:val="00C34DFE"/>
    <w:rsid w:val="00C34E84"/>
    <w:rsid w:val="00C34EDA"/>
    <w:rsid w:val="00C3500F"/>
    <w:rsid w:val="00C3512D"/>
    <w:rsid w:val="00C353A7"/>
    <w:rsid w:val="00C3545D"/>
    <w:rsid w:val="00C355AB"/>
    <w:rsid w:val="00C3567E"/>
    <w:rsid w:val="00C3575B"/>
    <w:rsid w:val="00C3580D"/>
    <w:rsid w:val="00C359E1"/>
    <w:rsid w:val="00C35A4C"/>
    <w:rsid w:val="00C35ABC"/>
    <w:rsid w:val="00C35ACB"/>
    <w:rsid w:val="00C35B26"/>
    <w:rsid w:val="00C35CB0"/>
    <w:rsid w:val="00C35D09"/>
    <w:rsid w:val="00C35EC1"/>
    <w:rsid w:val="00C35F76"/>
    <w:rsid w:val="00C35F79"/>
    <w:rsid w:val="00C35F95"/>
    <w:rsid w:val="00C36118"/>
    <w:rsid w:val="00C36202"/>
    <w:rsid w:val="00C362F2"/>
    <w:rsid w:val="00C3639E"/>
    <w:rsid w:val="00C363A7"/>
    <w:rsid w:val="00C3648D"/>
    <w:rsid w:val="00C36556"/>
    <w:rsid w:val="00C365CA"/>
    <w:rsid w:val="00C36690"/>
    <w:rsid w:val="00C368C2"/>
    <w:rsid w:val="00C36CA2"/>
    <w:rsid w:val="00C36E4E"/>
    <w:rsid w:val="00C36E90"/>
    <w:rsid w:val="00C37048"/>
    <w:rsid w:val="00C371B9"/>
    <w:rsid w:val="00C373DA"/>
    <w:rsid w:val="00C373EA"/>
    <w:rsid w:val="00C37431"/>
    <w:rsid w:val="00C37663"/>
    <w:rsid w:val="00C37696"/>
    <w:rsid w:val="00C377EF"/>
    <w:rsid w:val="00C37A93"/>
    <w:rsid w:val="00C37A9A"/>
    <w:rsid w:val="00C37B14"/>
    <w:rsid w:val="00C37BD9"/>
    <w:rsid w:val="00C37DEE"/>
    <w:rsid w:val="00C37F6E"/>
    <w:rsid w:val="00C40004"/>
    <w:rsid w:val="00C40065"/>
    <w:rsid w:val="00C40107"/>
    <w:rsid w:val="00C4020E"/>
    <w:rsid w:val="00C406F5"/>
    <w:rsid w:val="00C40876"/>
    <w:rsid w:val="00C4090A"/>
    <w:rsid w:val="00C40B75"/>
    <w:rsid w:val="00C40C2C"/>
    <w:rsid w:val="00C40E3B"/>
    <w:rsid w:val="00C40E66"/>
    <w:rsid w:val="00C40F96"/>
    <w:rsid w:val="00C41088"/>
    <w:rsid w:val="00C410A9"/>
    <w:rsid w:val="00C410D9"/>
    <w:rsid w:val="00C411CD"/>
    <w:rsid w:val="00C41268"/>
    <w:rsid w:val="00C413AD"/>
    <w:rsid w:val="00C41656"/>
    <w:rsid w:val="00C416E4"/>
    <w:rsid w:val="00C4170B"/>
    <w:rsid w:val="00C41756"/>
    <w:rsid w:val="00C41812"/>
    <w:rsid w:val="00C41949"/>
    <w:rsid w:val="00C419E6"/>
    <w:rsid w:val="00C41A20"/>
    <w:rsid w:val="00C41A73"/>
    <w:rsid w:val="00C41CDF"/>
    <w:rsid w:val="00C41DE2"/>
    <w:rsid w:val="00C41F34"/>
    <w:rsid w:val="00C42245"/>
    <w:rsid w:val="00C422A8"/>
    <w:rsid w:val="00C4230E"/>
    <w:rsid w:val="00C42323"/>
    <w:rsid w:val="00C4233D"/>
    <w:rsid w:val="00C423D9"/>
    <w:rsid w:val="00C42406"/>
    <w:rsid w:val="00C42426"/>
    <w:rsid w:val="00C42961"/>
    <w:rsid w:val="00C4299D"/>
    <w:rsid w:val="00C42B4A"/>
    <w:rsid w:val="00C42E04"/>
    <w:rsid w:val="00C431F0"/>
    <w:rsid w:val="00C432E3"/>
    <w:rsid w:val="00C43510"/>
    <w:rsid w:val="00C43543"/>
    <w:rsid w:val="00C43588"/>
    <w:rsid w:val="00C4391D"/>
    <w:rsid w:val="00C441ED"/>
    <w:rsid w:val="00C44254"/>
    <w:rsid w:val="00C44290"/>
    <w:rsid w:val="00C444BF"/>
    <w:rsid w:val="00C4468C"/>
    <w:rsid w:val="00C447F6"/>
    <w:rsid w:val="00C44938"/>
    <w:rsid w:val="00C44955"/>
    <w:rsid w:val="00C44B21"/>
    <w:rsid w:val="00C44B89"/>
    <w:rsid w:val="00C44BFC"/>
    <w:rsid w:val="00C44D6A"/>
    <w:rsid w:val="00C44E47"/>
    <w:rsid w:val="00C44E6F"/>
    <w:rsid w:val="00C44ECC"/>
    <w:rsid w:val="00C44F6E"/>
    <w:rsid w:val="00C4510F"/>
    <w:rsid w:val="00C45138"/>
    <w:rsid w:val="00C4530D"/>
    <w:rsid w:val="00C454BB"/>
    <w:rsid w:val="00C458C2"/>
    <w:rsid w:val="00C45947"/>
    <w:rsid w:val="00C45CE2"/>
    <w:rsid w:val="00C4606A"/>
    <w:rsid w:val="00C4624E"/>
    <w:rsid w:val="00C463F2"/>
    <w:rsid w:val="00C46577"/>
    <w:rsid w:val="00C465DB"/>
    <w:rsid w:val="00C4669E"/>
    <w:rsid w:val="00C467D7"/>
    <w:rsid w:val="00C46863"/>
    <w:rsid w:val="00C4695B"/>
    <w:rsid w:val="00C46AEE"/>
    <w:rsid w:val="00C46BE3"/>
    <w:rsid w:val="00C472BC"/>
    <w:rsid w:val="00C472FF"/>
    <w:rsid w:val="00C473DC"/>
    <w:rsid w:val="00C47564"/>
    <w:rsid w:val="00C47602"/>
    <w:rsid w:val="00C47711"/>
    <w:rsid w:val="00C47970"/>
    <w:rsid w:val="00C47D81"/>
    <w:rsid w:val="00C50069"/>
    <w:rsid w:val="00C500C4"/>
    <w:rsid w:val="00C50222"/>
    <w:rsid w:val="00C505FA"/>
    <w:rsid w:val="00C507B7"/>
    <w:rsid w:val="00C50BF8"/>
    <w:rsid w:val="00C50D91"/>
    <w:rsid w:val="00C50E4F"/>
    <w:rsid w:val="00C50FC4"/>
    <w:rsid w:val="00C50FDC"/>
    <w:rsid w:val="00C50FED"/>
    <w:rsid w:val="00C5111D"/>
    <w:rsid w:val="00C511B3"/>
    <w:rsid w:val="00C512C5"/>
    <w:rsid w:val="00C51494"/>
    <w:rsid w:val="00C516C5"/>
    <w:rsid w:val="00C516DA"/>
    <w:rsid w:val="00C518B9"/>
    <w:rsid w:val="00C51999"/>
    <w:rsid w:val="00C51AE7"/>
    <w:rsid w:val="00C51B1F"/>
    <w:rsid w:val="00C51BF0"/>
    <w:rsid w:val="00C51D38"/>
    <w:rsid w:val="00C51E4F"/>
    <w:rsid w:val="00C51EA5"/>
    <w:rsid w:val="00C51EC7"/>
    <w:rsid w:val="00C5204B"/>
    <w:rsid w:val="00C520B7"/>
    <w:rsid w:val="00C5220E"/>
    <w:rsid w:val="00C5253B"/>
    <w:rsid w:val="00C5263B"/>
    <w:rsid w:val="00C52878"/>
    <w:rsid w:val="00C528B6"/>
    <w:rsid w:val="00C52912"/>
    <w:rsid w:val="00C5297D"/>
    <w:rsid w:val="00C52A99"/>
    <w:rsid w:val="00C52E81"/>
    <w:rsid w:val="00C530F9"/>
    <w:rsid w:val="00C5339D"/>
    <w:rsid w:val="00C533DC"/>
    <w:rsid w:val="00C53420"/>
    <w:rsid w:val="00C534D9"/>
    <w:rsid w:val="00C534DF"/>
    <w:rsid w:val="00C535E0"/>
    <w:rsid w:val="00C53BBC"/>
    <w:rsid w:val="00C53C5C"/>
    <w:rsid w:val="00C5403E"/>
    <w:rsid w:val="00C5415D"/>
    <w:rsid w:val="00C54483"/>
    <w:rsid w:val="00C544B7"/>
    <w:rsid w:val="00C545D2"/>
    <w:rsid w:val="00C54610"/>
    <w:rsid w:val="00C5467A"/>
    <w:rsid w:val="00C5493A"/>
    <w:rsid w:val="00C54A57"/>
    <w:rsid w:val="00C54B90"/>
    <w:rsid w:val="00C54FD0"/>
    <w:rsid w:val="00C55079"/>
    <w:rsid w:val="00C550B4"/>
    <w:rsid w:val="00C55126"/>
    <w:rsid w:val="00C5519E"/>
    <w:rsid w:val="00C554F0"/>
    <w:rsid w:val="00C5560B"/>
    <w:rsid w:val="00C55892"/>
    <w:rsid w:val="00C55A8F"/>
    <w:rsid w:val="00C55AC9"/>
    <w:rsid w:val="00C55BF0"/>
    <w:rsid w:val="00C55CA7"/>
    <w:rsid w:val="00C56225"/>
    <w:rsid w:val="00C563E3"/>
    <w:rsid w:val="00C56558"/>
    <w:rsid w:val="00C566C3"/>
    <w:rsid w:val="00C5679D"/>
    <w:rsid w:val="00C567DC"/>
    <w:rsid w:val="00C5685D"/>
    <w:rsid w:val="00C56ACC"/>
    <w:rsid w:val="00C56B08"/>
    <w:rsid w:val="00C56B38"/>
    <w:rsid w:val="00C56E49"/>
    <w:rsid w:val="00C56F61"/>
    <w:rsid w:val="00C56F72"/>
    <w:rsid w:val="00C57341"/>
    <w:rsid w:val="00C573BC"/>
    <w:rsid w:val="00C574D6"/>
    <w:rsid w:val="00C5751B"/>
    <w:rsid w:val="00C57672"/>
    <w:rsid w:val="00C57B0D"/>
    <w:rsid w:val="00C57D69"/>
    <w:rsid w:val="00C57F00"/>
    <w:rsid w:val="00C60045"/>
    <w:rsid w:val="00C603A5"/>
    <w:rsid w:val="00C6056C"/>
    <w:rsid w:val="00C60634"/>
    <w:rsid w:val="00C60663"/>
    <w:rsid w:val="00C60675"/>
    <w:rsid w:val="00C6081F"/>
    <w:rsid w:val="00C60845"/>
    <w:rsid w:val="00C608AA"/>
    <w:rsid w:val="00C60904"/>
    <w:rsid w:val="00C60995"/>
    <w:rsid w:val="00C60A28"/>
    <w:rsid w:val="00C60A74"/>
    <w:rsid w:val="00C60AB0"/>
    <w:rsid w:val="00C60C20"/>
    <w:rsid w:val="00C61056"/>
    <w:rsid w:val="00C6113F"/>
    <w:rsid w:val="00C6117B"/>
    <w:rsid w:val="00C611C0"/>
    <w:rsid w:val="00C61213"/>
    <w:rsid w:val="00C61322"/>
    <w:rsid w:val="00C61592"/>
    <w:rsid w:val="00C617FB"/>
    <w:rsid w:val="00C6195D"/>
    <w:rsid w:val="00C61BF3"/>
    <w:rsid w:val="00C61C73"/>
    <w:rsid w:val="00C61D97"/>
    <w:rsid w:val="00C61E0E"/>
    <w:rsid w:val="00C62022"/>
    <w:rsid w:val="00C623D5"/>
    <w:rsid w:val="00C6246E"/>
    <w:rsid w:val="00C62510"/>
    <w:rsid w:val="00C6251F"/>
    <w:rsid w:val="00C6261D"/>
    <w:rsid w:val="00C62706"/>
    <w:rsid w:val="00C62995"/>
    <w:rsid w:val="00C62A34"/>
    <w:rsid w:val="00C62BCD"/>
    <w:rsid w:val="00C62EC3"/>
    <w:rsid w:val="00C63126"/>
    <w:rsid w:val="00C631B0"/>
    <w:rsid w:val="00C6326D"/>
    <w:rsid w:val="00C633C5"/>
    <w:rsid w:val="00C6353D"/>
    <w:rsid w:val="00C63631"/>
    <w:rsid w:val="00C6385A"/>
    <w:rsid w:val="00C638F8"/>
    <w:rsid w:val="00C63A21"/>
    <w:rsid w:val="00C63AEA"/>
    <w:rsid w:val="00C63B46"/>
    <w:rsid w:val="00C63D36"/>
    <w:rsid w:val="00C63DE2"/>
    <w:rsid w:val="00C64072"/>
    <w:rsid w:val="00C64127"/>
    <w:rsid w:val="00C64418"/>
    <w:rsid w:val="00C6464F"/>
    <w:rsid w:val="00C647C3"/>
    <w:rsid w:val="00C6495E"/>
    <w:rsid w:val="00C64A5D"/>
    <w:rsid w:val="00C64A7C"/>
    <w:rsid w:val="00C64E9A"/>
    <w:rsid w:val="00C64F88"/>
    <w:rsid w:val="00C65247"/>
    <w:rsid w:val="00C65261"/>
    <w:rsid w:val="00C652D9"/>
    <w:rsid w:val="00C653CB"/>
    <w:rsid w:val="00C655AB"/>
    <w:rsid w:val="00C655F1"/>
    <w:rsid w:val="00C65662"/>
    <w:rsid w:val="00C65B23"/>
    <w:rsid w:val="00C65CBC"/>
    <w:rsid w:val="00C65CDE"/>
    <w:rsid w:val="00C65D11"/>
    <w:rsid w:val="00C65F3C"/>
    <w:rsid w:val="00C6613D"/>
    <w:rsid w:val="00C66195"/>
    <w:rsid w:val="00C661AD"/>
    <w:rsid w:val="00C661EB"/>
    <w:rsid w:val="00C6669B"/>
    <w:rsid w:val="00C666F6"/>
    <w:rsid w:val="00C6671B"/>
    <w:rsid w:val="00C6674A"/>
    <w:rsid w:val="00C66773"/>
    <w:rsid w:val="00C66AB5"/>
    <w:rsid w:val="00C66AB6"/>
    <w:rsid w:val="00C66BBD"/>
    <w:rsid w:val="00C66C59"/>
    <w:rsid w:val="00C66C5C"/>
    <w:rsid w:val="00C66E1A"/>
    <w:rsid w:val="00C66E8B"/>
    <w:rsid w:val="00C66F6F"/>
    <w:rsid w:val="00C6709C"/>
    <w:rsid w:val="00C6722D"/>
    <w:rsid w:val="00C673B6"/>
    <w:rsid w:val="00C67535"/>
    <w:rsid w:val="00C6758F"/>
    <w:rsid w:val="00C678C8"/>
    <w:rsid w:val="00C679B2"/>
    <w:rsid w:val="00C67BAC"/>
    <w:rsid w:val="00C67BF8"/>
    <w:rsid w:val="00C67D39"/>
    <w:rsid w:val="00C70010"/>
    <w:rsid w:val="00C7024E"/>
    <w:rsid w:val="00C70415"/>
    <w:rsid w:val="00C7041E"/>
    <w:rsid w:val="00C704F9"/>
    <w:rsid w:val="00C70757"/>
    <w:rsid w:val="00C707E2"/>
    <w:rsid w:val="00C7097F"/>
    <w:rsid w:val="00C70A59"/>
    <w:rsid w:val="00C70C27"/>
    <w:rsid w:val="00C70CC1"/>
    <w:rsid w:val="00C70D67"/>
    <w:rsid w:val="00C70DA6"/>
    <w:rsid w:val="00C70E51"/>
    <w:rsid w:val="00C70E92"/>
    <w:rsid w:val="00C70EAD"/>
    <w:rsid w:val="00C70F2B"/>
    <w:rsid w:val="00C70FF5"/>
    <w:rsid w:val="00C710BE"/>
    <w:rsid w:val="00C712DA"/>
    <w:rsid w:val="00C71AC4"/>
    <w:rsid w:val="00C71BA6"/>
    <w:rsid w:val="00C71C4A"/>
    <w:rsid w:val="00C71DE1"/>
    <w:rsid w:val="00C71E0B"/>
    <w:rsid w:val="00C71E32"/>
    <w:rsid w:val="00C71E52"/>
    <w:rsid w:val="00C71EA0"/>
    <w:rsid w:val="00C71EC2"/>
    <w:rsid w:val="00C71EF2"/>
    <w:rsid w:val="00C72024"/>
    <w:rsid w:val="00C720BD"/>
    <w:rsid w:val="00C722AE"/>
    <w:rsid w:val="00C7261E"/>
    <w:rsid w:val="00C72867"/>
    <w:rsid w:val="00C728B1"/>
    <w:rsid w:val="00C729D6"/>
    <w:rsid w:val="00C72AC7"/>
    <w:rsid w:val="00C72AD3"/>
    <w:rsid w:val="00C72B4E"/>
    <w:rsid w:val="00C72B90"/>
    <w:rsid w:val="00C72BD0"/>
    <w:rsid w:val="00C72CD0"/>
    <w:rsid w:val="00C72D8B"/>
    <w:rsid w:val="00C72F8A"/>
    <w:rsid w:val="00C72FAC"/>
    <w:rsid w:val="00C7315D"/>
    <w:rsid w:val="00C732B1"/>
    <w:rsid w:val="00C734BD"/>
    <w:rsid w:val="00C734F1"/>
    <w:rsid w:val="00C73584"/>
    <w:rsid w:val="00C73706"/>
    <w:rsid w:val="00C73771"/>
    <w:rsid w:val="00C73782"/>
    <w:rsid w:val="00C73790"/>
    <w:rsid w:val="00C73B89"/>
    <w:rsid w:val="00C73DCB"/>
    <w:rsid w:val="00C7402C"/>
    <w:rsid w:val="00C74153"/>
    <w:rsid w:val="00C742D1"/>
    <w:rsid w:val="00C742D6"/>
    <w:rsid w:val="00C74378"/>
    <w:rsid w:val="00C748B1"/>
    <w:rsid w:val="00C748D4"/>
    <w:rsid w:val="00C74BF8"/>
    <w:rsid w:val="00C74C69"/>
    <w:rsid w:val="00C7552F"/>
    <w:rsid w:val="00C75633"/>
    <w:rsid w:val="00C757F1"/>
    <w:rsid w:val="00C75992"/>
    <w:rsid w:val="00C75B43"/>
    <w:rsid w:val="00C75B72"/>
    <w:rsid w:val="00C75BBC"/>
    <w:rsid w:val="00C75CCC"/>
    <w:rsid w:val="00C75D59"/>
    <w:rsid w:val="00C75F41"/>
    <w:rsid w:val="00C75FE3"/>
    <w:rsid w:val="00C76063"/>
    <w:rsid w:val="00C761B7"/>
    <w:rsid w:val="00C76230"/>
    <w:rsid w:val="00C7623E"/>
    <w:rsid w:val="00C76263"/>
    <w:rsid w:val="00C76356"/>
    <w:rsid w:val="00C76510"/>
    <w:rsid w:val="00C76566"/>
    <w:rsid w:val="00C76589"/>
    <w:rsid w:val="00C765F6"/>
    <w:rsid w:val="00C768B7"/>
    <w:rsid w:val="00C768C6"/>
    <w:rsid w:val="00C7693A"/>
    <w:rsid w:val="00C76A69"/>
    <w:rsid w:val="00C76CF6"/>
    <w:rsid w:val="00C76F10"/>
    <w:rsid w:val="00C76F9E"/>
    <w:rsid w:val="00C770E6"/>
    <w:rsid w:val="00C77156"/>
    <w:rsid w:val="00C77178"/>
    <w:rsid w:val="00C771C8"/>
    <w:rsid w:val="00C77382"/>
    <w:rsid w:val="00C7749A"/>
    <w:rsid w:val="00C77559"/>
    <w:rsid w:val="00C775D9"/>
    <w:rsid w:val="00C776DF"/>
    <w:rsid w:val="00C777BF"/>
    <w:rsid w:val="00C777ED"/>
    <w:rsid w:val="00C77921"/>
    <w:rsid w:val="00C7795F"/>
    <w:rsid w:val="00C77BA4"/>
    <w:rsid w:val="00C77BDE"/>
    <w:rsid w:val="00C77CF2"/>
    <w:rsid w:val="00C77D9B"/>
    <w:rsid w:val="00C77EC2"/>
    <w:rsid w:val="00C80062"/>
    <w:rsid w:val="00C800B5"/>
    <w:rsid w:val="00C800D4"/>
    <w:rsid w:val="00C801D0"/>
    <w:rsid w:val="00C8049B"/>
    <w:rsid w:val="00C804AE"/>
    <w:rsid w:val="00C80528"/>
    <w:rsid w:val="00C80576"/>
    <w:rsid w:val="00C805C3"/>
    <w:rsid w:val="00C80983"/>
    <w:rsid w:val="00C8098E"/>
    <w:rsid w:val="00C80AB3"/>
    <w:rsid w:val="00C80E03"/>
    <w:rsid w:val="00C80E25"/>
    <w:rsid w:val="00C80EBE"/>
    <w:rsid w:val="00C81098"/>
    <w:rsid w:val="00C810A0"/>
    <w:rsid w:val="00C81124"/>
    <w:rsid w:val="00C8112F"/>
    <w:rsid w:val="00C81266"/>
    <w:rsid w:val="00C8127C"/>
    <w:rsid w:val="00C812C0"/>
    <w:rsid w:val="00C81311"/>
    <w:rsid w:val="00C8150E"/>
    <w:rsid w:val="00C81726"/>
    <w:rsid w:val="00C819A4"/>
    <w:rsid w:val="00C819E8"/>
    <w:rsid w:val="00C81C59"/>
    <w:rsid w:val="00C81C86"/>
    <w:rsid w:val="00C81C9E"/>
    <w:rsid w:val="00C81DE8"/>
    <w:rsid w:val="00C81E50"/>
    <w:rsid w:val="00C82012"/>
    <w:rsid w:val="00C82166"/>
    <w:rsid w:val="00C82188"/>
    <w:rsid w:val="00C821A2"/>
    <w:rsid w:val="00C824EA"/>
    <w:rsid w:val="00C82521"/>
    <w:rsid w:val="00C825B4"/>
    <w:rsid w:val="00C825F0"/>
    <w:rsid w:val="00C82A18"/>
    <w:rsid w:val="00C82BEE"/>
    <w:rsid w:val="00C82C25"/>
    <w:rsid w:val="00C82C41"/>
    <w:rsid w:val="00C82C6A"/>
    <w:rsid w:val="00C82C79"/>
    <w:rsid w:val="00C82D8D"/>
    <w:rsid w:val="00C82E4C"/>
    <w:rsid w:val="00C83057"/>
    <w:rsid w:val="00C831AC"/>
    <w:rsid w:val="00C831D0"/>
    <w:rsid w:val="00C831D7"/>
    <w:rsid w:val="00C8329F"/>
    <w:rsid w:val="00C8359A"/>
    <w:rsid w:val="00C83601"/>
    <w:rsid w:val="00C8361D"/>
    <w:rsid w:val="00C836C6"/>
    <w:rsid w:val="00C83883"/>
    <w:rsid w:val="00C83A19"/>
    <w:rsid w:val="00C83A25"/>
    <w:rsid w:val="00C83A3B"/>
    <w:rsid w:val="00C83AA4"/>
    <w:rsid w:val="00C83E13"/>
    <w:rsid w:val="00C83E31"/>
    <w:rsid w:val="00C84123"/>
    <w:rsid w:val="00C841B0"/>
    <w:rsid w:val="00C841B5"/>
    <w:rsid w:val="00C8420A"/>
    <w:rsid w:val="00C842A5"/>
    <w:rsid w:val="00C844C3"/>
    <w:rsid w:val="00C8460D"/>
    <w:rsid w:val="00C846DB"/>
    <w:rsid w:val="00C8474E"/>
    <w:rsid w:val="00C84790"/>
    <w:rsid w:val="00C84966"/>
    <w:rsid w:val="00C84A9D"/>
    <w:rsid w:val="00C84C75"/>
    <w:rsid w:val="00C84DC2"/>
    <w:rsid w:val="00C84E71"/>
    <w:rsid w:val="00C850FF"/>
    <w:rsid w:val="00C8529C"/>
    <w:rsid w:val="00C853F8"/>
    <w:rsid w:val="00C8549B"/>
    <w:rsid w:val="00C85612"/>
    <w:rsid w:val="00C8566B"/>
    <w:rsid w:val="00C858B6"/>
    <w:rsid w:val="00C85995"/>
    <w:rsid w:val="00C85C4F"/>
    <w:rsid w:val="00C85CDF"/>
    <w:rsid w:val="00C85E90"/>
    <w:rsid w:val="00C85FB8"/>
    <w:rsid w:val="00C86291"/>
    <w:rsid w:val="00C8643B"/>
    <w:rsid w:val="00C8650B"/>
    <w:rsid w:val="00C865FA"/>
    <w:rsid w:val="00C867ED"/>
    <w:rsid w:val="00C86A0A"/>
    <w:rsid w:val="00C86B3B"/>
    <w:rsid w:val="00C86E78"/>
    <w:rsid w:val="00C86ED9"/>
    <w:rsid w:val="00C8728D"/>
    <w:rsid w:val="00C875B8"/>
    <w:rsid w:val="00C8768A"/>
    <w:rsid w:val="00C87804"/>
    <w:rsid w:val="00C8786B"/>
    <w:rsid w:val="00C878EE"/>
    <w:rsid w:val="00C8796D"/>
    <w:rsid w:val="00C87A0F"/>
    <w:rsid w:val="00C87A50"/>
    <w:rsid w:val="00C87B93"/>
    <w:rsid w:val="00C87BA9"/>
    <w:rsid w:val="00C87DF2"/>
    <w:rsid w:val="00C87E4D"/>
    <w:rsid w:val="00C87EFB"/>
    <w:rsid w:val="00C87F7A"/>
    <w:rsid w:val="00C90090"/>
    <w:rsid w:val="00C90096"/>
    <w:rsid w:val="00C900AF"/>
    <w:rsid w:val="00C900D5"/>
    <w:rsid w:val="00C901E6"/>
    <w:rsid w:val="00C90228"/>
    <w:rsid w:val="00C902BF"/>
    <w:rsid w:val="00C9034F"/>
    <w:rsid w:val="00C90366"/>
    <w:rsid w:val="00C9036B"/>
    <w:rsid w:val="00C90438"/>
    <w:rsid w:val="00C9045E"/>
    <w:rsid w:val="00C905C7"/>
    <w:rsid w:val="00C90640"/>
    <w:rsid w:val="00C90991"/>
    <w:rsid w:val="00C90AEE"/>
    <w:rsid w:val="00C90EAF"/>
    <w:rsid w:val="00C90F0A"/>
    <w:rsid w:val="00C90F2F"/>
    <w:rsid w:val="00C90F6C"/>
    <w:rsid w:val="00C911AD"/>
    <w:rsid w:val="00C9150A"/>
    <w:rsid w:val="00C91514"/>
    <w:rsid w:val="00C91515"/>
    <w:rsid w:val="00C91521"/>
    <w:rsid w:val="00C9153D"/>
    <w:rsid w:val="00C9154D"/>
    <w:rsid w:val="00C9164C"/>
    <w:rsid w:val="00C919B6"/>
    <w:rsid w:val="00C91AF8"/>
    <w:rsid w:val="00C91B68"/>
    <w:rsid w:val="00C91BA8"/>
    <w:rsid w:val="00C91DA9"/>
    <w:rsid w:val="00C9205E"/>
    <w:rsid w:val="00C920D5"/>
    <w:rsid w:val="00C921E9"/>
    <w:rsid w:val="00C9225B"/>
    <w:rsid w:val="00C9229F"/>
    <w:rsid w:val="00C9236D"/>
    <w:rsid w:val="00C9247D"/>
    <w:rsid w:val="00C9249E"/>
    <w:rsid w:val="00C925CE"/>
    <w:rsid w:val="00C9267E"/>
    <w:rsid w:val="00C9274B"/>
    <w:rsid w:val="00C927EF"/>
    <w:rsid w:val="00C92928"/>
    <w:rsid w:val="00C92C7D"/>
    <w:rsid w:val="00C92D7D"/>
    <w:rsid w:val="00C92F82"/>
    <w:rsid w:val="00C92FA3"/>
    <w:rsid w:val="00C92FD4"/>
    <w:rsid w:val="00C9305E"/>
    <w:rsid w:val="00C9308D"/>
    <w:rsid w:val="00C931CD"/>
    <w:rsid w:val="00C933A7"/>
    <w:rsid w:val="00C933D5"/>
    <w:rsid w:val="00C9367F"/>
    <w:rsid w:val="00C936F7"/>
    <w:rsid w:val="00C93802"/>
    <w:rsid w:val="00C938D2"/>
    <w:rsid w:val="00C9397E"/>
    <w:rsid w:val="00C939EE"/>
    <w:rsid w:val="00C93AA7"/>
    <w:rsid w:val="00C93CA5"/>
    <w:rsid w:val="00C93F24"/>
    <w:rsid w:val="00C93F76"/>
    <w:rsid w:val="00C93FCF"/>
    <w:rsid w:val="00C94115"/>
    <w:rsid w:val="00C94169"/>
    <w:rsid w:val="00C9426D"/>
    <w:rsid w:val="00C943C0"/>
    <w:rsid w:val="00C94556"/>
    <w:rsid w:val="00C9463A"/>
    <w:rsid w:val="00C94705"/>
    <w:rsid w:val="00C94A10"/>
    <w:rsid w:val="00C94A81"/>
    <w:rsid w:val="00C94D9D"/>
    <w:rsid w:val="00C95016"/>
    <w:rsid w:val="00C952C6"/>
    <w:rsid w:val="00C952CE"/>
    <w:rsid w:val="00C95329"/>
    <w:rsid w:val="00C95370"/>
    <w:rsid w:val="00C953A2"/>
    <w:rsid w:val="00C953D5"/>
    <w:rsid w:val="00C95534"/>
    <w:rsid w:val="00C95923"/>
    <w:rsid w:val="00C9596C"/>
    <w:rsid w:val="00C959AE"/>
    <w:rsid w:val="00C9633C"/>
    <w:rsid w:val="00C966D5"/>
    <w:rsid w:val="00C966F0"/>
    <w:rsid w:val="00C96918"/>
    <w:rsid w:val="00C96BC0"/>
    <w:rsid w:val="00C96C81"/>
    <w:rsid w:val="00C96D3A"/>
    <w:rsid w:val="00C96D4E"/>
    <w:rsid w:val="00C96E17"/>
    <w:rsid w:val="00C96E7E"/>
    <w:rsid w:val="00C97071"/>
    <w:rsid w:val="00C97093"/>
    <w:rsid w:val="00C9733D"/>
    <w:rsid w:val="00C97378"/>
    <w:rsid w:val="00C973FB"/>
    <w:rsid w:val="00C97555"/>
    <w:rsid w:val="00C979B2"/>
    <w:rsid w:val="00C97A80"/>
    <w:rsid w:val="00C97D19"/>
    <w:rsid w:val="00C97DA3"/>
    <w:rsid w:val="00CA00BE"/>
    <w:rsid w:val="00CA0158"/>
    <w:rsid w:val="00CA0406"/>
    <w:rsid w:val="00CA069C"/>
    <w:rsid w:val="00CA0C68"/>
    <w:rsid w:val="00CA0CA4"/>
    <w:rsid w:val="00CA0E5A"/>
    <w:rsid w:val="00CA1121"/>
    <w:rsid w:val="00CA152E"/>
    <w:rsid w:val="00CA1557"/>
    <w:rsid w:val="00CA1643"/>
    <w:rsid w:val="00CA1745"/>
    <w:rsid w:val="00CA1757"/>
    <w:rsid w:val="00CA180F"/>
    <w:rsid w:val="00CA19C0"/>
    <w:rsid w:val="00CA19F7"/>
    <w:rsid w:val="00CA1D1A"/>
    <w:rsid w:val="00CA1F5D"/>
    <w:rsid w:val="00CA20CF"/>
    <w:rsid w:val="00CA20D2"/>
    <w:rsid w:val="00CA2295"/>
    <w:rsid w:val="00CA27FC"/>
    <w:rsid w:val="00CA29AE"/>
    <w:rsid w:val="00CA2ADF"/>
    <w:rsid w:val="00CA2C02"/>
    <w:rsid w:val="00CA2C8B"/>
    <w:rsid w:val="00CA2E50"/>
    <w:rsid w:val="00CA2FBE"/>
    <w:rsid w:val="00CA3065"/>
    <w:rsid w:val="00CA3241"/>
    <w:rsid w:val="00CA3455"/>
    <w:rsid w:val="00CA34BB"/>
    <w:rsid w:val="00CA34FE"/>
    <w:rsid w:val="00CA3A3B"/>
    <w:rsid w:val="00CA3A5D"/>
    <w:rsid w:val="00CA3B1D"/>
    <w:rsid w:val="00CA3C1E"/>
    <w:rsid w:val="00CA3C30"/>
    <w:rsid w:val="00CA3D3A"/>
    <w:rsid w:val="00CA3DFA"/>
    <w:rsid w:val="00CA3E27"/>
    <w:rsid w:val="00CA4125"/>
    <w:rsid w:val="00CA416B"/>
    <w:rsid w:val="00CA442D"/>
    <w:rsid w:val="00CA4481"/>
    <w:rsid w:val="00CA4526"/>
    <w:rsid w:val="00CA4870"/>
    <w:rsid w:val="00CA4C6D"/>
    <w:rsid w:val="00CA4D08"/>
    <w:rsid w:val="00CA4DE7"/>
    <w:rsid w:val="00CA4E17"/>
    <w:rsid w:val="00CA4E71"/>
    <w:rsid w:val="00CA4FCA"/>
    <w:rsid w:val="00CA5149"/>
    <w:rsid w:val="00CA5191"/>
    <w:rsid w:val="00CA5205"/>
    <w:rsid w:val="00CA535C"/>
    <w:rsid w:val="00CA53D8"/>
    <w:rsid w:val="00CA56B9"/>
    <w:rsid w:val="00CA572B"/>
    <w:rsid w:val="00CA572C"/>
    <w:rsid w:val="00CA57CD"/>
    <w:rsid w:val="00CA5843"/>
    <w:rsid w:val="00CA5BEC"/>
    <w:rsid w:val="00CA5D81"/>
    <w:rsid w:val="00CA5DAA"/>
    <w:rsid w:val="00CA5ED3"/>
    <w:rsid w:val="00CA5EE2"/>
    <w:rsid w:val="00CA6088"/>
    <w:rsid w:val="00CA632E"/>
    <w:rsid w:val="00CA6337"/>
    <w:rsid w:val="00CA633C"/>
    <w:rsid w:val="00CA649C"/>
    <w:rsid w:val="00CA679F"/>
    <w:rsid w:val="00CA6900"/>
    <w:rsid w:val="00CA6A66"/>
    <w:rsid w:val="00CA6C67"/>
    <w:rsid w:val="00CA6D99"/>
    <w:rsid w:val="00CA6EAF"/>
    <w:rsid w:val="00CA6F49"/>
    <w:rsid w:val="00CA7436"/>
    <w:rsid w:val="00CA7464"/>
    <w:rsid w:val="00CA754D"/>
    <w:rsid w:val="00CA7687"/>
    <w:rsid w:val="00CA7A0E"/>
    <w:rsid w:val="00CA7A86"/>
    <w:rsid w:val="00CA7B87"/>
    <w:rsid w:val="00CB014C"/>
    <w:rsid w:val="00CB01C1"/>
    <w:rsid w:val="00CB062E"/>
    <w:rsid w:val="00CB0683"/>
    <w:rsid w:val="00CB07E6"/>
    <w:rsid w:val="00CB09BC"/>
    <w:rsid w:val="00CB0AE0"/>
    <w:rsid w:val="00CB0D64"/>
    <w:rsid w:val="00CB0F03"/>
    <w:rsid w:val="00CB0F07"/>
    <w:rsid w:val="00CB10FE"/>
    <w:rsid w:val="00CB130A"/>
    <w:rsid w:val="00CB146C"/>
    <w:rsid w:val="00CB14E1"/>
    <w:rsid w:val="00CB15EE"/>
    <w:rsid w:val="00CB160E"/>
    <w:rsid w:val="00CB1A5D"/>
    <w:rsid w:val="00CB1AE9"/>
    <w:rsid w:val="00CB1C62"/>
    <w:rsid w:val="00CB1CF1"/>
    <w:rsid w:val="00CB1E8D"/>
    <w:rsid w:val="00CB20C4"/>
    <w:rsid w:val="00CB2371"/>
    <w:rsid w:val="00CB24CF"/>
    <w:rsid w:val="00CB24E3"/>
    <w:rsid w:val="00CB2523"/>
    <w:rsid w:val="00CB2963"/>
    <w:rsid w:val="00CB2B50"/>
    <w:rsid w:val="00CB2C6F"/>
    <w:rsid w:val="00CB2D37"/>
    <w:rsid w:val="00CB2DCE"/>
    <w:rsid w:val="00CB2F7B"/>
    <w:rsid w:val="00CB3033"/>
    <w:rsid w:val="00CB31BA"/>
    <w:rsid w:val="00CB321F"/>
    <w:rsid w:val="00CB32FB"/>
    <w:rsid w:val="00CB3331"/>
    <w:rsid w:val="00CB341D"/>
    <w:rsid w:val="00CB34C8"/>
    <w:rsid w:val="00CB34F2"/>
    <w:rsid w:val="00CB36D6"/>
    <w:rsid w:val="00CB374E"/>
    <w:rsid w:val="00CB3888"/>
    <w:rsid w:val="00CB3D0C"/>
    <w:rsid w:val="00CB3D10"/>
    <w:rsid w:val="00CB3DE7"/>
    <w:rsid w:val="00CB4212"/>
    <w:rsid w:val="00CB452B"/>
    <w:rsid w:val="00CB473D"/>
    <w:rsid w:val="00CB474C"/>
    <w:rsid w:val="00CB4820"/>
    <w:rsid w:val="00CB4844"/>
    <w:rsid w:val="00CB4927"/>
    <w:rsid w:val="00CB49EB"/>
    <w:rsid w:val="00CB49F9"/>
    <w:rsid w:val="00CB4A71"/>
    <w:rsid w:val="00CB4A72"/>
    <w:rsid w:val="00CB4B7C"/>
    <w:rsid w:val="00CB5083"/>
    <w:rsid w:val="00CB5264"/>
    <w:rsid w:val="00CB5390"/>
    <w:rsid w:val="00CB54B7"/>
    <w:rsid w:val="00CB55E8"/>
    <w:rsid w:val="00CB56F6"/>
    <w:rsid w:val="00CB56FC"/>
    <w:rsid w:val="00CB580D"/>
    <w:rsid w:val="00CB5946"/>
    <w:rsid w:val="00CB59B0"/>
    <w:rsid w:val="00CB5BEA"/>
    <w:rsid w:val="00CB619B"/>
    <w:rsid w:val="00CB61C7"/>
    <w:rsid w:val="00CB65EF"/>
    <w:rsid w:val="00CB6782"/>
    <w:rsid w:val="00CB681E"/>
    <w:rsid w:val="00CB686B"/>
    <w:rsid w:val="00CB6912"/>
    <w:rsid w:val="00CB6BF7"/>
    <w:rsid w:val="00CB6D3A"/>
    <w:rsid w:val="00CB6ECE"/>
    <w:rsid w:val="00CB6ED6"/>
    <w:rsid w:val="00CB6FBD"/>
    <w:rsid w:val="00CB70D2"/>
    <w:rsid w:val="00CB71D4"/>
    <w:rsid w:val="00CB74A4"/>
    <w:rsid w:val="00CB74E8"/>
    <w:rsid w:val="00CB766C"/>
    <w:rsid w:val="00CB7830"/>
    <w:rsid w:val="00CB7898"/>
    <w:rsid w:val="00CB78F2"/>
    <w:rsid w:val="00CB7929"/>
    <w:rsid w:val="00CB7CFC"/>
    <w:rsid w:val="00CB7E21"/>
    <w:rsid w:val="00CC033F"/>
    <w:rsid w:val="00CC0636"/>
    <w:rsid w:val="00CC06DE"/>
    <w:rsid w:val="00CC075D"/>
    <w:rsid w:val="00CC09DA"/>
    <w:rsid w:val="00CC0C67"/>
    <w:rsid w:val="00CC0DE2"/>
    <w:rsid w:val="00CC0F18"/>
    <w:rsid w:val="00CC0F51"/>
    <w:rsid w:val="00CC10B6"/>
    <w:rsid w:val="00CC1286"/>
    <w:rsid w:val="00CC13A4"/>
    <w:rsid w:val="00CC13C8"/>
    <w:rsid w:val="00CC15CC"/>
    <w:rsid w:val="00CC17E5"/>
    <w:rsid w:val="00CC188E"/>
    <w:rsid w:val="00CC18FA"/>
    <w:rsid w:val="00CC1994"/>
    <w:rsid w:val="00CC1AEA"/>
    <w:rsid w:val="00CC1EB8"/>
    <w:rsid w:val="00CC205D"/>
    <w:rsid w:val="00CC2084"/>
    <w:rsid w:val="00CC2337"/>
    <w:rsid w:val="00CC256D"/>
    <w:rsid w:val="00CC25A2"/>
    <w:rsid w:val="00CC272F"/>
    <w:rsid w:val="00CC2911"/>
    <w:rsid w:val="00CC2968"/>
    <w:rsid w:val="00CC29BE"/>
    <w:rsid w:val="00CC29DC"/>
    <w:rsid w:val="00CC2A99"/>
    <w:rsid w:val="00CC2ADA"/>
    <w:rsid w:val="00CC2CE8"/>
    <w:rsid w:val="00CC2D9B"/>
    <w:rsid w:val="00CC2EA3"/>
    <w:rsid w:val="00CC2F15"/>
    <w:rsid w:val="00CC3315"/>
    <w:rsid w:val="00CC337E"/>
    <w:rsid w:val="00CC3591"/>
    <w:rsid w:val="00CC363A"/>
    <w:rsid w:val="00CC3851"/>
    <w:rsid w:val="00CC3CF1"/>
    <w:rsid w:val="00CC3F6C"/>
    <w:rsid w:val="00CC3FBD"/>
    <w:rsid w:val="00CC412B"/>
    <w:rsid w:val="00CC4141"/>
    <w:rsid w:val="00CC4424"/>
    <w:rsid w:val="00CC475D"/>
    <w:rsid w:val="00CC47D1"/>
    <w:rsid w:val="00CC4834"/>
    <w:rsid w:val="00CC494C"/>
    <w:rsid w:val="00CC4A35"/>
    <w:rsid w:val="00CC4B86"/>
    <w:rsid w:val="00CC4CC7"/>
    <w:rsid w:val="00CC4FA1"/>
    <w:rsid w:val="00CC4FC2"/>
    <w:rsid w:val="00CC500D"/>
    <w:rsid w:val="00CC50CC"/>
    <w:rsid w:val="00CC519D"/>
    <w:rsid w:val="00CC520D"/>
    <w:rsid w:val="00CC532F"/>
    <w:rsid w:val="00CC5687"/>
    <w:rsid w:val="00CC56D2"/>
    <w:rsid w:val="00CC5774"/>
    <w:rsid w:val="00CC57A6"/>
    <w:rsid w:val="00CC59DC"/>
    <w:rsid w:val="00CC5A7A"/>
    <w:rsid w:val="00CC5B16"/>
    <w:rsid w:val="00CC5BB6"/>
    <w:rsid w:val="00CC5C05"/>
    <w:rsid w:val="00CC5F7F"/>
    <w:rsid w:val="00CC60BD"/>
    <w:rsid w:val="00CC6147"/>
    <w:rsid w:val="00CC6223"/>
    <w:rsid w:val="00CC624D"/>
    <w:rsid w:val="00CC62AB"/>
    <w:rsid w:val="00CC62E8"/>
    <w:rsid w:val="00CC6406"/>
    <w:rsid w:val="00CC64E3"/>
    <w:rsid w:val="00CC6712"/>
    <w:rsid w:val="00CC671A"/>
    <w:rsid w:val="00CC67A3"/>
    <w:rsid w:val="00CC67E0"/>
    <w:rsid w:val="00CC6830"/>
    <w:rsid w:val="00CC6853"/>
    <w:rsid w:val="00CC6BDF"/>
    <w:rsid w:val="00CC6C2C"/>
    <w:rsid w:val="00CC6C56"/>
    <w:rsid w:val="00CC6DBD"/>
    <w:rsid w:val="00CC6E31"/>
    <w:rsid w:val="00CC6E55"/>
    <w:rsid w:val="00CC6F2C"/>
    <w:rsid w:val="00CC7123"/>
    <w:rsid w:val="00CC719F"/>
    <w:rsid w:val="00CC72CA"/>
    <w:rsid w:val="00CC72FE"/>
    <w:rsid w:val="00CC73B3"/>
    <w:rsid w:val="00CC7892"/>
    <w:rsid w:val="00CC790E"/>
    <w:rsid w:val="00CC7AAF"/>
    <w:rsid w:val="00CC7B9D"/>
    <w:rsid w:val="00CC7F65"/>
    <w:rsid w:val="00CC7F69"/>
    <w:rsid w:val="00CD018F"/>
    <w:rsid w:val="00CD0263"/>
    <w:rsid w:val="00CD0310"/>
    <w:rsid w:val="00CD061D"/>
    <w:rsid w:val="00CD069C"/>
    <w:rsid w:val="00CD06D9"/>
    <w:rsid w:val="00CD0735"/>
    <w:rsid w:val="00CD0BDD"/>
    <w:rsid w:val="00CD0C70"/>
    <w:rsid w:val="00CD0CEB"/>
    <w:rsid w:val="00CD0F5A"/>
    <w:rsid w:val="00CD0F8D"/>
    <w:rsid w:val="00CD1059"/>
    <w:rsid w:val="00CD188D"/>
    <w:rsid w:val="00CD1A92"/>
    <w:rsid w:val="00CD1C2D"/>
    <w:rsid w:val="00CD1E10"/>
    <w:rsid w:val="00CD1F36"/>
    <w:rsid w:val="00CD218C"/>
    <w:rsid w:val="00CD24B0"/>
    <w:rsid w:val="00CD255B"/>
    <w:rsid w:val="00CD27C0"/>
    <w:rsid w:val="00CD2861"/>
    <w:rsid w:val="00CD2A25"/>
    <w:rsid w:val="00CD2A51"/>
    <w:rsid w:val="00CD2C15"/>
    <w:rsid w:val="00CD2F50"/>
    <w:rsid w:val="00CD31AF"/>
    <w:rsid w:val="00CD321E"/>
    <w:rsid w:val="00CD3242"/>
    <w:rsid w:val="00CD329C"/>
    <w:rsid w:val="00CD332C"/>
    <w:rsid w:val="00CD3BE2"/>
    <w:rsid w:val="00CD408A"/>
    <w:rsid w:val="00CD439A"/>
    <w:rsid w:val="00CD4480"/>
    <w:rsid w:val="00CD4482"/>
    <w:rsid w:val="00CD453F"/>
    <w:rsid w:val="00CD4696"/>
    <w:rsid w:val="00CD47DC"/>
    <w:rsid w:val="00CD4936"/>
    <w:rsid w:val="00CD4D01"/>
    <w:rsid w:val="00CD4FBD"/>
    <w:rsid w:val="00CD4FCB"/>
    <w:rsid w:val="00CD5057"/>
    <w:rsid w:val="00CD508F"/>
    <w:rsid w:val="00CD522F"/>
    <w:rsid w:val="00CD55D9"/>
    <w:rsid w:val="00CD5659"/>
    <w:rsid w:val="00CD5809"/>
    <w:rsid w:val="00CD593B"/>
    <w:rsid w:val="00CD59D5"/>
    <w:rsid w:val="00CD5A09"/>
    <w:rsid w:val="00CD5D66"/>
    <w:rsid w:val="00CD5DBA"/>
    <w:rsid w:val="00CD5FF7"/>
    <w:rsid w:val="00CD611B"/>
    <w:rsid w:val="00CD61F1"/>
    <w:rsid w:val="00CD6210"/>
    <w:rsid w:val="00CD65AF"/>
    <w:rsid w:val="00CD678E"/>
    <w:rsid w:val="00CD6BA1"/>
    <w:rsid w:val="00CD6EC7"/>
    <w:rsid w:val="00CD6EE3"/>
    <w:rsid w:val="00CD7388"/>
    <w:rsid w:val="00CD743A"/>
    <w:rsid w:val="00CD7458"/>
    <w:rsid w:val="00CD7544"/>
    <w:rsid w:val="00CD758E"/>
    <w:rsid w:val="00CD75E7"/>
    <w:rsid w:val="00CD7778"/>
    <w:rsid w:val="00CD78CA"/>
    <w:rsid w:val="00CD7BF7"/>
    <w:rsid w:val="00CD7FB5"/>
    <w:rsid w:val="00CE00A5"/>
    <w:rsid w:val="00CE00F7"/>
    <w:rsid w:val="00CE02C3"/>
    <w:rsid w:val="00CE02FD"/>
    <w:rsid w:val="00CE0350"/>
    <w:rsid w:val="00CE049A"/>
    <w:rsid w:val="00CE049F"/>
    <w:rsid w:val="00CE0624"/>
    <w:rsid w:val="00CE06AB"/>
    <w:rsid w:val="00CE077B"/>
    <w:rsid w:val="00CE08BE"/>
    <w:rsid w:val="00CE0946"/>
    <w:rsid w:val="00CE0A06"/>
    <w:rsid w:val="00CE0AE8"/>
    <w:rsid w:val="00CE0C18"/>
    <w:rsid w:val="00CE0C83"/>
    <w:rsid w:val="00CE0D0D"/>
    <w:rsid w:val="00CE0F51"/>
    <w:rsid w:val="00CE0F70"/>
    <w:rsid w:val="00CE0FE0"/>
    <w:rsid w:val="00CE115F"/>
    <w:rsid w:val="00CE11D2"/>
    <w:rsid w:val="00CE12BC"/>
    <w:rsid w:val="00CE1465"/>
    <w:rsid w:val="00CE1830"/>
    <w:rsid w:val="00CE18DE"/>
    <w:rsid w:val="00CE18E5"/>
    <w:rsid w:val="00CE19A2"/>
    <w:rsid w:val="00CE1B36"/>
    <w:rsid w:val="00CE1EB3"/>
    <w:rsid w:val="00CE1F4D"/>
    <w:rsid w:val="00CE22D0"/>
    <w:rsid w:val="00CE266F"/>
    <w:rsid w:val="00CE2727"/>
    <w:rsid w:val="00CE282B"/>
    <w:rsid w:val="00CE2859"/>
    <w:rsid w:val="00CE28C7"/>
    <w:rsid w:val="00CE2901"/>
    <w:rsid w:val="00CE2A58"/>
    <w:rsid w:val="00CE2B42"/>
    <w:rsid w:val="00CE2BFF"/>
    <w:rsid w:val="00CE2D62"/>
    <w:rsid w:val="00CE2DD9"/>
    <w:rsid w:val="00CE2E46"/>
    <w:rsid w:val="00CE2E4E"/>
    <w:rsid w:val="00CE2F27"/>
    <w:rsid w:val="00CE2F42"/>
    <w:rsid w:val="00CE2F68"/>
    <w:rsid w:val="00CE3143"/>
    <w:rsid w:val="00CE321B"/>
    <w:rsid w:val="00CE324F"/>
    <w:rsid w:val="00CE3278"/>
    <w:rsid w:val="00CE32A0"/>
    <w:rsid w:val="00CE3469"/>
    <w:rsid w:val="00CE34CA"/>
    <w:rsid w:val="00CE35AA"/>
    <w:rsid w:val="00CE35E9"/>
    <w:rsid w:val="00CE366E"/>
    <w:rsid w:val="00CE375C"/>
    <w:rsid w:val="00CE38B2"/>
    <w:rsid w:val="00CE38D9"/>
    <w:rsid w:val="00CE3A3B"/>
    <w:rsid w:val="00CE3A9B"/>
    <w:rsid w:val="00CE3B30"/>
    <w:rsid w:val="00CE3EDE"/>
    <w:rsid w:val="00CE3EE3"/>
    <w:rsid w:val="00CE3FCE"/>
    <w:rsid w:val="00CE4057"/>
    <w:rsid w:val="00CE4143"/>
    <w:rsid w:val="00CE418B"/>
    <w:rsid w:val="00CE45F7"/>
    <w:rsid w:val="00CE46B4"/>
    <w:rsid w:val="00CE4857"/>
    <w:rsid w:val="00CE4BDB"/>
    <w:rsid w:val="00CE4E81"/>
    <w:rsid w:val="00CE4ED8"/>
    <w:rsid w:val="00CE4EF1"/>
    <w:rsid w:val="00CE4FA3"/>
    <w:rsid w:val="00CE54D7"/>
    <w:rsid w:val="00CE5543"/>
    <w:rsid w:val="00CE5691"/>
    <w:rsid w:val="00CE573C"/>
    <w:rsid w:val="00CE5780"/>
    <w:rsid w:val="00CE5794"/>
    <w:rsid w:val="00CE5AA7"/>
    <w:rsid w:val="00CE5C7D"/>
    <w:rsid w:val="00CE5CEE"/>
    <w:rsid w:val="00CE5DB8"/>
    <w:rsid w:val="00CE5E65"/>
    <w:rsid w:val="00CE629C"/>
    <w:rsid w:val="00CE62BA"/>
    <w:rsid w:val="00CE6455"/>
    <w:rsid w:val="00CE64BE"/>
    <w:rsid w:val="00CE6510"/>
    <w:rsid w:val="00CE6514"/>
    <w:rsid w:val="00CE65CA"/>
    <w:rsid w:val="00CE6793"/>
    <w:rsid w:val="00CE67FF"/>
    <w:rsid w:val="00CE6A92"/>
    <w:rsid w:val="00CE6ACA"/>
    <w:rsid w:val="00CE6C1C"/>
    <w:rsid w:val="00CE6C80"/>
    <w:rsid w:val="00CE6DB0"/>
    <w:rsid w:val="00CE6E15"/>
    <w:rsid w:val="00CE6E23"/>
    <w:rsid w:val="00CE6E34"/>
    <w:rsid w:val="00CE6EEA"/>
    <w:rsid w:val="00CE7204"/>
    <w:rsid w:val="00CE7439"/>
    <w:rsid w:val="00CE743C"/>
    <w:rsid w:val="00CE754B"/>
    <w:rsid w:val="00CE75A3"/>
    <w:rsid w:val="00CE7602"/>
    <w:rsid w:val="00CE7670"/>
    <w:rsid w:val="00CE7929"/>
    <w:rsid w:val="00CE795C"/>
    <w:rsid w:val="00CE7BE4"/>
    <w:rsid w:val="00CE7E40"/>
    <w:rsid w:val="00CE7E42"/>
    <w:rsid w:val="00CE7F4D"/>
    <w:rsid w:val="00CE7F81"/>
    <w:rsid w:val="00CF048A"/>
    <w:rsid w:val="00CF05C2"/>
    <w:rsid w:val="00CF062E"/>
    <w:rsid w:val="00CF08C3"/>
    <w:rsid w:val="00CF0961"/>
    <w:rsid w:val="00CF0AD0"/>
    <w:rsid w:val="00CF0C8C"/>
    <w:rsid w:val="00CF0CC5"/>
    <w:rsid w:val="00CF0CFA"/>
    <w:rsid w:val="00CF106C"/>
    <w:rsid w:val="00CF10FA"/>
    <w:rsid w:val="00CF1236"/>
    <w:rsid w:val="00CF13FC"/>
    <w:rsid w:val="00CF1668"/>
    <w:rsid w:val="00CF188C"/>
    <w:rsid w:val="00CF1C08"/>
    <w:rsid w:val="00CF1CEC"/>
    <w:rsid w:val="00CF1DA2"/>
    <w:rsid w:val="00CF1E0C"/>
    <w:rsid w:val="00CF20A6"/>
    <w:rsid w:val="00CF2120"/>
    <w:rsid w:val="00CF225A"/>
    <w:rsid w:val="00CF2265"/>
    <w:rsid w:val="00CF23AA"/>
    <w:rsid w:val="00CF24EE"/>
    <w:rsid w:val="00CF27D9"/>
    <w:rsid w:val="00CF28BA"/>
    <w:rsid w:val="00CF2E0C"/>
    <w:rsid w:val="00CF2F40"/>
    <w:rsid w:val="00CF2F79"/>
    <w:rsid w:val="00CF3008"/>
    <w:rsid w:val="00CF3354"/>
    <w:rsid w:val="00CF34BA"/>
    <w:rsid w:val="00CF3708"/>
    <w:rsid w:val="00CF386E"/>
    <w:rsid w:val="00CF38B2"/>
    <w:rsid w:val="00CF3930"/>
    <w:rsid w:val="00CF3A82"/>
    <w:rsid w:val="00CF3B89"/>
    <w:rsid w:val="00CF3C39"/>
    <w:rsid w:val="00CF3D71"/>
    <w:rsid w:val="00CF3DAF"/>
    <w:rsid w:val="00CF3FCE"/>
    <w:rsid w:val="00CF4187"/>
    <w:rsid w:val="00CF4231"/>
    <w:rsid w:val="00CF4372"/>
    <w:rsid w:val="00CF46C3"/>
    <w:rsid w:val="00CF477C"/>
    <w:rsid w:val="00CF47B3"/>
    <w:rsid w:val="00CF4839"/>
    <w:rsid w:val="00CF4910"/>
    <w:rsid w:val="00CF49BA"/>
    <w:rsid w:val="00CF4C15"/>
    <w:rsid w:val="00CF4D81"/>
    <w:rsid w:val="00CF4E88"/>
    <w:rsid w:val="00CF4F89"/>
    <w:rsid w:val="00CF5133"/>
    <w:rsid w:val="00CF5185"/>
    <w:rsid w:val="00CF51AA"/>
    <w:rsid w:val="00CF5291"/>
    <w:rsid w:val="00CF5305"/>
    <w:rsid w:val="00CF533B"/>
    <w:rsid w:val="00CF5474"/>
    <w:rsid w:val="00CF561E"/>
    <w:rsid w:val="00CF5775"/>
    <w:rsid w:val="00CF5A87"/>
    <w:rsid w:val="00CF5B3D"/>
    <w:rsid w:val="00CF5D90"/>
    <w:rsid w:val="00CF5DD4"/>
    <w:rsid w:val="00CF5EEA"/>
    <w:rsid w:val="00CF6007"/>
    <w:rsid w:val="00CF608C"/>
    <w:rsid w:val="00CF60FE"/>
    <w:rsid w:val="00CF6113"/>
    <w:rsid w:val="00CF6279"/>
    <w:rsid w:val="00CF62EF"/>
    <w:rsid w:val="00CF6375"/>
    <w:rsid w:val="00CF6407"/>
    <w:rsid w:val="00CF6685"/>
    <w:rsid w:val="00CF669C"/>
    <w:rsid w:val="00CF66E9"/>
    <w:rsid w:val="00CF67E6"/>
    <w:rsid w:val="00CF6904"/>
    <w:rsid w:val="00CF6C1E"/>
    <w:rsid w:val="00CF6CBC"/>
    <w:rsid w:val="00CF6D88"/>
    <w:rsid w:val="00CF6DD6"/>
    <w:rsid w:val="00CF6E59"/>
    <w:rsid w:val="00CF7043"/>
    <w:rsid w:val="00CF70A5"/>
    <w:rsid w:val="00CF7280"/>
    <w:rsid w:val="00CF765D"/>
    <w:rsid w:val="00CF777E"/>
    <w:rsid w:val="00CF7903"/>
    <w:rsid w:val="00CF793B"/>
    <w:rsid w:val="00CF79B8"/>
    <w:rsid w:val="00CF79C7"/>
    <w:rsid w:val="00CF7AE0"/>
    <w:rsid w:val="00CF7BFB"/>
    <w:rsid w:val="00CF7C3C"/>
    <w:rsid w:val="00CF7C44"/>
    <w:rsid w:val="00D0030F"/>
    <w:rsid w:val="00D003E4"/>
    <w:rsid w:val="00D00456"/>
    <w:rsid w:val="00D00818"/>
    <w:rsid w:val="00D00AFD"/>
    <w:rsid w:val="00D00BA4"/>
    <w:rsid w:val="00D00F0B"/>
    <w:rsid w:val="00D0100F"/>
    <w:rsid w:val="00D01028"/>
    <w:rsid w:val="00D0116B"/>
    <w:rsid w:val="00D0120E"/>
    <w:rsid w:val="00D013BD"/>
    <w:rsid w:val="00D014BC"/>
    <w:rsid w:val="00D01718"/>
    <w:rsid w:val="00D01759"/>
    <w:rsid w:val="00D0195F"/>
    <w:rsid w:val="00D01A5D"/>
    <w:rsid w:val="00D01D0E"/>
    <w:rsid w:val="00D01E7B"/>
    <w:rsid w:val="00D01ED6"/>
    <w:rsid w:val="00D021F6"/>
    <w:rsid w:val="00D02299"/>
    <w:rsid w:val="00D022E2"/>
    <w:rsid w:val="00D026A1"/>
    <w:rsid w:val="00D026D6"/>
    <w:rsid w:val="00D02700"/>
    <w:rsid w:val="00D02715"/>
    <w:rsid w:val="00D027E6"/>
    <w:rsid w:val="00D0282E"/>
    <w:rsid w:val="00D029E8"/>
    <w:rsid w:val="00D02A6E"/>
    <w:rsid w:val="00D02AD8"/>
    <w:rsid w:val="00D02C17"/>
    <w:rsid w:val="00D0303C"/>
    <w:rsid w:val="00D030DB"/>
    <w:rsid w:val="00D03358"/>
    <w:rsid w:val="00D03412"/>
    <w:rsid w:val="00D035EE"/>
    <w:rsid w:val="00D039F2"/>
    <w:rsid w:val="00D03A0E"/>
    <w:rsid w:val="00D03AC6"/>
    <w:rsid w:val="00D03BB0"/>
    <w:rsid w:val="00D03CB6"/>
    <w:rsid w:val="00D03D4C"/>
    <w:rsid w:val="00D03EA6"/>
    <w:rsid w:val="00D03EDC"/>
    <w:rsid w:val="00D03F48"/>
    <w:rsid w:val="00D04100"/>
    <w:rsid w:val="00D042C8"/>
    <w:rsid w:val="00D043DB"/>
    <w:rsid w:val="00D04440"/>
    <w:rsid w:val="00D04480"/>
    <w:rsid w:val="00D045F0"/>
    <w:rsid w:val="00D04829"/>
    <w:rsid w:val="00D049FA"/>
    <w:rsid w:val="00D04A7E"/>
    <w:rsid w:val="00D04CBA"/>
    <w:rsid w:val="00D04DDB"/>
    <w:rsid w:val="00D04E22"/>
    <w:rsid w:val="00D04E68"/>
    <w:rsid w:val="00D04F37"/>
    <w:rsid w:val="00D04FA0"/>
    <w:rsid w:val="00D04FB1"/>
    <w:rsid w:val="00D05105"/>
    <w:rsid w:val="00D05139"/>
    <w:rsid w:val="00D053A7"/>
    <w:rsid w:val="00D053FB"/>
    <w:rsid w:val="00D0544E"/>
    <w:rsid w:val="00D054E6"/>
    <w:rsid w:val="00D05627"/>
    <w:rsid w:val="00D05850"/>
    <w:rsid w:val="00D05A9C"/>
    <w:rsid w:val="00D05BA0"/>
    <w:rsid w:val="00D05BB3"/>
    <w:rsid w:val="00D05DB6"/>
    <w:rsid w:val="00D05F9E"/>
    <w:rsid w:val="00D062BB"/>
    <w:rsid w:val="00D062BE"/>
    <w:rsid w:val="00D06413"/>
    <w:rsid w:val="00D06418"/>
    <w:rsid w:val="00D06587"/>
    <w:rsid w:val="00D06660"/>
    <w:rsid w:val="00D066A4"/>
    <w:rsid w:val="00D066AD"/>
    <w:rsid w:val="00D0699C"/>
    <w:rsid w:val="00D06B8C"/>
    <w:rsid w:val="00D06BB6"/>
    <w:rsid w:val="00D06BE6"/>
    <w:rsid w:val="00D06D09"/>
    <w:rsid w:val="00D06EC0"/>
    <w:rsid w:val="00D06F80"/>
    <w:rsid w:val="00D0739E"/>
    <w:rsid w:val="00D0742F"/>
    <w:rsid w:val="00D07674"/>
    <w:rsid w:val="00D0773A"/>
    <w:rsid w:val="00D07786"/>
    <w:rsid w:val="00D07798"/>
    <w:rsid w:val="00D07873"/>
    <w:rsid w:val="00D07895"/>
    <w:rsid w:val="00D0794B"/>
    <w:rsid w:val="00D07D56"/>
    <w:rsid w:val="00D07D87"/>
    <w:rsid w:val="00D07E0F"/>
    <w:rsid w:val="00D10134"/>
    <w:rsid w:val="00D101DF"/>
    <w:rsid w:val="00D10204"/>
    <w:rsid w:val="00D10414"/>
    <w:rsid w:val="00D105CF"/>
    <w:rsid w:val="00D1067C"/>
    <w:rsid w:val="00D10752"/>
    <w:rsid w:val="00D1077F"/>
    <w:rsid w:val="00D1080F"/>
    <w:rsid w:val="00D109AF"/>
    <w:rsid w:val="00D10A1B"/>
    <w:rsid w:val="00D10A22"/>
    <w:rsid w:val="00D10A36"/>
    <w:rsid w:val="00D10B07"/>
    <w:rsid w:val="00D10BE9"/>
    <w:rsid w:val="00D10F74"/>
    <w:rsid w:val="00D10F80"/>
    <w:rsid w:val="00D110B2"/>
    <w:rsid w:val="00D110EC"/>
    <w:rsid w:val="00D11123"/>
    <w:rsid w:val="00D11277"/>
    <w:rsid w:val="00D112B6"/>
    <w:rsid w:val="00D11507"/>
    <w:rsid w:val="00D11517"/>
    <w:rsid w:val="00D1155C"/>
    <w:rsid w:val="00D11576"/>
    <w:rsid w:val="00D11654"/>
    <w:rsid w:val="00D117EF"/>
    <w:rsid w:val="00D1192B"/>
    <w:rsid w:val="00D11A47"/>
    <w:rsid w:val="00D11B9A"/>
    <w:rsid w:val="00D11B9C"/>
    <w:rsid w:val="00D11D35"/>
    <w:rsid w:val="00D11E3C"/>
    <w:rsid w:val="00D12058"/>
    <w:rsid w:val="00D120F7"/>
    <w:rsid w:val="00D1218F"/>
    <w:rsid w:val="00D122EB"/>
    <w:rsid w:val="00D12372"/>
    <w:rsid w:val="00D124D1"/>
    <w:rsid w:val="00D12531"/>
    <w:rsid w:val="00D12563"/>
    <w:rsid w:val="00D1276B"/>
    <w:rsid w:val="00D1278A"/>
    <w:rsid w:val="00D12854"/>
    <w:rsid w:val="00D128E9"/>
    <w:rsid w:val="00D12ABC"/>
    <w:rsid w:val="00D12B2B"/>
    <w:rsid w:val="00D12BE8"/>
    <w:rsid w:val="00D1307A"/>
    <w:rsid w:val="00D131E8"/>
    <w:rsid w:val="00D13569"/>
    <w:rsid w:val="00D136FB"/>
    <w:rsid w:val="00D1386D"/>
    <w:rsid w:val="00D138AA"/>
    <w:rsid w:val="00D13985"/>
    <w:rsid w:val="00D13A1E"/>
    <w:rsid w:val="00D13A97"/>
    <w:rsid w:val="00D141B1"/>
    <w:rsid w:val="00D141BD"/>
    <w:rsid w:val="00D1427C"/>
    <w:rsid w:val="00D142D0"/>
    <w:rsid w:val="00D14330"/>
    <w:rsid w:val="00D1449A"/>
    <w:rsid w:val="00D144DA"/>
    <w:rsid w:val="00D145B3"/>
    <w:rsid w:val="00D146F4"/>
    <w:rsid w:val="00D14843"/>
    <w:rsid w:val="00D149E9"/>
    <w:rsid w:val="00D14E1F"/>
    <w:rsid w:val="00D14F43"/>
    <w:rsid w:val="00D1517B"/>
    <w:rsid w:val="00D15381"/>
    <w:rsid w:val="00D15455"/>
    <w:rsid w:val="00D154EE"/>
    <w:rsid w:val="00D15551"/>
    <w:rsid w:val="00D159C3"/>
    <w:rsid w:val="00D15C65"/>
    <w:rsid w:val="00D15CD1"/>
    <w:rsid w:val="00D15DB3"/>
    <w:rsid w:val="00D15DE0"/>
    <w:rsid w:val="00D15E8F"/>
    <w:rsid w:val="00D15ED0"/>
    <w:rsid w:val="00D15F2B"/>
    <w:rsid w:val="00D15FE5"/>
    <w:rsid w:val="00D16159"/>
    <w:rsid w:val="00D16340"/>
    <w:rsid w:val="00D1638D"/>
    <w:rsid w:val="00D163FA"/>
    <w:rsid w:val="00D16473"/>
    <w:rsid w:val="00D164FF"/>
    <w:rsid w:val="00D16577"/>
    <w:rsid w:val="00D16780"/>
    <w:rsid w:val="00D16842"/>
    <w:rsid w:val="00D16953"/>
    <w:rsid w:val="00D16A64"/>
    <w:rsid w:val="00D16AC6"/>
    <w:rsid w:val="00D16BB1"/>
    <w:rsid w:val="00D16DFB"/>
    <w:rsid w:val="00D16E4D"/>
    <w:rsid w:val="00D16E85"/>
    <w:rsid w:val="00D16FF0"/>
    <w:rsid w:val="00D1717A"/>
    <w:rsid w:val="00D1724B"/>
    <w:rsid w:val="00D1764A"/>
    <w:rsid w:val="00D17794"/>
    <w:rsid w:val="00D1780F"/>
    <w:rsid w:val="00D179C1"/>
    <w:rsid w:val="00D17BA9"/>
    <w:rsid w:val="00D17D61"/>
    <w:rsid w:val="00D17E69"/>
    <w:rsid w:val="00D17EB2"/>
    <w:rsid w:val="00D17EB8"/>
    <w:rsid w:val="00D17F74"/>
    <w:rsid w:val="00D17F92"/>
    <w:rsid w:val="00D20207"/>
    <w:rsid w:val="00D20214"/>
    <w:rsid w:val="00D2037F"/>
    <w:rsid w:val="00D205C8"/>
    <w:rsid w:val="00D20690"/>
    <w:rsid w:val="00D2073B"/>
    <w:rsid w:val="00D207F8"/>
    <w:rsid w:val="00D20996"/>
    <w:rsid w:val="00D20DB4"/>
    <w:rsid w:val="00D20DD1"/>
    <w:rsid w:val="00D20EFB"/>
    <w:rsid w:val="00D2105C"/>
    <w:rsid w:val="00D2108B"/>
    <w:rsid w:val="00D210C3"/>
    <w:rsid w:val="00D211CB"/>
    <w:rsid w:val="00D21328"/>
    <w:rsid w:val="00D2146C"/>
    <w:rsid w:val="00D21650"/>
    <w:rsid w:val="00D2185B"/>
    <w:rsid w:val="00D21A30"/>
    <w:rsid w:val="00D21B1D"/>
    <w:rsid w:val="00D21D67"/>
    <w:rsid w:val="00D21DAC"/>
    <w:rsid w:val="00D21DBC"/>
    <w:rsid w:val="00D2201B"/>
    <w:rsid w:val="00D2204F"/>
    <w:rsid w:val="00D2207C"/>
    <w:rsid w:val="00D221BF"/>
    <w:rsid w:val="00D22397"/>
    <w:rsid w:val="00D22401"/>
    <w:rsid w:val="00D22845"/>
    <w:rsid w:val="00D2288B"/>
    <w:rsid w:val="00D22959"/>
    <w:rsid w:val="00D22AA0"/>
    <w:rsid w:val="00D22ABA"/>
    <w:rsid w:val="00D22B61"/>
    <w:rsid w:val="00D22C35"/>
    <w:rsid w:val="00D22CB5"/>
    <w:rsid w:val="00D22FED"/>
    <w:rsid w:val="00D230A1"/>
    <w:rsid w:val="00D230B4"/>
    <w:rsid w:val="00D23130"/>
    <w:rsid w:val="00D2316A"/>
    <w:rsid w:val="00D2317F"/>
    <w:rsid w:val="00D2339D"/>
    <w:rsid w:val="00D233F4"/>
    <w:rsid w:val="00D23644"/>
    <w:rsid w:val="00D23A3D"/>
    <w:rsid w:val="00D23AED"/>
    <w:rsid w:val="00D23B98"/>
    <w:rsid w:val="00D23DEA"/>
    <w:rsid w:val="00D23EBE"/>
    <w:rsid w:val="00D2412F"/>
    <w:rsid w:val="00D24137"/>
    <w:rsid w:val="00D2428D"/>
    <w:rsid w:val="00D2435A"/>
    <w:rsid w:val="00D244B1"/>
    <w:rsid w:val="00D2455C"/>
    <w:rsid w:val="00D24711"/>
    <w:rsid w:val="00D2486C"/>
    <w:rsid w:val="00D24BF6"/>
    <w:rsid w:val="00D24C83"/>
    <w:rsid w:val="00D24D48"/>
    <w:rsid w:val="00D24D6D"/>
    <w:rsid w:val="00D24DDD"/>
    <w:rsid w:val="00D24E86"/>
    <w:rsid w:val="00D24F31"/>
    <w:rsid w:val="00D25276"/>
    <w:rsid w:val="00D252F1"/>
    <w:rsid w:val="00D2536E"/>
    <w:rsid w:val="00D25400"/>
    <w:rsid w:val="00D25489"/>
    <w:rsid w:val="00D254A5"/>
    <w:rsid w:val="00D256C2"/>
    <w:rsid w:val="00D257C4"/>
    <w:rsid w:val="00D25850"/>
    <w:rsid w:val="00D25ADD"/>
    <w:rsid w:val="00D25F79"/>
    <w:rsid w:val="00D26073"/>
    <w:rsid w:val="00D2633F"/>
    <w:rsid w:val="00D264E1"/>
    <w:rsid w:val="00D26867"/>
    <w:rsid w:val="00D26A30"/>
    <w:rsid w:val="00D26BC3"/>
    <w:rsid w:val="00D26C0A"/>
    <w:rsid w:val="00D26D00"/>
    <w:rsid w:val="00D26EF6"/>
    <w:rsid w:val="00D270C5"/>
    <w:rsid w:val="00D270D9"/>
    <w:rsid w:val="00D271A8"/>
    <w:rsid w:val="00D2733E"/>
    <w:rsid w:val="00D27397"/>
    <w:rsid w:val="00D2763C"/>
    <w:rsid w:val="00D2770E"/>
    <w:rsid w:val="00D2777F"/>
    <w:rsid w:val="00D277B5"/>
    <w:rsid w:val="00D27872"/>
    <w:rsid w:val="00D278A9"/>
    <w:rsid w:val="00D27CCC"/>
    <w:rsid w:val="00D27E9C"/>
    <w:rsid w:val="00D302F0"/>
    <w:rsid w:val="00D303A9"/>
    <w:rsid w:val="00D306A2"/>
    <w:rsid w:val="00D30708"/>
    <w:rsid w:val="00D307FC"/>
    <w:rsid w:val="00D30A28"/>
    <w:rsid w:val="00D30AAE"/>
    <w:rsid w:val="00D30AF0"/>
    <w:rsid w:val="00D30C9B"/>
    <w:rsid w:val="00D30CCB"/>
    <w:rsid w:val="00D30D08"/>
    <w:rsid w:val="00D3115A"/>
    <w:rsid w:val="00D3123E"/>
    <w:rsid w:val="00D3125E"/>
    <w:rsid w:val="00D314D8"/>
    <w:rsid w:val="00D314DC"/>
    <w:rsid w:val="00D3150A"/>
    <w:rsid w:val="00D316C4"/>
    <w:rsid w:val="00D3174A"/>
    <w:rsid w:val="00D3182B"/>
    <w:rsid w:val="00D31998"/>
    <w:rsid w:val="00D31AE0"/>
    <w:rsid w:val="00D31BEF"/>
    <w:rsid w:val="00D31C0B"/>
    <w:rsid w:val="00D31C3F"/>
    <w:rsid w:val="00D31C76"/>
    <w:rsid w:val="00D31D50"/>
    <w:rsid w:val="00D31DF7"/>
    <w:rsid w:val="00D31F0B"/>
    <w:rsid w:val="00D3201C"/>
    <w:rsid w:val="00D32346"/>
    <w:rsid w:val="00D328B4"/>
    <w:rsid w:val="00D328E4"/>
    <w:rsid w:val="00D3297D"/>
    <w:rsid w:val="00D32C80"/>
    <w:rsid w:val="00D32D90"/>
    <w:rsid w:val="00D32D93"/>
    <w:rsid w:val="00D32DB7"/>
    <w:rsid w:val="00D32DE6"/>
    <w:rsid w:val="00D32E01"/>
    <w:rsid w:val="00D32E35"/>
    <w:rsid w:val="00D32F9A"/>
    <w:rsid w:val="00D32FC7"/>
    <w:rsid w:val="00D32FD0"/>
    <w:rsid w:val="00D32FE1"/>
    <w:rsid w:val="00D33015"/>
    <w:rsid w:val="00D33067"/>
    <w:rsid w:val="00D330CD"/>
    <w:rsid w:val="00D33219"/>
    <w:rsid w:val="00D332E2"/>
    <w:rsid w:val="00D334EB"/>
    <w:rsid w:val="00D335B3"/>
    <w:rsid w:val="00D33A0E"/>
    <w:rsid w:val="00D33A15"/>
    <w:rsid w:val="00D33B23"/>
    <w:rsid w:val="00D33B5C"/>
    <w:rsid w:val="00D33C2C"/>
    <w:rsid w:val="00D33D28"/>
    <w:rsid w:val="00D33DD9"/>
    <w:rsid w:val="00D33E57"/>
    <w:rsid w:val="00D33E5A"/>
    <w:rsid w:val="00D33F02"/>
    <w:rsid w:val="00D34009"/>
    <w:rsid w:val="00D34043"/>
    <w:rsid w:val="00D340F7"/>
    <w:rsid w:val="00D34119"/>
    <w:rsid w:val="00D34157"/>
    <w:rsid w:val="00D34366"/>
    <w:rsid w:val="00D3482F"/>
    <w:rsid w:val="00D348FE"/>
    <w:rsid w:val="00D34E74"/>
    <w:rsid w:val="00D34F8E"/>
    <w:rsid w:val="00D3527B"/>
    <w:rsid w:val="00D3538D"/>
    <w:rsid w:val="00D3547F"/>
    <w:rsid w:val="00D3557F"/>
    <w:rsid w:val="00D357FD"/>
    <w:rsid w:val="00D35869"/>
    <w:rsid w:val="00D35942"/>
    <w:rsid w:val="00D35982"/>
    <w:rsid w:val="00D35ADD"/>
    <w:rsid w:val="00D35B35"/>
    <w:rsid w:val="00D35C64"/>
    <w:rsid w:val="00D35CC2"/>
    <w:rsid w:val="00D35EEB"/>
    <w:rsid w:val="00D3608B"/>
    <w:rsid w:val="00D360BF"/>
    <w:rsid w:val="00D36153"/>
    <w:rsid w:val="00D3619F"/>
    <w:rsid w:val="00D361A6"/>
    <w:rsid w:val="00D36223"/>
    <w:rsid w:val="00D363CE"/>
    <w:rsid w:val="00D36480"/>
    <w:rsid w:val="00D365B5"/>
    <w:rsid w:val="00D36709"/>
    <w:rsid w:val="00D367F0"/>
    <w:rsid w:val="00D367F7"/>
    <w:rsid w:val="00D36957"/>
    <w:rsid w:val="00D36A51"/>
    <w:rsid w:val="00D36C09"/>
    <w:rsid w:val="00D36C59"/>
    <w:rsid w:val="00D36C5D"/>
    <w:rsid w:val="00D36E34"/>
    <w:rsid w:val="00D36E52"/>
    <w:rsid w:val="00D3722A"/>
    <w:rsid w:val="00D37425"/>
    <w:rsid w:val="00D37478"/>
    <w:rsid w:val="00D3759B"/>
    <w:rsid w:val="00D37856"/>
    <w:rsid w:val="00D37B42"/>
    <w:rsid w:val="00D37BEE"/>
    <w:rsid w:val="00D37EA8"/>
    <w:rsid w:val="00D4004B"/>
    <w:rsid w:val="00D40093"/>
    <w:rsid w:val="00D40214"/>
    <w:rsid w:val="00D4043B"/>
    <w:rsid w:val="00D404C1"/>
    <w:rsid w:val="00D40552"/>
    <w:rsid w:val="00D405CF"/>
    <w:rsid w:val="00D40610"/>
    <w:rsid w:val="00D40703"/>
    <w:rsid w:val="00D407EF"/>
    <w:rsid w:val="00D40982"/>
    <w:rsid w:val="00D409B3"/>
    <w:rsid w:val="00D40C9B"/>
    <w:rsid w:val="00D40D05"/>
    <w:rsid w:val="00D40D59"/>
    <w:rsid w:val="00D40DF4"/>
    <w:rsid w:val="00D4120A"/>
    <w:rsid w:val="00D413C9"/>
    <w:rsid w:val="00D41615"/>
    <w:rsid w:val="00D41647"/>
    <w:rsid w:val="00D4179F"/>
    <w:rsid w:val="00D417F2"/>
    <w:rsid w:val="00D4190D"/>
    <w:rsid w:val="00D419D7"/>
    <w:rsid w:val="00D41ACC"/>
    <w:rsid w:val="00D41C16"/>
    <w:rsid w:val="00D41C90"/>
    <w:rsid w:val="00D41D1C"/>
    <w:rsid w:val="00D41D76"/>
    <w:rsid w:val="00D41D88"/>
    <w:rsid w:val="00D41D9A"/>
    <w:rsid w:val="00D41E01"/>
    <w:rsid w:val="00D41E0A"/>
    <w:rsid w:val="00D41E70"/>
    <w:rsid w:val="00D421C0"/>
    <w:rsid w:val="00D421C8"/>
    <w:rsid w:val="00D424D8"/>
    <w:rsid w:val="00D42504"/>
    <w:rsid w:val="00D4269B"/>
    <w:rsid w:val="00D42714"/>
    <w:rsid w:val="00D42912"/>
    <w:rsid w:val="00D42919"/>
    <w:rsid w:val="00D429E5"/>
    <w:rsid w:val="00D42D63"/>
    <w:rsid w:val="00D4302F"/>
    <w:rsid w:val="00D430AD"/>
    <w:rsid w:val="00D4312D"/>
    <w:rsid w:val="00D43528"/>
    <w:rsid w:val="00D4382D"/>
    <w:rsid w:val="00D43AAC"/>
    <w:rsid w:val="00D43BBE"/>
    <w:rsid w:val="00D43D5E"/>
    <w:rsid w:val="00D43DBA"/>
    <w:rsid w:val="00D43F91"/>
    <w:rsid w:val="00D44086"/>
    <w:rsid w:val="00D4415D"/>
    <w:rsid w:val="00D44177"/>
    <w:rsid w:val="00D44197"/>
    <w:rsid w:val="00D4432D"/>
    <w:rsid w:val="00D4439C"/>
    <w:rsid w:val="00D44553"/>
    <w:rsid w:val="00D44815"/>
    <w:rsid w:val="00D44878"/>
    <w:rsid w:val="00D44BFE"/>
    <w:rsid w:val="00D44CFD"/>
    <w:rsid w:val="00D44E5E"/>
    <w:rsid w:val="00D45450"/>
    <w:rsid w:val="00D456B1"/>
    <w:rsid w:val="00D45989"/>
    <w:rsid w:val="00D45BA0"/>
    <w:rsid w:val="00D45BE3"/>
    <w:rsid w:val="00D45CC9"/>
    <w:rsid w:val="00D45CF9"/>
    <w:rsid w:val="00D45EA2"/>
    <w:rsid w:val="00D45F3F"/>
    <w:rsid w:val="00D45FC0"/>
    <w:rsid w:val="00D45FF3"/>
    <w:rsid w:val="00D4616D"/>
    <w:rsid w:val="00D4634A"/>
    <w:rsid w:val="00D463CF"/>
    <w:rsid w:val="00D465BF"/>
    <w:rsid w:val="00D46810"/>
    <w:rsid w:val="00D4697E"/>
    <w:rsid w:val="00D46C57"/>
    <w:rsid w:val="00D46CE5"/>
    <w:rsid w:val="00D46CF9"/>
    <w:rsid w:val="00D46E1E"/>
    <w:rsid w:val="00D46EA1"/>
    <w:rsid w:val="00D47021"/>
    <w:rsid w:val="00D47053"/>
    <w:rsid w:val="00D47470"/>
    <w:rsid w:val="00D4757A"/>
    <w:rsid w:val="00D4764A"/>
    <w:rsid w:val="00D47701"/>
    <w:rsid w:val="00D47763"/>
    <w:rsid w:val="00D47926"/>
    <w:rsid w:val="00D47A01"/>
    <w:rsid w:val="00D47A81"/>
    <w:rsid w:val="00D47B01"/>
    <w:rsid w:val="00D47C0D"/>
    <w:rsid w:val="00D47FCB"/>
    <w:rsid w:val="00D5002B"/>
    <w:rsid w:val="00D5015C"/>
    <w:rsid w:val="00D50221"/>
    <w:rsid w:val="00D502DF"/>
    <w:rsid w:val="00D50343"/>
    <w:rsid w:val="00D5036E"/>
    <w:rsid w:val="00D50493"/>
    <w:rsid w:val="00D5051F"/>
    <w:rsid w:val="00D50533"/>
    <w:rsid w:val="00D5082C"/>
    <w:rsid w:val="00D50862"/>
    <w:rsid w:val="00D50874"/>
    <w:rsid w:val="00D50888"/>
    <w:rsid w:val="00D50C01"/>
    <w:rsid w:val="00D50F5E"/>
    <w:rsid w:val="00D50F73"/>
    <w:rsid w:val="00D51050"/>
    <w:rsid w:val="00D510DB"/>
    <w:rsid w:val="00D51246"/>
    <w:rsid w:val="00D515A2"/>
    <w:rsid w:val="00D51616"/>
    <w:rsid w:val="00D518EE"/>
    <w:rsid w:val="00D51C07"/>
    <w:rsid w:val="00D51CB3"/>
    <w:rsid w:val="00D5205B"/>
    <w:rsid w:val="00D52188"/>
    <w:rsid w:val="00D52259"/>
    <w:rsid w:val="00D52386"/>
    <w:rsid w:val="00D52534"/>
    <w:rsid w:val="00D52796"/>
    <w:rsid w:val="00D5279B"/>
    <w:rsid w:val="00D52A55"/>
    <w:rsid w:val="00D52C51"/>
    <w:rsid w:val="00D52D0A"/>
    <w:rsid w:val="00D52D3D"/>
    <w:rsid w:val="00D52F3D"/>
    <w:rsid w:val="00D530FF"/>
    <w:rsid w:val="00D531A1"/>
    <w:rsid w:val="00D5338C"/>
    <w:rsid w:val="00D533A0"/>
    <w:rsid w:val="00D5348A"/>
    <w:rsid w:val="00D536FB"/>
    <w:rsid w:val="00D5373A"/>
    <w:rsid w:val="00D53924"/>
    <w:rsid w:val="00D53C80"/>
    <w:rsid w:val="00D53EF0"/>
    <w:rsid w:val="00D541D3"/>
    <w:rsid w:val="00D54386"/>
    <w:rsid w:val="00D5442E"/>
    <w:rsid w:val="00D5462D"/>
    <w:rsid w:val="00D54644"/>
    <w:rsid w:val="00D546A0"/>
    <w:rsid w:val="00D54740"/>
    <w:rsid w:val="00D54782"/>
    <w:rsid w:val="00D5480E"/>
    <w:rsid w:val="00D54843"/>
    <w:rsid w:val="00D548AA"/>
    <w:rsid w:val="00D548C2"/>
    <w:rsid w:val="00D548E9"/>
    <w:rsid w:val="00D54C06"/>
    <w:rsid w:val="00D54C1D"/>
    <w:rsid w:val="00D54C70"/>
    <w:rsid w:val="00D54CA9"/>
    <w:rsid w:val="00D54D24"/>
    <w:rsid w:val="00D54FCD"/>
    <w:rsid w:val="00D551BA"/>
    <w:rsid w:val="00D553F6"/>
    <w:rsid w:val="00D55600"/>
    <w:rsid w:val="00D557AA"/>
    <w:rsid w:val="00D557BE"/>
    <w:rsid w:val="00D55931"/>
    <w:rsid w:val="00D5593E"/>
    <w:rsid w:val="00D55952"/>
    <w:rsid w:val="00D5596C"/>
    <w:rsid w:val="00D559D7"/>
    <w:rsid w:val="00D55A66"/>
    <w:rsid w:val="00D55C3C"/>
    <w:rsid w:val="00D55C4F"/>
    <w:rsid w:val="00D55CCC"/>
    <w:rsid w:val="00D55E1E"/>
    <w:rsid w:val="00D55E64"/>
    <w:rsid w:val="00D55F36"/>
    <w:rsid w:val="00D560C8"/>
    <w:rsid w:val="00D5615E"/>
    <w:rsid w:val="00D5619C"/>
    <w:rsid w:val="00D5624C"/>
    <w:rsid w:val="00D563D1"/>
    <w:rsid w:val="00D5644A"/>
    <w:rsid w:val="00D564C8"/>
    <w:rsid w:val="00D56522"/>
    <w:rsid w:val="00D565CE"/>
    <w:rsid w:val="00D56861"/>
    <w:rsid w:val="00D56924"/>
    <w:rsid w:val="00D56FBE"/>
    <w:rsid w:val="00D56FD3"/>
    <w:rsid w:val="00D56FEB"/>
    <w:rsid w:val="00D5700E"/>
    <w:rsid w:val="00D571C1"/>
    <w:rsid w:val="00D57267"/>
    <w:rsid w:val="00D5742D"/>
    <w:rsid w:val="00D57552"/>
    <w:rsid w:val="00D578BC"/>
    <w:rsid w:val="00D57989"/>
    <w:rsid w:val="00D57A70"/>
    <w:rsid w:val="00D57E49"/>
    <w:rsid w:val="00D57E67"/>
    <w:rsid w:val="00D57ED5"/>
    <w:rsid w:val="00D57ED7"/>
    <w:rsid w:val="00D57EFF"/>
    <w:rsid w:val="00D57FC8"/>
    <w:rsid w:val="00D601E9"/>
    <w:rsid w:val="00D602DD"/>
    <w:rsid w:val="00D605BC"/>
    <w:rsid w:val="00D6064C"/>
    <w:rsid w:val="00D6096E"/>
    <w:rsid w:val="00D609A3"/>
    <w:rsid w:val="00D609D9"/>
    <w:rsid w:val="00D60C24"/>
    <w:rsid w:val="00D60D8C"/>
    <w:rsid w:val="00D60DDC"/>
    <w:rsid w:val="00D60E2E"/>
    <w:rsid w:val="00D60FBC"/>
    <w:rsid w:val="00D61002"/>
    <w:rsid w:val="00D6101E"/>
    <w:rsid w:val="00D610D2"/>
    <w:rsid w:val="00D610DE"/>
    <w:rsid w:val="00D61117"/>
    <w:rsid w:val="00D61223"/>
    <w:rsid w:val="00D616B0"/>
    <w:rsid w:val="00D616D1"/>
    <w:rsid w:val="00D6171F"/>
    <w:rsid w:val="00D61801"/>
    <w:rsid w:val="00D619A3"/>
    <w:rsid w:val="00D61B3E"/>
    <w:rsid w:val="00D61CFC"/>
    <w:rsid w:val="00D61D9C"/>
    <w:rsid w:val="00D61DB7"/>
    <w:rsid w:val="00D6209F"/>
    <w:rsid w:val="00D621D9"/>
    <w:rsid w:val="00D62408"/>
    <w:rsid w:val="00D625D8"/>
    <w:rsid w:val="00D625DF"/>
    <w:rsid w:val="00D62609"/>
    <w:rsid w:val="00D6262D"/>
    <w:rsid w:val="00D6263B"/>
    <w:rsid w:val="00D626F7"/>
    <w:rsid w:val="00D6272D"/>
    <w:rsid w:val="00D62736"/>
    <w:rsid w:val="00D6278B"/>
    <w:rsid w:val="00D62843"/>
    <w:rsid w:val="00D6284A"/>
    <w:rsid w:val="00D62A34"/>
    <w:rsid w:val="00D62BD6"/>
    <w:rsid w:val="00D62CED"/>
    <w:rsid w:val="00D62DC1"/>
    <w:rsid w:val="00D62F45"/>
    <w:rsid w:val="00D62FC0"/>
    <w:rsid w:val="00D6306F"/>
    <w:rsid w:val="00D6308B"/>
    <w:rsid w:val="00D631F4"/>
    <w:rsid w:val="00D6328D"/>
    <w:rsid w:val="00D63303"/>
    <w:rsid w:val="00D63640"/>
    <w:rsid w:val="00D6376C"/>
    <w:rsid w:val="00D6398B"/>
    <w:rsid w:val="00D63A53"/>
    <w:rsid w:val="00D63B16"/>
    <w:rsid w:val="00D63BE7"/>
    <w:rsid w:val="00D63CE0"/>
    <w:rsid w:val="00D63E39"/>
    <w:rsid w:val="00D6404F"/>
    <w:rsid w:val="00D6408F"/>
    <w:rsid w:val="00D64098"/>
    <w:rsid w:val="00D6424E"/>
    <w:rsid w:val="00D64324"/>
    <w:rsid w:val="00D64424"/>
    <w:rsid w:val="00D6444B"/>
    <w:rsid w:val="00D64518"/>
    <w:rsid w:val="00D6468D"/>
    <w:rsid w:val="00D6482F"/>
    <w:rsid w:val="00D64B91"/>
    <w:rsid w:val="00D64D65"/>
    <w:rsid w:val="00D64D74"/>
    <w:rsid w:val="00D64D8A"/>
    <w:rsid w:val="00D64E58"/>
    <w:rsid w:val="00D64FBE"/>
    <w:rsid w:val="00D65043"/>
    <w:rsid w:val="00D6505A"/>
    <w:rsid w:val="00D650C6"/>
    <w:rsid w:val="00D651FB"/>
    <w:rsid w:val="00D651FC"/>
    <w:rsid w:val="00D652CA"/>
    <w:rsid w:val="00D654E0"/>
    <w:rsid w:val="00D6563B"/>
    <w:rsid w:val="00D656ED"/>
    <w:rsid w:val="00D657B6"/>
    <w:rsid w:val="00D6583C"/>
    <w:rsid w:val="00D659D6"/>
    <w:rsid w:val="00D65A93"/>
    <w:rsid w:val="00D65C91"/>
    <w:rsid w:val="00D65CDD"/>
    <w:rsid w:val="00D66021"/>
    <w:rsid w:val="00D66025"/>
    <w:rsid w:val="00D66071"/>
    <w:rsid w:val="00D660B3"/>
    <w:rsid w:val="00D66162"/>
    <w:rsid w:val="00D661D1"/>
    <w:rsid w:val="00D662E5"/>
    <w:rsid w:val="00D663A2"/>
    <w:rsid w:val="00D66737"/>
    <w:rsid w:val="00D667C6"/>
    <w:rsid w:val="00D669BE"/>
    <w:rsid w:val="00D66AAF"/>
    <w:rsid w:val="00D66D4F"/>
    <w:rsid w:val="00D66DDA"/>
    <w:rsid w:val="00D66E3A"/>
    <w:rsid w:val="00D66F6C"/>
    <w:rsid w:val="00D6708B"/>
    <w:rsid w:val="00D67221"/>
    <w:rsid w:val="00D67227"/>
    <w:rsid w:val="00D6727B"/>
    <w:rsid w:val="00D67396"/>
    <w:rsid w:val="00D67441"/>
    <w:rsid w:val="00D67637"/>
    <w:rsid w:val="00D67A60"/>
    <w:rsid w:val="00D67B1D"/>
    <w:rsid w:val="00D67C09"/>
    <w:rsid w:val="00D67C6B"/>
    <w:rsid w:val="00D67F83"/>
    <w:rsid w:val="00D70000"/>
    <w:rsid w:val="00D7005F"/>
    <w:rsid w:val="00D700C3"/>
    <w:rsid w:val="00D700C8"/>
    <w:rsid w:val="00D705F1"/>
    <w:rsid w:val="00D70606"/>
    <w:rsid w:val="00D70820"/>
    <w:rsid w:val="00D70936"/>
    <w:rsid w:val="00D70A0F"/>
    <w:rsid w:val="00D70A2A"/>
    <w:rsid w:val="00D70C37"/>
    <w:rsid w:val="00D70E0B"/>
    <w:rsid w:val="00D70E36"/>
    <w:rsid w:val="00D70EDD"/>
    <w:rsid w:val="00D70F43"/>
    <w:rsid w:val="00D70FB2"/>
    <w:rsid w:val="00D712E9"/>
    <w:rsid w:val="00D713F2"/>
    <w:rsid w:val="00D7155D"/>
    <w:rsid w:val="00D7159D"/>
    <w:rsid w:val="00D715AD"/>
    <w:rsid w:val="00D71688"/>
    <w:rsid w:val="00D7191D"/>
    <w:rsid w:val="00D71ACF"/>
    <w:rsid w:val="00D71C5E"/>
    <w:rsid w:val="00D71FE8"/>
    <w:rsid w:val="00D72039"/>
    <w:rsid w:val="00D72567"/>
    <w:rsid w:val="00D725C8"/>
    <w:rsid w:val="00D7268C"/>
    <w:rsid w:val="00D7281D"/>
    <w:rsid w:val="00D72B63"/>
    <w:rsid w:val="00D72C52"/>
    <w:rsid w:val="00D72F22"/>
    <w:rsid w:val="00D732F3"/>
    <w:rsid w:val="00D732F8"/>
    <w:rsid w:val="00D73415"/>
    <w:rsid w:val="00D7399A"/>
    <w:rsid w:val="00D73A12"/>
    <w:rsid w:val="00D73E0B"/>
    <w:rsid w:val="00D73F83"/>
    <w:rsid w:val="00D74073"/>
    <w:rsid w:val="00D74147"/>
    <w:rsid w:val="00D741B2"/>
    <w:rsid w:val="00D741D2"/>
    <w:rsid w:val="00D743B8"/>
    <w:rsid w:val="00D743F5"/>
    <w:rsid w:val="00D744AB"/>
    <w:rsid w:val="00D74541"/>
    <w:rsid w:val="00D747B0"/>
    <w:rsid w:val="00D748B1"/>
    <w:rsid w:val="00D748E1"/>
    <w:rsid w:val="00D7498E"/>
    <w:rsid w:val="00D74A12"/>
    <w:rsid w:val="00D74AEF"/>
    <w:rsid w:val="00D74B4A"/>
    <w:rsid w:val="00D74DF7"/>
    <w:rsid w:val="00D74F08"/>
    <w:rsid w:val="00D74F3F"/>
    <w:rsid w:val="00D74FBE"/>
    <w:rsid w:val="00D75060"/>
    <w:rsid w:val="00D75127"/>
    <w:rsid w:val="00D75218"/>
    <w:rsid w:val="00D75455"/>
    <w:rsid w:val="00D754B5"/>
    <w:rsid w:val="00D75901"/>
    <w:rsid w:val="00D75A6D"/>
    <w:rsid w:val="00D75B5A"/>
    <w:rsid w:val="00D75B80"/>
    <w:rsid w:val="00D75C22"/>
    <w:rsid w:val="00D75C2D"/>
    <w:rsid w:val="00D75C58"/>
    <w:rsid w:val="00D75E3D"/>
    <w:rsid w:val="00D75FA4"/>
    <w:rsid w:val="00D75FAF"/>
    <w:rsid w:val="00D76031"/>
    <w:rsid w:val="00D7614B"/>
    <w:rsid w:val="00D76188"/>
    <w:rsid w:val="00D76246"/>
    <w:rsid w:val="00D764A0"/>
    <w:rsid w:val="00D76B43"/>
    <w:rsid w:val="00D76C6C"/>
    <w:rsid w:val="00D76D10"/>
    <w:rsid w:val="00D76DA3"/>
    <w:rsid w:val="00D76E74"/>
    <w:rsid w:val="00D76ED9"/>
    <w:rsid w:val="00D76FBF"/>
    <w:rsid w:val="00D77031"/>
    <w:rsid w:val="00D770FD"/>
    <w:rsid w:val="00D77305"/>
    <w:rsid w:val="00D773A9"/>
    <w:rsid w:val="00D773AF"/>
    <w:rsid w:val="00D77547"/>
    <w:rsid w:val="00D776AD"/>
    <w:rsid w:val="00D77810"/>
    <w:rsid w:val="00D77AB9"/>
    <w:rsid w:val="00D77AFF"/>
    <w:rsid w:val="00D77CE2"/>
    <w:rsid w:val="00D77D8D"/>
    <w:rsid w:val="00D80016"/>
    <w:rsid w:val="00D8027C"/>
    <w:rsid w:val="00D8046F"/>
    <w:rsid w:val="00D80508"/>
    <w:rsid w:val="00D80645"/>
    <w:rsid w:val="00D80666"/>
    <w:rsid w:val="00D80787"/>
    <w:rsid w:val="00D8081D"/>
    <w:rsid w:val="00D808C2"/>
    <w:rsid w:val="00D8094B"/>
    <w:rsid w:val="00D80AA0"/>
    <w:rsid w:val="00D80AA1"/>
    <w:rsid w:val="00D80D93"/>
    <w:rsid w:val="00D80E0C"/>
    <w:rsid w:val="00D80ED8"/>
    <w:rsid w:val="00D80F26"/>
    <w:rsid w:val="00D8103C"/>
    <w:rsid w:val="00D8107A"/>
    <w:rsid w:val="00D810B3"/>
    <w:rsid w:val="00D81361"/>
    <w:rsid w:val="00D81433"/>
    <w:rsid w:val="00D817A3"/>
    <w:rsid w:val="00D81AB1"/>
    <w:rsid w:val="00D81BA7"/>
    <w:rsid w:val="00D81D66"/>
    <w:rsid w:val="00D8204B"/>
    <w:rsid w:val="00D822A2"/>
    <w:rsid w:val="00D822C4"/>
    <w:rsid w:val="00D824C6"/>
    <w:rsid w:val="00D825FA"/>
    <w:rsid w:val="00D825FD"/>
    <w:rsid w:val="00D8265B"/>
    <w:rsid w:val="00D829A7"/>
    <w:rsid w:val="00D82B94"/>
    <w:rsid w:val="00D82D6C"/>
    <w:rsid w:val="00D8316D"/>
    <w:rsid w:val="00D833B0"/>
    <w:rsid w:val="00D836B3"/>
    <w:rsid w:val="00D837A5"/>
    <w:rsid w:val="00D838CE"/>
    <w:rsid w:val="00D8392E"/>
    <w:rsid w:val="00D83983"/>
    <w:rsid w:val="00D83A65"/>
    <w:rsid w:val="00D83DD2"/>
    <w:rsid w:val="00D84293"/>
    <w:rsid w:val="00D842EF"/>
    <w:rsid w:val="00D842F1"/>
    <w:rsid w:val="00D843DF"/>
    <w:rsid w:val="00D845C0"/>
    <w:rsid w:val="00D8473F"/>
    <w:rsid w:val="00D8480F"/>
    <w:rsid w:val="00D84D8D"/>
    <w:rsid w:val="00D84E34"/>
    <w:rsid w:val="00D84E8F"/>
    <w:rsid w:val="00D84F90"/>
    <w:rsid w:val="00D85027"/>
    <w:rsid w:val="00D85036"/>
    <w:rsid w:val="00D85183"/>
    <w:rsid w:val="00D855C0"/>
    <w:rsid w:val="00D855E4"/>
    <w:rsid w:val="00D85716"/>
    <w:rsid w:val="00D85AB7"/>
    <w:rsid w:val="00D85B7F"/>
    <w:rsid w:val="00D85C24"/>
    <w:rsid w:val="00D8611A"/>
    <w:rsid w:val="00D86191"/>
    <w:rsid w:val="00D861D6"/>
    <w:rsid w:val="00D864ED"/>
    <w:rsid w:val="00D865E0"/>
    <w:rsid w:val="00D86700"/>
    <w:rsid w:val="00D86785"/>
    <w:rsid w:val="00D867E4"/>
    <w:rsid w:val="00D868C3"/>
    <w:rsid w:val="00D868CA"/>
    <w:rsid w:val="00D86916"/>
    <w:rsid w:val="00D869B4"/>
    <w:rsid w:val="00D86A2F"/>
    <w:rsid w:val="00D86ADB"/>
    <w:rsid w:val="00D86DCA"/>
    <w:rsid w:val="00D86ED3"/>
    <w:rsid w:val="00D871B4"/>
    <w:rsid w:val="00D87404"/>
    <w:rsid w:val="00D875A5"/>
    <w:rsid w:val="00D87853"/>
    <w:rsid w:val="00D87C0E"/>
    <w:rsid w:val="00D87CD0"/>
    <w:rsid w:val="00D90342"/>
    <w:rsid w:val="00D903A4"/>
    <w:rsid w:val="00D904AD"/>
    <w:rsid w:val="00D904CF"/>
    <w:rsid w:val="00D90670"/>
    <w:rsid w:val="00D906A2"/>
    <w:rsid w:val="00D906AC"/>
    <w:rsid w:val="00D908F7"/>
    <w:rsid w:val="00D90A7D"/>
    <w:rsid w:val="00D90B7C"/>
    <w:rsid w:val="00D90F5A"/>
    <w:rsid w:val="00D9105D"/>
    <w:rsid w:val="00D91275"/>
    <w:rsid w:val="00D91279"/>
    <w:rsid w:val="00D913B3"/>
    <w:rsid w:val="00D9149E"/>
    <w:rsid w:val="00D91534"/>
    <w:rsid w:val="00D91556"/>
    <w:rsid w:val="00D91597"/>
    <w:rsid w:val="00D91845"/>
    <w:rsid w:val="00D918B8"/>
    <w:rsid w:val="00D91AD7"/>
    <w:rsid w:val="00D91C6B"/>
    <w:rsid w:val="00D91D0D"/>
    <w:rsid w:val="00D91F93"/>
    <w:rsid w:val="00D91FE3"/>
    <w:rsid w:val="00D92498"/>
    <w:rsid w:val="00D92528"/>
    <w:rsid w:val="00D92C90"/>
    <w:rsid w:val="00D92CA9"/>
    <w:rsid w:val="00D92D0A"/>
    <w:rsid w:val="00D92D3E"/>
    <w:rsid w:val="00D93164"/>
    <w:rsid w:val="00D93220"/>
    <w:rsid w:val="00D93261"/>
    <w:rsid w:val="00D933E6"/>
    <w:rsid w:val="00D93535"/>
    <w:rsid w:val="00D93593"/>
    <w:rsid w:val="00D936B8"/>
    <w:rsid w:val="00D93768"/>
    <w:rsid w:val="00D93797"/>
    <w:rsid w:val="00D938D7"/>
    <w:rsid w:val="00D93908"/>
    <w:rsid w:val="00D93B7A"/>
    <w:rsid w:val="00D93D98"/>
    <w:rsid w:val="00D93F72"/>
    <w:rsid w:val="00D94036"/>
    <w:rsid w:val="00D94156"/>
    <w:rsid w:val="00D9429C"/>
    <w:rsid w:val="00D94478"/>
    <w:rsid w:val="00D9464C"/>
    <w:rsid w:val="00D946C4"/>
    <w:rsid w:val="00D9479A"/>
    <w:rsid w:val="00D94870"/>
    <w:rsid w:val="00D9487F"/>
    <w:rsid w:val="00D948D4"/>
    <w:rsid w:val="00D94A27"/>
    <w:rsid w:val="00D94AA1"/>
    <w:rsid w:val="00D94C3D"/>
    <w:rsid w:val="00D94DD1"/>
    <w:rsid w:val="00D94EF1"/>
    <w:rsid w:val="00D94F08"/>
    <w:rsid w:val="00D94F33"/>
    <w:rsid w:val="00D94F4C"/>
    <w:rsid w:val="00D94FC3"/>
    <w:rsid w:val="00D95296"/>
    <w:rsid w:val="00D95766"/>
    <w:rsid w:val="00D95D54"/>
    <w:rsid w:val="00D95DD2"/>
    <w:rsid w:val="00D95DEB"/>
    <w:rsid w:val="00D95EEF"/>
    <w:rsid w:val="00D95EFB"/>
    <w:rsid w:val="00D95FFE"/>
    <w:rsid w:val="00D96049"/>
    <w:rsid w:val="00D9606B"/>
    <w:rsid w:val="00D96463"/>
    <w:rsid w:val="00D96B35"/>
    <w:rsid w:val="00D96CDD"/>
    <w:rsid w:val="00D96D4A"/>
    <w:rsid w:val="00D96E9A"/>
    <w:rsid w:val="00D96FE7"/>
    <w:rsid w:val="00D97137"/>
    <w:rsid w:val="00D973EA"/>
    <w:rsid w:val="00D975D0"/>
    <w:rsid w:val="00D975DA"/>
    <w:rsid w:val="00D97726"/>
    <w:rsid w:val="00D977EA"/>
    <w:rsid w:val="00D97921"/>
    <w:rsid w:val="00D97928"/>
    <w:rsid w:val="00D97A24"/>
    <w:rsid w:val="00D97B1B"/>
    <w:rsid w:val="00D97B96"/>
    <w:rsid w:val="00D97BBF"/>
    <w:rsid w:val="00D97D82"/>
    <w:rsid w:val="00D97EF8"/>
    <w:rsid w:val="00D97F69"/>
    <w:rsid w:val="00DA0007"/>
    <w:rsid w:val="00DA0092"/>
    <w:rsid w:val="00DA019D"/>
    <w:rsid w:val="00DA0202"/>
    <w:rsid w:val="00DA02B7"/>
    <w:rsid w:val="00DA033D"/>
    <w:rsid w:val="00DA0449"/>
    <w:rsid w:val="00DA0541"/>
    <w:rsid w:val="00DA0592"/>
    <w:rsid w:val="00DA0934"/>
    <w:rsid w:val="00DA0941"/>
    <w:rsid w:val="00DA0B12"/>
    <w:rsid w:val="00DA0C4A"/>
    <w:rsid w:val="00DA0EDB"/>
    <w:rsid w:val="00DA0F78"/>
    <w:rsid w:val="00DA0FC8"/>
    <w:rsid w:val="00DA103A"/>
    <w:rsid w:val="00DA11D7"/>
    <w:rsid w:val="00DA125E"/>
    <w:rsid w:val="00DA16C7"/>
    <w:rsid w:val="00DA1893"/>
    <w:rsid w:val="00DA1917"/>
    <w:rsid w:val="00DA1B44"/>
    <w:rsid w:val="00DA1C75"/>
    <w:rsid w:val="00DA247E"/>
    <w:rsid w:val="00DA2816"/>
    <w:rsid w:val="00DA28C0"/>
    <w:rsid w:val="00DA29AB"/>
    <w:rsid w:val="00DA2A4D"/>
    <w:rsid w:val="00DA2C25"/>
    <w:rsid w:val="00DA2C5E"/>
    <w:rsid w:val="00DA2D61"/>
    <w:rsid w:val="00DA3047"/>
    <w:rsid w:val="00DA321E"/>
    <w:rsid w:val="00DA326A"/>
    <w:rsid w:val="00DA3357"/>
    <w:rsid w:val="00DA3440"/>
    <w:rsid w:val="00DA34B4"/>
    <w:rsid w:val="00DA34FA"/>
    <w:rsid w:val="00DA352C"/>
    <w:rsid w:val="00DA3703"/>
    <w:rsid w:val="00DA38B7"/>
    <w:rsid w:val="00DA3A3C"/>
    <w:rsid w:val="00DA3B53"/>
    <w:rsid w:val="00DA3C6F"/>
    <w:rsid w:val="00DA3DB0"/>
    <w:rsid w:val="00DA3E66"/>
    <w:rsid w:val="00DA3FD5"/>
    <w:rsid w:val="00DA411C"/>
    <w:rsid w:val="00DA41CA"/>
    <w:rsid w:val="00DA4252"/>
    <w:rsid w:val="00DA4335"/>
    <w:rsid w:val="00DA4378"/>
    <w:rsid w:val="00DA450F"/>
    <w:rsid w:val="00DA46D5"/>
    <w:rsid w:val="00DA4768"/>
    <w:rsid w:val="00DA47C2"/>
    <w:rsid w:val="00DA488A"/>
    <w:rsid w:val="00DA4A15"/>
    <w:rsid w:val="00DA4AD8"/>
    <w:rsid w:val="00DA4BA4"/>
    <w:rsid w:val="00DA4C45"/>
    <w:rsid w:val="00DA4F57"/>
    <w:rsid w:val="00DA51B1"/>
    <w:rsid w:val="00DA51CF"/>
    <w:rsid w:val="00DA5303"/>
    <w:rsid w:val="00DA5349"/>
    <w:rsid w:val="00DA563E"/>
    <w:rsid w:val="00DA5669"/>
    <w:rsid w:val="00DA572B"/>
    <w:rsid w:val="00DA589E"/>
    <w:rsid w:val="00DA5D88"/>
    <w:rsid w:val="00DA5ED1"/>
    <w:rsid w:val="00DA5FAA"/>
    <w:rsid w:val="00DA616F"/>
    <w:rsid w:val="00DA6207"/>
    <w:rsid w:val="00DA62DB"/>
    <w:rsid w:val="00DA642E"/>
    <w:rsid w:val="00DA65C2"/>
    <w:rsid w:val="00DA665E"/>
    <w:rsid w:val="00DA66BE"/>
    <w:rsid w:val="00DA66E3"/>
    <w:rsid w:val="00DA66E6"/>
    <w:rsid w:val="00DA6730"/>
    <w:rsid w:val="00DA678B"/>
    <w:rsid w:val="00DA68BE"/>
    <w:rsid w:val="00DA6968"/>
    <w:rsid w:val="00DA696A"/>
    <w:rsid w:val="00DA6A8C"/>
    <w:rsid w:val="00DA6A92"/>
    <w:rsid w:val="00DA6B0F"/>
    <w:rsid w:val="00DA6BD6"/>
    <w:rsid w:val="00DA6CF9"/>
    <w:rsid w:val="00DA6E9C"/>
    <w:rsid w:val="00DA6F1D"/>
    <w:rsid w:val="00DA714E"/>
    <w:rsid w:val="00DA743B"/>
    <w:rsid w:val="00DA75B1"/>
    <w:rsid w:val="00DA7843"/>
    <w:rsid w:val="00DA78AF"/>
    <w:rsid w:val="00DA7A51"/>
    <w:rsid w:val="00DA7BED"/>
    <w:rsid w:val="00DA7CC4"/>
    <w:rsid w:val="00DA7CE9"/>
    <w:rsid w:val="00DA7E4E"/>
    <w:rsid w:val="00DA7FC9"/>
    <w:rsid w:val="00DB0279"/>
    <w:rsid w:val="00DB038F"/>
    <w:rsid w:val="00DB04BE"/>
    <w:rsid w:val="00DB05E4"/>
    <w:rsid w:val="00DB08A1"/>
    <w:rsid w:val="00DB08F0"/>
    <w:rsid w:val="00DB099E"/>
    <w:rsid w:val="00DB09A6"/>
    <w:rsid w:val="00DB0C4D"/>
    <w:rsid w:val="00DB0E49"/>
    <w:rsid w:val="00DB0EDD"/>
    <w:rsid w:val="00DB0F1B"/>
    <w:rsid w:val="00DB0F89"/>
    <w:rsid w:val="00DB113E"/>
    <w:rsid w:val="00DB1735"/>
    <w:rsid w:val="00DB1776"/>
    <w:rsid w:val="00DB1822"/>
    <w:rsid w:val="00DB18C9"/>
    <w:rsid w:val="00DB199F"/>
    <w:rsid w:val="00DB1A32"/>
    <w:rsid w:val="00DB1AAC"/>
    <w:rsid w:val="00DB1BE2"/>
    <w:rsid w:val="00DB1C9F"/>
    <w:rsid w:val="00DB1F24"/>
    <w:rsid w:val="00DB20E1"/>
    <w:rsid w:val="00DB20EF"/>
    <w:rsid w:val="00DB214D"/>
    <w:rsid w:val="00DB21FE"/>
    <w:rsid w:val="00DB2277"/>
    <w:rsid w:val="00DB239D"/>
    <w:rsid w:val="00DB25BF"/>
    <w:rsid w:val="00DB2C42"/>
    <w:rsid w:val="00DB2C90"/>
    <w:rsid w:val="00DB2CF9"/>
    <w:rsid w:val="00DB2EE9"/>
    <w:rsid w:val="00DB2FF6"/>
    <w:rsid w:val="00DB330B"/>
    <w:rsid w:val="00DB34AA"/>
    <w:rsid w:val="00DB3618"/>
    <w:rsid w:val="00DB3686"/>
    <w:rsid w:val="00DB371A"/>
    <w:rsid w:val="00DB3724"/>
    <w:rsid w:val="00DB3799"/>
    <w:rsid w:val="00DB3829"/>
    <w:rsid w:val="00DB38AC"/>
    <w:rsid w:val="00DB38E7"/>
    <w:rsid w:val="00DB3960"/>
    <w:rsid w:val="00DB3AC9"/>
    <w:rsid w:val="00DB3AFE"/>
    <w:rsid w:val="00DB3BB9"/>
    <w:rsid w:val="00DB3C5D"/>
    <w:rsid w:val="00DB3E0A"/>
    <w:rsid w:val="00DB3EFD"/>
    <w:rsid w:val="00DB42AA"/>
    <w:rsid w:val="00DB42D0"/>
    <w:rsid w:val="00DB4534"/>
    <w:rsid w:val="00DB48A8"/>
    <w:rsid w:val="00DB48F4"/>
    <w:rsid w:val="00DB4A35"/>
    <w:rsid w:val="00DB4A42"/>
    <w:rsid w:val="00DB4CA1"/>
    <w:rsid w:val="00DB4CA3"/>
    <w:rsid w:val="00DB507A"/>
    <w:rsid w:val="00DB5100"/>
    <w:rsid w:val="00DB5105"/>
    <w:rsid w:val="00DB5200"/>
    <w:rsid w:val="00DB520B"/>
    <w:rsid w:val="00DB565B"/>
    <w:rsid w:val="00DB580E"/>
    <w:rsid w:val="00DB594F"/>
    <w:rsid w:val="00DB5997"/>
    <w:rsid w:val="00DB5BE3"/>
    <w:rsid w:val="00DB5D0F"/>
    <w:rsid w:val="00DB5D30"/>
    <w:rsid w:val="00DB5EC7"/>
    <w:rsid w:val="00DB626D"/>
    <w:rsid w:val="00DB630A"/>
    <w:rsid w:val="00DB634A"/>
    <w:rsid w:val="00DB642E"/>
    <w:rsid w:val="00DB6434"/>
    <w:rsid w:val="00DB6523"/>
    <w:rsid w:val="00DB65CA"/>
    <w:rsid w:val="00DB674A"/>
    <w:rsid w:val="00DB6800"/>
    <w:rsid w:val="00DB68EF"/>
    <w:rsid w:val="00DB6A0C"/>
    <w:rsid w:val="00DB6ABD"/>
    <w:rsid w:val="00DB6C3D"/>
    <w:rsid w:val="00DB6C59"/>
    <w:rsid w:val="00DB6DAF"/>
    <w:rsid w:val="00DB6F6F"/>
    <w:rsid w:val="00DB70C6"/>
    <w:rsid w:val="00DB727D"/>
    <w:rsid w:val="00DB7365"/>
    <w:rsid w:val="00DB7467"/>
    <w:rsid w:val="00DB75E4"/>
    <w:rsid w:val="00DB75EE"/>
    <w:rsid w:val="00DB77FA"/>
    <w:rsid w:val="00DB7A12"/>
    <w:rsid w:val="00DB7AE8"/>
    <w:rsid w:val="00DB7B92"/>
    <w:rsid w:val="00DB7C2A"/>
    <w:rsid w:val="00DB7D37"/>
    <w:rsid w:val="00DB7FA4"/>
    <w:rsid w:val="00DC00AE"/>
    <w:rsid w:val="00DC02BB"/>
    <w:rsid w:val="00DC050A"/>
    <w:rsid w:val="00DC057A"/>
    <w:rsid w:val="00DC05E0"/>
    <w:rsid w:val="00DC0628"/>
    <w:rsid w:val="00DC06EE"/>
    <w:rsid w:val="00DC06FF"/>
    <w:rsid w:val="00DC09B9"/>
    <w:rsid w:val="00DC0A33"/>
    <w:rsid w:val="00DC0C53"/>
    <w:rsid w:val="00DC0FE0"/>
    <w:rsid w:val="00DC1281"/>
    <w:rsid w:val="00DC1452"/>
    <w:rsid w:val="00DC18DE"/>
    <w:rsid w:val="00DC1BA1"/>
    <w:rsid w:val="00DC1CB0"/>
    <w:rsid w:val="00DC1D50"/>
    <w:rsid w:val="00DC1E83"/>
    <w:rsid w:val="00DC1ECD"/>
    <w:rsid w:val="00DC1FA5"/>
    <w:rsid w:val="00DC2092"/>
    <w:rsid w:val="00DC20F6"/>
    <w:rsid w:val="00DC245E"/>
    <w:rsid w:val="00DC2480"/>
    <w:rsid w:val="00DC2658"/>
    <w:rsid w:val="00DC2786"/>
    <w:rsid w:val="00DC2891"/>
    <w:rsid w:val="00DC290A"/>
    <w:rsid w:val="00DC29EE"/>
    <w:rsid w:val="00DC2C1E"/>
    <w:rsid w:val="00DC2F44"/>
    <w:rsid w:val="00DC316E"/>
    <w:rsid w:val="00DC3216"/>
    <w:rsid w:val="00DC384F"/>
    <w:rsid w:val="00DC390F"/>
    <w:rsid w:val="00DC3937"/>
    <w:rsid w:val="00DC3B3E"/>
    <w:rsid w:val="00DC3B9F"/>
    <w:rsid w:val="00DC3DEA"/>
    <w:rsid w:val="00DC3FD5"/>
    <w:rsid w:val="00DC3FE1"/>
    <w:rsid w:val="00DC401F"/>
    <w:rsid w:val="00DC413B"/>
    <w:rsid w:val="00DC4242"/>
    <w:rsid w:val="00DC4267"/>
    <w:rsid w:val="00DC4285"/>
    <w:rsid w:val="00DC4287"/>
    <w:rsid w:val="00DC42EE"/>
    <w:rsid w:val="00DC468A"/>
    <w:rsid w:val="00DC498B"/>
    <w:rsid w:val="00DC49B7"/>
    <w:rsid w:val="00DC4AC5"/>
    <w:rsid w:val="00DC4AD7"/>
    <w:rsid w:val="00DC4B40"/>
    <w:rsid w:val="00DC4B97"/>
    <w:rsid w:val="00DC4CEA"/>
    <w:rsid w:val="00DC4F86"/>
    <w:rsid w:val="00DC5011"/>
    <w:rsid w:val="00DC5103"/>
    <w:rsid w:val="00DC536A"/>
    <w:rsid w:val="00DC5445"/>
    <w:rsid w:val="00DC5501"/>
    <w:rsid w:val="00DC558D"/>
    <w:rsid w:val="00DC5685"/>
    <w:rsid w:val="00DC56AC"/>
    <w:rsid w:val="00DC5C5B"/>
    <w:rsid w:val="00DC5DE4"/>
    <w:rsid w:val="00DC5E1A"/>
    <w:rsid w:val="00DC5E80"/>
    <w:rsid w:val="00DC5F98"/>
    <w:rsid w:val="00DC601A"/>
    <w:rsid w:val="00DC60A9"/>
    <w:rsid w:val="00DC61A3"/>
    <w:rsid w:val="00DC61D0"/>
    <w:rsid w:val="00DC6294"/>
    <w:rsid w:val="00DC6507"/>
    <w:rsid w:val="00DC66C4"/>
    <w:rsid w:val="00DC6710"/>
    <w:rsid w:val="00DC68E9"/>
    <w:rsid w:val="00DC694A"/>
    <w:rsid w:val="00DC695C"/>
    <w:rsid w:val="00DC697D"/>
    <w:rsid w:val="00DC69B8"/>
    <w:rsid w:val="00DC6A1B"/>
    <w:rsid w:val="00DC6C26"/>
    <w:rsid w:val="00DC6D0A"/>
    <w:rsid w:val="00DC6E24"/>
    <w:rsid w:val="00DC6E59"/>
    <w:rsid w:val="00DC70A2"/>
    <w:rsid w:val="00DC713E"/>
    <w:rsid w:val="00DC7203"/>
    <w:rsid w:val="00DC72EC"/>
    <w:rsid w:val="00DC733F"/>
    <w:rsid w:val="00DC74B5"/>
    <w:rsid w:val="00DC75C7"/>
    <w:rsid w:val="00DC765D"/>
    <w:rsid w:val="00DC7677"/>
    <w:rsid w:val="00DC776D"/>
    <w:rsid w:val="00DC77F8"/>
    <w:rsid w:val="00DC7B1E"/>
    <w:rsid w:val="00DC7BFA"/>
    <w:rsid w:val="00DC7C3C"/>
    <w:rsid w:val="00DC7CB3"/>
    <w:rsid w:val="00DC7E1D"/>
    <w:rsid w:val="00DD020E"/>
    <w:rsid w:val="00DD07D1"/>
    <w:rsid w:val="00DD0860"/>
    <w:rsid w:val="00DD09AF"/>
    <w:rsid w:val="00DD0A82"/>
    <w:rsid w:val="00DD0B6D"/>
    <w:rsid w:val="00DD0BE2"/>
    <w:rsid w:val="00DD0D69"/>
    <w:rsid w:val="00DD0FDD"/>
    <w:rsid w:val="00DD1167"/>
    <w:rsid w:val="00DD11A5"/>
    <w:rsid w:val="00DD11C1"/>
    <w:rsid w:val="00DD141A"/>
    <w:rsid w:val="00DD1546"/>
    <w:rsid w:val="00DD154A"/>
    <w:rsid w:val="00DD1562"/>
    <w:rsid w:val="00DD16DF"/>
    <w:rsid w:val="00DD176C"/>
    <w:rsid w:val="00DD1803"/>
    <w:rsid w:val="00DD18A8"/>
    <w:rsid w:val="00DD1C4B"/>
    <w:rsid w:val="00DD1D65"/>
    <w:rsid w:val="00DD2105"/>
    <w:rsid w:val="00DD2196"/>
    <w:rsid w:val="00DD260A"/>
    <w:rsid w:val="00DD2706"/>
    <w:rsid w:val="00DD2848"/>
    <w:rsid w:val="00DD295A"/>
    <w:rsid w:val="00DD29B3"/>
    <w:rsid w:val="00DD2A3B"/>
    <w:rsid w:val="00DD2CA4"/>
    <w:rsid w:val="00DD2CB1"/>
    <w:rsid w:val="00DD2CE6"/>
    <w:rsid w:val="00DD2DC2"/>
    <w:rsid w:val="00DD2E16"/>
    <w:rsid w:val="00DD2E7A"/>
    <w:rsid w:val="00DD2F27"/>
    <w:rsid w:val="00DD2F36"/>
    <w:rsid w:val="00DD2F9C"/>
    <w:rsid w:val="00DD2FD6"/>
    <w:rsid w:val="00DD2FF1"/>
    <w:rsid w:val="00DD305B"/>
    <w:rsid w:val="00DD3568"/>
    <w:rsid w:val="00DD35B0"/>
    <w:rsid w:val="00DD3634"/>
    <w:rsid w:val="00DD365C"/>
    <w:rsid w:val="00DD36FD"/>
    <w:rsid w:val="00DD3753"/>
    <w:rsid w:val="00DD3780"/>
    <w:rsid w:val="00DD3895"/>
    <w:rsid w:val="00DD3914"/>
    <w:rsid w:val="00DD3BED"/>
    <w:rsid w:val="00DD3EE1"/>
    <w:rsid w:val="00DD3EE7"/>
    <w:rsid w:val="00DD3FFB"/>
    <w:rsid w:val="00DD4402"/>
    <w:rsid w:val="00DD478A"/>
    <w:rsid w:val="00DD47D5"/>
    <w:rsid w:val="00DD4944"/>
    <w:rsid w:val="00DD49B5"/>
    <w:rsid w:val="00DD49D2"/>
    <w:rsid w:val="00DD4A02"/>
    <w:rsid w:val="00DD4B56"/>
    <w:rsid w:val="00DD4DC6"/>
    <w:rsid w:val="00DD4DE2"/>
    <w:rsid w:val="00DD4E3D"/>
    <w:rsid w:val="00DD4E9F"/>
    <w:rsid w:val="00DD50CF"/>
    <w:rsid w:val="00DD513C"/>
    <w:rsid w:val="00DD513F"/>
    <w:rsid w:val="00DD5261"/>
    <w:rsid w:val="00DD53F9"/>
    <w:rsid w:val="00DD5758"/>
    <w:rsid w:val="00DD5927"/>
    <w:rsid w:val="00DD5933"/>
    <w:rsid w:val="00DD5AD3"/>
    <w:rsid w:val="00DD5B2C"/>
    <w:rsid w:val="00DD5B7B"/>
    <w:rsid w:val="00DD5BB8"/>
    <w:rsid w:val="00DD5C73"/>
    <w:rsid w:val="00DD5D63"/>
    <w:rsid w:val="00DD5DBE"/>
    <w:rsid w:val="00DD5DE9"/>
    <w:rsid w:val="00DD5F7D"/>
    <w:rsid w:val="00DD6034"/>
    <w:rsid w:val="00DD60EB"/>
    <w:rsid w:val="00DD6490"/>
    <w:rsid w:val="00DD6793"/>
    <w:rsid w:val="00DD691C"/>
    <w:rsid w:val="00DD6939"/>
    <w:rsid w:val="00DD6B0A"/>
    <w:rsid w:val="00DD6D63"/>
    <w:rsid w:val="00DD6EED"/>
    <w:rsid w:val="00DD7202"/>
    <w:rsid w:val="00DD74B0"/>
    <w:rsid w:val="00DD74FB"/>
    <w:rsid w:val="00DD751C"/>
    <w:rsid w:val="00DD7562"/>
    <w:rsid w:val="00DD7640"/>
    <w:rsid w:val="00DD7AFA"/>
    <w:rsid w:val="00DD7B81"/>
    <w:rsid w:val="00DD7D02"/>
    <w:rsid w:val="00DD7F3D"/>
    <w:rsid w:val="00DE003A"/>
    <w:rsid w:val="00DE022C"/>
    <w:rsid w:val="00DE0386"/>
    <w:rsid w:val="00DE0430"/>
    <w:rsid w:val="00DE0459"/>
    <w:rsid w:val="00DE0615"/>
    <w:rsid w:val="00DE0705"/>
    <w:rsid w:val="00DE0B63"/>
    <w:rsid w:val="00DE0B98"/>
    <w:rsid w:val="00DE0BF9"/>
    <w:rsid w:val="00DE0DB3"/>
    <w:rsid w:val="00DE0EFE"/>
    <w:rsid w:val="00DE0FA6"/>
    <w:rsid w:val="00DE11EA"/>
    <w:rsid w:val="00DE14FF"/>
    <w:rsid w:val="00DE1989"/>
    <w:rsid w:val="00DE1A8C"/>
    <w:rsid w:val="00DE1B1B"/>
    <w:rsid w:val="00DE1B6B"/>
    <w:rsid w:val="00DE1DD7"/>
    <w:rsid w:val="00DE1F07"/>
    <w:rsid w:val="00DE21A5"/>
    <w:rsid w:val="00DE21AB"/>
    <w:rsid w:val="00DE21E5"/>
    <w:rsid w:val="00DE227C"/>
    <w:rsid w:val="00DE24EF"/>
    <w:rsid w:val="00DE2664"/>
    <w:rsid w:val="00DE2807"/>
    <w:rsid w:val="00DE28B2"/>
    <w:rsid w:val="00DE2989"/>
    <w:rsid w:val="00DE2AAF"/>
    <w:rsid w:val="00DE2B1E"/>
    <w:rsid w:val="00DE2B2E"/>
    <w:rsid w:val="00DE2C85"/>
    <w:rsid w:val="00DE2C8B"/>
    <w:rsid w:val="00DE2D2E"/>
    <w:rsid w:val="00DE2F8E"/>
    <w:rsid w:val="00DE2FC6"/>
    <w:rsid w:val="00DE3050"/>
    <w:rsid w:val="00DE3073"/>
    <w:rsid w:val="00DE30F5"/>
    <w:rsid w:val="00DE3263"/>
    <w:rsid w:val="00DE32E0"/>
    <w:rsid w:val="00DE34B0"/>
    <w:rsid w:val="00DE3817"/>
    <w:rsid w:val="00DE389E"/>
    <w:rsid w:val="00DE38E1"/>
    <w:rsid w:val="00DE39EB"/>
    <w:rsid w:val="00DE3B5D"/>
    <w:rsid w:val="00DE3BDF"/>
    <w:rsid w:val="00DE3DC7"/>
    <w:rsid w:val="00DE3FFB"/>
    <w:rsid w:val="00DE4018"/>
    <w:rsid w:val="00DE42C2"/>
    <w:rsid w:val="00DE43F9"/>
    <w:rsid w:val="00DE4AC1"/>
    <w:rsid w:val="00DE4C5A"/>
    <w:rsid w:val="00DE4CDF"/>
    <w:rsid w:val="00DE4E09"/>
    <w:rsid w:val="00DE4EE8"/>
    <w:rsid w:val="00DE4FF9"/>
    <w:rsid w:val="00DE51B7"/>
    <w:rsid w:val="00DE5586"/>
    <w:rsid w:val="00DE5753"/>
    <w:rsid w:val="00DE575B"/>
    <w:rsid w:val="00DE57C3"/>
    <w:rsid w:val="00DE5809"/>
    <w:rsid w:val="00DE5AF4"/>
    <w:rsid w:val="00DE5C42"/>
    <w:rsid w:val="00DE5EEB"/>
    <w:rsid w:val="00DE62AB"/>
    <w:rsid w:val="00DE631A"/>
    <w:rsid w:val="00DE63B4"/>
    <w:rsid w:val="00DE642A"/>
    <w:rsid w:val="00DE64A8"/>
    <w:rsid w:val="00DE64C9"/>
    <w:rsid w:val="00DE64F5"/>
    <w:rsid w:val="00DE6587"/>
    <w:rsid w:val="00DE6663"/>
    <w:rsid w:val="00DE6993"/>
    <w:rsid w:val="00DE6A2F"/>
    <w:rsid w:val="00DE6B6B"/>
    <w:rsid w:val="00DE6D7D"/>
    <w:rsid w:val="00DE7145"/>
    <w:rsid w:val="00DE7476"/>
    <w:rsid w:val="00DE74C3"/>
    <w:rsid w:val="00DE76E7"/>
    <w:rsid w:val="00DE774B"/>
    <w:rsid w:val="00DE77DE"/>
    <w:rsid w:val="00DE7E5D"/>
    <w:rsid w:val="00DE7EBA"/>
    <w:rsid w:val="00DE7ED1"/>
    <w:rsid w:val="00DE7FF5"/>
    <w:rsid w:val="00DF0148"/>
    <w:rsid w:val="00DF049A"/>
    <w:rsid w:val="00DF055C"/>
    <w:rsid w:val="00DF0666"/>
    <w:rsid w:val="00DF0760"/>
    <w:rsid w:val="00DF08F8"/>
    <w:rsid w:val="00DF091B"/>
    <w:rsid w:val="00DF097D"/>
    <w:rsid w:val="00DF0B62"/>
    <w:rsid w:val="00DF0D38"/>
    <w:rsid w:val="00DF0E02"/>
    <w:rsid w:val="00DF0EB5"/>
    <w:rsid w:val="00DF0ECD"/>
    <w:rsid w:val="00DF0FCE"/>
    <w:rsid w:val="00DF0FF8"/>
    <w:rsid w:val="00DF1120"/>
    <w:rsid w:val="00DF1149"/>
    <w:rsid w:val="00DF12A3"/>
    <w:rsid w:val="00DF136F"/>
    <w:rsid w:val="00DF141A"/>
    <w:rsid w:val="00DF147E"/>
    <w:rsid w:val="00DF150F"/>
    <w:rsid w:val="00DF1519"/>
    <w:rsid w:val="00DF164F"/>
    <w:rsid w:val="00DF17CA"/>
    <w:rsid w:val="00DF182F"/>
    <w:rsid w:val="00DF1A20"/>
    <w:rsid w:val="00DF1AC2"/>
    <w:rsid w:val="00DF1C80"/>
    <w:rsid w:val="00DF1D41"/>
    <w:rsid w:val="00DF1D73"/>
    <w:rsid w:val="00DF1E29"/>
    <w:rsid w:val="00DF1ED8"/>
    <w:rsid w:val="00DF1F0B"/>
    <w:rsid w:val="00DF2033"/>
    <w:rsid w:val="00DF209A"/>
    <w:rsid w:val="00DF23A6"/>
    <w:rsid w:val="00DF23FB"/>
    <w:rsid w:val="00DF24CA"/>
    <w:rsid w:val="00DF24CB"/>
    <w:rsid w:val="00DF25B8"/>
    <w:rsid w:val="00DF2621"/>
    <w:rsid w:val="00DF2991"/>
    <w:rsid w:val="00DF2BD5"/>
    <w:rsid w:val="00DF2C97"/>
    <w:rsid w:val="00DF2CD4"/>
    <w:rsid w:val="00DF2DF8"/>
    <w:rsid w:val="00DF2FB1"/>
    <w:rsid w:val="00DF301A"/>
    <w:rsid w:val="00DF3127"/>
    <w:rsid w:val="00DF31F4"/>
    <w:rsid w:val="00DF3312"/>
    <w:rsid w:val="00DF33B1"/>
    <w:rsid w:val="00DF34C0"/>
    <w:rsid w:val="00DF35DD"/>
    <w:rsid w:val="00DF3864"/>
    <w:rsid w:val="00DF393E"/>
    <w:rsid w:val="00DF3C19"/>
    <w:rsid w:val="00DF3D20"/>
    <w:rsid w:val="00DF3D5A"/>
    <w:rsid w:val="00DF3DA9"/>
    <w:rsid w:val="00DF3E96"/>
    <w:rsid w:val="00DF4006"/>
    <w:rsid w:val="00DF406F"/>
    <w:rsid w:val="00DF42AA"/>
    <w:rsid w:val="00DF4500"/>
    <w:rsid w:val="00DF4685"/>
    <w:rsid w:val="00DF489C"/>
    <w:rsid w:val="00DF4947"/>
    <w:rsid w:val="00DF499F"/>
    <w:rsid w:val="00DF4C6F"/>
    <w:rsid w:val="00DF503F"/>
    <w:rsid w:val="00DF51DC"/>
    <w:rsid w:val="00DF51DD"/>
    <w:rsid w:val="00DF5263"/>
    <w:rsid w:val="00DF5384"/>
    <w:rsid w:val="00DF54D1"/>
    <w:rsid w:val="00DF54F5"/>
    <w:rsid w:val="00DF5641"/>
    <w:rsid w:val="00DF599A"/>
    <w:rsid w:val="00DF5D07"/>
    <w:rsid w:val="00DF5FF2"/>
    <w:rsid w:val="00DF60B1"/>
    <w:rsid w:val="00DF6270"/>
    <w:rsid w:val="00DF629A"/>
    <w:rsid w:val="00DF629F"/>
    <w:rsid w:val="00DF65A2"/>
    <w:rsid w:val="00DF6688"/>
    <w:rsid w:val="00DF6903"/>
    <w:rsid w:val="00DF6982"/>
    <w:rsid w:val="00DF6B2C"/>
    <w:rsid w:val="00DF6CBC"/>
    <w:rsid w:val="00DF6D8C"/>
    <w:rsid w:val="00DF6D9A"/>
    <w:rsid w:val="00DF6E35"/>
    <w:rsid w:val="00DF70E2"/>
    <w:rsid w:val="00DF7296"/>
    <w:rsid w:val="00DF72B1"/>
    <w:rsid w:val="00DF7339"/>
    <w:rsid w:val="00DF73FB"/>
    <w:rsid w:val="00DF74E4"/>
    <w:rsid w:val="00DF7552"/>
    <w:rsid w:val="00DF758E"/>
    <w:rsid w:val="00DF75E2"/>
    <w:rsid w:val="00DF7614"/>
    <w:rsid w:val="00DF780F"/>
    <w:rsid w:val="00DF7849"/>
    <w:rsid w:val="00DF79DA"/>
    <w:rsid w:val="00DF7C8A"/>
    <w:rsid w:val="00DF7CFD"/>
    <w:rsid w:val="00DF7D6B"/>
    <w:rsid w:val="00DF7E33"/>
    <w:rsid w:val="00DF7F1A"/>
    <w:rsid w:val="00E001F8"/>
    <w:rsid w:val="00E00221"/>
    <w:rsid w:val="00E00254"/>
    <w:rsid w:val="00E0032A"/>
    <w:rsid w:val="00E004C8"/>
    <w:rsid w:val="00E004EE"/>
    <w:rsid w:val="00E005AA"/>
    <w:rsid w:val="00E005CB"/>
    <w:rsid w:val="00E006E4"/>
    <w:rsid w:val="00E007F8"/>
    <w:rsid w:val="00E00838"/>
    <w:rsid w:val="00E008B3"/>
    <w:rsid w:val="00E008C1"/>
    <w:rsid w:val="00E00AE3"/>
    <w:rsid w:val="00E00BB6"/>
    <w:rsid w:val="00E00DA0"/>
    <w:rsid w:val="00E00F1C"/>
    <w:rsid w:val="00E00F74"/>
    <w:rsid w:val="00E01195"/>
    <w:rsid w:val="00E0173F"/>
    <w:rsid w:val="00E0187C"/>
    <w:rsid w:val="00E01B6C"/>
    <w:rsid w:val="00E01BD5"/>
    <w:rsid w:val="00E01C11"/>
    <w:rsid w:val="00E01E3B"/>
    <w:rsid w:val="00E01EBA"/>
    <w:rsid w:val="00E01F1C"/>
    <w:rsid w:val="00E01F31"/>
    <w:rsid w:val="00E02198"/>
    <w:rsid w:val="00E021BE"/>
    <w:rsid w:val="00E022AE"/>
    <w:rsid w:val="00E02440"/>
    <w:rsid w:val="00E02454"/>
    <w:rsid w:val="00E0247D"/>
    <w:rsid w:val="00E02527"/>
    <w:rsid w:val="00E0259A"/>
    <w:rsid w:val="00E02722"/>
    <w:rsid w:val="00E028C9"/>
    <w:rsid w:val="00E02945"/>
    <w:rsid w:val="00E02C59"/>
    <w:rsid w:val="00E02D3E"/>
    <w:rsid w:val="00E030CD"/>
    <w:rsid w:val="00E031C8"/>
    <w:rsid w:val="00E031CD"/>
    <w:rsid w:val="00E0328C"/>
    <w:rsid w:val="00E033B2"/>
    <w:rsid w:val="00E0351B"/>
    <w:rsid w:val="00E0354B"/>
    <w:rsid w:val="00E03678"/>
    <w:rsid w:val="00E037FB"/>
    <w:rsid w:val="00E0388B"/>
    <w:rsid w:val="00E039D7"/>
    <w:rsid w:val="00E039EA"/>
    <w:rsid w:val="00E03A96"/>
    <w:rsid w:val="00E03ACC"/>
    <w:rsid w:val="00E03BB1"/>
    <w:rsid w:val="00E03D32"/>
    <w:rsid w:val="00E03E92"/>
    <w:rsid w:val="00E03F99"/>
    <w:rsid w:val="00E04039"/>
    <w:rsid w:val="00E04070"/>
    <w:rsid w:val="00E041B7"/>
    <w:rsid w:val="00E04258"/>
    <w:rsid w:val="00E04341"/>
    <w:rsid w:val="00E04342"/>
    <w:rsid w:val="00E0434D"/>
    <w:rsid w:val="00E0456B"/>
    <w:rsid w:val="00E0473A"/>
    <w:rsid w:val="00E047D3"/>
    <w:rsid w:val="00E048A0"/>
    <w:rsid w:val="00E048A9"/>
    <w:rsid w:val="00E048E7"/>
    <w:rsid w:val="00E04927"/>
    <w:rsid w:val="00E04A29"/>
    <w:rsid w:val="00E04B8C"/>
    <w:rsid w:val="00E04BF0"/>
    <w:rsid w:val="00E04F4D"/>
    <w:rsid w:val="00E04FFC"/>
    <w:rsid w:val="00E05008"/>
    <w:rsid w:val="00E052F5"/>
    <w:rsid w:val="00E0533B"/>
    <w:rsid w:val="00E05359"/>
    <w:rsid w:val="00E05668"/>
    <w:rsid w:val="00E05909"/>
    <w:rsid w:val="00E05A27"/>
    <w:rsid w:val="00E05A89"/>
    <w:rsid w:val="00E05B17"/>
    <w:rsid w:val="00E05B70"/>
    <w:rsid w:val="00E05BA7"/>
    <w:rsid w:val="00E05D94"/>
    <w:rsid w:val="00E05E67"/>
    <w:rsid w:val="00E05F57"/>
    <w:rsid w:val="00E06034"/>
    <w:rsid w:val="00E0611B"/>
    <w:rsid w:val="00E0612D"/>
    <w:rsid w:val="00E0617B"/>
    <w:rsid w:val="00E0627D"/>
    <w:rsid w:val="00E063D9"/>
    <w:rsid w:val="00E06483"/>
    <w:rsid w:val="00E06653"/>
    <w:rsid w:val="00E06847"/>
    <w:rsid w:val="00E069D5"/>
    <w:rsid w:val="00E06B59"/>
    <w:rsid w:val="00E06B94"/>
    <w:rsid w:val="00E06E3E"/>
    <w:rsid w:val="00E06E85"/>
    <w:rsid w:val="00E06ED9"/>
    <w:rsid w:val="00E0720E"/>
    <w:rsid w:val="00E0733F"/>
    <w:rsid w:val="00E07397"/>
    <w:rsid w:val="00E07690"/>
    <w:rsid w:val="00E076A2"/>
    <w:rsid w:val="00E076A7"/>
    <w:rsid w:val="00E076B7"/>
    <w:rsid w:val="00E07850"/>
    <w:rsid w:val="00E07ABF"/>
    <w:rsid w:val="00E100F0"/>
    <w:rsid w:val="00E101D2"/>
    <w:rsid w:val="00E10237"/>
    <w:rsid w:val="00E1059D"/>
    <w:rsid w:val="00E106B2"/>
    <w:rsid w:val="00E10755"/>
    <w:rsid w:val="00E10961"/>
    <w:rsid w:val="00E109AD"/>
    <w:rsid w:val="00E10AA1"/>
    <w:rsid w:val="00E10C4A"/>
    <w:rsid w:val="00E10D25"/>
    <w:rsid w:val="00E10E2E"/>
    <w:rsid w:val="00E10E38"/>
    <w:rsid w:val="00E10F94"/>
    <w:rsid w:val="00E10FCC"/>
    <w:rsid w:val="00E112D9"/>
    <w:rsid w:val="00E11359"/>
    <w:rsid w:val="00E113B5"/>
    <w:rsid w:val="00E11481"/>
    <w:rsid w:val="00E1148C"/>
    <w:rsid w:val="00E11607"/>
    <w:rsid w:val="00E1163A"/>
    <w:rsid w:val="00E11837"/>
    <w:rsid w:val="00E118F5"/>
    <w:rsid w:val="00E11A3C"/>
    <w:rsid w:val="00E11A41"/>
    <w:rsid w:val="00E11A43"/>
    <w:rsid w:val="00E11B1C"/>
    <w:rsid w:val="00E11B55"/>
    <w:rsid w:val="00E11E91"/>
    <w:rsid w:val="00E12017"/>
    <w:rsid w:val="00E12066"/>
    <w:rsid w:val="00E120B4"/>
    <w:rsid w:val="00E124CB"/>
    <w:rsid w:val="00E12805"/>
    <w:rsid w:val="00E12B1E"/>
    <w:rsid w:val="00E12B2A"/>
    <w:rsid w:val="00E12DC2"/>
    <w:rsid w:val="00E12F40"/>
    <w:rsid w:val="00E13090"/>
    <w:rsid w:val="00E130CF"/>
    <w:rsid w:val="00E131F4"/>
    <w:rsid w:val="00E132B9"/>
    <w:rsid w:val="00E136FE"/>
    <w:rsid w:val="00E13758"/>
    <w:rsid w:val="00E1378A"/>
    <w:rsid w:val="00E13817"/>
    <w:rsid w:val="00E138DD"/>
    <w:rsid w:val="00E139DE"/>
    <w:rsid w:val="00E139F7"/>
    <w:rsid w:val="00E13C33"/>
    <w:rsid w:val="00E13C3D"/>
    <w:rsid w:val="00E13D05"/>
    <w:rsid w:val="00E13DBB"/>
    <w:rsid w:val="00E13E7E"/>
    <w:rsid w:val="00E140C7"/>
    <w:rsid w:val="00E140F3"/>
    <w:rsid w:val="00E14108"/>
    <w:rsid w:val="00E1415D"/>
    <w:rsid w:val="00E1438E"/>
    <w:rsid w:val="00E144BA"/>
    <w:rsid w:val="00E144E0"/>
    <w:rsid w:val="00E14513"/>
    <w:rsid w:val="00E1457C"/>
    <w:rsid w:val="00E14593"/>
    <w:rsid w:val="00E14745"/>
    <w:rsid w:val="00E148FA"/>
    <w:rsid w:val="00E14A94"/>
    <w:rsid w:val="00E14BA5"/>
    <w:rsid w:val="00E14C07"/>
    <w:rsid w:val="00E14CF2"/>
    <w:rsid w:val="00E14DA3"/>
    <w:rsid w:val="00E14EC7"/>
    <w:rsid w:val="00E14F56"/>
    <w:rsid w:val="00E14FF2"/>
    <w:rsid w:val="00E1520B"/>
    <w:rsid w:val="00E153D7"/>
    <w:rsid w:val="00E15501"/>
    <w:rsid w:val="00E15B5D"/>
    <w:rsid w:val="00E15ECC"/>
    <w:rsid w:val="00E15F49"/>
    <w:rsid w:val="00E15F8F"/>
    <w:rsid w:val="00E15FC7"/>
    <w:rsid w:val="00E162A2"/>
    <w:rsid w:val="00E16309"/>
    <w:rsid w:val="00E163DC"/>
    <w:rsid w:val="00E163F7"/>
    <w:rsid w:val="00E16426"/>
    <w:rsid w:val="00E1649F"/>
    <w:rsid w:val="00E164C3"/>
    <w:rsid w:val="00E16639"/>
    <w:rsid w:val="00E166B9"/>
    <w:rsid w:val="00E16739"/>
    <w:rsid w:val="00E1698C"/>
    <w:rsid w:val="00E16A00"/>
    <w:rsid w:val="00E16AA6"/>
    <w:rsid w:val="00E16C07"/>
    <w:rsid w:val="00E16E73"/>
    <w:rsid w:val="00E16FAD"/>
    <w:rsid w:val="00E1737A"/>
    <w:rsid w:val="00E173AB"/>
    <w:rsid w:val="00E173CC"/>
    <w:rsid w:val="00E174E3"/>
    <w:rsid w:val="00E177D8"/>
    <w:rsid w:val="00E17A4A"/>
    <w:rsid w:val="00E17B7B"/>
    <w:rsid w:val="00E17BC6"/>
    <w:rsid w:val="00E17C22"/>
    <w:rsid w:val="00E17C2F"/>
    <w:rsid w:val="00E17CF6"/>
    <w:rsid w:val="00E17DA5"/>
    <w:rsid w:val="00E17E22"/>
    <w:rsid w:val="00E17ECE"/>
    <w:rsid w:val="00E2022E"/>
    <w:rsid w:val="00E20392"/>
    <w:rsid w:val="00E203EE"/>
    <w:rsid w:val="00E2049D"/>
    <w:rsid w:val="00E2078D"/>
    <w:rsid w:val="00E20B14"/>
    <w:rsid w:val="00E20B79"/>
    <w:rsid w:val="00E20BC6"/>
    <w:rsid w:val="00E20C2E"/>
    <w:rsid w:val="00E20C63"/>
    <w:rsid w:val="00E20CF5"/>
    <w:rsid w:val="00E20EAC"/>
    <w:rsid w:val="00E21134"/>
    <w:rsid w:val="00E2122E"/>
    <w:rsid w:val="00E212E8"/>
    <w:rsid w:val="00E2139A"/>
    <w:rsid w:val="00E21458"/>
    <w:rsid w:val="00E2174E"/>
    <w:rsid w:val="00E2178F"/>
    <w:rsid w:val="00E21858"/>
    <w:rsid w:val="00E2189B"/>
    <w:rsid w:val="00E21C46"/>
    <w:rsid w:val="00E21C84"/>
    <w:rsid w:val="00E21D96"/>
    <w:rsid w:val="00E21FBA"/>
    <w:rsid w:val="00E21FD5"/>
    <w:rsid w:val="00E2204B"/>
    <w:rsid w:val="00E22131"/>
    <w:rsid w:val="00E22267"/>
    <w:rsid w:val="00E222A5"/>
    <w:rsid w:val="00E222F2"/>
    <w:rsid w:val="00E22753"/>
    <w:rsid w:val="00E2276A"/>
    <w:rsid w:val="00E227AD"/>
    <w:rsid w:val="00E22972"/>
    <w:rsid w:val="00E229D6"/>
    <w:rsid w:val="00E22AD2"/>
    <w:rsid w:val="00E22B8C"/>
    <w:rsid w:val="00E22BA2"/>
    <w:rsid w:val="00E22CA9"/>
    <w:rsid w:val="00E22EB2"/>
    <w:rsid w:val="00E22F3A"/>
    <w:rsid w:val="00E23202"/>
    <w:rsid w:val="00E2341F"/>
    <w:rsid w:val="00E23474"/>
    <w:rsid w:val="00E23479"/>
    <w:rsid w:val="00E23589"/>
    <w:rsid w:val="00E236F1"/>
    <w:rsid w:val="00E23856"/>
    <w:rsid w:val="00E23A82"/>
    <w:rsid w:val="00E23B2F"/>
    <w:rsid w:val="00E23C18"/>
    <w:rsid w:val="00E23C3F"/>
    <w:rsid w:val="00E23FAF"/>
    <w:rsid w:val="00E24106"/>
    <w:rsid w:val="00E2419E"/>
    <w:rsid w:val="00E243D6"/>
    <w:rsid w:val="00E2445A"/>
    <w:rsid w:val="00E24471"/>
    <w:rsid w:val="00E2452D"/>
    <w:rsid w:val="00E24543"/>
    <w:rsid w:val="00E245E7"/>
    <w:rsid w:val="00E24AA2"/>
    <w:rsid w:val="00E24B91"/>
    <w:rsid w:val="00E24E6D"/>
    <w:rsid w:val="00E24ED1"/>
    <w:rsid w:val="00E25157"/>
    <w:rsid w:val="00E252C3"/>
    <w:rsid w:val="00E2531A"/>
    <w:rsid w:val="00E2538A"/>
    <w:rsid w:val="00E25663"/>
    <w:rsid w:val="00E256A7"/>
    <w:rsid w:val="00E2573C"/>
    <w:rsid w:val="00E259A5"/>
    <w:rsid w:val="00E259BD"/>
    <w:rsid w:val="00E25BFD"/>
    <w:rsid w:val="00E25C0A"/>
    <w:rsid w:val="00E25CFD"/>
    <w:rsid w:val="00E25DC8"/>
    <w:rsid w:val="00E25E9D"/>
    <w:rsid w:val="00E26187"/>
    <w:rsid w:val="00E262DB"/>
    <w:rsid w:val="00E26625"/>
    <w:rsid w:val="00E266FC"/>
    <w:rsid w:val="00E26719"/>
    <w:rsid w:val="00E2684D"/>
    <w:rsid w:val="00E2689E"/>
    <w:rsid w:val="00E26E4E"/>
    <w:rsid w:val="00E26EC5"/>
    <w:rsid w:val="00E26EE4"/>
    <w:rsid w:val="00E26F2C"/>
    <w:rsid w:val="00E270A7"/>
    <w:rsid w:val="00E2710C"/>
    <w:rsid w:val="00E273B9"/>
    <w:rsid w:val="00E276E7"/>
    <w:rsid w:val="00E277E5"/>
    <w:rsid w:val="00E27803"/>
    <w:rsid w:val="00E27A28"/>
    <w:rsid w:val="00E27C0F"/>
    <w:rsid w:val="00E27C3C"/>
    <w:rsid w:val="00E27C71"/>
    <w:rsid w:val="00E27CC9"/>
    <w:rsid w:val="00E27E85"/>
    <w:rsid w:val="00E27ECC"/>
    <w:rsid w:val="00E30073"/>
    <w:rsid w:val="00E3007D"/>
    <w:rsid w:val="00E305DC"/>
    <w:rsid w:val="00E3074C"/>
    <w:rsid w:val="00E307AD"/>
    <w:rsid w:val="00E308BF"/>
    <w:rsid w:val="00E3090F"/>
    <w:rsid w:val="00E309FD"/>
    <w:rsid w:val="00E30C09"/>
    <w:rsid w:val="00E30C5C"/>
    <w:rsid w:val="00E30C88"/>
    <w:rsid w:val="00E30E15"/>
    <w:rsid w:val="00E30F2E"/>
    <w:rsid w:val="00E30FBB"/>
    <w:rsid w:val="00E31068"/>
    <w:rsid w:val="00E310B2"/>
    <w:rsid w:val="00E31250"/>
    <w:rsid w:val="00E3152A"/>
    <w:rsid w:val="00E31695"/>
    <w:rsid w:val="00E31791"/>
    <w:rsid w:val="00E31823"/>
    <w:rsid w:val="00E319E8"/>
    <w:rsid w:val="00E319FB"/>
    <w:rsid w:val="00E31A47"/>
    <w:rsid w:val="00E31ADF"/>
    <w:rsid w:val="00E31B5B"/>
    <w:rsid w:val="00E31F78"/>
    <w:rsid w:val="00E32049"/>
    <w:rsid w:val="00E32056"/>
    <w:rsid w:val="00E3210F"/>
    <w:rsid w:val="00E32180"/>
    <w:rsid w:val="00E32384"/>
    <w:rsid w:val="00E3247C"/>
    <w:rsid w:val="00E32505"/>
    <w:rsid w:val="00E326A7"/>
    <w:rsid w:val="00E32922"/>
    <w:rsid w:val="00E32926"/>
    <w:rsid w:val="00E32BA0"/>
    <w:rsid w:val="00E32C03"/>
    <w:rsid w:val="00E32DE7"/>
    <w:rsid w:val="00E32EBF"/>
    <w:rsid w:val="00E33167"/>
    <w:rsid w:val="00E33197"/>
    <w:rsid w:val="00E3353A"/>
    <w:rsid w:val="00E33617"/>
    <w:rsid w:val="00E3385B"/>
    <w:rsid w:val="00E33B0D"/>
    <w:rsid w:val="00E33BA3"/>
    <w:rsid w:val="00E33E65"/>
    <w:rsid w:val="00E33F05"/>
    <w:rsid w:val="00E33F67"/>
    <w:rsid w:val="00E33FAA"/>
    <w:rsid w:val="00E3410B"/>
    <w:rsid w:val="00E342AF"/>
    <w:rsid w:val="00E343FC"/>
    <w:rsid w:val="00E345D8"/>
    <w:rsid w:val="00E346C9"/>
    <w:rsid w:val="00E34836"/>
    <w:rsid w:val="00E3486F"/>
    <w:rsid w:val="00E34BC0"/>
    <w:rsid w:val="00E34D78"/>
    <w:rsid w:val="00E34D9F"/>
    <w:rsid w:val="00E34E21"/>
    <w:rsid w:val="00E34E5A"/>
    <w:rsid w:val="00E34E9A"/>
    <w:rsid w:val="00E34ED2"/>
    <w:rsid w:val="00E34FDC"/>
    <w:rsid w:val="00E34FF3"/>
    <w:rsid w:val="00E35221"/>
    <w:rsid w:val="00E35245"/>
    <w:rsid w:val="00E35446"/>
    <w:rsid w:val="00E359A7"/>
    <w:rsid w:val="00E359E0"/>
    <w:rsid w:val="00E35B0B"/>
    <w:rsid w:val="00E35C18"/>
    <w:rsid w:val="00E35C5E"/>
    <w:rsid w:val="00E35D57"/>
    <w:rsid w:val="00E35DCE"/>
    <w:rsid w:val="00E35F0F"/>
    <w:rsid w:val="00E35F16"/>
    <w:rsid w:val="00E360A3"/>
    <w:rsid w:val="00E36102"/>
    <w:rsid w:val="00E36219"/>
    <w:rsid w:val="00E3624A"/>
    <w:rsid w:val="00E36273"/>
    <w:rsid w:val="00E364D2"/>
    <w:rsid w:val="00E3663C"/>
    <w:rsid w:val="00E36670"/>
    <w:rsid w:val="00E36B6F"/>
    <w:rsid w:val="00E36B99"/>
    <w:rsid w:val="00E36BA9"/>
    <w:rsid w:val="00E36C2F"/>
    <w:rsid w:val="00E36CC7"/>
    <w:rsid w:val="00E36D4F"/>
    <w:rsid w:val="00E36D79"/>
    <w:rsid w:val="00E36F7E"/>
    <w:rsid w:val="00E37190"/>
    <w:rsid w:val="00E371B7"/>
    <w:rsid w:val="00E37349"/>
    <w:rsid w:val="00E375C6"/>
    <w:rsid w:val="00E3773E"/>
    <w:rsid w:val="00E378B6"/>
    <w:rsid w:val="00E37D0C"/>
    <w:rsid w:val="00E37E6C"/>
    <w:rsid w:val="00E37F9D"/>
    <w:rsid w:val="00E37FDB"/>
    <w:rsid w:val="00E400BF"/>
    <w:rsid w:val="00E40227"/>
    <w:rsid w:val="00E402B8"/>
    <w:rsid w:val="00E404A6"/>
    <w:rsid w:val="00E40530"/>
    <w:rsid w:val="00E40567"/>
    <w:rsid w:val="00E40AE2"/>
    <w:rsid w:val="00E40E0C"/>
    <w:rsid w:val="00E41150"/>
    <w:rsid w:val="00E41292"/>
    <w:rsid w:val="00E41815"/>
    <w:rsid w:val="00E4194F"/>
    <w:rsid w:val="00E41A22"/>
    <w:rsid w:val="00E41AA5"/>
    <w:rsid w:val="00E41C12"/>
    <w:rsid w:val="00E41C35"/>
    <w:rsid w:val="00E41C7F"/>
    <w:rsid w:val="00E41D1D"/>
    <w:rsid w:val="00E41E98"/>
    <w:rsid w:val="00E41F30"/>
    <w:rsid w:val="00E41FD2"/>
    <w:rsid w:val="00E41FF1"/>
    <w:rsid w:val="00E42043"/>
    <w:rsid w:val="00E42094"/>
    <w:rsid w:val="00E420D1"/>
    <w:rsid w:val="00E421D8"/>
    <w:rsid w:val="00E42222"/>
    <w:rsid w:val="00E4244C"/>
    <w:rsid w:val="00E424EE"/>
    <w:rsid w:val="00E42557"/>
    <w:rsid w:val="00E4266B"/>
    <w:rsid w:val="00E42680"/>
    <w:rsid w:val="00E42841"/>
    <w:rsid w:val="00E42A0A"/>
    <w:rsid w:val="00E42CF9"/>
    <w:rsid w:val="00E42CFC"/>
    <w:rsid w:val="00E42DBC"/>
    <w:rsid w:val="00E42E0B"/>
    <w:rsid w:val="00E42EAB"/>
    <w:rsid w:val="00E42FFC"/>
    <w:rsid w:val="00E43003"/>
    <w:rsid w:val="00E4310F"/>
    <w:rsid w:val="00E432AA"/>
    <w:rsid w:val="00E43367"/>
    <w:rsid w:val="00E4342B"/>
    <w:rsid w:val="00E434CE"/>
    <w:rsid w:val="00E43774"/>
    <w:rsid w:val="00E437C8"/>
    <w:rsid w:val="00E43858"/>
    <w:rsid w:val="00E439D6"/>
    <w:rsid w:val="00E43BB8"/>
    <w:rsid w:val="00E43C21"/>
    <w:rsid w:val="00E43DDA"/>
    <w:rsid w:val="00E43E50"/>
    <w:rsid w:val="00E43FBB"/>
    <w:rsid w:val="00E440A5"/>
    <w:rsid w:val="00E444EC"/>
    <w:rsid w:val="00E4460B"/>
    <w:rsid w:val="00E446F2"/>
    <w:rsid w:val="00E44761"/>
    <w:rsid w:val="00E4479A"/>
    <w:rsid w:val="00E44831"/>
    <w:rsid w:val="00E44ABC"/>
    <w:rsid w:val="00E44CFF"/>
    <w:rsid w:val="00E44F96"/>
    <w:rsid w:val="00E450E0"/>
    <w:rsid w:val="00E4510D"/>
    <w:rsid w:val="00E45285"/>
    <w:rsid w:val="00E4574C"/>
    <w:rsid w:val="00E4580B"/>
    <w:rsid w:val="00E4580D"/>
    <w:rsid w:val="00E45885"/>
    <w:rsid w:val="00E45EB0"/>
    <w:rsid w:val="00E46091"/>
    <w:rsid w:val="00E461C3"/>
    <w:rsid w:val="00E462C9"/>
    <w:rsid w:val="00E462FC"/>
    <w:rsid w:val="00E4637A"/>
    <w:rsid w:val="00E46551"/>
    <w:rsid w:val="00E46572"/>
    <w:rsid w:val="00E46590"/>
    <w:rsid w:val="00E4661B"/>
    <w:rsid w:val="00E46654"/>
    <w:rsid w:val="00E46695"/>
    <w:rsid w:val="00E466EF"/>
    <w:rsid w:val="00E467BC"/>
    <w:rsid w:val="00E46924"/>
    <w:rsid w:val="00E46BF2"/>
    <w:rsid w:val="00E46CA3"/>
    <w:rsid w:val="00E46CF6"/>
    <w:rsid w:val="00E46D09"/>
    <w:rsid w:val="00E46E24"/>
    <w:rsid w:val="00E46E3A"/>
    <w:rsid w:val="00E46E45"/>
    <w:rsid w:val="00E47226"/>
    <w:rsid w:val="00E477FA"/>
    <w:rsid w:val="00E4789E"/>
    <w:rsid w:val="00E47C02"/>
    <w:rsid w:val="00E47C93"/>
    <w:rsid w:val="00E47D1A"/>
    <w:rsid w:val="00E47DA2"/>
    <w:rsid w:val="00E47E81"/>
    <w:rsid w:val="00E47FD1"/>
    <w:rsid w:val="00E47FE9"/>
    <w:rsid w:val="00E50010"/>
    <w:rsid w:val="00E50013"/>
    <w:rsid w:val="00E500E9"/>
    <w:rsid w:val="00E5015E"/>
    <w:rsid w:val="00E50233"/>
    <w:rsid w:val="00E504C7"/>
    <w:rsid w:val="00E5082C"/>
    <w:rsid w:val="00E50862"/>
    <w:rsid w:val="00E508B3"/>
    <w:rsid w:val="00E509B3"/>
    <w:rsid w:val="00E509C2"/>
    <w:rsid w:val="00E50C27"/>
    <w:rsid w:val="00E50CF5"/>
    <w:rsid w:val="00E50EAF"/>
    <w:rsid w:val="00E50ECA"/>
    <w:rsid w:val="00E50EF6"/>
    <w:rsid w:val="00E50F96"/>
    <w:rsid w:val="00E5104E"/>
    <w:rsid w:val="00E510CF"/>
    <w:rsid w:val="00E514CA"/>
    <w:rsid w:val="00E516A8"/>
    <w:rsid w:val="00E5194F"/>
    <w:rsid w:val="00E519A0"/>
    <w:rsid w:val="00E51AF7"/>
    <w:rsid w:val="00E51B3E"/>
    <w:rsid w:val="00E51C58"/>
    <w:rsid w:val="00E51D3E"/>
    <w:rsid w:val="00E51D4D"/>
    <w:rsid w:val="00E51EFF"/>
    <w:rsid w:val="00E520D8"/>
    <w:rsid w:val="00E521E4"/>
    <w:rsid w:val="00E523B0"/>
    <w:rsid w:val="00E523E0"/>
    <w:rsid w:val="00E52439"/>
    <w:rsid w:val="00E524FF"/>
    <w:rsid w:val="00E52605"/>
    <w:rsid w:val="00E52652"/>
    <w:rsid w:val="00E526E4"/>
    <w:rsid w:val="00E5276D"/>
    <w:rsid w:val="00E52832"/>
    <w:rsid w:val="00E5297D"/>
    <w:rsid w:val="00E529C3"/>
    <w:rsid w:val="00E52AED"/>
    <w:rsid w:val="00E52B0A"/>
    <w:rsid w:val="00E52C1A"/>
    <w:rsid w:val="00E52D1A"/>
    <w:rsid w:val="00E52D4F"/>
    <w:rsid w:val="00E52DBE"/>
    <w:rsid w:val="00E52EF7"/>
    <w:rsid w:val="00E52FA8"/>
    <w:rsid w:val="00E530A0"/>
    <w:rsid w:val="00E531F7"/>
    <w:rsid w:val="00E532CC"/>
    <w:rsid w:val="00E5332F"/>
    <w:rsid w:val="00E5339D"/>
    <w:rsid w:val="00E533BE"/>
    <w:rsid w:val="00E53426"/>
    <w:rsid w:val="00E53632"/>
    <w:rsid w:val="00E53633"/>
    <w:rsid w:val="00E538D1"/>
    <w:rsid w:val="00E538E9"/>
    <w:rsid w:val="00E5392F"/>
    <w:rsid w:val="00E539B5"/>
    <w:rsid w:val="00E53AD0"/>
    <w:rsid w:val="00E53B7B"/>
    <w:rsid w:val="00E53D74"/>
    <w:rsid w:val="00E53EC5"/>
    <w:rsid w:val="00E5401E"/>
    <w:rsid w:val="00E5417E"/>
    <w:rsid w:val="00E541C9"/>
    <w:rsid w:val="00E541DC"/>
    <w:rsid w:val="00E5421C"/>
    <w:rsid w:val="00E54283"/>
    <w:rsid w:val="00E544F3"/>
    <w:rsid w:val="00E54536"/>
    <w:rsid w:val="00E545F3"/>
    <w:rsid w:val="00E54694"/>
    <w:rsid w:val="00E54703"/>
    <w:rsid w:val="00E54A85"/>
    <w:rsid w:val="00E54ACB"/>
    <w:rsid w:val="00E54D01"/>
    <w:rsid w:val="00E54DAD"/>
    <w:rsid w:val="00E54EA5"/>
    <w:rsid w:val="00E54F97"/>
    <w:rsid w:val="00E553A4"/>
    <w:rsid w:val="00E557F7"/>
    <w:rsid w:val="00E559F8"/>
    <w:rsid w:val="00E55AC6"/>
    <w:rsid w:val="00E55B33"/>
    <w:rsid w:val="00E56025"/>
    <w:rsid w:val="00E560A8"/>
    <w:rsid w:val="00E560B0"/>
    <w:rsid w:val="00E561F7"/>
    <w:rsid w:val="00E5628F"/>
    <w:rsid w:val="00E564F2"/>
    <w:rsid w:val="00E567C5"/>
    <w:rsid w:val="00E56914"/>
    <w:rsid w:val="00E569C3"/>
    <w:rsid w:val="00E56A25"/>
    <w:rsid w:val="00E56AFF"/>
    <w:rsid w:val="00E56BCB"/>
    <w:rsid w:val="00E56BCE"/>
    <w:rsid w:val="00E56E59"/>
    <w:rsid w:val="00E56E63"/>
    <w:rsid w:val="00E57114"/>
    <w:rsid w:val="00E57188"/>
    <w:rsid w:val="00E571B1"/>
    <w:rsid w:val="00E57264"/>
    <w:rsid w:val="00E572CD"/>
    <w:rsid w:val="00E57362"/>
    <w:rsid w:val="00E574A6"/>
    <w:rsid w:val="00E576D4"/>
    <w:rsid w:val="00E576DF"/>
    <w:rsid w:val="00E576F2"/>
    <w:rsid w:val="00E57791"/>
    <w:rsid w:val="00E57799"/>
    <w:rsid w:val="00E577D7"/>
    <w:rsid w:val="00E5787B"/>
    <w:rsid w:val="00E57981"/>
    <w:rsid w:val="00E579D6"/>
    <w:rsid w:val="00E57B38"/>
    <w:rsid w:val="00E57B42"/>
    <w:rsid w:val="00E57CF6"/>
    <w:rsid w:val="00E57D1E"/>
    <w:rsid w:val="00E57E65"/>
    <w:rsid w:val="00E57EC1"/>
    <w:rsid w:val="00E57F6F"/>
    <w:rsid w:val="00E57F92"/>
    <w:rsid w:val="00E6008F"/>
    <w:rsid w:val="00E6025E"/>
    <w:rsid w:val="00E604F0"/>
    <w:rsid w:val="00E60516"/>
    <w:rsid w:val="00E60521"/>
    <w:rsid w:val="00E60527"/>
    <w:rsid w:val="00E60531"/>
    <w:rsid w:val="00E605A2"/>
    <w:rsid w:val="00E606ED"/>
    <w:rsid w:val="00E60789"/>
    <w:rsid w:val="00E607E7"/>
    <w:rsid w:val="00E60868"/>
    <w:rsid w:val="00E608BF"/>
    <w:rsid w:val="00E609C3"/>
    <w:rsid w:val="00E60A66"/>
    <w:rsid w:val="00E60B4D"/>
    <w:rsid w:val="00E60DCB"/>
    <w:rsid w:val="00E60DD8"/>
    <w:rsid w:val="00E60F3B"/>
    <w:rsid w:val="00E611AD"/>
    <w:rsid w:val="00E6141D"/>
    <w:rsid w:val="00E61426"/>
    <w:rsid w:val="00E61696"/>
    <w:rsid w:val="00E617B6"/>
    <w:rsid w:val="00E618FE"/>
    <w:rsid w:val="00E61933"/>
    <w:rsid w:val="00E61A5F"/>
    <w:rsid w:val="00E61E50"/>
    <w:rsid w:val="00E61F0F"/>
    <w:rsid w:val="00E6201F"/>
    <w:rsid w:val="00E6215A"/>
    <w:rsid w:val="00E621E7"/>
    <w:rsid w:val="00E6237C"/>
    <w:rsid w:val="00E62462"/>
    <w:rsid w:val="00E62474"/>
    <w:rsid w:val="00E626B2"/>
    <w:rsid w:val="00E62778"/>
    <w:rsid w:val="00E6293F"/>
    <w:rsid w:val="00E629AE"/>
    <w:rsid w:val="00E62A7D"/>
    <w:rsid w:val="00E62DBF"/>
    <w:rsid w:val="00E62E34"/>
    <w:rsid w:val="00E62FBE"/>
    <w:rsid w:val="00E63528"/>
    <w:rsid w:val="00E63554"/>
    <w:rsid w:val="00E63676"/>
    <w:rsid w:val="00E638CF"/>
    <w:rsid w:val="00E63D59"/>
    <w:rsid w:val="00E63D86"/>
    <w:rsid w:val="00E63E06"/>
    <w:rsid w:val="00E63E3D"/>
    <w:rsid w:val="00E64434"/>
    <w:rsid w:val="00E6448C"/>
    <w:rsid w:val="00E6450A"/>
    <w:rsid w:val="00E64763"/>
    <w:rsid w:val="00E648EB"/>
    <w:rsid w:val="00E648F7"/>
    <w:rsid w:val="00E64A14"/>
    <w:rsid w:val="00E64AC0"/>
    <w:rsid w:val="00E64CDF"/>
    <w:rsid w:val="00E6522A"/>
    <w:rsid w:val="00E65294"/>
    <w:rsid w:val="00E65375"/>
    <w:rsid w:val="00E6549A"/>
    <w:rsid w:val="00E65718"/>
    <w:rsid w:val="00E65780"/>
    <w:rsid w:val="00E657DC"/>
    <w:rsid w:val="00E65936"/>
    <w:rsid w:val="00E65A5D"/>
    <w:rsid w:val="00E65B8C"/>
    <w:rsid w:val="00E65BC5"/>
    <w:rsid w:val="00E65DE2"/>
    <w:rsid w:val="00E65EF7"/>
    <w:rsid w:val="00E65F72"/>
    <w:rsid w:val="00E6604B"/>
    <w:rsid w:val="00E66198"/>
    <w:rsid w:val="00E662B7"/>
    <w:rsid w:val="00E66498"/>
    <w:rsid w:val="00E664A2"/>
    <w:rsid w:val="00E667AF"/>
    <w:rsid w:val="00E667BE"/>
    <w:rsid w:val="00E6682B"/>
    <w:rsid w:val="00E669F8"/>
    <w:rsid w:val="00E66B73"/>
    <w:rsid w:val="00E66BBB"/>
    <w:rsid w:val="00E66C38"/>
    <w:rsid w:val="00E66D98"/>
    <w:rsid w:val="00E66E23"/>
    <w:rsid w:val="00E6702B"/>
    <w:rsid w:val="00E670DB"/>
    <w:rsid w:val="00E670FC"/>
    <w:rsid w:val="00E6716E"/>
    <w:rsid w:val="00E6727C"/>
    <w:rsid w:val="00E672FE"/>
    <w:rsid w:val="00E67332"/>
    <w:rsid w:val="00E673B2"/>
    <w:rsid w:val="00E673D3"/>
    <w:rsid w:val="00E675EB"/>
    <w:rsid w:val="00E6768C"/>
    <w:rsid w:val="00E67A03"/>
    <w:rsid w:val="00E67AE0"/>
    <w:rsid w:val="00E67B3E"/>
    <w:rsid w:val="00E67B89"/>
    <w:rsid w:val="00E67BA6"/>
    <w:rsid w:val="00E67C4C"/>
    <w:rsid w:val="00E67FD3"/>
    <w:rsid w:val="00E70112"/>
    <w:rsid w:val="00E702D0"/>
    <w:rsid w:val="00E703E6"/>
    <w:rsid w:val="00E7043C"/>
    <w:rsid w:val="00E7082E"/>
    <w:rsid w:val="00E70C98"/>
    <w:rsid w:val="00E70EC6"/>
    <w:rsid w:val="00E70F0B"/>
    <w:rsid w:val="00E70F13"/>
    <w:rsid w:val="00E71113"/>
    <w:rsid w:val="00E71132"/>
    <w:rsid w:val="00E7124E"/>
    <w:rsid w:val="00E712A1"/>
    <w:rsid w:val="00E71340"/>
    <w:rsid w:val="00E71409"/>
    <w:rsid w:val="00E71476"/>
    <w:rsid w:val="00E7169E"/>
    <w:rsid w:val="00E7170C"/>
    <w:rsid w:val="00E71745"/>
    <w:rsid w:val="00E7181D"/>
    <w:rsid w:val="00E71965"/>
    <w:rsid w:val="00E719E8"/>
    <w:rsid w:val="00E71A56"/>
    <w:rsid w:val="00E71A91"/>
    <w:rsid w:val="00E71B08"/>
    <w:rsid w:val="00E71B97"/>
    <w:rsid w:val="00E71BD9"/>
    <w:rsid w:val="00E71D4C"/>
    <w:rsid w:val="00E71E14"/>
    <w:rsid w:val="00E71F28"/>
    <w:rsid w:val="00E71FAA"/>
    <w:rsid w:val="00E720F2"/>
    <w:rsid w:val="00E7211B"/>
    <w:rsid w:val="00E72132"/>
    <w:rsid w:val="00E72228"/>
    <w:rsid w:val="00E72415"/>
    <w:rsid w:val="00E724FA"/>
    <w:rsid w:val="00E72778"/>
    <w:rsid w:val="00E729D3"/>
    <w:rsid w:val="00E72A52"/>
    <w:rsid w:val="00E72AEA"/>
    <w:rsid w:val="00E72C85"/>
    <w:rsid w:val="00E72D2B"/>
    <w:rsid w:val="00E72EBA"/>
    <w:rsid w:val="00E7332C"/>
    <w:rsid w:val="00E73616"/>
    <w:rsid w:val="00E73748"/>
    <w:rsid w:val="00E73796"/>
    <w:rsid w:val="00E7383B"/>
    <w:rsid w:val="00E73861"/>
    <w:rsid w:val="00E7390B"/>
    <w:rsid w:val="00E739EF"/>
    <w:rsid w:val="00E73A82"/>
    <w:rsid w:val="00E73B5D"/>
    <w:rsid w:val="00E73C70"/>
    <w:rsid w:val="00E73F03"/>
    <w:rsid w:val="00E73F49"/>
    <w:rsid w:val="00E742EC"/>
    <w:rsid w:val="00E7435E"/>
    <w:rsid w:val="00E7446C"/>
    <w:rsid w:val="00E745B0"/>
    <w:rsid w:val="00E74663"/>
    <w:rsid w:val="00E7489B"/>
    <w:rsid w:val="00E748D0"/>
    <w:rsid w:val="00E74934"/>
    <w:rsid w:val="00E74A37"/>
    <w:rsid w:val="00E74A5D"/>
    <w:rsid w:val="00E74B40"/>
    <w:rsid w:val="00E74E66"/>
    <w:rsid w:val="00E74F20"/>
    <w:rsid w:val="00E750DF"/>
    <w:rsid w:val="00E75134"/>
    <w:rsid w:val="00E7524F"/>
    <w:rsid w:val="00E752B9"/>
    <w:rsid w:val="00E753D6"/>
    <w:rsid w:val="00E753FE"/>
    <w:rsid w:val="00E7559A"/>
    <w:rsid w:val="00E7570B"/>
    <w:rsid w:val="00E7573A"/>
    <w:rsid w:val="00E757CA"/>
    <w:rsid w:val="00E75A61"/>
    <w:rsid w:val="00E75B8A"/>
    <w:rsid w:val="00E75C65"/>
    <w:rsid w:val="00E75C90"/>
    <w:rsid w:val="00E75E88"/>
    <w:rsid w:val="00E75EBE"/>
    <w:rsid w:val="00E75F00"/>
    <w:rsid w:val="00E764DB"/>
    <w:rsid w:val="00E7677A"/>
    <w:rsid w:val="00E76943"/>
    <w:rsid w:val="00E76A04"/>
    <w:rsid w:val="00E76A90"/>
    <w:rsid w:val="00E76C79"/>
    <w:rsid w:val="00E76E44"/>
    <w:rsid w:val="00E7710F"/>
    <w:rsid w:val="00E77402"/>
    <w:rsid w:val="00E7742A"/>
    <w:rsid w:val="00E77680"/>
    <w:rsid w:val="00E778F5"/>
    <w:rsid w:val="00E77AE1"/>
    <w:rsid w:val="00E77B0E"/>
    <w:rsid w:val="00E77B97"/>
    <w:rsid w:val="00E77CB3"/>
    <w:rsid w:val="00E77CC0"/>
    <w:rsid w:val="00E77DAD"/>
    <w:rsid w:val="00E77DB4"/>
    <w:rsid w:val="00E77F17"/>
    <w:rsid w:val="00E77FD9"/>
    <w:rsid w:val="00E800B5"/>
    <w:rsid w:val="00E8019D"/>
    <w:rsid w:val="00E80204"/>
    <w:rsid w:val="00E80589"/>
    <w:rsid w:val="00E8061C"/>
    <w:rsid w:val="00E808F7"/>
    <w:rsid w:val="00E80978"/>
    <w:rsid w:val="00E809F7"/>
    <w:rsid w:val="00E80A73"/>
    <w:rsid w:val="00E80A86"/>
    <w:rsid w:val="00E80A97"/>
    <w:rsid w:val="00E80FF2"/>
    <w:rsid w:val="00E81170"/>
    <w:rsid w:val="00E81188"/>
    <w:rsid w:val="00E811B3"/>
    <w:rsid w:val="00E811EE"/>
    <w:rsid w:val="00E8137C"/>
    <w:rsid w:val="00E814B8"/>
    <w:rsid w:val="00E81629"/>
    <w:rsid w:val="00E816E4"/>
    <w:rsid w:val="00E817DA"/>
    <w:rsid w:val="00E818CC"/>
    <w:rsid w:val="00E81D70"/>
    <w:rsid w:val="00E81E3A"/>
    <w:rsid w:val="00E81F1A"/>
    <w:rsid w:val="00E821B3"/>
    <w:rsid w:val="00E821B4"/>
    <w:rsid w:val="00E82300"/>
    <w:rsid w:val="00E82584"/>
    <w:rsid w:val="00E826E5"/>
    <w:rsid w:val="00E82738"/>
    <w:rsid w:val="00E827B1"/>
    <w:rsid w:val="00E82A2F"/>
    <w:rsid w:val="00E82A85"/>
    <w:rsid w:val="00E82AB7"/>
    <w:rsid w:val="00E82C1F"/>
    <w:rsid w:val="00E82EB9"/>
    <w:rsid w:val="00E83048"/>
    <w:rsid w:val="00E83187"/>
    <w:rsid w:val="00E8319B"/>
    <w:rsid w:val="00E83213"/>
    <w:rsid w:val="00E8329C"/>
    <w:rsid w:val="00E83472"/>
    <w:rsid w:val="00E83541"/>
    <w:rsid w:val="00E83549"/>
    <w:rsid w:val="00E8366F"/>
    <w:rsid w:val="00E836E2"/>
    <w:rsid w:val="00E837AC"/>
    <w:rsid w:val="00E838A0"/>
    <w:rsid w:val="00E83A8E"/>
    <w:rsid w:val="00E83B5E"/>
    <w:rsid w:val="00E83D18"/>
    <w:rsid w:val="00E84025"/>
    <w:rsid w:val="00E8404E"/>
    <w:rsid w:val="00E8418B"/>
    <w:rsid w:val="00E84209"/>
    <w:rsid w:val="00E842DD"/>
    <w:rsid w:val="00E845B3"/>
    <w:rsid w:val="00E845D2"/>
    <w:rsid w:val="00E84616"/>
    <w:rsid w:val="00E8473B"/>
    <w:rsid w:val="00E84942"/>
    <w:rsid w:val="00E84D22"/>
    <w:rsid w:val="00E84F0D"/>
    <w:rsid w:val="00E84FB1"/>
    <w:rsid w:val="00E8514A"/>
    <w:rsid w:val="00E851DF"/>
    <w:rsid w:val="00E85569"/>
    <w:rsid w:val="00E856AC"/>
    <w:rsid w:val="00E856CE"/>
    <w:rsid w:val="00E857DE"/>
    <w:rsid w:val="00E85895"/>
    <w:rsid w:val="00E85A64"/>
    <w:rsid w:val="00E85E01"/>
    <w:rsid w:val="00E85E5E"/>
    <w:rsid w:val="00E85EAB"/>
    <w:rsid w:val="00E85FFC"/>
    <w:rsid w:val="00E8609F"/>
    <w:rsid w:val="00E860AD"/>
    <w:rsid w:val="00E8615F"/>
    <w:rsid w:val="00E861AC"/>
    <w:rsid w:val="00E8637F"/>
    <w:rsid w:val="00E863D6"/>
    <w:rsid w:val="00E865DD"/>
    <w:rsid w:val="00E8677D"/>
    <w:rsid w:val="00E86939"/>
    <w:rsid w:val="00E869E7"/>
    <w:rsid w:val="00E86B54"/>
    <w:rsid w:val="00E86E0B"/>
    <w:rsid w:val="00E86ECE"/>
    <w:rsid w:val="00E87105"/>
    <w:rsid w:val="00E87244"/>
    <w:rsid w:val="00E87415"/>
    <w:rsid w:val="00E87626"/>
    <w:rsid w:val="00E87776"/>
    <w:rsid w:val="00E87B85"/>
    <w:rsid w:val="00E87C3E"/>
    <w:rsid w:val="00E87C86"/>
    <w:rsid w:val="00E87D24"/>
    <w:rsid w:val="00E87D64"/>
    <w:rsid w:val="00E87D6C"/>
    <w:rsid w:val="00E87D89"/>
    <w:rsid w:val="00E90065"/>
    <w:rsid w:val="00E9019E"/>
    <w:rsid w:val="00E902A4"/>
    <w:rsid w:val="00E905FD"/>
    <w:rsid w:val="00E908C4"/>
    <w:rsid w:val="00E90C9B"/>
    <w:rsid w:val="00E90EDA"/>
    <w:rsid w:val="00E911AA"/>
    <w:rsid w:val="00E91304"/>
    <w:rsid w:val="00E9158F"/>
    <w:rsid w:val="00E91741"/>
    <w:rsid w:val="00E9174C"/>
    <w:rsid w:val="00E91891"/>
    <w:rsid w:val="00E9192E"/>
    <w:rsid w:val="00E91BD9"/>
    <w:rsid w:val="00E91CCC"/>
    <w:rsid w:val="00E91D2F"/>
    <w:rsid w:val="00E91D57"/>
    <w:rsid w:val="00E91D6F"/>
    <w:rsid w:val="00E91E1D"/>
    <w:rsid w:val="00E91E4F"/>
    <w:rsid w:val="00E92257"/>
    <w:rsid w:val="00E9227A"/>
    <w:rsid w:val="00E92463"/>
    <w:rsid w:val="00E9248F"/>
    <w:rsid w:val="00E9256D"/>
    <w:rsid w:val="00E92687"/>
    <w:rsid w:val="00E92713"/>
    <w:rsid w:val="00E92796"/>
    <w:rsid w:val="00E92B49"/>
    <w:rsid w:val="00E92BF1"/>
    <w:rsid w:val="00E92E8F"/>
    <w:rsid w:val="00E92ED5"/>
    <w:rsid w:val="00E92F87"/>
    <w:rsid w:val="00E9304A"/>
    <w:rsid w:val="00E93068"/>
    <w:rsid w:val="00E930BA"/>
    <w:rsid w:val="00E9311D"/>
    <w:rsid w:val="00E9311E"/>
    <w:rsid w:val="00E935DE"/>
    <w:rsid w:val="00E937C4"/>
    <w:rsid w:val="00E93848"/>
    <w:rsid w:val="00E9399A"/>
    <w:rsid w:val="00E93AA8"/>
    <w:rsid w:val="00E93B3B"/>
    <w:rsid w:val="00E93D40"/>
    <w:rsid w:val="00E93DAC"/>
    <w:rsid w:val="00E93F04"/>
    <w:rsid w:val="00E94170"/>
    <w:rsid w:val="00E946D9"/>
    <w:rsid w:val="00E94774"/>
    <w:rsid w:val="00E94B0B"/>
    <w:rsid w:val="00E94C53"/>
    <w:rsid w:val="00E94FE8"/>
    <w:rsid w:val="00E9554C"/>
    <w:rsid w:val="00E95882"/>
    <w:rsid w:val="00E95BF9"/>
    <w:rsid w:val="00E95C67"/>
    <w:rsid w:val="00E95DAB"/>
    <w:rsid w:val="00E95ECE"/>
    <w:rsid w:val="00E96146"/>
    <w:rsid w:val="00E96426"/>
    <w:rsid w:val="00E964A4"/>
    <w:rsid w:val="00E96A7E"/>
    <w:rsid w:val="00E96AE5"/>
    <w:rsid w:val="00E96B49"/>
    <w:rsid w:val="00E96B7E"/>
    <w:rsid w:val="00E96E2C"/>
    <w:rsid w:val="00E96EB8"/>
    <w:rsid w:val="00E97013"/>
    <w:rsid w:val="00E9709D"/>
    <w:rsid w:val="00E970BB"/>
    <w:rsid w:val="00E973A2"/>
    <w:rsid w:val="00E97488"/>
    <w:rsid w:val="00E974A0"/>
    <w:rsid w:val="00E974E9"/>
    <w:rsid w:val="00E97554"/>
    <w:rsid w:val="00E9796F"/>
    <w:rsid w:val="00E97A95"/>
    <w:rsid w:val="00E97C5C"/>
    <w:rsid w:val="00E97DB3"/>
    <w:rsid w:val="00E97DD3"/>
    <w:rsid w:val="00E97EA5"/>
    <w:rsid w:val="00E97F62"/>
    <w:rsid w:val="00EA0309"/>
    <w:rsid w:val="00EA0316"/>
    <w:rsid w:val="00EA0370"/>
    <w:rsid w:val="00EA051A"/>
    <w:rsid w:val="00EA05ED"/>
    <w:rsid w:val="00EA06E6"/>
    <w:rsid w:val="00EA06FE"/>
    <w:rsid w:val="00EA0A08"/>
    <w:rsid w:val="00EA0BAA"/>
    <w:rsid w:val="00EA0C88"/>
    <w:rsid w:val="00EA0CE8"/>
    <w:rsid w:val="00EA0E35"/>
    <w:rsid w:val="00EA1272"/>
    <w:rsid w:val="00EA1283"/>
    <w:rsid w:val="00EA12CF"/>
    <w:rsid w:val="00EA14EE"/>
    <w:rsid w:val="00EA15A5"/>
    <w:rsid w:val="00EA15D6"/>
    <w:rsid w:val="00EA1635"/>
    <w:rsid w:val="00EA16FE"/>
    <w:rsid w:val="00EA1757"/>
    <w:rsid w:val="00EA1827"/>
    <w:rsid w:val="00EA182E"/>
    <w:rsid w:val="00EA1A6A"/>
    <w:rsid w:val="00EA1AB1"/>
    <w:rsid w:val="00EA1C17"/>
    <w:rsid w:val="00EA1CEB"/>
    <w:rsid w:val="00EA1D55"/>
    <w:rsid w:val="00EA1D84"/>
    <w:rsid w:val="00EA1DA1"/>
    <w:rsid w:val="00EA1E87"/>
    <w:rsid w:val="00EA1EEC"/>
    <w:rsid w:val="00EA1FF6"/>
    <w:rsid w:val="00EA20ED"/>
    <w:rsid w:val="00EA2216"/>
    <w:rsid w:val="00EA22ED"/>
    <w:rsid w:val="00EA232D"/>
    <w:rsid w:val="00EA2435"/>
    <w:rsid w:val="00EA2456"/>
    <w:rsid w:val="00EA24C6"/>
    <w:rsid w:val="00EA24EF"/>
    <w:rsid w:val="00EA25B1"/>
    <w:rsid w:val="00EA2698"/>
    <w:rsid w:val="00EA2957"/>
    <w:rsid w:val="00EA29B8"/>
    <w:rsid w:val="00EA2AC5"/>
    <w:rsid w:val="00EA2B79"/>
    <w:rsid w:val="00EA2D11"/>
    <w:rsid w:val="00EA2D17"/>
    <w:rsid w:val="00EA2E7D"/>
    <w:rsid w:val="00EA2EE3"/>
    <w:rsid w:val="00EA2F7A"/>
    <w:rsid w:val="00EA2FCD"/>
    <w:rsid w:val="00EA30AB"/>
    <w:rsid w:val="00EA30AD"/>
    <w:rsid w:val="00EA31FD"/>
    <w:rsid w:val="00EA3260"/>
    <w:rsid w:val="00EA326C"/>
    <w:rsid w:val="00EA32FF"/>
    <w:rsid w:val="00EA3350"/>
    <w:rsid w:val="00EA354E"/>
    <w:rsid w:val="00EA3559"/>
    <w:rsid w:val="00EA379F"/>
    <w:rsid w:val="00EA37C7"/>
    <w:rsid w:val="00EA389D"/>
    <w:rsid w:val="00EA3AAD"/>
    <w:rsid w:val="00EA3B15"/>
    <w:rsid w:val="00EA3C50"/>
    <w:rsid w:val="00EA42C8"/>
    <w:rsid w:val="00EA438B"/>
    <w:rsid w:val="00EA43EC"/>
    <w:rsid w:val="00EA443E"/>
    <w:rsid w:val="00EA46A7"/>
    <w:rsid w:val="00EA4704"/>
    <w:rsid w:val="00EA483B"/>
    <w:rsid w:val="00EA49D4"/>
    <w:rsid w:val="00EA4B52"/>
    <w:rsid w:val="00EA4D61"/>
    <w:rsid w:val="00EA4D62"/>
    <w:rsid w:val="00EA4E15"/>
    <w:rsid w:val="00EA503C"/>
    <w:rsid w:val="00EA509D"/>
    <w:rsid w:val="00EA50A3"/>
    <w:rsid w:val="00EA54BB"/>
    <w:rsid w:val="00EA55DE"/>
    <w:rsid w:val="00EA561D"/>
    <w:rsid w:val="00EA5645"/>
    <w:rsid w:val="00EA5A17"/>
    <w:rsid w:val="00EA5C98"/>
    <w:rsid w:val="00EA5CA1"/>
    <w:rsid w:val="00EA5D52"/>
    <w:rsid w:val="00EA6052"/>
    <w:rsid w:val="00EA634E"/>
    <w:rsid w:val="00EA6464"/>
    <w:rsid w:val="00EA6534"/>
    <w:rsid w:val="00EA663C"/>
    <w:rsid w:val="00EA6749"/>
    <w:rsid w:val="00EA67DB"/>
    <w:rsid w:val="00EA680D"/>
    <w:rsid w:val="00EA6B0B"/>
    <w:rsid w:val="00EA6FE0"/>
    <w:rsid w:val="00EA721D"/>
    <w:rsid w:val="00EA7356"/>
    <w:rsid w:val="00EA7564"/>
    <w:rsid w:val="00EA77CD"/>
    <w:rsid w:val="00EA7A2E"/>
    <w:rsid w:val="00EA7F52"/>
    <w:rsid w:val="00EA7FB6"/>
    <w:rsid w:val="00EA7FB7"/>
    <w:rsid w:val="00EB009D"/>
    <w:rsid w:val="00EB015C"/>
    <w:rsid w:val="00EB019F"/>
    <w:rsid w:val="00EB0397"/>
    <w:rsid w:val="00EB0863"/>
    <w:rsid w:val="00EB0926"/>
    <w:rsid w:val="00EB0995"/>
    <w:rsid w:val="00EB0C91"/>
    <w:rsid w:val="00EB0D07"/>
    <w:rsid w:val="00EB0DD5"/>
    <w:rsid w:val="00EB0E41"/>
    <w:rsid w:val="00EB0FA5"/>
    <w:rsid w:val="00EB0FD1"/>
    <w:rsid w:val="00EB0FD4"/>
    <w:rsid w:val="00EB1111"/>
    <w:rsid w:val="00EB1192"/>
    <w:rsid w:val="00EB11D3"/>
    <w:rsid w:val="00EB1314"/>
    <w:rsid w:val="00EB1491"/>
    <w:rsid w:val="00EB17D4"/>
    <w:rsid w:val="00EB191D"/>
    <w:rsid w:val="00EB1B28"/>
    <w:rsid w:val="00EB1B38"/>
    <w:rsid w:val="00EB1BC9"/>
    <w:rsid w:val="00EB1CC8"/>
    <w:rsid w:val="00EB1D0A"/>
    <w:rsid w:val="00EB1D1C"/>
    <w:rsid w:val="00EB1D8A"/>
    <w:rsid w:val="00EB20EC"/>
    <w:rsid w:val="00EB21CC"/>
    <w:rsid w:val="00EB223E"/>
    <w:rsid w:val="00EB22CE"/>
    <w:rsid w:val="00EB248B"/>
    <w:rsid w:val="00EB24B6"/>
    <w:rsid w:val="00EB24E5"/>
    <w:rsid w:val="00EB2507"/>
    <w:rsid w:val="00EB2550"/>
    <w:rsid w:val="00EB2837"/>
    <w:rsid w:val="00EB294E"/>
    <w:rsid w:val="00EB29FB"/>
    <w:rsid w:val="00EB2A08"/>
    <w:rsid w:val="00EB2A1D"/>
    <w:rsid w:val="00EB2B82"/>
    <w:rsid w:val="00EB2C0D"/>
    <w:rsid w:val="00EB2C81"/>
    <w:rsid w:val="00EB2C8A"/>
    <w:rsid w:val="00EB2CDB"/>
    <w:rsid w:val="00EB2D21"/>
    <w:rsid w:val="00EB2D3A"/>
    <w:rsid w:val="00EB2F1D"/>
    <w:rsid w:val="00EB3031"/>
    <w:rsid w:val="00EB317D"/>
    <w:rsid w:val="00EB3287"/>
    <w:rsid w:val="00EB3446"/>
    <w:rsid w:val="00EB36C5"/>
    <w:rsid w:val="00EB3756"/>
    <w:rsid w:val="00EB3815"/>
    <w:rsid w:val="00EB38C9"/>
    <w:rsid w:val="00EB3C2A"/>
    <w:rsid w:val="00EB3EEE"/>
    <w:rsid w:val="00EB3F21"/>
    <w:rsid w:val="00EB3FFD"/>
    <w:rsid w:val="00EB425E"/>
    <w:rsid w:val="00EB471B"/>
    <w:rsid w:val="00EB4800"/>
    <w:rsid w:val="00EB4B7C"/>
    <w:rsid w:val="00EB4BC8"/>
    <w:rsid w:val="00EB4DCE"/>
    <w:rsid w:val="00EB4EA8"/>
    <w:rsid w:val="00EB4EEA"/>
    <w:rsid w:val="00EB5152"/>
    <w:rsid w:val="00EB529F"/>
    <w:rsid w:val="00EB5348"/>
    <w:rsid w:val="00EB5401"/>
    <w:rsid w:val="00EB59EE"/>
    <w:rsid w:val="00EB5BEA"/>
    <w:rsid w:val="00EB5C9C"/>
    <w:rsid w:val="00EB600D"/>
    <w:rsid w:val="00EB614A"/>
    <w:rsid w:val="00EB624D"/>
    <w:rsid w:val="00EB62C1"/>
    <w:rsid w:val="00EB6319"/>
    <w:rsid w:val="00EB6413"/>
    <w:rsid w:val="00EB6517"/>
    <w:rsid w:val="00EB652E"/>
    <w:rsid w:val="00EB660B"/>
    <w:rsid w:val="00EB6616"/>
    <w:rsid w:val="00EB6624"/>
    <w:rsid w:val="00EB6665"/>
    <w:rsid w:val="00EB6713"/>
    <w:rsid w:val="00EB67B7"/>
    <w:rsid w:val="00EB6879"/>
    <w:rsid w:val="00EB6B49"/>
    <w:rsid w:val="00EB6E39"/>
    <w:rsid w:val="00EB6E43"/>
    <w:rsid w:val="00EB6EEE"/>
    <w:rsid w:val="00EB6FFC"/>
    <w:rsid w:val="00EB7052"/>
    <w:rsid w:val="00EB7326"/>
    <w:rsid w:val="00EB75AE"/>
    <w:rsid w:val="00EB75C1"/>
    <w:rsid w:val="00EB7732"/>
    <w:rsid w:val="00EB778D"/>
    <w:rsid w:val="00EB7839"/>
    <w:rsid w:val="00EB7A79"/>
    <w:rsid w:val="00EB7AF3"/>
    <w:rsid w:val="00EB7C21"/>
    <w:rsid w:val="00EB7E48"/>
    <w:rsid w:val="00EC000F"/>
    <w:rsid w:val="00EC0064"/>
    <w:rsid w:val="00EC0203"/>
    <w:rsid w:val="00EC0211"/>
    <w:rsid w:val="00EC023F"/>
    <w:rsid w:val="00EC0296"/>
    <w:rsid w:val="00EC02A7"/>
    <w:rsid w:val="00EC03AB"/>
    <w:rsid w:val="00EC03D3"/>
    <w:rsid w:val="00EC040D"/>
    <w:rsid w:val="00EC04C2"/>
    <w:rsid w:val="00EC06B5"/>
    <w:rsid w:val="00EC0A84"/>
    <w:rsid w:val="00EC0C02"/>
    <w:rsid w:val="00EC0C44"/>
    <w:rsid w:val="00EC0C52"/>
    <w:rsid w:val="00EC0DB6"/>
    <w:rsid w:val="00EC0EFF"/>
    <w:rsid w:val="00EC0F23"/>
    <w:rsid w:val="00EC0FE0"/>
    <w:rsid w:val="00EC113C"/>
    <w:rsid w:val="00EC1217"/>
    <w:rsid w:val="00EC1230"/>
    <w:rsid w:val="00EC126F"/>
    <w:rsid w:val="00EC12E3"/>
    <w:rsid w:val="00EC13B9"/>
    <w:rsid w:val="00EC14C7"/>
    <w:rsid w:val="00EC1576"/>
    <w:rsid w:val="00EC1757"/>
    <w:rsid w:val="00EC181F"/>
    <w:rsid w:val="00EC1845"/>
    <w:rsid w:val="00EC18F7"/>
    <w:rsid w:val="00EC19EB"/>
    <w:rsid w:val="00EC1B24"/>
    <w:rsid w:val="00EC1B8D"/>
    <w:rsid w:val="00EC1C5C"/>
    <w:rsid w:val="00EC1CA2"/>
    <w:rsid w:val="00EC1F59"/>
    <w:rsid w:val="00EC1FF8"/>
    <w:rsid w:val="00EC2026"/>
    <w:rsid w:val="00EC206C"/>
    <w:rsid w:val="00EC214C"/>
    <w:rsid w:val="00EC21C2"/>
    <w:rsid w:val="00EC2258"/>
    <w:rsid w:val="00EC2259"/>
    <w:rsid w:val="00EC2636"/>
    <w:rsid w:val="00EC2B66"/>
    <w:rsid w:val="00EC2D27"/>
    <w:rsid w:val="00EC2DCD"/>
    <w:rsid w:val="00EC2E94"/>
    <w:rsid w:val="00EC2EA8"/>
    <w:rsid w:val="00EC2EAB"/>
    <w:rsid w:val="00EC2F1D"/>
    <w:rsid w:val="00EC30A0"/>
    <w:rsid w:val="00EC3295"/>
    <w:rsid w:val="00EC32E4"/>
    <w:rsid w:val="00EC3405"/>
    <w:rsid w:val="00EC3521"/>
    <w:rsid w:val="00EC3611"/>
    <w:rsid w:val="00EC3654"/>
    <w:rsid w:val="00EC3698"/>
    <w:rsid w:val="00EC377E"/>
    <w:rsid w:val="00EC37A0"/>
    <w:rsid w:val="00EC3818"/>
    <w:rsid w:val="00EC39EE"/>
    <w:rsid w:val="00EC3A30"/>
    <w:rsid w:val="00EC3AEE"/>
    <w:rsid w:val="00EC3C80"/>
    <w:rsid w:val="00EC3CB0"/>
    <w:rsid w:val="00EC3D4F"/>
    <w:rsid w:val="00EC3ECD"/>
    <w:rsid w:val="00EC3F4F"/>
    <w:rsid w:val="00EC4062"/>
    <w:rsid w:val="00EC4086"/>
    <w:rsid w:val="00EC435C"/>
    <w:rsid w:val="00EC43ED"/>
    <w:rsid w:val="00EC455F"/>
    <w:rsid w:val="00EC4592"/>
    <w:rsid w:val="00EC4918"/>
    <w:rsid w:val="00EC4998"/>
    <w:rsid w:val="00EC49F5"/>
    <w:rsid w:val="00EC4A48"/>
    <w:rsid w:val="00EC4BDE"/>
    <w:rsid w:val="00EC4CB1"/>
    <w:rsid w:val="00EC4D7B"/>
    <w:rsid w:val="00EC4EEA"/>
    <w:rsid w:val="00EC50D3"/>
    <w:rsid w:val="00EC514F"/>
    <w:rsid w:val="00EC5457"/>
    <w:rsid w:val="00EC54CB"/>
    <w:rsid w:val="00EC555F"/>
    <w:rsid w:val="00EC55D0"/>
    <w:rsid w:val="00EC5616"/>
    <w:rsid w:val="00EC5644"/>
    <w:rsid w:val="00EC5771"/>
    <w:rsid w:val="00EC586D"/>
    <w:rsid w:val="00EC5898"/>
    <w:rsid w:val="00EC5AD0"/>
    <w:rsid w:val="00EC5F7D"/>
    <w:rsid w:val="00EC6176"/>
    <w:rsid w:val="00EC6210"/>
    <w:rsid w:val="00EC62E0"/>
    <w:rsid w:val="00EC65EF"/>
    <w:rsid w:val="00EC6603"/>
    <w:rsid w:val="00EC67B7"/>
    <w:rsid w:val="00EC68A7"/>
    <w:rsid w:val="00EC6900"/>
    <w:rsid w:val="00EC6BAB"/>
    <w:rsid w:val="00EC6BD9"/>
    <w:rsid w:val="00EC6FFB"/>
    <w:rsid w:val="00EC7125"/>
    <w:rsid w:val="00EC7260"/>
    <w:rsid w:val="00EC72A8"/>
    <w:rsid w:val="00EC7477"/>
    <w:rsid w:val="00EC74E3"/>
    <w:rsid w:val="00EC75DE"/>
    <w:rsid w:val="00EC772E"/>
    <w:rsid w:val="00EC78B3"/>
    <w:rsid w:val="00EC797C"/>
    <w:rsid w:val="00EC7A7F"/>
    <w:rsid w:val="00EC7DE9"/>
    <w:rsid w:val="00ED00B5"/>
    <w:rsid w:val="00ED0317"/>
    <w:rsid w:val="00ED038C"/>
    <w:rsid w:val="00ED0541"/>
    <w:rsid w:val="00ED05FD"/>
    <w:rsid w:val="00ED0689"/>
    <w:rsid w:val="00ED09EC"/>
    <w:rsid w:val="00ED0BAB"/>
    <w:rsid w:val="00ED0FD1"/>
    <w:rsid w:val="00ED10BD"/>
    <w:rsid w:val="00ED12DA"/>
    <w:rsid w:val="00ED15CA"/>
    <w:rsid w:val="00ED1A3B"/>
    <w:rsid w:val="00ED1B70"/>
    <w:rsid w:val="00ED1D1E"/>
    <w:rsid w:val="00ED1DD1"/>
    <w:rsid w:val="00ED1E48"/>
    <w:rsid w:val="00ED1E61"/>
    <w:rsid w:val="00ED1E90"/>
    <w:rsid w:val="00ED1FC6"/>
    <w:rsid w:val="00ED2475"/>
    <w:rsid w:val="00ED2496"/>
    <w:rsid w:val="00ED2692"/>
    <w:rsid w:val="00ED26C8"/>
    <w:rsid w:val="00ED2779"/>
    <w:rsid w:val="00ED2873"/>
    <w:rsid w:val="00ED28CB"/>
    <w:rsid w:val="00ED28DF"/>
    <w:rsid w:val="00ED296D"/>
    <w:rsid w:val="00ED2A42"/>
    <w:rsid w:val="00ED2AF5"/>
    <w:rsid w:val="00ED2B71"/>
    <w:rsid w:val="00ED2C1C"/>
    <w:rsid w:val="00ED2C6A"/>
    <w:rsid w:val="00ED2CFB"/>
    <w:rsid w:val="00ED2D71"/>
    <w:rsid w:val="00ED3215"/>
    <w:rsid w:val="00ED32C7"/>
    <w:rsid w:val="00ED3486"/>
    <w:rsid w:val="00ED36B1"/>
    <w:rsid w:val="00ED36D9"/>
    <w:rsid w:val="00ED3782"/>
    <w:rsid w:val="00ED3ACD"/>
    <w:rsid w:val="00ED3AED"/>
    <w:rsid w:val="00ED3AF7"/>
    <w:rsid w:val="00ED414E"/>
    <w:rsid w:val="00ED44AF"/>
    <w:rsid w:val="00ED454F"/>
    <w:rsid w:val="00ED4550"/>
    <w:rsid w:val="00ED47ED"/>
    <w:rsid w:val="00ED4849"/>
    <w:rsid w:val="00ED4883"/>
    <w:rsid w:val="00ED48FB"/>
    <w:rsid w:val="00ED49C8"/>
    <w:rsid w:val="00ED4B83"/>
    <w:rsid w:val="00ED4CF4"/>
    <w:rsid w:val="00ED4CF6"/>
    <w:rsid w:val="00ED4DC5"/>
    <w:rsid w:val="00ED4DCD"/>
    <w:rsid w:val="00ED4DFE"/>
    <w:rsid w:val="00ED5023"/>
    <w:rsid w:val="00ED5638"/>
    <w:rsid w:val="00ED56A2"/>
    <w:rsid w:val="00ED56CA"/>
    <w:rsid w:val="00ED581F"/>
    <w:rsid w:val="00ED59F8"/>
    <w:rsid w:val="00ED5ADE"/>
    <w:rsid w:val="00ED5BE7"/>
    <w:rsid w:val="00ED5EE6"/>
    <w:rsid w:val="00ED609C"/>
    <w:rsid w:val="00ED6104"/>
    <w:rsid w:val="00ED61A1"/>
    <w:rsid w:val="00ED630E"/>
    <w:rsid w:val="00ED6496"/>
    <w:rsid w:val="00ED64D0"/>
    <w:rsid w:val="00ED6680"/>
    <w:rsid w:val="00ED66F5"/>
    <w:rsid w:val="00ED6704"/>
    <w:rsid w:val="00ED6720"/>
    <w:rsid w:val="00ED67D7"/>
    <w:rsid w:val="00ED6968"/>
    <w:rsid w:val="00ED6D3B"/>
    <w:rsid w:val="00ED6DB7"/>
    <w:rsid w:val="00ED6E4A"/>
    <w:rsid w:val="00ED6EC1"/>
    <w:rsid w:val="00ED6FA1"/>
    <w:rsid w:val="00ED7073"/>
    <w:rsid w:val="00ED7145"/>
    <w:rsid w:val="00ED7406"/>
    <w:rsid w:val="00ED7436"/>
    <w:rsid w:val="00ED75AA"/>
    <w:rsid w:val="00ED7697"/>
    <w:rsid w:val="00ED792E"/>
    <w:rsid w:val="00ED7C16"/>
    <w:rsid w:val="00ED7CF1"/>
    <w:rsid w:val="00ED7D43"/>
    <w:rsid w:val="00ED7D88"/>
    <w:rsid w:val="00ED7E55"/>
    <w:rsid w:val="00ED7F43"/>
    <w:rsid w:val="00EE0218"/>
    <w:rsid w:val="00EE0401"/>
    <w:rsid w:val="00EE05D7"/>
    <w:rsid w:val="00EE061C"/>
    <w:rsid w:val="00EE0747"/>
    <w:rsid w:val="00EE09ED"/>
    <w:rsid w:val="00EE0C85"/>
    <w:rsid w:val="00EE0DB9"/>
    <w:rsid w:val="00EE0DD9"/>
    <w:rsid w:val="00EE0F21"/>
    <w:rsid w:val="00EE10B8"/>
    <w:rsid w:val="00EE1156"/>
    <w:rsid w:val="00EE14B7"/>
    <w:rsid w:val="00EE14E9"/>
    <w:rsid w:val="00EE1713"/>
    <w:rsid w:val="00EE17E2"/>
    <w:rsid w:val="00EE18A4"/>
    <w:rsid w:val="00EE1A6B"/>
    <w:rsid w:val="00EE1AE9"/>
    <w:rsid w:val="00EE1BC1"/>
    <w:rsid w:val="00EE1D82"/>
    <w:rsid w:val="00EE1E32"/>
    <w:rsid w:val="00EE1F8B"/>
    <w:rsid w:val="00EE1F94"/>
    <w:rsid w:val="00EE20E0"/>
    <w:rsid w:val="00EE22D7"/>
    <w:rsid w:val="00EE2535"/>
    <w:rsid w:val="00EE25E4"/>
    <w:rsid w:val="00EE26B5"/>
    <w:rsid w:val="00EE282A"/>
    <w:rsid w:val="00EE29F1"/>
    <w:rsid w:val="00EE2A2A"/>
    <w:rsid w:val="00EE2CD1"/>
    <w:rsid w:val="00EE306C"/>
    <w:rsid w:val="00EE33D6"/>
    <w:rsid w:val="00EE347F"/>
    <w:rsid w:val="00EE399B"/>
    <w:rsid w:val="00EE39CB"/>
    <w:rsid w:val="00EE3B22"/>
    <w:rsid w:val="00EE3DBF"/>
    <w:rsid w:val="00EE41F9"/>
    <w:rsid w:val="00EE422C"/>
    <w:rsid w:val="00EE42EA"/>
    <w:rsid w:val="00EE449E"/>
    <w:rsid w:val="00EE47F0"/>
    <w:rsid w:val="00EE4A43"/>
    <w:rsid w:val="00EE4AF9"/>
    <w:rsid w:val="00EE4C34"/>
    <w:rsid w:val="00EE4C64"/>
    <w:rsid w:val="00EE4C6D"/>
    <w:rsid w:val="00EE5023"/>
    <w:rsid w:val="00EE50AE"/>
    <w:rsid w:val="00EE516D"/>
    <w:rsid w:val="00EE5189"/>
    <w:rsid w:val="00EE528B"/>
    <w:rsid w:val="00EE5315"/>
    <w:rsid w:val="00EE534A"/>
    <w:rsid w:val="00EE54E6"/>
    <w:rsid w:val="00EE559B"/>
    <w:rsid w:val="00EE5681"/>
    <w:rsid w:val="00EE57BC"/>
    <w:rsid w:val="00EE5935"/>
    <w:rsid w:val="00EE595C"/>
    <w:rsid w:val="00EE59BA"/>
    <w:rsid w:val="00EE59BC"/>
    <w:rsid w:val="00EE5A37"/>
    <w:rsid w:val="00EE5B57"/>
    <w:rsid w:val="00EE5BDC"/>
    <w:rsid w:val="00EE5C03"/>
    <w:rsid w:val="00EE5CD2"/>
    <w:rsid w:val="00EE5E0B"/>
    <w:rsid w:val="00EE5EB9"/>
    <w:rsid w:val="00EE5F71"/>
    <w:rsid w:val="00EE605E"/>
    <w:rsid w:val="00EE622F"/>
    <w:rsid w:val="00EE635D"/>
    <w:rsid w:val="00EE65C3"/>
    <w:rsid w:val="00EE66B1"/>
    <w:rsid w:val="00EE66DF"/>
    <w:rsid w:val="00EE671E"/>
    <w:rsid w:val="00EE6767"/>
    <w:rsid w:val="00EE686E"/>
    <w:rsid w:val="00EE6952"/>
    <w:rsid w:val="00EE6A34"/>
    <w:rsid w:val="00EE6B9D"/>
    <w:rsid w:val="00EE6D4F"/>
    <w:rsid w:val="00EE6D8E"/>
    <w:rsid w:val="00EE6DD6"/>
    <w:rsid w:val="00EE6E9D"/>
    <w:rsid w:val="00EE7167"/>
    <w:rsid w:val="00EE73C2"/>
    <w:rsid w:val="00EE73F4"/>
    <w:rsid w:val="00EE7655"/>
    <w:rsid w:val="00EE766F"/>
    <w:rsid w:val="00EE770A"/>
    <w:rsid w:val="00EE7B53"/>
    <w:rsid w:val="00EE7C14"/>
    <w:rsid w:val="00EE7CAC"/>
    <w:rsid w:val="00EE7D69"/>
    <w:rsid w:val="00EE7DF2"/>
    <w:rsid w:val="00EE7DF3"/>
    <w:rsid w:val="00EF01CA"/>
    <w:rsid w:val="00EF0452"/>
    <w:rsid w:val="00EF04E3"/>
    <w:rsid w:val="00EF0662"/>
    <w:rsid w:val="00EF06DC"/>
    <w:rsid w:val="00EF0709"/>
    <w:rsid w:val="00EF0A0F"/>
    <w:rsid w:val="00EF0A53"/>
    <w:rsid w:val="00EF0AB4"/>
    <w:rsid w:val="00EF0C0B"/>
    <w:rsid w:val="00EF0DC8"/>
    <w:rsid w:val="00EF0DD4"/>
    <w:rsid w:val="00EF0E4D"/>
    <w:rsid w:val="00EF10B9"/>
    <w:rsid w:val="00EF1153"/>
    <w:rsid w:val="00EF12D5"/>
    <w:rsid w:val="00EF134B"/>
    <w:rsid w:val="00EF13A6"/>
    <w:rsid w:val="00EF1535"/>
    <w:rsid w:val="00EF1587"/>
    <w:rsid w:val="00EF1713"/>
    <w:rsid w:val="00EF1716"/>
    <w:rsid w:val="00EF18C5"/>
    <w:rsid w:val="00EF199E"/>
    <w:rsid w:val="00EF1C49"/>
    <w:rsid w:val="00EF1DB4"/>
    <w:rsid w:val="00EF1E20"/>
    <w:rsid w:val="00EF1F28"/>
    <w:rsid w:val="00EF2039"/>
    <w:rsid w:val="00EF22BE"/>
    <w:rsid w:val="00EF232B"/>
    <w:rsid w:val="00EF238A"/>
    <w:rsid w:val="00EF23EB"/>
    <w:rsid w:val="00EF24CE"/>
    <w:rsid w:val="00EF2677"/>
    <w:rsid w:val="00EF27B4"/>
    <w:rsid w:val="00EF282B"/>
    <w:rsid w:val="00EF2A22"/>
    <w:rsid w:val="00EF2C47"/>
    <w:rsid w:val="00EF2C86"/>
    <w:rsid w:val="00EF2D0C"/>
    <w:rsid w:val="00EF2E37"/>
    <w:rsid w:val="00EF2F72"/>
    <w:rsid w:val="00EF2F8C"/>
    <w:rsid w:val="00EF30C7"/>
    <w:rsid w:val="00EF31D4"/>
    <w:rsid w:val="00EF32C8"/>
    <w:rsid w:val="00EF356B"/>
    <w:rsid w:val="00EF3594"/>
    <w:rsid w:val="00EF36E1"/>
    <w:rsid w:val="00EF37A1"/>
    <w:rsid w:val="00EF3A83"/>
    <w:rsid w:val="00EF3B94"/>
    <w:rsid w:val="00EF3DE5"/>
    <w:rsid w:val="00EF40FF"/>
    <w:rsid w:val="00EF4132"/>
    <w:rsid w:val="00EF413E"/>
    <w:rsid w:val="00EF426A"/>
    <w:rsid w:val="00EF42E2"/>
    <w:rsid w:val="00EF4626"/>
    <w:rsid w:val="00EF467A"/>
    <w:rsid w:val="00EF46CF"/>
    <w:rsid w:val="00EF48F8"/>
    <w:rsid w:val="00EF4927"/>
    <w:rsid w:val="00EF4B51"/>
    <w:rsid w:val="00EF4C9E"/>
    <w:rsid w:val="00EF4ECA"/>
    <w:rsid w:val="00EF4F9C"/>
    <w:rsid w:val="00EF4FA2"/>
    <w:rsid w:val="00EF5019"/>
    <w:rsid w:val="00EF5275"/>
    <w:rsid w:val="00EF52EB"/>
    <w:rsid w:val="00EF5385"/>
    <w:rsid w:val="00EF5510"/>
    <w:rsid w:val="00EF5528"/>
    <w:rsid w:val="00EF5AA5"/>
    <w:rsid w:val="00EF5D82"/>
    <w:rsid w:val="00EF5E45"/>
    <w:rsid w:val="00EF5F6F"/>
    <w:rsid w:val="00EF600D"/>
    <w:rsid w:val="00EF6443"/>
    <w:rsid w:val="00EF652E"/>
    <w:rsid w:val="00EF6608"/>
    <w:rsid w:val="00EF6627"/>
    <w:rsid w:val="00EF6654"/>
    <w:rsid w:val="00EF6671"/>
    <w:rsid w:val="00EF66B5"/>
    <w:rsid w:val="00EF6710"/>
    <w:rsid w:val="00EF6793"/>
    <w:rsid w:val="00EF681B"/>
    <w:rsid w:val="00EF6864"/>
    <w:rsid w:val="00EF6907"/>
    <w:rsid w:val="00EF6978"/>
    <w:rsid w:val="00EF6987"/>
    <w:rsid w:val="00EF6A8E"/>
    <w:rsid w:val="00EF6DF0"/>
    <w:rsid w:val="00EF6E18"/>
    <w:rsid w:val="00EF6FD3"/>
    <w:rsid w:val="00EF7098"/>
    <w:rsid w:val="00EF7167"/>
    <w:rsid w:val="00EF7247"/>
    <w:rsid w:val="00EF7334"/>
    <w:rsid w:val="00EF7419"/>
    <w:rsid w:val="00EF7469"/>
    <w:rsid w:val="00EF7494"/>
    <w:rsid w:val="00EF7A69"/>
    <w:rsid w:val="00EF7DD6"/>
    <w:rsid w:val="00EF7E07"/>
    <w:rsid w:val="00EF7E66"/>
    <w:rsid w:val="00EF7E90"/>
    <w:rsid w:val="00EF7F2B"/>
    <w:rsid w:val="00F0007D"/>
    <w:rsid w:val="00F0012F"/>
    <w:rsid w:val="00F00289"/>
    <w:rsid w:val="00F00315"/>
    <w:rsid w:val="00F0036B"/>
    <w:rsid w:val="00F00538"/>
    <w:rsid w:val="00F0066F"/>
    <w:rsid w:val="00F0069A"/>
    <w:rsid w:val="00F0080E"/>
    <w:rsid w:val="00F008A0"/>
    <w:rsid w:val="00F00AEE"/>
    <w:rsid w:val="00F00B88"/>
    <w:rsid w:val="00F00D1C"/>
    <w:rsid w:val="00F00D48"/>
    <w:rsid w:val="00F00D4A"/>
    <w:rsid w:val="00F00D6B"/>
    <w:rsid w:val="00F010AB"/>
    <w:rsid w:val="00F010D8"/>
    <w:rsid w:val="00F01824"/>
    <w:rsid w:val="00F01AFE"/>
    <w:rsid w:val="00F01B7D"/>
    <w:rsid w:val="00F01DF9"/>
    <w:rsid w:val="00F020F9"/>
    <w:rsid w:val="00F023D2"/>
    <w:rsid w:val="00F02475"/>
    <w:rsid w:val="00F02872"/>
    <w:rsid w:val="00F029DC"/>
    <w:rsid w:val="00F02B30"/>
    <w:rsid w:val="00F02B94"/>
    <w:rsid w:val="00F02BA2"/>
    <w:rsid w:val="00F02C2D"/>
    <w:rsid w:val="00F02DF8"/>
    <w:rsid w:val="00F02F20"/>
    <w:rsid w:val="00F02F30"/>
    <w:rsid w:val="00F02FE5"/>
    <w:rsid w:val="00F0309C"/>
    <w:rsid w:val="00F0311E"/>
    <w:rsid w:val="00F0315E"/>
    <w:rsid w:val="00F032C7"/>
    <w:rsid w:val="00F033AE"/>
    <w:rsid w:val="00F0349B"/>
    <w:rsid w:val="00F03597"/>
    <w:rsid w:val="00F0368A"/>
    <w:rsid w:val="00F037D3"/>
    <w:rsid w:val="00F03827"/>
    <w:rsid w:val="00F038B7"/>
    <w:rsid w:val="00F038E7"/>
    <w:rsid w:val="00F039E1"/>
    <w:rsid w:val="00F03A42"/>
    <w:rsid w:val="00F03B2A"/>
    <w:rsid w:val="00F03B8E"/>
    <w:rsid w:val="00F03BAD"/>
    <w:rsid w:val="00F03E08"/>
    <w:rsid w:val="00F04452"/>
    <w:rsid w:val="00F0459E"/>
    <w:rsid w:val="00F045C9"/>
    <w:rsid w:val="00F04706"/>
    <w:rsid w:val="00F04753"/>
    <w:rsid w:val="00F047F7"/>
    <w:rsid w:val="00F04928"/>
    <w:rsid w:val="00F0493C"/>
    <w:rsid w:val="00F04A6F"/>
    <w:rsid w:val="00F04DD9"/>
    <w:rsid w:val="00F04EF4"/>
    <w:rsid w:val="00F04F52"/>
    <w:rsid w:val="00F05153"/>
    <w:rsid w:val="00F0520D"/>
    <w:rsid w:val="00F05475"/>
    <w:rsid w:val="00F054A5"/>
    <w:rsid w:val="00F0553C"/>
    <w:rsid w:val="00F05899"/>
    <w:rsid w:val="00F05968"/>
    <w:rsid w:val="00F05A17"/>
    <w:rsid w:val="00F05C33"/>
    <w:rsid w:val="00F05CF7"/>
    <w:rsid w:val="00F05D43"/>
    <w:rsid w:val="00F05DE5"/>
    <w:rsid w:val="00F05E1C"/>
    <w:rsid w:val="00F06306"/>
    <w:rsid w:val="00F0631E"/>
    <w:rsid w:val="00F06361"/>
    <w:rsid w:val="00F0647F"/>
    <w:rsid w:val="00F064C5"/>
    <w:rsid w:val="00F0680F"/>
    <w:rsid w:val="00F06855"/>
    <w:rsid w:val="00F06A4E"/>
    <w:rsid w:val="00F06CFD"/>
    <w:rsid w:val="00F06DF6"/>
    <w:rsid w:val="00F070CF"/>
    <w:rsid w:val="00F07174"/>
    <w:rsid w:val="00F071A3"/>
    <w:rsid w:val="00F071DD"/>
    <w:rsid w:val="00F073C0"/>
    <w:rsid w:val="00F0753C"/>
    <w:rsid w:val="00F07962"/>
    <w:rsid w:val="00F07B27"/>
    <w:rsid w:val="00F07BCB"/>
    <w:rsid w:val="00F07C21"/>
    <w:rsid w:val="00F07C80"/>
    <w:rsid w:val="00F07CC8"/>
    <w:rsid w:val="00F07D43"/>
    <w:rsid w:val="00F07D87"/>
    <w:rsid w:val="00F07F5D"/>
    <w:rsid w:val="00F100F8"/>
    <w:rsid w:val="00F10117"/>
    <w:rsid w:val="00F10129"/>
    <w:rsid w:val="00F103C5"/>
    <w:rsid w:val="00F10608"/>
    <w:rsid w:val="00F10884"/>
    <w:rsid w:val="00F10917"/>
    <w:rsid w:val="00F10A5A"/>
    <w:rsid w:val="00F10E00"/>
    <w:rsid w:val="00F10E62"/>
    <w:rsid w:val="00F1107E"/>
    <w:rsid w:val="00F110BC"/>
    <w:rsid w:val="00F11119"/>
    <w:rsid w:val="00F1123C"/>
    <w:rsid w:val="00F11482"/>
    <w:rsid w:val="00F114B7"/>
    <w:rsid w:val="00F11681"/>
    <w:rsid w:val="00F117AF"/>
    <w:rsid w:val="00F11979"/>
    <w:rsid w:val="00F11C2B"/>
    <w:rsid w:val="00F11CCE"/>
    <w:rsid w:val="00F11D07"/>
    <w:rsid w:val="00F11E14"/>
    <w:rsid w:val="00F12025"/>
    <w:rsid w:val="00F1205D"/>
    <w:rsid w:val="00F120C4"/>
    <w:rsid w:val="00F12216"/>
    <w:rsid w:val="00F123B9"/>
    <w:rsid w:val="00F12436"/>
    <w:rsid w:val="00F12548"/>
    <w:rsid w:val="00F12563"/>
    <w:rsid w:val="00F125C7"/>
    <w:rsid w:val="00F126B8"/>
    <w:rsid w:val="00F12715"/>
    <w:rsid w:val="00F1275B"/>
    <w:rsid w:val="00F128D3"/>
    <w:rsid w:val="00F129E6"/>
    <w:rsid w:val="00F12B10"/>
    <w:rsid w:val="00F12DF1"/>
    <w:rsid w:val="00F12ED9"/>
    <w:rsid w:val="00F12FF1"/>
    <w:rsid w:val="00F131F8"/>
    <w:rsid w:val="00F13479"/>
    <w:rsid w:val="00F136F7"/>
    <w:rsid w:val="00F137AA"/>
    <w:rsid w:val="00F13967"/>
    <w:rsid w:val="00F13A5D"/>
    <w:rsid w:val="00F13BE0"/>
    <w:rsid w:val="00F14094"/>
    <w:rsid w:val="00F1447C"/>
    <w:rsid w:val="00F144DE"/>
    <w:rsid w:val="00F148A9"/>
    <w:rsid w:val="00F149F9"/>
    <w:rsid w:val="00F14BAD"/>
    <w:rsid w:val="00F14BB2"/>
    <w:rsid w:val="00F14DD5"/>
    <w:rsid w:val="00F14EBC"/>
    <w:rsid w:val="00F14ED6"/>
    <w:rsid w:val="00F14FBE"/>
    <w:rsid w:val="00F15024"/>
    <w:rsid w:val="00F152A6"/>
    <w:rsid w:val="00F153F5"/>
    <w:rsid w:val="00F155A3"/>
    <w:rsid w:val="00F155C6"/>
    <w:rsid w:val="00F157BF"/>
    <w:rsid w:val="00F15816"/>
    <w:rsid w:val="00F158EC"/>
    <w:rsid w:val="00F15927"/>
    <w:rsid w:val="00F15C0A"/>
    <w:rsid w:val="00F15DC2"/>
    <w:rsid w:val="00F15E27"/>
    <w:rsid w:val="00F15E3A"/>
    <w:rsid w:val="00F16283"/>
    <w:rsid w:val="00F162F1"/>
    <w:rsid w:val="00F16485"/>
    <w:rsid w:val="00F164AF"/>
    <w:rsid w:val="00F1658D"/>
    <w:rsid w:val="00F1665A"/>
    <w:rsid w:val="00F166B0"/>
    <w:rsid w:val="00F1693B"/>
    <w:rsid w:val="00F16BAE"/>
    <w:rsid w:val="00F16C2F"/>
    <w:rsid w:val="00F16C75"/>
    <w:rsid w:val="00F16D15"/>
    <w:rsid w:val="00F16E80"/>
    <w:rsid w:val="00F17051"/>
    <w:rsid w:val="00F170AE"/>
    <w:rsid w:val="00F170B2"/>
    <w:rsid w:val="00F1730D"/>
    <w:rsid w:val="00F1741E"/>
    <w:rsid w:val="00F17535"/>
    <w:rsid w:val="00F17551"/>
    <w:rsid w:val="00F17587"/>
    <w:rsid w:val="00F17684"/>
    <w:rsid w:val="00F1799F"/>
    <w:rsid w:val="00F179AE"/>
    <w:rsid w:val="00F17AE4"/>
    <w:rsid w:val="00F17D0B"/>
    <w:rsid w:val="00F17F6F"/>
    <w:rsid w:val="00F20092"/>
    <w:rsid w:val="00F2014C"/>
    <w:rsid w:val="00F20165"/>
    <w:rsid w:val="00F201D1"/>
    <w:rsid w:val="00F203F4"/>
    <w:rsid w:val="00F20542"/>
    <w:rsid w:val="00F2054A"/>
    <w:rsid w:val="00F2066C"/>
    <w:rsid w:val="00F209DC"/>
    <w:rsid w:val="00F20A4F"/>
    <w:rsid w:val="00F20B1B"/>
    <w:rsid w:val="00F20BFA"/>
    <w:rsid w:val="00F20C70"/>
    <w:rsid w:val="00F20D07"/>
    <w:rsid w:val="00F20E34"/>
    <w:rsid w:val="00F20EB4"/>
    <w:rsid w:val="00F20ED4"/>
    <w:rsid w:val="00F21069"/>
    <w:rsid w:val="00F210C4"/>
    <w:rsid w:val="00F21204"/>
    <w:rsid w:val="00F2126F"/>
    <w:rsid w:val="00F21495"/>
    <w:rsid w:val="00F21578"/>
    <w:rsid w:val="00F215AF"/>
    <w:rsid w:val="00F215DA"/>
    <w:rsid w:val="00F21700"/>
    <w:rsid w:val="00F21845"/>
    <w:rsid w:val="00F219D2"/>
    <w:rsid w:val="00F21A5F"/>
    <w:rsid w:val="00F21AB7"/>
    <w:rsid w:val="00F21B75"/>
    <w:rsid w:val="00F21D8B"/>
    <w:rsid w:val="00F21E09"/>
    <w:rsid w:val="00F21E14"/>
    <w:rsid w:val="00F21FA0"/>
    <w:rsid w:val="00F2201A"/>
    <w:rsid w:val="00F22049"/>
    <w:rsid w:val="00F2210A"/>
    <w:rsid w:val="00F2228D"/>
    <w:rsid w:val="00F22306"/>
    <w:rsid w:val="00F2269B"/>
    <w:rsid w:val="00F22841"/>
    <w:rsid w:val="00F22864"/>
    <w:rsid w:val="00F22BB5"/>
    <w:rsid w:val="00F22D14"/>
    <w:rsid w:val="00F22DB4"/>
    <w:rsid w:val="00F22EB0"/>
    <w:rsid w:val="00F23112"/>
    <w:rsid w:val="00F233B9"/>
    <w:rsid w:val="00F23438"/>
    <w:rsid w:val="00F2349F"/>
    <w:rsid w:val="00F2377C"/>
    <w:rsid w:val="00F239E2"/>
    <w:rsid w:val="00F23A54"/>
    <w:rsid w:val="00F23B93"/>
    <w:rsid w:val="00F23BB4"/>
    <w:rsid w:val="00F23DBF"/>
    <w:rsid w:val="00F242DD"/>
    <w:rsid w:val="00F24302"/>
    <w:rsid w:val="00F24350"/>
    <w:rsid w:val="00F244B9"/>
    <w:rsid w:val="00F2462B"/>
    <w:rsid w:val="00F2465C"/>
    <w:rsid w:val="00F24676"/>
    <w:rsid w:val="00F2489C"/>
    <w:rsid w:val="00F24906"/>
    <w:rsid w:val="00F24997"/>
    <w:rsid w:val="00F24B01"/>
    <w:rsid w:val="00F24C61"/>
    <w:rsid w:val="00F24CEB"/>
    <w:rsid w:val="00F24DBB"/>
    <w:rsid w:val="00F24DD4"/>
    <w:rsid w:val="00F24DF2"/>
    <w:rsid w:val="00F24E84"/>
    <w:rsid w:val="00F24EFB"/>
    <w:rsid w:val="00F2507E"/>
    <w:rsid w:val="00F25557"/>
    <w:rsid w:val="00F25684"/>
    <w:rsid w:val="00F25686"/>
    <w:rsid w:val="00F25763"/>
    <w:rsid w:val="00F258B6"/>
    <w:rsid w:val="00F25A0B"/>
    <w:rsid w:val="00F25A33"/>
    <w:rsid w:val="00F25B29"/>
    <w:rsid w:val="00F25B96"/>
    <w:rsid w:val="00F25C17"/>
    <w:rsid w:val="00F25CFB"/>
    <w:rsid w:val="00F25D98"/>
    <w:rsid w:val="00F25EFD"/>
    <w:rsid w:val="00F260AD"/>
    <w:rsid w:val="00F260C2"/>
    <w:rsid w:val="00F261B4"/>
    <w:rsid w:val="00F261C5"/>
    <w:rsid w:val="00F26252"/>
    <w:rsid w:val="00F26402"/>
    <w:rsid w:val="00F2640B"/>
    <w:rsid w:val="00F264AB"/>
    <w:rsid w:val="00F2651E"/>
    <w:rsid w:val="00F26571"/>
    <w:rsid w:val="00F26688"/>
    <w:rsid w:val="00F266F1"/>
    <w:rsid w:val="00F267EA"/>
    <w:rsid w:val="00F26A45"/>
    <w:rsid w:val="00F26B02"/>
    <w:rsid w:val="00F26C7F"/>
    <w:rsid w:val="00F27393"/>
    <w:rsid w:val="00F27470"/>
    <w:rsid w:val="00F27517"/>
    <w:rsid w:val="00F276C3"/>
    <w:rsid w:val="00F2778B"/>
    <w:rsid w:val="00F277C6"/>
    <w:rsid w:val="00F2796B"/>
    <w:rsid w:val="00F27A05"/>
    <w:rsid w:val="00F27B0C"/>
    <w:rsid w:val="00F27CE4"/>
    <w:rsid w:val="00F27D45"/>
    <w:rsid w:val="00F27E46"/>
    <w:rsid w:val="00F27E91"/>
    <w:rsid w:val="00F27F7F"/>
    <w:rsid w:val="00F30011"/>
    <w:rsid w:val="00F30199"/>
    <w:rsid w:val="00F30343"/>
    <w:rsid w:val="00F305B6"/>
    <w:rsid w:val="00F3072C"/>
    <w:rsid w:val="00F307CB"/>
    <w:rsid w:val="00F308AA"/>
    <w:rsid w:val="00F30AB4"/>
    <w:rsid w:val="00F30B7C"/>
    <w:rsid w:val="00F30B94"/>
    <w:rsid w:val="00F30BD9"/>
    <w:rsid w:val="00F30CE2"/>
    <w:rsid w:val="00F30D04"/>
    <w:rsid w:val="00F30D14"/>
    <w:rsid w:val="00F30E0B"/>
    <w:rsid w:val="00F30EC4"/>
    <w:rsid w:val="00F31086"/>
    <w:rsid w:val="00F310B3"/>
    <w:rsid w:val="00F31256"/>
    <w:rsid w:val="00F31449"/>
    <w:rsid w:val="00F31587"/>
    <w:rsid w:val="00F315A4"/>
    <w:rsid w:val="00F316D1"/>
    <w:rsid w:val="00F316F1"/>
    <w:rsid w:val="00F31758"/>
    <w:rsid w:val="00F31863"/>
    <w:rsid w:val="00F31878"/>
    <w:rsid w:val="00F31A46"/>
    <w:rsid w:val="00F31BF8"/>
    <w:rsid w:val="00F31C66"/>
    <w:rsid w:val="00F31C77"/>
    <w:rsid w:val="00F31D65"/>
    <w:rsid w:val="00F31FCD"/>
    <w:rsid w:val="00F32159"/>
    <w:rsid w:val="00F3221A"/>
    <w:rsid w:val="00F3241F"/>
    <w:rsid w:val="00F32555"/>
    <w:rsid w:val="00F325B6"/>
    <w:rsid w:val="00F328C7"/>
    <w:rsid w:val="00F328E3"/>
    <w:rsid w:val="00F329EB"/>
    <w:rsid w:val="00F32AB7"/>
    <w:rsid w:val="00F32ACF"/>
    <w:rsid w:val="00F32DA5"/>
    <w:rsid w:val="00F33011"/>
    <w:rsid w:val="00F3313F"/>
    <w:rsid w:val="00F33196"/>
    <w:rsid w:val="00F3320D"/>
    <w:rsid w:val="00F33211"/>
    <w:rsid w:val="00F33363"/>
    <w:rsid w:val="00F33367"/>
    <w:rsid w:val="00F3344A"/>
    <w:rsid w:val="00F3353E"/>
    <w:rsid w:val="00F33999"/>
    <w:rsid w:val="00F33D21"/>
    <w:rsid w:val="00F33DA3"/>
    <w:rsid w:val="00F33E7E"/>
    <w:rsid w:val="00F33F61"/>
    <w:rsid w:val="00F34506"/>
    <w:rsid w:val="00F347C7"/>
    <w:rsid w:val="00F347E4"/>
    <w:rsid w:val="00F3482A"/>
    <w:rsid w:val="00F34926"/>
    <w:rsid w:val="00F34952"/>
    <w:rsid w:val="00F34A18"/>
    <w:rsid w:val="00F34B36"/>
    <w:rsid w:val="00F34B4B"/>
    <w:rsid w:val="00F34E03"/>
    <w:rsid w:val="00F35001"/>
    <w:rsid w:val="00F350EE"/>
    <w:rsid w:val="00F35428"/>
    <w:rsid w:val="00F3560A"/>
    <w:rsid w:val="00F35871"/>
    <w:rsid w:val="00F358F7"/>
    <w:rsid w:val="00F35A7B"/>
    <w:rsid w:val="00F35A98"/>
    <w:rsid w:val="00F35A99"/>
    <w:rsid w:val="00F35AD3"/>
    <w:rsid w:val="00F35CC0"/>
    <w:rsid w:val="00F35CC5"/>
    <w:rsid w:val="00F35DFD"/>
    <w:rsid w:val="00F36228"/>
    <w:rsid w:val="00F36277"/>
    <w:rsid w:val="00F36291"/>
    <w:rsid w:val="00F36588"/>
    <w:rsid w:val="00F36589"/>
    <w:rsid w:val="00F36816"/>
    <w:rsid w:val="00F3683D"/>
    <w:rsid w:val="00F368C2"/>
    <w:rsid w:val="00F368FF"/>
    <w:rsid w:val="00F369B4"/>
    <w:rsid w:val="00F369CE"/>
    <w:rsid w:val="00F36B72"/>
    <w:rsid w:val="00F36BCD"/>
    <w:rsid w:val="00F36DD6"/>
    <w:rsid w:val="00F36E49"/>
    <w:rsid w:val="00F36FC5"/>
    <w:rsid w:val="00F370AE"/>
    <w:rsid w:val="00F371CF"/>
    <w:rsid w:val="00F37271"/>
    <w:rsid w:val="00F376F0"/>
    <w:rsid w:val="00F376F6"/>
    <w:rsid w:val="00F37A43"/>
    <w:rsid w:val="00F37B6F"/>
    <w:rsid w:val="00F37B9D"/>
    <w:rsid w:val="00F37C8C"/>
    <w:rsid w:val="00F37CF5"/>
    <w:rsid w:val="00F37D7C"/>
    <w:rsid w:val="00F37DCE"/>
    <w:rsid w:val="00F37E06"/>
    <w:rsid w:val="00F40271"/>
    <w:rsid w:val="00F4055A"/>
    <w:rsid w:val="00F407A8"/>
    <w:rsid w:val="00F4082E"/>
    <w:rsid w:val="00F40970"/>
    <w:rsid w:val="00F409E0"/>
    <w:rsid w:val="00F40B3F"/>
    <w:rsid w:val="00F40BC8"/>
    <w:rsid w:val="00F41159"/>
    <w:rsid w:val="00F412A9"/>
    <w:rsid w:val="00F4152D"/>
    <w:rsid w:val="00F41615"/>
    <w:rsid w:val="00F41656"/>
    <w:rsid w:val="00F417AF"/>
    <w:rsid w:val="00F4198A"/>
    <w:rsid w:val="00F41CEC"/>
    <w:rsid w:val="00F41D55"/>
    <w:rsid w:val="00F41DB0"/>
    <w:rsid w:val="00F41E0D"/>
    <w:rsid w:val="00F42015"/>
    <w:rsid w:val="00F420B2"/>
    <w:rsid w:val="00F4213E"/>
    <w:rsid w:val="00F42277"/>
    <w:rsid w:val="00F424CE"/>
    <w:rsid w:val="00F4263D"/>
    <w:rsid w:val="00F42787"/>
    <w:rsid w:val="00F42915"/>
    <w:rsid w:val="00F4294A"/>
    <w:rsid w:val="00F4297A"/>
    <w:rsid w:val="00F42DC1"/>
    <w:rsid w:val="00F42DDE"/>
    <w:rsid w:val="00F4314E"/>
    <w:rsid w:val="00F43198"/>
    <w:rsid w:val="00F43257"/>
    <w:rsid w:val="00F43428"/>
    <w:rsid w:val="00F435ED"/>
    <w:rsid w:val="00F43621"/>
    <w:rsid w:val="00F43846"/>
    <w:rsid w:val="00F43975"/>
    <w:rsid w:val="00F43AF4"/>
    <w:rsid w:val="00F43C4D"/>
    <w:rsid w:val="00F43D37"/>
    <w:rsid w:val="00F43DB7"/>
    <w:rsid w:val="00F43E27"/>
    <w:rsid w:val="00F43E7F"/>
    <w:rsid w:val="00F43EA4"/>
    <w:rsid w:val="00F43EFF"/>
    <w:rsid w:val="00F43F24"/>
    <w:rsid w:val="00F440E8"/>
    <w:rsid w:val="00F44222"/>
    <w:rsid w:val="00F442F0"/>
    <w:rsid w:val="00F44344"/>
    <w:rsid w:val="00F4435C"/>
    <w:rsid w:val="00F444AB"/>
    <w:rsid w:val="00F444EA"/>
    <w:rsid w:val="00F449B1"/>
    <w:rsid w:val="00F44A42"/>
    <w:rsid w:val="00F44C81"/>
    <w:rsid w:val="00F44C8F"/>
    <w:rsid w:val="00F44DB8"/>
    <w:rsid w:val="00F44F26"/>
    <w:rsid w:val="00F45353"/>
    <w:rsid w:val="00F454AF"/>
    <w:rsid w:val="00F4575E"/>
    <w:rsid w:val="00F45762"/>
    <w:rsid w:val="00F457C4"/>
    <w:rsid w:val="00F45910"/>
    <w:rsid w:val="00F45AF0"/>
    <w:rsid w:val="00F45BAB"/>
    <w:rsid w:val="00F45C70"/>
    <w:rsid w:val="00F45C8F"/>
    <w:rsid w:val="00F45D3E"/>
    <w:rsid w:val="00F46002"/>
    <w:rsid w:val="00F46015"/>
    <w:rsid w:val="00F460C1"/>
    <w:rsid w:val="00F46215"/>
    <w:rsid w:val="00F46315"/>
    <w:rsid w:val="00F4667E"/>
    <w:rsid w:val="00F46CF7"/>
    <w:rsid w:val="00F46D6B"/>
    <w:rsid w:val="00F46E4F"/>
    <w:rsid w:val="00F470C1"/>
    <w:rsid w:val="00F471CF"/>
    <w:rsid w:val="00F47510"/>
    <w:rsid w:val="00F478E7"/>
    <w:rsid w:val="00F479B7"/>
    <w:rsid w:val="00F47A56"/>
    <w:rsid w:val="00F47BB6"/>
    <w:rsid w:val="00F47BFB"/>
    <w:rsid w:val="00F47DFE"/>
    <w:rsid w:val="00F47F5E"/>
    <w:rsid w:val="00F50251"/>
    <w:rsid w:val="00F50413"/>
    <w:rsid w:val="00F504B8"/>
    <w:rsid w:val="00F505E3"/>
    <w:rsid w:val="00F505EA"/>
    <w:rsid w:val="00F50872"/>
    <w:rsid w:val="00F5098D"/>
    <w:rsid w:val="00F50B5F"/>
    <w:rsid w:val="00F50DDB"/>
    <w:rsid w:val="00F50DDD"/>
    <w:rsid w:val="00F50E1A"/>
    <w:rsid w:val="00F51006"/>
    <w:rsid w:val="00F51164"/>
    <w:rsid w:val="00F5131E"/>
    <w:rsid w:val="00F514EF"/>
    <w:rsid w:val="00F51575"/>
    <w:rsid w:val="00F51623"/>
    <w:rsid w:val="00F516DB"/>
    <w:rsid w:val="00F51769"/>
    <w:rsid w:val="00F5191E"/>
    <w:rsid w:val="00F51999"/>
    <w:rsid w:val="00F519E2"/>
    <w:rsid w:val="00F51A33"/>
    <w:rsid w:val="00F51A48"/>
    <w:rsid w:val="00F51AA0"/>
    <w:rsid w:val="00F51AD5"/>
    <w:rsid w:val="00F51C40"/>
    <w:rsid w:val="00F51DD4"/>
    <w:rsid w:val="00F51EC9"/>
    <w:rsid w:val="00F52035"/>
    <w:rsid w:val="00F52082"/>
    <w:rsid w:val="00F521C6"/>
    <w:rsid w:val="00F521EA"/>
    <w:rsid w:val="00F524B0"/>
    <w:rsid w:val="00F5256C"/>
    <w:rsid w:val="00F528FA"/>
    <w:rsid w:val="00F52C4E"/>
    <w:rsid w:val="00F52FCF"/>
    <w:rsid w:val="00F53045"/>
    <w:rsid w:val="00F531BD"/>
    <w:rsid w:val="00F533A2"/>
    <w:rsid w:val="00F533AA"/>
    <w:rsid w:val="00F53654"/>
    <w:rsid w:val="00F53695"/>
    <w:rsid w:val="00F536EA"/>
    <w:rsid w:val="00F53E36"/>
    <w:rsid w:val="00F53E89"/>
    <w:rsid w:val="00F5432D"/>
    <w:rsid w:val="00F54463"/>
    <w:rsid w:val="00F545D1"/>
    <w:rsid w:val="00F545E9"/>
    <w:rsid w:val="00F54603"/>
    <w:rsid w:val="00F546F4"/>
    <w:rsid w:val="00F54783"/>
    <w:rsid w:val="00F547C1"/>
    <w:rsid w:val="00F54871"/>
    <w:rsid w:val="00F5494C"/>
    <w:rsid w:val="00F54A05"/>
    <w:rsid w:val="00F54A57"/>
    <w:rsid w:val="00F54A96"/>
    <w:rsid w:val="00F54C2E"/>
    <w:rsid w:val="00F54C56"/>
    <w:rsid w:val="00F54C74"/>
    <w:rsid w:val="00F54C79"/>
    <w:rsid w:val="00F54DDC"/>
    <w:rsid w:val="00F54E5F"/>
    <w:rsid w:val="00F54F0A"/>
    <w:rsid w:val="00F55096"/>
    <w:rsid w:val="00F55364"/>
    <w:rsid w:val="00F55450"/>
    <w:rsid w:val="00F554D4"/>
    <w:rsid w:val="00F55874"/>
    <w:rsid w:val="00F558CF"/>
    <w:rsid w:val="00F55C03"/>
    <w:rsid w:val="00F55CDC"/>
    <w:rsid w:val="00F55D93"/>
    <w:rsid w:val="00F55D9A"/>
    <w:rsid w:val="00F55E9E"/>
    <w:rsid w:val="00F55F7D"/>
    <w:rsid w:val="00F55FEA"/>
    <w:rsid w:val="00F560B5"/>
    <w:rsid w:val="00F560B7"/>
    <w:rsid w:val="00F56176"/>
    <w:rsid w:val="00F5622D"/>
    <w:rsid w:val="00F564C4"/>
    <w:rsid w:val="00F564D9"/>
    <w:rsid w:val="00F56539"/>
    <w:rsid w:val="00F56626"/>
    <w:rsid w:val="00F56720"/>
    <w:rsid w:val="00F56876"/>
    <w:rsid w:val="00F5687B"/>
    <w:rsid w:val="00F568C5"/>
    <w:rsid w:val="00F56D5A"/>
    <w:rsid w:val="00F56D9C"/>
    <w:rsid w:val="00F56DFB"/>
    <w:rsid w:val="00F56FD3"/>
    <w:rsid w:val="00F5730D"/>
    <w:rsid w:val="00F573DF"/>
    <w:rsid w:val="00F574D0"/>
    <w:rsid w:val="00F574E9"/>
    <w:rsid w:val="00F5755C"/>
    <w:rsid w:val="00F576AF"/>
    <w:rsid w:val="00F577D4"/>
    <w:rsid w:val="00F5781D"/>
    <w:rsid w:val="00F57D19"/>
    <w:rsid w:val="00F57ED6"/>
    <w:rsid w:val="00F60097"/>
    <w:rsid w:val="00F600CE"/>
    <w:rsid w:val="00F6019E"/>
    <w:rsid w:val="00F60240"/>
    <w:rsid w:val="00F6028A"/>
    <w:rsid w:val="00F60489"/>
    <w:rsid w:val="00F604A6"/>
    <w:rsid w:val="00F60680"/>
    <w:rsid w:val="00F6073F"/>
    <w:rsid w:val="00F60750"/>
    <w:rsid w:val="00F6084C"/>
    <w:rsid w:val="00F60B22"/>
    <w:rsid w:val="00F60C13"/>
    <w:rsid w:val="00F60C71"/>
    <w:rsid w:val="00F60DAC"/>
    <w:rsid w:val="00F60F35"/>
    <w:rsid w:val="00F60F63"/>
    <w:rsid w:val="00F610DB"/>
    <w:rsid w:val="00F614D0"/>
    <w:rsid w:val="00F617C9"/>
    <w:rsid w:val="00F61849"/>
    <w:rsid w:val="00F61A29"/>
    <w:rsid w:val="00F61A2E"/>
    <w:rsid w:val="00F61B89"/>
    <w:rsid w:val="00F61C28"/>
    <w:rsid w:val="00F61D83"/>
    <w:rsid w:val="00F61DA8"/>
    <w:rsid w:val="00F61EE2"/>
    <w:rsid w:val="00F62094"/>
    <w:rsid w:val="00F6226C"/>
    <w:rsid w:val="00F62272"/>
    <w:rsid w:val="00F6252C"/>
    <w:rsid w:val="00F62729"/>
    <w:rsid w:val="00F629E0"/>
    <w:rsid w:val="00F62B46"/>
    <w:rsid w:val="00F62CF6"/>
    <w:rsid w:val="00F62E6F"/>
    <w:rsid w:val="00F63026"/>
    <w:rsid w:val="00F6305D"/>
    <w:rsid w:val="00F63096"/>
    <w:rsid w:val="00F63163"/>
    <w:rsid w:val="00F6395E"/>
    <w:rsid w:val="00F63D47"/>
    <w:rsid w:val="00F63D94"/>
    <w:rsid w:val="00F63DF2"/>
    <w:rsid w:val="00F63EF9"/>
    <w:rsid w:val="00F6407C"/>
    <w:rsid w:val="00F640BC"/>
    <w:rsid w:val="00F641CE"/>
    <w:rsid w:val="00F64285"/>
    <w:rsid w:val="00F6442C"/>
    <w:rsid w:val="00F644F8"/>
    <w:rsid w:val="00F64671"/>
    <w:rsid w:val="00F64717"/>
    <w:rsid w:val="00F64B33"/>
    <w:rsid w:val="00F64BE3"/>
    <w:rsid w:val="00F64C4D"/>
    <w:rsid w:val="00F64D40"/>
    <w:rsid w:val="00F64D4A"/>
    <w:rsid w:val="00F652EC"/>
    <w:rsid w:val="00F653EB"/>
    <w:rsid w:val="00F65544"/>
    <w:rsid w:val="00F6572F"/>
    <w:rsid w:val="00F657C0"/>
    <w:rsid w:val="00F658DB"/>
    <w:rsid w:val="00F65DF9"/>
    <w:rsid w:val="00F66112"/>
    <w:rsid w:val="00F66549"/>
    <w:rsid w:val="00F665EB"/>
    <w:rsid w:val="00F66661"/>
    <w:rsid w:val="00F66760"/>
    <w:rsid w:val="00F66984"/>
    <w:rsid w:val="00F66AE5"/>
    <w:rsid w:val="00F66C16"/>
    <w:rsid w:val="00F66EA7"/>
    <w:rsid w:val="00F67231"/>
    <w:rsid w:val="00F67802"/>
    <w:rsid w:val="00F67A66"/>
    <w:rsid w:val="00F67BC8"/>
    <w:rsid w:val="00F70046"/>
    <w:rsid w:val="00F70057"/>
    <w:rsid w:val="00F70092"/>
    <w:rsid w:val="00F701F4"/>
    <w:rsid w:val="00F701F5"/>
    <w:rsid w:val="00F7043A"/>
    <w:rsid w:val="00F7052E"/>
    <w:rsid w:val="00F70931"/>
    <w:rsid w:val="00F7094F"/>
    <w:rsid w:val="00F709B3"/>
    <w:rsid w:val="00F70C23"/>
    <w:rsid w:val="00F70D24"/>
    <w:rsid w:val="00F70D6D"/>
    <w:rsid w:val="00F70D8E"/>
    <w:rsid w:val="00F70D95"/>
    <w:rsid w:val="00F70DB4"/>
    <w:rsid w:val="00F70E63"/>
    <w:rsid w:val="00F70EDC"/>
    <w:rsid w:val="00F70F0A"/>
    <w:rsid w:val="00F70F38"/>
    <w:rsid w:val="00F70FDA"/>
    <w:rsid w:val="00F7100E"/>
    <w:rsid w:val="00F71032"/>
    <w:rsid w:val="00F7105A"/>
    <w:rsid w:val="00F71285"/>
    <w:rsid w:val="00F712BB"/>
    <w:rsid w:val="00F7138E"/>
    <w:rsid w:val="00F713BE"/>
    <w:rsid w:val="00F7141A"/>
    <w:rsid w:val="00F715A9"/>
    <w:rsid w:val="00F717C1"/>
    <w:rsid w:val="00F717C9"/>
    <w:rsid w:val="00F7182C"/>
    <w:rsid w:val="00F71A64"/>
    <w:rsid w:val="00F71F03"/>
    <w:rsid w:val="00F7223D"/>
    <w:rsid w:val="00F7288C"/>
    <w:rsid w:val="00F72A72"/>
    <w:rsid w:val="00F72D68"/>
    <w:rsid w:val="00F72E03"/>
    <w:rsid w:val="00F72E21"/>
    <w:rsid w:val="00F7304B"/>
    <w:rsid w:val="00F73308"/>
    <w:rsid w:val="00F73375"/>
    <w:rsid w:val="00F73470"/>
    <w:rsid w:val="00F73496"/>
    <w:rsid w:val="00F734A5"/>
    <w:rsid w:val="00F737B2"/>
    <w:rsid w:val="00F7399D"/>
    <w:rsid w:val="00F73A2D"/>
    <w:rsid w:val="00F73A38"/>
    <w:rsid w:val="00F73AEA"/>
    <w:rsid w:val="00F73E18"/>
    <w:rsid w:val="00F73E85"/>
    <w:rsid w:val="00F73EE7"/>
    <w:rsid w:val="00F740EE"/>
    <w:rsid w:val="00F74177"/>
    <w:rsid w:val="00F74348"/>
    <w:rsid w:val="00F74354"/>
    <w:rsid w:val="00F74630"/>
    <w:rsid w:val="00F74700"/>
    <w:rsid w:val="00F748A4"/>
    <w:rsid w:val="00F74A4C"/>
    <w:rsid w:val="00F74BFC"/>
    <w:rsid w:val="00F74E4D"/>
    <w:rsid w:val="00F74E60"/>
    <w:rsid w:val="00F75066"/>
    <w:rsid w:val="00F75094"/>
    <w:rsid w:val="00F7516D"/>
    <w:rsid w:val="00F7521B"/>
    <w:rsid w:val="00F75256"/>
    <w:rsid w:val="00F752C2"/>
    <w:rsid w:val="00F753EE"/>
    <w:rsid w:val="00F75411"/>
    <w:rsid w:val="00F75721"/>
    <w:rsid w:val="00F75801"/>
    <w:rsid w:val="00F75A8E"/>
    <w:rsid w:val="00F75B62"/>
    <w:rsid w:val="00F75D41"/>
    <w:rsid w:val="00F75E2E"/>
    <w:rsid w:val="00F75E71"/>
    <w:rsid w:val="00F75F7B"/>
    <w:rsid w:val="00F75FA1"/>
    <w:rsid w:val="00F760BC"/>
    <w:rsid w:val="00F76159"/>
    <w:rsid w:val="00F763AE"/>
    <w:rsid w:val="00F76703"/>
    <w:rsid w:val="00F76B2A"/>
    <w:rsid w:val="00F76B64"/>
    <w:rsid w:val="00F76F77"/>
    <w:rsid w:val="00F7701C"/>
    <w:rsid w:val="00F770B4"/>
    <w:rsid w:val="00F7710E"/>
    <w:rsid w:val="00F77146"/>
    <w:rsid w:val="00F7722D"/>
    <w:rsid w:val="00F77285"/>
    <w:rsid w:val="00F7733F"/>
    <w:rsid w:val="00F77563"/>
    <w:rsid w:val="00F776E9"/>
    <w:rsid w:val="00F776EE"/>
    <w:rsid w:val="00F777B1"/>
    <w:rsid w:val="00F77870"/>
    <w:rsid w:val="00F778AF"/>
    <w:rsid w:val="00F7793C"/>
    <w:rsid w:val="00F7793F"/>
    <w:rsid w:val="00F77958"/>
    <w:rsid w:val="00F77A9C"/>
    <w:rsid w:val="00F77BAE"/>
    <w:rsid w:val="00F77C0C"/>
    <w:rsid w:val="00F77EBB"/>
    <w:rsid w:val="00F77FDF"/>
    <w:rsid w:val="00F800E4"/>
    <w:rsid w:val="00F80188"/>
    <w:rsid w:val="00F80255"/>
    <w:rsid w:val="00F804C0"/>
    <w:rsid w:val="00F80735"/>
    <w:rsid w:val="00F8075A"/>
    <w:rsid w:val="00F80A9D"/>
    <w:rsid w:val="00F80FB8"/>
    <w:rsid w:val="00F80FBE"/>
    <w:rsid w:val="00F80FCC"/>
    <w:rsid w:val="00F8101C"/>
    <w:rsid w:val="00F810FB"/>
    <w:rsid w:val="00F81310"/>
    <w:rsid w:val="00F813D6"/>
    <w:rsid w:val="00F8142C"/>
    <w:rsid w:val="00F81670"/>
    <w:rsid w:val="00F81735"/>
    <w:rsid w:val="00F819F2"/>
    <w:rsid w:val="00F81A90"/>
    <w:rsid w:val="00F81D08"/>
    <w:rsid w:val="00F8222B"/>
    <w:rsid w:val="00F82337"/>
    <w:rsid w:val="00F82418"/>
    <w:rsid w:val="00F828B8"/>
    <w:rsid w:val="00F82A1C"/>
    <w:rsid w:val="00F82B42"/>
    <w:rsid w:val="00F82BC6"/>
    <w:rsid w:val="00F82BD5"/>
    <w:rsid w:val="00F82C6C"/>
    <w:rsid w:val="00F82CD2"/>
    <w:rsid w:val="00F830A8"/>
    <w:rsid w:val="00F8311A"/>
    <w:rsid w:val="00F8318B"/>
    <w:rsid w:val="00F833CF"/>
    <w:rsid w:val="00F8346E"/>
    <w:rsid w:val="00F835E1"/>
    <w:rsid w:val="00F836D5"/>
    <w:rsid w:val="00F837FD"/>
    <w:rsid w:val="00F839BD"/>
    <w:rsid w:val="00F83BE2"/>
    <w:rsid w:val="00F83BF3"/>
    <w:rsid w:val="00F83CE5"/>
    <w:rsid w:val="00F83F15"/>
    <w:rsid w:val="00F83F8E"/>
    <w:rsid w:val="00F84126"/>
    <w:rsid w:val="00F844C9"/>
    <w:rsid w:val="00F844FA"/>
    <w:rsid w:val="00F84523"/>
    <w:rsid w:val="00F846DF"/>
    <w:rsid w:val="00F84B79"/>
    <w:rsid w:val="00F84E38"/>
    <w:rsid w:val="00F84E65"/>
    <w:rsid w:val="00F850E6"/>
    <w:rsid w:val="00F85216"/>
    <w:rsid w:val="00F85328"/>
    <w:rsid w:val="00F853C0"/>
    <w:rsid w:val="00F8541D"/>
    <w:rsid w:val="00F8562D"/>
    <w:rsid w:val="00F85776"/>
    <w:rsid w:val="00F85801"/>
    <w:rsid w:val="00F8589A"/>
    <w:rsid w:val="00F8597A"/>
    <w:rsid w:val="00F85A1E"/>
    <w:rsid w:val="00F85ABC"/>
    <w:rsid w:val="00F85D1D"/>
    <w:rsid w:val="00F85E8C"/>
    <w:rsid w:val="00F85FF1"/>
    <w:rsid w:val="00F86028"/>
    <w:rsid w:val="00F86087"/>
    <w:rsid w:val="00F8610B"/>
    <w:rsid w:val="00F86174"/>
    <w:rsid w:val="00F86182"/>
    <w:rsid w:val="00F8622C"/>
    <w:rsid w:val="00F862EF"/>
    <w:rsid w:val="00F863E1"/>
    <w:rsid w:val="00F86629"/>
    <w:rsid w:val="00F867D4"/>
    <w:rsid w:val="00F867EE"/>
    <w:rsid w:val="00F86806"/>
    <w:rsid w:val="00F86816"/>
    <w:rsid w:val="00F868C0"/>
    <w:rsid w:val="00F86930"/>
    <w:rsid w:val="00F86968"/>
    <w:rsid w:val="00F869C6"/>
    <w:rsid w:val="00F86A9B"/>
    <w:rsid w:val="00F86ADE"/>
    <w:rsid w:val="00F86B48"/>
    <w:rsid w:val="00F86C72"/>
    <w:rsid w:val="00F86D04"/>
    <w:rsid w:val="00F86E05"/>
    <w:rsid w:val="00F87026"/>
    <w:rsid w:val="00F87176"/>
    <w:rsid w:val="00F87258"/>
    <w:rsid w:val="00F87300"/>
    <w:rsid w:val="00F8744A"/>
    <w:rsid w:val="00F87489"/>
    <w:rsid w:val="00F874A9"/>
    <w:rsid w:val="00F876EC"/>
    <w:rsid w:val="00F87702"/>
    <w:rsid w:val="00F8777D"/>
    <w:rsid w:val="00F877B7"/>
    <w:rsid w:val="00F8781D"/>
    <w:rsid w:val="00F87A11"/>
    <w:rsid w:val="00F87A94"/>
    <w:rsid w:val="00F87C19"/>
    <w:rsid w:val="00F87C77"/>
    <w:rsid w:val="00F87CFF"/>
    <w:rsid w:val="00F87D16"/>
    <w:rsid w:val="00F87D54"/>
    <w:rsid w:val="00F900C5"/>
    <w:rsid w:val="00F9028A"/>
    <w:rsid w:val="00F9059F"/>
    <w:rsid w:val="00F905B6"/>
    <w:rsid w:val="00F90875"/>
    <w:rsid w:val="00F908AA"/>
    <w:rsid w:val="00F90912"/>
    <w:rsid w:val="00F90E2C"/>
    <w:rsid w:val="00F90F7B"/>
    <w:rsid w:val="00F90FAF"/>
    <w:rsid w:val="00F90FC4"/>
    <w:rsid w:val="00F91182"/>
    <w:rsid w:val="00F91459"/>
    <w:rsid w:val="00F9145F"/>
    <w:rsid w:val="00F91534"/>
    <w:rsid w:val="00F916E2"/>
    <w:rsid w:val="00F91730"/>
    <w:rsid w:val="00F91872"/>
    <w:rsid w:val="00F9191E"/>
    <w:rsid w:val="00F9198C"/>
    <w:rsid w:val="00F919FB"/>
    <w:rsid w:val="00F91C39"/>
    <w:rsid w:val="00F91E27"/>
    <w:rsid w:val="00F91E86"/>
    <w:rsid w:val="00F91F9B"/>
    <w:rsid w:val="00F9212F"/>
    <w:rsid w:val="00F925A9"/>
    <w:rsid w:val="00F925B6"/>
    <w:rsid w:val="00F92701"/>
    <w:rsid w:val="00F92753"/>
    <w:rsid w:val="00F92771"/>
    <w:rsid w:val="00F928DF"/>
    <w:rsid w:val="00F92925"/>
    <w:rsid w:val="00F92983"/>
    <w:rsid w:val="00F92A24"/>
    <w:rsid w:val="00F92BBA"/>
    <w:rsid w:val="00F92E50"/>
    <w:rsid w:val="00F93053"/>
    <w:rsid w:val="00F93059"/>
    <w:rsid w:val="00F93284"/>
    <w:rsid w:val="00F9328C"/>
    <w:rsid w:val="00F932D0"/>
    <w:rsid w:val="00F9356E"/>
    <w:rsid w:val="00F9360B"/>
    <w:rsid w:val="00F937DD"/>
    <w:rsid w:val="00F93907"/>
    <w:rsid w:val="00F93915"/>
    <w:rsid w:val="00F93A3E"/>
    <w:rsid w:val="00F93AF9"/>
    <w:rsid w:val="00F93C2D"/>
    <w:rsid w:val="00F93CB5"/>
    <w:rsid w:val="00F93D86"/>
    <w:rsid w:val="00F93D8D"/>
    <w:rsid w:val="00F9407E"/>
    <w:rsid w:val="00F94097"/>
    <w:rsid w:val="00F943B6"/>
    <w:rsid w:val="00F94512"/>
    <w:rsid w:val="00F945F2"/>
    <w:rsid w:val="00F94796"/>
    <w:rsid w:val="00F947B9"/>
    <w:rsid w:val="00F94821"/>
    <w:rsid w:val="00F94984"/>
    <w:rsid w:val="00F94A2C"/>
    <w:rsid w:val="00F94A72"/>
    <w:rsid w:val="00F94B69"/>
    <w:rsid w:val="00F94CBF"/>
    <w:rsid w:val="00F94D13"/>
    <w:rsid w:val="00F94DC1"/>
    <w:rsid w:val="00F94DDD"/>
    <w:rsid w:val="00F9507F"/>
    <w:rsid w:val="00F953FC"/>
    <w:rsid w:val="00F954AC"/>
    <w:rsid w:val="00F959C7"/>
    <w:rsid w:val="00F95AA0"/>
    <w:rsid w:val="00F95AFE"/>
    <w:rsid w:val="00F95B10"/>
    <w:rsid w:val="00F95B32"/>
    <w:rsid w:val="00F95BAD"/>
    <w:rsid w:val="00F95BB8"/>
    <w:rsid w:val="00F95CEF"/>
    <w:rsid w:val="00F95DC6"/>
    <w:rsid w:val="00F95DDC"/>
    <w:rsid w:val="00F95E7D"/>
    <w:rsid w:val="00F95FAE"/>
    <w:rsid w:val="00F96006"/>
    <w:rsid w:val="00F9601E"/>
    <w:rsid w:val="00F9612A"/>
    <w:rsid w:val="00F966A2"/>
    <w:rsid w:val="00F967F6"/>
    <w:rsid w:val="00F968C9"/>
    <w:rsid w:val="00F9691C"/>
    <w:rsid w:val="00F969AE"/>
    <w:rsid w:val="00F969BD"/>
    <w:rsid w:val="00F96E43"/>
    <w:rsid w:val="00F96F7D"/>
    <w:rsid w:val="00F9713A"/>
    <w:rsid w:val="00F9717A"/>
    <w:rsid w:val="00F97828"/>
    <w:rsid w:val="00F979A1"/>
    <w:rsid w:val="00F97DB1"/>
    <w:rsid w:val="00F97DBF"/>
    <w:rsid w:val="00F97E03"/>
    <w:rsid w:val="00F97FBB"/>
    <w:rsid w:val="00F97FF1"/>
    <w:rsid w:val="00FA0248"/>
    <w:rsid w:val="00FA024E"/>
    <w:rsid w:val="00FA027C"/>
    <w:rsid w:val="00FA02DD"/>
    <w:rsid w:val="00FA0547"/>
    <w:rsid w:val="00FA05B8"/>
    <w:rsid w:val="00FA0616"/>
    <w:rsid w:val="00FA0867"/>
    <w:rsid w:val="00FA0A83"/>
    <w:rsid w:val="00FA0B1F"/>
    <w:rsid w:val="00FA0C15"/>
    <w:rsid w:val="00FA0C1A"/>
    <w:rsid w:val="00FA0CD7"/>
    <w:rsid w:val="00FA0D28"/>
    <w:rsid w:val="00FA0D9B"/>
    <w:rsid w:val="00FA0E5B"/>
    <w:rsid w:val="00FA0EFC"/>
    <w:rsid w:val="00FA1039"/>
    <w:rsid w:val="00FA10AA"/>
    <w:rsid w:val="00FA11BF"/>
    <w:rsid w:val="00FA11D7"/>
    <w:rsid w:val="00FA124B"/>
    <w:rsid w:val="00FA1548"/>
    <w:rsid w:val="00FA1665"/>
    <w:rsid w:val="00FA173D"/>
    <w:rsid w:val="00FA1747"/>
    <w:rsid w:val="00FA185F"/>
    <w:rsid w:val="00FA1969"/>
    <w:rsid w:val="00FA1A02"/>
    <w:rsid w:val="00FA1D58"/>
    <w:rsid w:val="00FA1EA4"/>
    <w:rsid w:val="00FA1FD6"/>
    <w:rsid w:val="00FA1FDE"/>
    <w:rsid w:val="00FA207D"/>
    <w:rsid w:val="00FA20BD"/>
    <w:rsid w:val="00FA213A"/>
    <w:rsid w:val="00FA214B"/>
    <w:rsid w:val="00FA216A"/>
    <w:rsid w:val="00FA21BF"/>
    <w:rsid w:val="00FA21FF"/>
    <w:rsid w:val="00FA2240"/>
    <w:rsid w:val="00FA23B4"/>
    <w:rsid w:val="00FA242F"/>
    <w:rsid w:val="00FA2651"/>
    <w:rsid w:val="00FA27D3"/>
    <w:rsid w:val="00FA29DA"/>
    <w:rsid w:val="00FA2D74"/>
    <w:rsid w:val="00FA2DA5"/>
    <w:rsid w:val="00FA2E4B"/>
    <w:rsid w:val="00FA2E79"/>
    <w:rsid w:val="00FA2E91"/>
    <w:rsid w:val="00FA2F62"/>
    <w:rsid w:val="00FA2FCE"/>
    <w:rsid w:val="00FA2FD1"/>
    <w:rsid w:val="00FA30EE"/>
    <w:rsid w:val="00FA3124"/>
    <w:rsid w:val="00FA3211"/>
    <w:rsid w:val="00FA33F9"/>
    <w:rsid w:val="00FA3536"/>
    <w:rsid w:val="00FA385C"/>
    <w:rsid w:val="00FA38B6"/>
    <w:rsid w:val="00FA3917"/>
    <w:rsid w:val="00FA39E5"/>
    <w:rsid w:val="00FA39F2"/>
    <w:rsid w:val="00FA3DB0"/>
    <w:rsid w:val="00FA42D6"/>
    <w:rsid w:val="00FA4479"/>
    <w:rsid w:val="00FA450F"/>
    <w:rsid w:val="00FA4527"/>
    <w:rsid w:val="00FA4557"/>
    <w:rsid w:val="00FA45FD"/>
    <w:rsid w:val="00FA4716"/>
    <w:rsid w:val="00FA4874"/>
    <w:rsid w:val="00FA49AC"/>
    <w:rsid w:val="00FA49C7"/>
    <w:rsid w:val="00FA4A26"/>
    <w:rsid w:val="00FA4C91"/>
    <w:rsid w:val="00FA4E34"/>
    <w:rsid w:val="00FA4E3A"/>
    <w:rsid w:val="00FA4F28"/>
    <w:rsid w:val="00FA4FB8"/>
    <w:rsid w:val="00FA503B"/>
    <w:rsid w:val="00FA558C"/>
    <w:rsid w:val="00FA563C"/>
    <w:rsid w:val="00FA5787"/>
    <w:rsid w:val="00FA57F6"/>
    <w:rsid w:val="00FA6095"/>
    <w:rsid w:val="00FA60EC"/>
    <w:rsid w:val="00FA628D"/>
    <w:rsid w:val="00FA6300"/>
    <w:rsid w:val="00FA663A"/>
    <w:rsid w:val="00FA68F0"/>
    <w:rsid w:val="00FA6987"/>
    <w:rsid w:val="00FA69FA"/>
    <w:rsid w:val="00FA69FB"/>
    <w:rsid w:val="00FA6D06"/>
    <w:rsid w:val="00FA6E70"/>
    <w:rsid w:val="00FA70D5"/>
    <w:rsid w:val="00FA713E"/>
    <w:rsid w:val="00FA72C9"/>
    <w:rsid w:val="00FA747A"/>
    <w:rsid w:val="00FA74CB"/>
    <w:rsid w:val="00FA76B1"/>
    <w:rsid w:val="00FA776F"/>
    <w:rsid w:val="00FA797F"/>
    <w:rsid w:val="00FA7A71"/>
    <w:rsid w:val="00FA7ABC"/>
    <w:rsid w:val="00FA7B43"/>
    <w:rsid w:val="00FA7F0B"/>
    <w:rsid w:val="00FA7F0F"/>
    <w:rsid w:val="00FB000F"/>
    <w:rsid w:val="00FB0128"/>
    <w:rsid w:val="00FB0208"/>
    <w:rsid w:val="00FB034A"/>
    <w:rsid w:val="00FB03AE"/>
    <w:rsid w:val="00FB03D3"/>
    <w:rsid w:val="00FB03FC"/>
    <w:rsid w:val="00FB041E"/>
    <w:rsid w:val="00FB0456"/>
    <w:rsid w:val="00FB086D"/>
    <w:rsid w:val="00FB0A56"/>
    <w:rsid w:val="00FB0AA4"/>
    <w:rsid w:val="00FB0C42"/>
    <w:rsid w:val="00FB0CBE"/>
    <w:rsid w:val="00FB0D57"/>
    <w:rsid w:val="00FB0EBF"/>
    <w:rsid w:val="00FB13E7"/>
    <w:rsid w:val="00FB1AE1"/>
    <w:rsid w:val="00FB1BCE"/>
    <w:rsid w:val="00FB1C94"/>
    <w:rsid w:val="00FB1EB9"/>
    <w:rsid w:val="00FB1EEE"/>
    <w:rsid w:val="00FB1F45"/>
    <w:rsid w:val="00FB1F59"/>
    <w:rsid w:val="00FB21EA"/>
    <w:rsid w:val="00FB22BB"/>
    <w:rsid w:val="00FB241B"/>
    <w:rsid w:val="00FB253A"/>
    <w:rsid w:val="00FB259C"/>
    <w:rsid w:val="00FB2675"/>
    <w:rsid w:val="00FB26A3"/>
    <w:rsid w:val="00FB2977"/>
    <w:rsid w:val="00FB2A61"/>
    <w:rsid w:val="00FB2CA1"/>
    <w:rsid w:val="00FB2D59"/>
    <w:rsid w:val="00FB2DA0"/>
    <w:rsid w:val="00FB2E25"/>
    <w:rsid w:val="00FB30C3"/>
    <w:rsid w:val="00FB31AF"/>
    <w:rsid w:val="00FB321A"/>
    <w:rsid w:val="00FB32E8"/>
    <w:rsid w:val="00FB3303"/>
    <w:rsid w:val="00FB33EB"/>
    <w:rsid w:val="00FB3643"/>
    <w:rsid w:val="00FB374C"/>
    <w:rsid w:val="00FB376C"/>
    <w:rsid w:val="00FB37BD"/>
    <w:rsid w:val="00FB39F8"/>
    <w:rsid w:val="00FB3A0C"/>
    <w:rsid w:val="00FB3A0F"/>
    <w:rsid w:val="00FB3D3A"/>
    <w:rsid w:val="00FB3D69"/>
    <w:rsid w:val="00FB3E93"/>
    <w:rsid w:val="00FB3E97"/>
    <w:rsid w:val="00FB3E9C"/>
    <w:rsid w:val="00FB3F1A"/>
    <w:rsid w:val="00FB3F46"/>
    <w:rsid w:val="00FB40E1"/>
    <w:rsid w:val="00FB4364"/>
    <w:rsid w:val="00FB43DC"/>
    <w:rsid w:val="00FB455E"/>
    <w:rsid w:val="00FB469D"/>
    <w:rsid w:val="00FB46A1"/>
    <w:rsid w:val="00FB47E1"/>
    <w:rsid w:val="00FB4954"/>
    <w:rsid w:val="00FB4A32"/>
    <w:rsid w:val="00FB4C27"/>
    <w:rsid w:val="00FB4C2D"/>
    <w:rsid w:val="00FB4C92"/>
    <w:rsid w:val="00FB4CCE"/>
    <w:rsid w:val="00FB4D5B"/>
    <w:rsid w:val="00FB4D89"/>
    <w:rsid w:val="00FB4E7A"/>
    <w:rsid w:val="00FB4FD5"/>
    <w:rsid w:val="00FB50AA"/>
    <w:rsid w:val="00FB51BA"/>
    <w:rsid w:val="00FB529C"/>
    <w:rsid w:val="00FB5367"/>
    <w:rsid w:val="00FB5457"/>
    <w:rsid w:val="00FB54BC"/>
    <w:rsid w:val="00FB54DF"/>
    <w:rsid w:val="00FB5578"/>
    <w:rsid w:val="00FB5669"/>
    <w:rsid w:val="00FB566B"/>
    <w:rsid w:val="00FB5A5E"/>
    <w:rsid w:val="00FB5C5F"/>
    <w:rsid w:val="00FB5D3A"/>
    <w:rsid w:val="00FB5FBE"/>
    <w:rsid w:val="00FB5FDB"/>
    <w:rsid w:val="00FB60ED"/>
    <w:rsid w:val="00FB6103"/>
    <w:rsid w:val="00FB6181"/>
    <w:rsid w:val="00FB6228"/>
    <w:rsid w:val="00FB6285"/>
    <w:rsid w:val="00FB62B3"/>
    <w:rsid w:val="00FB632F"/>
    <w:rsid w:val="00FB639D"/>
    <w:rsid w:val="00FB6D27"/>
    <w:rsid w:val="00FB6DA8"/>
    <w:rsid w:val="00FB6E5C"/>
    <w:rsid w:val="00FB6ECF"/>
    <w:rsid w:val="00FB6FED"/>
    <w:rsid w:val="00FB703A"/>
    <w:rsid w:val="00FB71EC"/>
    <w:rsid w:val="00FB7364"/>
    <w:rsid w:val="00FB75C4"/>
    <w:rsid w:val="00FB75EF"/>
    <w:rsid w:val="00FB76B7"/>
    <w:rsid w:val="00FB7703"/>
    <w:rsid w:val="00FB7810"/>
    <w:rsid w:val="00FB78BB"/>
    <w:rsid w:val="00FB78F9"/>
    <w:rsid w:val="00FB792E"/>
    <w:rsid w:val="00FB7CA3"/>
    <w:rsid w:val="00FB7F36"/>
    <w:rsid w:val="00FB7F97"/>
    <w:rsid w:val="00FC024A"/>
    <w:rsid w:val="00FC0337"/>
    <w:rsid w:val="00FC0494"/>
    <w:rsid w:val="00FC0736"/>
    <w:rsid w:val="00FC0811"/>
    <w:rsid w:val="00FC081B"/>
    <w:rsid w:val="00FC0A43"/>
    <w:rsid w:val="00FC0BC6"/>
    <w:rsid w:val="00FC0D7F"/>
    <w:rsid w:val="00FC0EC1"/>
    <w:rsid w:val="00FC0EE5"/>
    <w:rsid w:val="00FC0F4C"/>
    <w:rsid w:val="00FC11AB"/>
    <w:rsid w:val="00FC1346"/>
    <w:rsid w:val="00FC139D"/>
    <w:rsid w:val="00FC172D"/>
    <w:rsid w:val="00FC1A8F"/>
    <w:rsid w:val="00FC1ADB"/>
    <w:rsid w:val="00FC1CB7"/>
    <w:rsid w:val="00FC1D70"/>
    <w:rsid w:val="00FC1F81"/>
    <w:rsid w:val="00FC20FF"/>
    <w:rsid w:val="00FC25F6"/>
    <w:rsid w:val="00FC27E4"/>
    <w:rsid w:val="00FC29E8"/>
    <w:rsid w:val="00FC2A61"/>
    <w:rsid w:val="00FC2A80"/>
    <w:rsid w:val="00FC2D8D"/>
    <w:rsid w:val="00FC2EA4"/>
    <w:rsid w:val="00FC2FB7"/>
    <w:rsid w:val="00FC3152"/>
    <w:rsid w:val="00FC31B4"/>
    <w:rsid w:val="00FC3227"/>
    <w:rsid w:val="00FC398A"/>
    <w:rsid w:val="00FC39E6"/>
    <w:rsid w:val="00FC3AE7"/>
    <w:rsid w:val="00FC3C61"/>
    <w:rsid w:val="00FC40A0"/>
    <w:rsid w:val="00FC41FB"/>
    <w:rsid w:val="00FC438B"/>
    <w:rsid w:val="00FC443E"/>
    <w:rsid w:val="00FC446D"/>
    <w:rsid w:val="00FC44C3"/>
    <w:rsid w:val="00FC4787"/>
    <w:rsid w:val="00FC4859"/>
    <w:rsid w:val="00FC4C53"/>
    <w:rsid w:val="00FC4C73"/>
    <w:rsid w:val="00FC4C74"/>
    <w:rsid w:val="00FC4E28"/>
    <w:rsid w:val="00FC529C"/>
    <w:rsid w:val="00FC52C2"/>
    <w:rsid w:val="00FC5473"/>
    <w:rsid w:val="00FC54DD"/>
    <w:rsid w:val="00FC5565"/>
    <w:rsid w:val="00FC5621"/>
    <w:rsid w:val="00FC56B6"/>
    <w:rsid w:val="00FC5784"/>
    <w:rsid w:val="00FC5909"/>
    <w:rsid w:val="00FC591A"/>
    <w:rsid w:val="00FC5960"/>
    <w:rsid w:val="00FC5A82"/>
    <w:rsid w:val="00FC607C"/>
    <w:rsid w:val="00FC611F"/>
    <w:rsid w:val="00FC61DE"/>
    <w:rsid w:val="00FC61F5"/>
    <w:rsid w:val="00FC62C4"/>
    <w:rsid w:val="00FC64D7"/>
    <w:rsid w:val="00FC66A9"/>
    <w:rsid w:val="00FC6994"/>
    <w:rsid w:val="00FC6CA4"/>
    <w:rsid w:val="00FC6CB5"/>
    <w:rsid w:val="00FC6CD7"/>
    <w:rsid w:val="00FC6F5C"/>
    <w:rsid w:val="00FC7082"/>
    <w:rsid w:val="00FC71C5"/>
    <w:rsid w:val="00FC7247"/>
    <w:rsid w:val="00FC729D"/>
    <w:rsid w:val="00FC7558"/>
    <w:rsid w:val="00FC77F9"/>
    <w:rsid w:val="00FC782F"/>
    <w:rsid w:val="00FC785A"/>
    <w:rsid w:val="00FC78A3"/>
    <w:rsid w:val="00FC7AA0"/>
    <w:rsid w:val="00FC7AB6"/>
    <w:rsid w:val="00FC7D81"/>
    <w:rsid w:val="00FC7ED6"/>
    <w:rsid w:val="00FD018D"/>
    <w:rsid w:val="00FD0679"/>
    <w:rsid w:val="00FD074F"/>
    <w:rsid w:val="00FD07A0"/>
    <w:rsid w:val="00FD0820"/>
    <w:rsid w:val="00FD0A43"/>
    <w:rsid w:val="00FD0AD5"/>
    <w:rsid w:val="00FD0AF0"/>
    <w:rsid w:val="00FD0AF1"/>
    <w:rsid w:val="00FD0B26"/>
    <w:rsid w:val="00FD0B59"/>
    <w:rsid w:val="00FD112F"/>
    <w:rsid w:val="00FD12C0"/>
    <w:rsid w:val="00FD1618"/>
    <w:rsid w:val="00FD1628"/>
    <w:rsid w:val="00FD17ED"/>
    <w:rsid w:val="00FD199E"/>
    <w:rsid w:val="00FD1B77"/>
    <w:rsid w:val="00FD1C88"/>
    <w:rsid w:val="00FD1C8B"/>
    <w:rsid w:val="00FD1C9B"/>
    <w:rsid w:val="00FD1DC0"/>
    <w:rsid w:val="00FD2148"/>
    <w:rsid w:val="00FD24E6"/>
    <w:rsid w:val="00FD2515"/>
    <w:rsid w:val="00FD263A"/>
    <w:rsid w:val="00FD2790"/>
    <w:rsid w:val="00FD2BED"/>
    <w:rsid w:val="00FD2C74"/>
    <w:rsid w:val="00FD2CC0"/>
    <w:rsid w:val="00FD2EE2"/>
    <w:rsid w:val="00FD31BE"/>
    <w:rsid w:val="00FD31F4"/>
    <w:rsid w:val="00FD32EC"/>
    <w:rsid w:val="00FD3404"/>
    <w:rsid w:val="00FD3573"/>
    <w:rsid w:val="00FD35A2"/>
    <w:rsid w:val="00FD3671"/>
    <w:rsid w:val="00FD376F"/>
    <w:rsid w:val="00FD3BF0"/>
    <w:rsid w:val="00FD3D8D"/>
    <w:rsid w:val="00FD3ECB"/>
    <w:rsid w:val="00FD3FFA"/>
    <w:rsid w:val="00FD400A"/>
    <w:rsid w:val="00FD4213"/>
    <w:rsid w:val="00FD44B6"/>
    <w:rsid w:val="00FD4643"/>
    <w:rsid w:val="00FD4729"/>
    <w:rsid w:val="00FD496A"/>
    <w:rsid w:val="00FD4C1D"/>
    <w:rsid w:val="00FD4EAD"/>
    <w:rsid w:val="00FD4EC7"/>
    <w:rsid w:val="00FD4F81"/>
    <w:rsid w:val="00FD5759"/>
    <w:rsid w:val="00FD5993"/>
    <w:rsid w:val="00FD5A20"/>
    <w:rsid w:val="00FD5A42"/>
    <w:rsid w:val="00FD5B08"/>
    <w:rsid w:val="00FD5C71"/>
    <w:rsid w:val="00FD6090"/>
    <w:rsid w:val="00FD6554"/>
    <w:rsid w:val="00FD666F"/>
    <w:rsid w:val="00FD6878"/>
    <w:rsid w:val="00FD688E"/>
    <w:rsid w:val="00FD69DC"/>
    <w:rsid w:val="00FD69ED"/>
    <w:rsid w:val="00FD6A4E"/>
    <w:rsid w:val="00FD6A76"/>
    <w:rsid w:val="00FD6DA8"/>
    <w:rsid w:val="00FD6DF4"/>
    <w:rsid w:val="00FD7142"/>
    <w:rsid w:val="00FD71F6"/>
    <w:rsid w:val="00FD75AF"/>
    <w:rsid w:val="00FD790A"/>
    <w:rsid w:val="00FD79D1"/>
    <w:rsid w:val="00FD79E7"/>
    <w:rsid w:val="00FD7AB1"/>
    <w:rsid w:val="00FD7BEE"/>
    <w:rsid w:val="00FD7C18"/>
    <w:rsid w:val="00FD7C37"/>
    <w:rsid w:val="00FD7D67"/>
    <w:rsid w:val="00FE0054"/>
    <w:rsid w:val="00FE022C"/>
    <w:rsid w:val="00FE02DE"/>
    <w:rsid w:val="00FE0323"/>
    <w:rsid w:val="00FE0559"/>
    <w:rsid w:val="00FE06A8"/>
    <w:rsid w:val="00FE0828"/>
    <w:rsid w:val="00FE090B"/>
    <w:rsid w:val="00FE0972"/>
    <w:rsid w:val="00FE0B3B"/>
    <w:rsid w:val="00FE0BEC"/>
    <w:rsid w:val="00FE0CC7"/>
    <w:rsid w:val="00FE0CE3"/>
    <w:rsid w:val="00FE0D7C"/>
    <w:rsid w:val="00FE0DFA"/>
    <w:rsid w:val="00FE0E92"/>
    <w:rsid w:val="00FE0FF3"/>
    <w:rsid w:val="00FE1372"/>
    <w:rsid w:val="00FE1419"/>
    <w:rsid w:val="00FE143F"/>
    <w:rsid w:val="00FE14C7"/>
    <w:rsid w:val="00FE153A"/>
    <w:rsid w:val="00FE1880"/>
    <w:rsid w:val="00FE1B17"/>
    <w:rsid w:val="00FE1C0D"/>
    <w:rsid w:val="00FE1C50"/>
    <w:rsid w:val="00FE1E7E"/>
    <w:rsid w:val="00FE1F6A"/>
    <w:rsid w:val="00FE2247"/>
    <w:rsid w:val="00FE227A"/>
    <w:rsid w:val="00FE235F"/>
    <w:rsid w:val="00FE24B8"/>
    <w:rsid w:val="00FE24F9"/>
    <w:rsid w:val="00FE2605"/>
    <w:rsid w:val="00FE2743"/>
    <w:rsid w:val="00FE2871"/>
    <w:rsid w:val="00FE29A8"/>
    <w:rsid w:val="00FE2B14"/>
    <w:rsid w:val="00FE2F66"/>
    <w:rsid w:val="00FE30D8"/>
    <w:rsid w:val="00FE30DA"/>
    <w:rsid w:val="00FE3280"/>
    <w:rsid w:val="00FE3285"/>
    <w:rsid w:val="00FE34CD"/>
    <w:rsid w:val="00FE35B8"/>
    <w:rsid w:val="00FE37FA"/>
    <w:rsid w:val="00FE3834"/>
    <w:rsid w:val="00FE38B3"/>
    <w:rsid w:val="00FE38DD"/>
    <w:rsid w:val="00FE3953"/>
    <w:rsid w:val="00FE395E"/>
    <w:rsid w:val="00FE3AAC"/>
    <w:rsid w:val="00FE3B1A"/>
    <w:rsid w:val="00FE3B8F"/>
    <w:rsid w:val="00FE3D43"/>
    <w:rsid w:val="00FE3DD7"/>
    <w:rsid w:val="00FE3FB7"/>
    <w:rsid w:val="00FE40A5"/>
    <w:rsid w:val="00FE413E"/>
    <w:rsid w:val="00FE41DA"/>
    <w:rsid w:val="00FE4299"/>
    <w:rsid w:val="00FE46DE"/>
    <w:rsid w:val="00FE4839"/>
    <w:rsid w:val="00FE485D"/>
    <w:rsid w:val="00FE48BB"/>
    <w:rsid w:val="00FE4A22"/>
    <w:rsid w:val="00FE4A2C"/>
    <w:rsid w:val="00FE4B79"/>
    <w:rsid w:val="00FE4CF3"/>
    <w:rsid w:val="00FE4E20"/>
    <w:rsid w:val="00FE5033"/>
    <w:rsid w:val="00FE508B"/>
    <w:rsid w:val="00FE52DE"/>
    <w:rsid w:val="00FE539B"/>
    <w:rsid w:val="00FE54DA"/>
    <w:rsid w:val="00FE555B"/>
    <w:rsid w:val="00FE5620"/>
    <w:rsid w:val="00FE5716"/>
    <w:rsid w:val="00FE576E"/>
    <w:rsid w:val="00FE5952"/>
    <w:rsid w:val="00FE5C72"/>
    <w:rsid w:val="00FE5C7A"/>
    <w:rsid w:val="00FE5C93"/>
    <w:rsid w:val="00FE5D45"/>
    <w:rsid w:val="00FE607B"/>
    <w:rsid w:val="00FE60E6"/>
    <w:rsid w:val="00FE6191"/>
    <w:rsid w:val="00FE6292"/>
    <w:rsid w:val="00FE63D2"/>
    <w:rsid w:val="00FE6637"/>
    <w:rsid w:val="00FE6775"/>
    <w:rsid w:val="00FE6780"/>
    <w:rsid w:val="00FE6B28"/>
    <w:rsid w:val="00FE6D67"/>
    <w:rsid w:val="00FE6F35"/>
    <w:rsid w:val="00FE71AC"/>
    <w:rsid w:val="00FE7696"/>
    <w:rsid w:val="00FE7791"/>
    <w:rsid w:val="00FE782D"/>
    <w:rsid w:val="00FE7AE7"/>
    <w:rsid w:val="00FE7C4B"/>
    <w:rsid w:val="00FE7C5E"/>
    <w:rsid w:val="00FE7CB4"/>
    <w:rsid w:val="00FE7CB8"/>
    <w:rsid w:val="00FE7DE5"/>
    <w:rsid w:val="00FF0024"/>
    <w:rsid w:val="00FF00CF"/>
    <w:rsid w:val="00FF020A"/>
    <w:rsid w:val="00FF040D"/>
    <w:rsid w:val="00FF043F"/>
    <w:rsid w:val="00FF0446"/>
    <w:rsid w:val="00FF077C"/>
    <w:rsid w:val="00FF0794"/>
    <w:rsid w:val="00FF08DE"/>
    <w:rsid w:val="00FF0A56"/>
    <w:rsid w:val="00FF0B39"/>
    <w:rsid w:val="00FF0E28"/>
    <w:rsid w:val="00FF0E73"/>
    <w:rsid w:val="00FF0F72"/>
    <w:rsid w:val="00FF13CF"/>
    <w:rsid w:val="00FF1488"/>
    <w:rsid w:val="00FF1525"/>
    <w:rsid w:val="00FF1882"/>
    <w:rsid w:val="00FF190F"/>
    <w:rsid w:val="00FF1DCC"/>
    <w:rsid w:val="00FF1E45"/>
    <w:rsid w:val="00FF1EC0"/>
    <w:rsid w:val="00FF1F79"/>
    <w:rsid w:val="00FF1FAA"/>
    <w:rsid w:val="00FF20CC"/>
    <w:rsid w:val="00FF26AB"/>
    <w:rsid w:val="00FF276A"/>
    <w:rsid w:val="00FF2A38"/>
    <w:rsid w:val="00FF2E1D"/>
    <w:rsid w:val="00FF2E6C"/>
    <w:rsid w:val="00FF2FF9"/>
    <w:rsid w:val="00FF3216"/>
    <w:rsid w:val="00FF3872"/>
    <w:rsid w:val="00FF394C"/>
    <w:rsid w:val="00FF3C51"/>
    <w:rsid w:val="00FF3CD6"/>
    <w:rsid w:val="00FF3CDF"/>
    <w:rsid w:val="00FF3E9B"/>
    <w:rsid w:val="00FF3FFE"/>
    <w:rsid w:val="00FF402F"/>
    <w:rsid w:val="00FF408C"/>
    <w:rsid w:val="00FF41B1"/>
    <w:rsid w:val="00FF423B"/>
    <w:rsid w:val="00FF4324"/>
    <w:rsid w:val="00FF4588"/>
    <w:rsid w:val="00FF46B0"/>
    <w:rsid w:val="00FF4862"/>
    <w:rsid w:val="00FF4884"/>
    <w:rsid w:val="00FF48CE"/>
    <w:rsid w:val="00FF48DA"/>
    <w:rsid w:val="00FF4A6F"/>
    <w:rsid w:val="00FF4AF7"/>
    <w:rsid w:val="00FF4BFB"/>
    <w:rsid w:val="00FF4EFC"/>
    <w:rsid w:val="00FF4F17"/>
    <w:rsid w:val="00FF4FAE"/>
    <w:rsid w:val="00FF4FC4"/>
    <w:rsid w:val="00FF5033"/>
    <w:rsid w:val="00FF518F"/>
    <w:rsid w:val="00FF5371"/>
    <w:rsid w:val="00FF53E4"/>
    <w:rsid w:val="00FF53FD"/>
    <w:rsid w:val="00FF54AE"/>
    <w:rsid w:val="00FF5639"/>
    <w:rsid w:val="00FF58DA"/>
    <w:rsid w:val="00FF5978"/>
    <w:rsid w:val="00FF5C30"/>
    <w:rsid w:val="00FF5E6E"/>
    <w:rsid w:val="00FF60C4"/>
    <w:rsid w:val="00FF6149"/>
    <w:rsid w:val="00FF626A"/>
    <w:rsid w:val="00FF62CE"/>
    <w:rsid w:val="00FF6308"/>
    <w:rsid w:val="00FF6322"/>
    <w:rsid w:val="00FF6332"/>
    <w:rsid w:val="00FF63A5"/>
    <w:rsid w:val="00FF6514"/>
    <w:rsid w:val="00FF6571"/>
    <w:rsid w:val="00FF662B"/>
    <w:rsid w:val="00FF669D"/>
    <w:rsid w:val="00FF66E7"/>
    <w:rsid w:val="00FF67DD"/>
    <w:rsid w:val="00FF6919"/>
    <w:rsid w:val="00FF696E"/>
    <w:rsid w:val="00FF69A3"/>
    <w:rsid w:val="00FF6A88"/>
    <w:rsid w:val="00FF6D24"/>
    <w:rsid w:val="00FF6FA9"/>
    <w:rsid w:val="00FF6FB3"/>
    <w:rsid w:val="00FF7301"/>
    <w:rsid w:val="00FF7669"/>
    <w:rsid w:val="00FF7743"/>
    <w:rsid w:val="00FF77E2"/>
    <w:rsid w:val="00FF7853"/>
    <w:rsid w:val="00FF79C7"/>
    <w:rsid w:val="013BBB55"/>
    <w:rsid w:val="022D015C"/>
    <w:rsid w:val="027F25DC"/>
    <w:rsid w:val="060645CF"/>
    <w:rsid w:val="06E630FA"/>
    <w:rsid w:val="07DEE361"/>
    <w:rsid w:val="080168E0"/>
    <w:rsid w:val="0D1D389B"/>
    <w:rsid w:val="0DFADEBD"/>
    <w:rsid w:val="1142A87C"/>
    <w:rsid w:val="12957941"/>
    <w:rsid w:val="140C1959"/>
    <w:rsid w:val="16133E90"/>
    <w:rsid w:val="1E7A50DF"/>
    <w:rsid w:val="1F333CBD"/>
    <w:rsid w:val="20399DA5"/>
    <w:rsid w:val="20BE7919"/>
    <w:rsid w:val="22258A99"/>
    <w:rsid w:val="281596CA"/>
    <w:rsid w:val="28E37CED"/>
    <w:rsid w:val="2B1F325F"/>
    <w:rsid w:val="3004CEF6"/>
    <w:rsid w:val="30968A03"/>
    <w:rsid w:val="33502CD0"/>
    <w:rsid w:val="342B8667"/>
    <w:rsid w:val="3558ECA8"/>
    <w:rsid w:val="39323D15"/>
    <w:rsid w:val="39B3140E"/>
    <w:rsid w:val="39B50C7F"/>
    <w:rsid w:val="39C9D904"/>
    <w:rsid w:val="3AF84267"/>
    <w:rsid w:val="3CEB2027"/>
    <w:rsid w:val="3F289DCA"/>
    <w:rsid w:val="3FB880A9"/>
    <w:rsid w:val="44F4131D"/>
    <w:rsid w:val="468FFDF8"/>
    <w:rsid w:val="4D113D4C"/>
    <w:rsid w:val="4D66388B"/>
    <w:rsid w:val="5176F232"/>
    <w:rsid w:val="51A10C24"/>
    <w:rsid w:val="53829D03"/>
    <w:rsid w:val="565690CE"/>
    <w:rsid w:val="5844E5F5"/>
    <w:rsid w:val="5A30E108"/>
    <w:rsid w:val="5AAAAD24"/>
    <w:rsid w:val="5E1AF0E4"/>
    <w:rsid w:val="61B66801"/>
    <w:rsid w:val="66505753"/>
    <w:rsid w:val="687F0515"/>
    <w:rsid w:val="68A6E377"/>
    <w:rsid w:val="6900C1E9"/>
    <w:rsid w:val="6901BD70"/>
    <w:rsid w:val="6AFEF9EC"/>
    <w:rsid w:val="6EDCD5F8"/>
    <w:rsid w:val="704BE9C9"/>
    <w:rsid w:val="726A210F"/>
    <w:rsid w:val="72A6E602"/>
    <w:rsid w:val="7327CDB6"/>
    <w:rsid w:val="7380B864"/>
    <w:rsid w:val="743A46E4"/>
    <w:rsid w:val="7455F20C"/>
    <w:rsid w:val="749202CA"/>
    <w:rsid w:val="7CC57E97"/>
    <w:rsid w:val="7E2F26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DDAA1"/>
  <w15:chartTrackingRefBased/>
  <w15:docId w15:val="{CF92BF8B-45E6-471F-88AF-7D68C593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3A"/>
    <w:pPr>
      <w:spacing w:after="160" w:line="259" w:lineRule="auto"/>
    </w:pPr>
    <w:rPr>
      <w:rFonts w:eastAsia="Times New Roman"/>
      <w:sz w:val="22"/>
      <w:szCs w:val="22"/>
      <w:lang w:eastAsia="ja-JP"/>
    </w:rPr>
  </w:style>
  <w:style w:type="paragraph" w:styleId="Heading1">
    <w:name w:val="heading 1"/>
    <w:next w:val="BodyText"/>
    <w:link w:val="Heading1Char"/>
    <w:uiPriority w:val="9"/>
    <w:qFormat/>
    <w:rsid w:val="00CC7892"/>
    <w:pPr>
      <w:pageBreakBefore/>
      <w:numPr>
        <w:numId w:val="12"/>
      </w:numPr>
      <w:pBdr>
        <w:bottom w:val="single" w:sz="4" w:space="1" w:color="auto"/>
      </w:pBdr>
      <w:tabs>
        <w:tab w:val="left" w:pos="851"/>
      </w:tabs>
      <w:spacing w:before="360" w:after="360" w:line="259" w:lineRule="auto"/>
      <w:outlineLvl w:val="0"/>
    </w:pPr>
    <w:rPr>
      <w:rFonts w:ascii="Calibri Light" w:eastAsia="Times New Roman" w:hAnsi="Calibri Light"/>
      <w:b/>
      <w:bCs/>
      <w:sz w:val="44"/>
      <w:szCs w:val="36"/>
      <w:lang w:eastAsia="ja-JP"/>
    </w:rPr>
  </w:style>
  <w:style w:type="paragraph" w:styleId="Heading2">
    <w:name w:val="heading 2"/>
    <w:next w:val="BodyText"/>
    <w:link w:val="Heading2Char"/>
    <w:uiPriority w:val="9"/>
    <w:unhideWhenUsed/>
    <w:qFormat/>
    <w:rsid w:val="00CC7892"/>
    <w:pPr>
      <w:keepNext/>
      <w:keepLines/>
      <w:numPr>
        <w:ilvl w:val="1"/>
        <w:numId w:val="12"/>
      </w:numPr>
      <w:tabs>
        <w:tab w:val="left" w:pos="851"/>
      </w:tabs>
      <w:spacing w:before="360" w:after="120" w:line="216" w:lineRule="auto"/>
      <w:outlineLvl w:val="1"/>
    </w:pPr>
    <w:rPr>
      <w:rFonts w:ascii="Calibri Light" w:eastAsia="Times New Roman" w:hAnsi="Calibri Light"/>
      <w:b/>
      <w:bCs/>
      <w:sz w:val="36"/>
      <w:szCs w:val="28"/>
      <w:lang w:eastAsia="ja-JP"/>
    </w:rPr>
  </w:style>
  <w:style w:type="paragraph" w:styleId="Heading3">
    <w:name w:val="heading 3"/>
    <w:next w:val="BodyText"/>
    <w:link w:val="Heading3Char"/>
    <w:uiPriority w:val="9"/>
    <w:unhideWhenUsed/>
    <w:qFormat/>
    <w:rsid w:val="00CC7892"/>
    <w:pPr>
      <w:keepNext/>
      <w:keepLines/>
      <w:numPr>
        <w:ilvl w:val="2"/>
        <w:numId w:val="12"/>
      </w:numPr>
      <w:tabs>
        <w:tab w:val="left" w:pos="851"/>
      </w:tabs>
      <w:spacing w:before="240" w:after="120"/>
      <w:outlineLvl w:val="2"/>
    </w:pPr>
    <w:rPr>
      <w:rFonts w:ascii="Calibri Light" w:eastAsia="Times New Roman" w:hAnsi="Calibri Light"/>
      <w:b/>
      <w:bCs/>
      <w:sz w:val="32"/>
      <w:szCs w:val="22"/>
      <w:lang w:eastAsia="ja-JP"/>
    </w:rPr>
  </w:style>
  <w:style w:type="paragraph" w:styleId="Heading4">
    <w:name w:val="heading 4"/>
    <w:next w:val="BodyText"/>
    <w:link w:val="Heading4Char"/>
    <w:autoRedefine/>
    <w:uiPriority w:val="9"/>
    <w:unhideWhenUsed/>
    <w:qFormat/>
    <w:rsid w:val="00DD260A"/>
    <w:pPr>
      <w:keepNext/>
      <w:keepLines/>
      <w:spacing w:before="240" w:after="120" w:line="216" w:lineRule="auto"/>
      <w:outlineLvl w:val="3"/>
    </w:pPr>
    <w:rPr>
      <w:rFonts w:ascii="Calibri Light" w:eastAsia="Times New Roman" w:hAnsi="Calibri Light"/>
      <w:b/>
      <w:bCs/>
      <w:iCs/>
      <w:sz w:val="28"/>
      <w:szCs w:val="22"/>
      <w:lang w:eastAsia="ja-JP"/>
    </w:rPr>
  </w:style>
  <w:style w:type="paragraph" w:styleId="Heading5">
    <w:name w:val="heading 5"/>
    <w:next w:val="BodyText"/>
    <w:link w:val="Heading5Char"/>
    <w:uiPriority w:val="9"/>
    <w:unhideWhenUsed/>
    <w:qFormat/>
    <w:rsid w:val="00CC7892"/>
    <w:pPr>
      <w:keepNext/>
      <w:keepLines/>
      <w:numPr>
        <w:ilvl w:val="4"/>
        <w:numId w:val="12"/>
      </w:numPr>
      <w:spacing w:before="240" w:line="259" w:lineRule="auto"/>
      <w:outlineLvl w:val="4"/>
    </w:pPr>
    <w:rPr>
      <w:rFonts w:ascii="Calibri Light" w:eastAsia="Times New Roman" w:hAnsi="Calibri Light"/>
      <w:b/>
      <w:sz w:val="22"/>
      <w:szCs w:val="22"/>
      <w:lang w:eastAsia="ja-JP"/>
    </w:rPr>
  </w:style>
  <w:style w:type="paragraph" w:styleId="Heading6">
    <w:name w:val="heading 6"/>
    <w:next w:val="BodyText"/>
    <w:link w:val="Heading6Char"/>
    <w:uiPriority w:val="9"/>
    <w:unhideWhenUsed/>
    <w:qFormat/>
    <w:rsid w:val="00CC7892"/>
    <w:pPr>
      <w:keepNext/>
      <w:keepLines/>
      <w:numPr>
        <w:ilvl w:val="5"/>
        <w:numId w:val="12"/>
      </w:numPr>
      <w:spacing w:before="200" w:line="259" w:lineRule="auto"/>
      <w:outlineLvl w:val="5"/>
    </w:pPr>
    <w:rPr>
      <w:rFonts w:ascii="Calibri Light" w:eastAsia="Times New Roman" w:hAnsi="Calibri Light"/>
      <w:i/>
      <w:iCs/>
      <w:color w:val="252525"/>
      <w:sz w:val="22"/>
      <w:szCs w:val="22"/>
      <w:u w:val="single"/>
      <w:lang w:eastAsia="ja-JP"/>
    </w:rPr>
  </w:style>
  <w:style w:type="paragraph" w:styleId="Heading7">
    <w:name w:val="heading 7"/>
    <w:aliases w:val="App Lvl 1"/>
    <w:next w:val="BodyText"/>
    <w:link w:val="Heading7Char"/>
    <w:uiPriority w:val="9"/>
    <w:unhideWhenUsed/>
    <w:qFormat/>
    <w:rsid w:val="008F0915"/>
    <w:pPr>
      <w:keepNext/>
      <w:pageBreakBefore/>
      <w:numPr>
        <w:ilvl w:val="6"/>
        <w:numId w:val="12"/>
      </w:numPr>
      <w:pBdr>
        <w:bottom w:val="single" w:sz="4" w:space="1" w:color="auto"/>
      </w:pBdr>
      <w:spacing w:before="120" w:after="120" w:line="216" w:lineRule="auto"/>
      <w:outlineLvl w:val="6"/>
    </w:pPr>
    <w:rPr>
      <w:rFonts w:ascii="Calibri Light" w:eastAsia="Times New Roman" w:hAnsi="Calibri Light"/>
      <w:b/>
      <w:iCs/>
      <w:sz w:val="36"/>
      <w:szCs w:val="22"/>
      <w:lang w:eastAsia="ja-JP"/>
    </w:rPr>
  </w:style>
  <w:style w:type="paragraph" w:styleId="Heading8">
    <w:name w:val="heading 8"/>
    <w:aliases w:val="App Lvl 2"/>
    <w:next w:val="BodyText"/>
    <w:link w:val="Heading8Char"/>
    <w:uiPriority w:val="9"/>
    <w:unhideWhenUsed/>
    <w:qFormat/>
    <w:rsid w:val="00CC7892"/>
    <w:pPr>
      <w:numPr>
        <w:ilvl w:val="7"/>
        <w:numId w:val="12"/>
      </w:numPr>
      <w:spacing w:before="240" w:after="60" w:line="216" w:lineRule="auto"/>
      <w:outlineLvl w:val="7"/>
    </w:pPr>
    <w:rPr>
      <w:rFonts w:ascii="Calibri Light" w:eastAsia="Times New Roman" w:hAnsi="Calibri Light"/>
      <w:b/>
      <w:sz w:val="32"/>
      <w:lang w:eastAsia="ja-JP"/>
    </w:rPr>
  </w:style>
  <w:style w:type="paragraph" w:styleId="Heading9">
    <w:name w:val="heading 9"/>
    <w:aliases w:val="App Lvl 3"/>
    <w:next w:val="BodyText"/>
    <w:link w:val="Heading9Char"/>
    <w:uiPriority w:val="9"/>
    <w:unhideWhenUsed/>
    <w:qFormat/>
    <w:rsid w:val="00CC7892"/>
    <w:pPr>
      <w:keepNext/>
      <w:keepLines/>
      <w:numPr>
        <w:ilvl w:val="8"/>
        <w:numId w:val="12"/>
      </w:numPr>
      <w:tabs>
        <w:tab w:val="left" w:pos="1021"/>
      </w:tabs>
      <w:spacing w:before="240" w:after="60" w:line="259" w:lineRule="auto"/>
      <w:outlineLvl w:val="8"/>
    </w:pPr>
    <w:rPr>
      <w:rFonts w:ascii="Calibri Light" w:eastAsia="Times New Roman" w:hAnsi="Calibri Light"/>
      <w:b/>
      <w:iCs/>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3176"/>
    <w:rPr>
      <w:color w:val="00B0F0"/>
      <w:u w:val="single"/>
      <w:lang w:val="en-AU"/>
    </w:rPr>
  </w:style>
  <w:style w:type="paragraph" w:styleId="BalloonText">
    <w:name w:val="Balloon Text"/>
    <w:basedOn w:val="Normal"/>
    <w:link w:val="BalloonTextChar"/>
    <w:uiPriority w:val="99"/>
    <w:semiHidden/>
    <w:unhideWhenUsed/>
    <w:rsid w:val="007310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10E5"/>
    <w:rPr>
      <w:rFonts w:ascii="Segoe UI" w:eastAsia="Times New Roman" w:hAnsi="Segoe UI" w:cs="Segoe UI"/>
      <w:sz w:val="18"/>
      <w:szCs w:val="18"/>
      <w:lang w:eastAsia="ja-JP"/>
    </w:rPr>
  </w:style>
  <w:style w:type="character" w:customStyle="1" w:styleId="Heading1Char">
    <w:name w:val="Heading 1 Char"/>
    <w:link w:val="Heading1"/>
    <w:uiPriority w:val="9"/>
    <w:rsid w:val="007361DC"/>
    <w:rPr>
      <w:rFonts w:ascii="Calibri Light" w:eastAsia="Times New Roman" w:hAnsi="Calibri Light"/>
      <w:b/>
      <w:bCs/>
      <w:sz w:val="44"/>
      <w:szCs w:val="36"/>
      <w:lang w:eastAsia="ja-JP"/>
    </w:rPr>
  </w:style>
  <w:style w:type="character" w:customStyle="1" w:styleId="Heading2Char">
    <w:name w:val="Heading 2 Char"/>
    <w:link w:val="Heading2"/>
    <w:uiPriority w:val="9"/>
    <w:rsid w:val="007361DC"/>
    <w:rPr>
      <w:rFonts w:ascii="Calibri Light" w:eastAsia="Times New Roman" w:hAnsi="Calibri Light"/>
      <w:b/>
      <w:bCs/>
      <w:sz w:val="36"/>
      <w:szCs w:val="28"/>
      <w:lang w:eastAsia="ja-JP"/>
    </w:rPr>
  </w:style>
  <w:style w:type="character" w:customStyle="1" w:styleId="Heading3Char">
    <w:name w:val="Heading 3 Char"/>
    <w:link w:val="Heading3"/>
    <w:uiPriority w:val="9"/>
    <w:rsid w:val="006B4A14"/>
    <w:rPr>
      <w:rFonts w:ascii="Calibri Light" w:eastAsia="Times New Roman" w:hAnsi="Calibri Light"/>
      <w:b/>
      <w:bCs/>
      <w:sz w:val="32"/>
      <w:szCs w:val="22"/>
      <w:lang w:eastAsia="ja-JP"/>
    </w:rPr>
  </w:style>
  <w:style w:type="table" w:styleId="TableGrid">
    <w:name w:val="Table Grid"/>
    <w:aliases w:val="Table Grid2"/>
    <w:basedOn w:val="TableNormal"/>
    <w:rsid w:val="00CA3D3A"/>
    <w:rPr>
      <w:rFonts w:eastAsia="Times New Roman"/>
      <w:lang w:eastAsia="ja-JP"/>
    </w:rPr>
    <w:tblPr>
      <w:tblBorders>
        <w:top w:val="single" w:sz="4" w:space="0" w:color="auto"/>
        <w:bottom w:val="single" w:sz="4" w:space="0" w:color="auto"/>
        <w:insideH w:val="single" w:sz="4" w:space="0" w:color="auto"/>
      </w:tblBorders>
    </w:tblPr>
    <w:trPr>
      <w:cantSplit/>
    </w:trPr>
    <w:tblStylePr w:type="firstRow">
      <w:tblPr/>
      <w:trPr>
        <w:tblHeader/>
      </w:trPr>
      <w:tcPr>
        <w:shd w:val="clear" w:color="auto" w:fill="BFBFBF"/>
      </w:tcPr>
    </w:tblStylePr>
  </w:style>
  <w:style w:type="paragraph" w:styleId="Header">
    <w:name w:val="header"/>
    <w:link w:val="HeaderChar"/>
    <w:uiPriority w:val="99"/>
    <w:unhideWhenUsed/>
    <w:rsid w:val="002B679B"/>
    <w:pPr>
      <w:tabs>
        <w:tab w:val="right" w:pos="14572"/>
      </w:tabs>
      <w:spacing w:after="240"/>
    </w:pPr>
    <w:rPr>
      <w:rFonts w:eastAsia="Times New Roman"/>
      <w:b/>
      <w:sz w:val="18"/>
      <w:szCs w:val="22"/>
      <w:lang w:eastAsia="ja-JP"/>
    </w:rPr>
  </w:style>
  <w:style w:type="character" w:customStyle="1" w:styleId="HeaderChar">
    <w:name w:val="Header Char"/>
    <w:link w:val="Header"/>
    <w:uiPriority w:val="99"/>
    <w:rsid w:val="002B679B"/>
    <w:rPr>
      <w:rFonts w:eastAsia="Times New Roman"/>
      <w:b/>
      <w:sz w:val="18"/>
      <w:szCs w:val="22"/>
      <w:lang w:eastAsia="ja-JP"/>
    </w:rPr>
  </w:style>
  <w:style w:type="paragraph" w:styleId="Footer">
    <w:name w:val="footer"/>
    <w:basedOn w:val="Normal"/>
    <w:link w:val="FooterChar"/>
    <w:uiPriority w:val="99"/>
    <w:unhideWhenUsed/>
    <w:rsid w:val="00F66661"/>
    <w:pPr>
      <w:tabs>
        <w:tab w:val="right" w:pos="14572"/>
      </w:tabs>
      <w:spacing w:after="0" w:line="240" w:lineRule="auto"/>
    </w:pPr>
    <w:rPr>
      <w:b/>
      <w:sz w:val="18"/>
    </w:rPr>
  </w:style>
  <w:style w:type="character" w:customStyle="1" w:styleId="FooterChar">
    <w:name w:val="Footer Char"/>
    <w:link w:val="Footer"/>
    <w:uiPriority w:val="99"/>
    <w:rsid w:val="00F66661"/>
    <w:rPr>
      <w:rFonts w:eastAsia="Times New Roman"/>
      <w:b/>
      <w:sz w:val="18"/>
      <w:szCs w:val="22"/>
      <w:lang w:eastAsia="ja-JP"/>
    </w:rPr>
  </w:style>
  <w:style w:type="paragraph" w:styleId="BodyText">
    <w:name w:val="Body Text"/>
    <w:basedOn w:val="Normal"/>
    <w:link w:val="BodyTextChar"/>
    <w:uiPriority w:val="99"/>
    <w:unhideWhenUsed/>
    <w:rsid w:val="00A42D3F"/>
    <w:pPr>
      <w:spacing w:after="120"/>
    </w:pPr>
  </w:style>
  <w:style w:type="character" w:customStyle="1" w:styleId="BodyTextChar">
    <w:name w:val="Body Text Char"/>
    <w:link w:val="BodyText"/>
    <w:uiPriority w:val="99"/>
    <w:rsid w:val="00A42D3F"/>
    <w:rPr>
      <w:rFonts w:eastAsia="Times New Roman"/>
      <w:lang w:val="en-AU" w:eastAsia="ja-JP"/>
    </w:rPr>
  </w:style>
  <w:style w:type="paragraph" w:customStyle="1" w:styleId="Titlesmall">
    <w:name w:val="Title small"/>
    <w:qFormat/>
    <w:rsid w:val="004D5E17"/>
    <w:pPr>
      <w:spacing w:before="600" w:after="160"/>
    </w:pPr>
    <w:rPr>
      <w:rFonts w:eastAsia="Times New Roman"/>
      <w:color w:val="000000"/>
      <w:sz w:val="28"/>
      <w:szCs w:val="56"/>
      <w:lang w:eastAsia="ja-JP"/>
    </w:rPr>
  </w:style>
  <w:style w:type="paragraph" w:customStyle="1" w:styleId="Bulletpoint">
    <w:name w:val="Bullet point"/>
    <w:qFormat/>
    <w:rsid w:val="00452C6F"/>
    <w:pPr>
      <w:numPr>
        <w:numId w:val="1"/>
      </w:numPr>
      <w:spacing w:after="120" w:line="259" w:lineRule="auto"/>
    </w:pPr>
    <w:rPr>
      <w:rFonts w:eastAsia="Times New Roman"/>
      <w:sz w:val="22"/>
      <w:szCs w:val="22"/>
      <w:lang w:eastAsia="ja-JP"/>
    </w:rPr>
  </w:style>
  <w:style w:type="paragraph" w:customStyle="1" w:styleId="Bulletpoint2ndlevel">
    <w:name w:val="Bullet point 2nd level"/>
    <w:basedOn w:val="Bulletpoint"/>
    <w:qFormat/>
    <w:rsid w:val="004357F8"/>
    <w:pPr>
      <w:numPr>
        <w:ilvl w:val="1"/>
      </w:numPr>
    </w:pPr>
  </w:style>
  <w:style w:type="paragraph" w:styleId="Caption">
    <w:name w:val="caption"/>
    <w:next w:val="Normal"/>
    <w:uiPriority w:val="35"/>
    <w:unhideWhenUsed/>
    <w:qFormat/>
    <w:rsid w:val="004357F8"/>
    <w:pPr>
      <w:keepNext/>
      <w:spacing w:before="240"/>
      <w:ind w:left="1418" w:hanging="1418"/>
    </w:pPr>
    <w:rPr>
      <w:rFonts w:eastAsia="Times New Roman"/>
      <w:b/>
      <w:iCs/>
      <w:szCs w:val="18"/>
      <w:lang w:eastAsia="ja-JP"/>
    </w:rPr>
  </w:style>
  <w:style w:type="character" w:styleId="CommentReference">
    <w:name w:val="annotation reference"/>
    <w:uiPriority w:val="99"/>
    <w:semiHidden/>
    <w:unhideWhenUsed/>
    <w:rsid w:val="007310E5"/>
    <w:rPr>
      <w:sz w:val="16"/>
      <w:szCs w:val="16"/>
    </w:rPr>
  </w:style>
  <w:style w:type="paragraph" w:styleId="NormalWeb">
    <w:name w:val="Normal (Web)"/>
    <w:basedOn w:val="Normal"/>
    <w:uiPriority w:val="99"/>
    <w:semiHidden/>
    <w:unhideWhenUsed/>
    <w:rsid w:val="0063032A"/>
    <w:pPr>
      <w:spacing w:before="100" w:beforeAutospacing="1" w:after="100" w:afterAutospacing="1" w:line="240" w:lineRule="auto"/>
    </w:pPr>
    <w:rPr>
      <w:rFonts w:ascii="Times New Roman" w:hAnsi="Times New Roman"/>
      <w:sz w:val="24"/>
      <w:szCs w:val="24"/>
      <w:lang w:eastAsia="en-AU"/>
    </w:rPr>
  </w:style>
  <w:style w:type="paragraph" w:styleId="TOC7">
    <w:name w:val="toc 7"/>
    <w:next w:val="BodyText"/>
    <w:autoRedefine/>
    <w:uiPriority w:val="39"/>
    <w:unhideWhenUsed/>
    <w:rsid w:val="00BE1D82"/>
    <w:pPr>
      <w:tabs>
        <w:tab w:val="right" w:leader="dot" w:pos="9628"/>
      </w:tabs>
      <w:spacing w:before="240"/>
      <w:ind w:left="1418" w:right="567" w:hanging="1418"/>
      <w:contextualSpacing/>
    </w:pPr>
    <w:rPr>
      <w:rFonts w:eastAsia="Times New Roman"/>
      <w:b/>
      <w:sz w:val="22"/>
      <w:szCs w:val="22"/>
      <w:lang w:eastAsia="ja-JP"/>
    </w:rPr>
  </w:style>
  <w:style w:type="paragraph" w:styleId="CommentSubject">
    <w:name w:val="annotation subject"/>
    <w:basedOn w:val="Normal"/>
    <w:next w:val="Normal"/>
    <w:link w:val="CommentSubjectChar"/>
    <w:uiPriority w:val="99"/>
    <w:semiHidden/>
    <w:unhideWhenUsed/>
    <w:rsid w:val="000077F2"/>
    <w:pPr>
      <w:spacing w:line="240" w:lineRule="auto"/>
    </w:pPr>
    <w:rPr>
      <w:b/>
      <w:bCs/>
      <w:sz w:val="20"/>
      <w:szCs w:val="20"/>
    </w:rPr>
  </w:style>
  <w:style w:type="character" w:customStyle="1" w:styleId="CommentSubjectChar">
    <w:name w:val="Comment Subject Char"/>
    <w:link w:val="CommentSubject"/>
    <w:uiPriority w:val="99"/>
    <w:semiHidden/>
    <w:rsid w:val="000077F2"/>
    <w:rPr>
      <w:rFonts w:eastAsia="Times New Roman"/>
      <w:b/>
      <w:bCs/>
      <w:sz w:val="20"/>
      <w:szCs w:val="20"/>
      <w:lang w:eastAsia="ja-JP"/>
    </w:rPr>
  </w:style>
  <w:style w:type="character" w:styleId="EndnoteReference">
    <w:name w:val="endnote reference"/>
    <w:uiPriority w:val="99"/>
    <w:semiHidden/>
    <w:unhideWhenUsed/>
    <w:rsid w:val="007310E5"/>
    <w:rPr>
      <w:vertAlign w:val="superscript"/>
    </w:rPr>
  </w:style>
  <w:style w:type="paragraph" w:styleId="EndnoteText">
    <w:name w:val="endnote text"/>
    <w:basedOn w:val="Normal"/>
    <w:link w:val="EndnoteTextChar"/>
    <w:uiPriority w:val="99"/>
    <w:semiHidden/>
    <w:unhideWhenUsed/>
    <w:rsid w:val="007310E5"/>
    <w:pPr>
      <w:spacing w:after="0" w:line="240" w:lineRule="auto"/>
    </w:pPr>
    <w:rPr>
      <w:sz w:val="20"/>
      <w:szCs w:val="20"/>
    </w:rPr>
  </w:style>
  <w:style w:type="character" w:customStyle="1" w:styleId="EndnoteTextChar">
    <w:name w:val="Endnote Text Char"/>
    <w:link w:val="EndnoteText"/>
    <w:uiPriority w:val="99"/>
    <w:semiHidden/>
    <w:rsid w:val="007310E5"/>
    <w:rPr>
      <w:rFonts w:eastAsia="Times New Roman"/>
      <w:sz w:val="20"/>
      <w:szCs w:val="20"/>
      <w:lang w:eastAsia="ja-JP"/>
    </w:rPr>
  </w:style>
  <w:style w:type="character" w:styleId="FollowedHyperlink">
    <w:name w:val="FollowedHyperlink"/>
    <w:uiPriority w:val="99"/>
    <w:semiHidden/>
    <w:unhideWhenUsed/>
    <w:rsid w:val="007310E5"/>
    <w:rPr>
      <w:color w:val="B26B02"/>
      <w:u w:val="single"/>
    </w:rPr>
  </w:style>
  <w:style w:type="character" w:styleId="FootnoteReference">
    <w:name w:val="footnote reference"/>
    <w:uiPriority w:val="99"/>
    <w:semiHidden/>
    <w:unhideWhenUsed/>
    <w:rsid w:val="007310E5"/>
    <w:rPr>
      <w:vertAlign w:val="superscript"/>
    </w:rPr>
  </w:style>
  <w:style w:type="paragraph" w:styleId="FootnoteText">
    <w:name w:val="footnote text"/>
    <w:basedOn w:val="Normal"/>
    <w:next w:val="BodyText"/>
    <w:link w:val="FootnoteTextChar"/>
    <w:uiPriority w:val="99"/>
    <w:unhideWhenUsed/>
    <w:rsid w:val="00E57E65"/>
    <w:pPr>
      <w:spacing w:after="0" w:line="240" w:lineRule="auto"/>
      <w:ind w:left="113" w:hanging="113"/>
    </w:pPr>
    <w:rPr>
      <w:sz w:val="16"/>
      <w:szCs w:val="20"/>
    </w:rPr>
  </w:style>
  <w:style w:type="character" w:customStyle="1" w:styleId="FootnoteTextChar">
    <w:name w:val="Footnote Text Char"/>
    <w:link w:val="FootnoteText"/>
    <w:uiPriority w:val="99"/>
    <w:rsid w:val="00E57E65"/>
    <w:rPr>
      <w:rFonts w:eastAsia="Times New Roman"/>
      <w:sz w:val="16"/>
      <w:lang w:eastAsia="ja-JP"/>
    </w:rPr>
  </w:style>
  <w:style w:type="character" w:customStyle="1" w:styleId="Heading4Char">
    <w:name w:val="Heading 4 Char"/>
    <w:link w:val="Heading4"/>
    <w:uiPriority w:val="9"/>
    <w:rsid w:val="00DD260A"/>
    <w:rPr>
      <w:rFonts w:ascii="Calibri Light" w:eastAsia="Times New Roman" w:hAnsi="Calibri Light"/>
      <w:b/>
      <w:bCs/>
      <w:iCs/>
      <w:sz w:val="28"/>
      <w:szCs w:val="22"/>
      <w:lang w:eastAsia="ja-JP"/>
    </w:rPr>
  </w:style>
  <w:style w:type="character" w:customStyle="1" w:styleId="Heading5Char">
    <w:name w:val="Heading 5 Char"/>
    <w:link w:val="Heading5"/>
    <w:uiPriority w:val="9"/>
    <w:rsid w:val="00714548"/>
    <w:rPr>
      <w:rFonts w:ascii="Calibri Light" w:eastAsia="Times New Roman" w:hAnsi="Calibri Light"/>
      <w:b/>
      <w:sz w:val="22"/>
      <w:szCs w:val="22"/>
      <w:lang w:eastAsia="ja-JP"/>
    </w:rPr>
  </w:style>
  <w:style w:type="character" w:customStyle="1" w:styleId="Heading6Char">
    <w:name w:val="Heading 6 Char"/>
    <w:link w:val="Heading6"/>
    <w:uiPriority w:val="9"/>
    <w:rsid w:val="0063032A"/>
    <w:rPr>
      <w:rFonts w:ascii="Calibri Light" w:eastAsia="Times New Roman" w:hAnsi="Calibri Light"/>
      <w:i/>
      <w:iCs/>
      <w:color w:val="252525"/>
      <w:sz w:val="22"/>
      <w:szCs w:val="22"/>
      <w:u w:val="single"/>
      <w:lang w:eastAsia="ja-JP"/>
    </w:rPr>
  </w:style>
  <w:style w:type="character" w:customStyle="1" w:styleId="Heading7Char">
    <w:name w:val="Heading 7 Char"/>
    <w:aliases w:val="App Lvl 1 Char"/>
    <w:link w:val="Heading7"/>
    <w:uiPriority w:val="9"/>
    <w:rsid w:val="008F0915"/>
    <w:rPr>
      <w:rFonts w:ascii="Calibri Light" w:eastAsia="Times New Roman" w:hAnsi="Calibri Light"/>
      <w:b/>
      <w:iCs/>
      <w:sz w:val="36"/>
      <w:szCs w:val="22"/>
      <w:lang w:eastAsia="ja-JP"/>
    </w:rPr>
  </w:style>
  <w:style w:type="character" w:customStyle="1" w:styleId="Heading8Char">
    <w:name w:val="Heading 8 Char"/>
    <w:aliases w:val="App Lvl 2 Char"/>
    <w:link w:val="Heading8"/>
    <w:uiPriority w:val="9"/>
    <w:rsid w:val="004E2B13"/>
    <w:rPr>
      <w:rFonts w:ascii="Calibri Light" w:eastAsia="Times New Roman" w:hAnsi="Calibri Light"/>
      <w:b/>
      <w:sz w:val="32"/>
      <w:lang w:eastAsia="ja-JP"/>
    </w:rPr>
  </w:style>
  <w:style w:type="character" w:customStyle="1" w:styleId="Heading9Char">
    <w:name w:val="Heading 9 Char"/>
    <w:aliases w:val="App Lvl 3 Char"/>
    <w:link w:val="Heading9"/>
    <w:uiPriority w:val="9"/>
    <w:rsid w:val="004E2B13"/>
    <w:rPr>
      <w:rFonts w:ascii="Calibri Light" w:eastAsia="Times New Roman" w:hAnsi="Calibri Light"/>
      <w:b/>
      <w:iCs/>
      <w:sz w:val="24"/>
      <w:lang w:eastAsia="ja-JP"/>
    </w:rPr>
  </w:style>
  <w:style w:type="numbering" w:customStyle="1" w:styleId="Headings">
    <w:name w:val="Headings"/>
    <w:uiPriority w:val="99"/>
    <w:rsid w:val="004E2B13"/>
    <w:pPr>
      <w:numPr>
        <w:numId w:val="2"/>
      </w:numPr>
    </w:pPr>
  </w:style>
  <w:style w:type="paragraph" w:styleId="TOC8">
    <w:name w:val="toc 8"/>
    <w:next w:val="BodyText"/>
    <w:autoRedefine/>
    <w:uiPriority w:val="39"/>
    <w:unhideWhenUsed/>
    <w:rsid w:val="00C2542C"/>
    <w:pPr>
      <w:tabs>
        <w:tab w:val="right" w:leader="dot" w:pos="9628"/>
      </w:tabs>
      <w:ind w:left="1985" w:right="567" w:hanging="567"/>
    </w:pPr>
    <w:rPr>
      <w:rFonts w:eastAsia="Times New Roman"/>
      <w:sz w:val="22"/>
      <w:szCs w:val="22"/>
      <w:lang w:eastAsia="ja-JP"/>
    </w:rPr>
  </w:style>
  <w:style w:type="paragraph" w:customStyle="1" w:styleId="ExecSumHeading1">
    <w:name w:val="Exec Sum Heading 1"/>
    <w:next w:val="BodyText"/>
    <w:qFormat/>
    <w:rsid w:val="008C3478"/>
    <w:pPr>
      <w:pageBreakBefore/>
      <w:pBdr>
        <w:bottom w:val="single" w:sz="4" w:space="1" w:color="auto"/>
      </w:pBdr>
      <w:spacing w:before="360" w:after="360" w:line="216" w:lineRule="auto"/>
      <w:outlineLvl w:val="0"/>
    </w:pPr>
    <w:rPr>
      <w:rFonts w:ascii="Calibri Light" w:eastAsia="Times New Roman" w:hAnsi="Calibri Light" w:cs="Calibri Light"/>
      <w:b/>
      <w:sz w:val="44"/>
      <w:szCs w:val="44"/>
      <w:lang w:eastAsia="ja-JP"/>
    </w:rPr>
  </w:style>
  <w:style w:type="character" w:customStyle="1" w:styleId="Mention1">
    <w:name w:val="Mention1"/>
    <w:uiPriority w:val="99"/>
    <w:semiHidden/>
    <w:unhideWhenUsed/>
    <w:rsid w:val="007310E5"/>
    <w:rPr>
      <w:color w:val="2B579A"/>
      <w:shd w:val="clear" w:color="auto" w:fill="E6E6E6"/>
    </w:rPr>
  </w:style>
  <w:style w:type="paragraph" w:customStyle="1" w:styleId="FigureorPicture">
    <w:name w:val="Figure or Picture"/>
    <w:next w:val="111Tablefootnoteslast-nostick8pt"/>
    <w:qFormat/>
    <w:rsid w:val="00453176"/>
    <w:pPr>
      <w:keepNext/>
      <w:pBdr>
        <w:top w:val="single" w:sz="4" w:space="1" w:color="auto"/>
        <w:bottom w:val="single" w:sz="4" w:space="1" w:color="auto"/>
      </w:pBdr>
      <w:spacing w:line="259" w:lineRule="auto"/>
      <w:jc w:val="center"/>
    </w:pPr>
    <w:rPr>
      <w:rFonts w:eastAsia="Times New Roman"/>
      <w:sz w:val="22"/>
      <w:szCs w:val="22"/>
      <w:lang w:eastAsia="ja-JP"/>
    </w:rPr>
  </w:style>
  <w:style w:type="paragraph" w:customStyle="1" w:styleId="011TableHeading8pt">
    <w:name w:val="01.1 Table Heading [8pt]"/>
    <w:qFormat/>
    <w:rsid w:val="004357F8"/>
    <w:pPr>
      <w:spacing w:before="80" w:after="40" w:line="259" w:lineRule="auto"/>
    </w:pPr>
    <w:rPr>
      <w:rFonts w:eastAsia="Times New Roman"/>
      <w:b/>
      <w:sz w:val="16"/>
      <w:szCs w:val="22"/>
      <w:lang w:eastAsia="ja-JP"/>
    </w:rPr>
  </w:style>
  <w:style w:type="paragraph" w:customStyle="1" w:styleId="021TableHeadingRightAligned8pt">
    <w:name w:val="02.1 Table Heading Right Aligned [8pt]"/>
    <w:qFormat/>
    <w:rsid w:val="004357F8"/>
    <w:pPr>
      <w:spacing w:before="80" w:after="40"/>
      <w:ind w:right="113"/>
      <w:jc w:val="right"/>
    </w:pPr>
    <w:rPr>
      <w:rFonts w:eastAsia="Times New Roman"/>
      <w:b/>
      <w:sz w:val="16"/>
      <w:szCs w:val="22"/>
      <w:lang w:eastAsia="ja-JP"/>
    </w:rPr>
  </w:style>
  <w:style w:type="paragraph" w:customStyle="1" w:styleId="081TableRightAligned228pt">
    <w:name w:val="08.1 Table Right Aligned 2:2 [8pt]"/>
    <w:qFormat/>
    <w:rsid w:val="004357F8"/>
    <w:pPr>
      <w:spacing w:before="40" w:after="40" w:line="259" w:lineRule="auto"/>
      <w:ind w:right="113"/>
      <w:jc w:val="right"/>
    </w:pPr>
    <w:rPr>
      <w:rFonts w:eastAsia="Times New Roman"/>
      <w:sz w:val="16"/>
      <w:szCs w:val="22"/>
      <w:lang w:eastAsia="ja-JP"/>
    </w:rPr>
  </w:style>
  <w:style w:type="paragraph" w:styleId="Quote">
    <w:name w:val="Quote"/>
    <w:next w:val="BodyText"/>
    <w:link w:val="QuoteChar"/>
    <w:uiPriority w:val="29"/>
    <w:qFormat/>
    <w:rsid w:val="008109F1"/>
    <w:pPr>
      <w:spacing w:before="160" w:after="160" w:line="259" w:lineRule="auto"/>
      <w:ind w:left="720" w:right="720"/>
    </w:pPr>
    <w:rPr>
      <w:rFonts w:eastAsia="Times New Roman"/>
      <w:i/>
      <w:iCs/>
      <w:color w:val="000000"/>
      <w:sz w:val="22"/>
      <w:szCs w:val="22"/>
      <w:lang w:eastAsia="ja-JP"/>
    </w:rPr>
  </w:style>
  <w:style w:type="character" w:customStyle="1" w:styleId="QuoteChar">
    <w:name w:val="Quote Char"/>
    <w:link w:val="Quote"/>
    <w:uiPriority w:val="29"/>
    <w:rsid w:val="008109F1"/>
    <w:rPr>
      <w:rFonts w:eastAsia="Times New Roman"/>
      <w:i/>
      <w:iCs/>
      <w:color w:val="000000"/>
      <w:lang w:val="en-AU" w:eastAsia="ja-JP"/>
    </w:rPr>
  </w:style>
  <w:style w:type="paragraph" w:customStyle="1" w:styleId="051Tabletext228pt">
    <w:name w:val="05.1 Table text 2:2 [8pt]"/>
    <w:link w:val="051Tabletext228ptChar"/>
    <w:qFormat/>
    <w:rsid w:val="00FE4A22"/>
    <w:pPr>
      <w:spacing w:before="40" w:after="40"/>
    </w:pPr>
    <w:rPr>
      <w:rFonts w:eastAsia="Times New Roman"/>
      <w:sz w:val="16"/>
      <w:szCs w:val="22"/>
      <w:lang w:eastAsia="ja-JP"/>
    </w:rPr>
  </w:style>
  <w:style w:type="character" w:customStyle="1" w:styleId="051Tabletext228ptChar">
    <w:name w:val="05.1 Table text 2:2 [8pt] Char"/>
    <w:link w:val="051Tabletext228pt"/>
    <w:rsid w:val="00FE4A22"/>
    <w:rPr>
      <w:rFonts w:eastAsia="Times New Roman"/>
      <w:sz w:val="16"/>
      <w:szCs w:val="22"/>
      <w:lang w:eastAsia="ja-JP"/>
    </w:rPr>
  </w:style>
  <w:style w:type="paragraph" w:customStyle="1" w:styleId="071Tablebullet8pt">
    <w:name w:val="07.1 Table bullet [8pt]"/>
    <w:qFormat/>
    <w:rsid w:val="00FE4A22"/>
    <w:pPr>
      <w:numPr>
        <w:numId w:val="3"/>
      </w:numPr>
      <w:spacing w:before="40" w:after="40" w:line="259" w:lineRule="auto"/>
    </w:pPr>
    <w:rPr>
      <w:rFonts w:eastAsia="Times New Roman"/>
      <w:sz w:val="16"/>
      <w:szCs w:val="22"/>
      <w:lang w:eastAsia="ja-JP"/>
    </w:rPr>
  </w:style>
  <w:style w:type="paragraph" w:customStyle="1" w:styleId="101Tablefootnotes8pt">
    <w:name w:val="10.1 Table footnotes [8pt]"/>
    <w:link w:val="101Tablefootnotes8ptChar"/>
    <w:qFormat/>
    <w:rsid w:val="004357F8"/>
    <w:pPr>
      <w:keepNext/>
      <w:spacing w:line="259" w:lineRule="auto"/>
    </w:pPr>
    <w:rPr>
      <w:rFonts w:eastAsia="Times New Roman"/>
      <w:sz w:val="16"/>
      <w:szCs w:val="22"/>
      <w:lang w:eastAsia="ja-JP"/>
    </w:rPr>
  </w:style>
  <w:style w:type="character" w:customStyle="1" w:styleId="101Tablefootnotes8ptChar">
    <w:name w:val="10.1 Table footnotes [8pt] Char"/>
    <w:link w:val="101Tablefootnotes8pt"/>
    <w:rsid w:val="004357F8"/>
    <w:rPr>
      <w:rFonts w:eastAsia="Times New Roman"/>
      <w:sz w:val="16"/>
      <w:szCs w:val="22"/>
      <w:lang w:eastAsia="ja-JP"/>
    </w:rPr>
  </w:style>
  <w:style w:type="paragraph" w:customStyle="1" w:styleId="111Tablefootnoteslast-nostick8pt">
    <w:name w:val="11.1 Table footnotes last - no stick [8pt]"/>
    <w:next w:val="BodyText"/>
    <w:qFormat/>
    <w:rsid w:val="007310E5"/>
    <w:pPr>
      <w:spacing w:after="360" w:line="259" w:lineRule="auto"/>
    </w:pPr>
    <w:rPr>
      <w:rFonts w:eastAsia="Times New Roman"/>
      <w:sz w:val="16"/>
      <w:szCs w:val="22"/>
      <w:lang w:val="en-US" w:eastAsia="ja-JP"/>
    </w:rPr>
  </w:style>
  <w:style w:type="paragraph" w:styleId="TableofFigures">
    <w:name w:val="table of figures"/>
    <w:uiPriority w:val="99"/>
    <w:unhideWhenUsed/>
    <w:rsid w:val="00453176"/>
    <w:pPr>
      <w:spacing w:before="40" w:line="259" w:lineRule="auto"/>
      <w:ind w:left="1134" w:right="567" w:hanging="1134"/>
    </w:pPr>
    <w:rPr>
      <w:rFonts w:ascii="Calibri Light" w:eastAsia="Times New Roman" w:hAnsi="Calibri Light"/>
      <w:szCs w:val="22"/>
      <w:lang w:eastAsia="ja-JP"/>
    </w:rPr>
  </w:style>
  <w:style w:type="paragraph" w:customStyle="1" w:styleId="031Tablesubheading8pt">
    <w:name w:val="03.1 Table subheading [8pt]"/>
    <w:qFormat/>
    <w:rsid w:val="004357F8"/>
    <w:pPr>
      <w:keepNext/>
      <w:spacing w:before="40" w:after="40" w:line="259" w:lineRule="auto"/>
    </w:pPr>
    <w:rPr>
      <w:rFonts w:eastAsia="Times New Roman"/>
      <w:b/>
      <w:sz w:val="16"/>
      <w:szCs w:val="22"/>
      <w:lang w:eastAsia="ja-JP"/>
    </w:rPr>
  </w:style>
  <w:style w:type="paragraph" w:styleId="Title">
    <w:name w:val="Title"/>
    <w:next w:val="Titlelarge"/>
    <w:link w:val="TitleChar"/>
    <w:uiPriority w:val="10"/>
    <w:qFormat/>
    <w:rsid w:val="004D5E17"/>
    <w:pPr>
      <w:spacing w:before="5520" w:after="160"/>
    </w:pPr>
    <w:rPr>
      <w:rFonts w:eastAsia="Times New Roman"/>
      <w:b/>
      <w:sz w:val="40"/>
      <w:szCs w:val="56"/>
      <w:lang w:eastAsia="ja-JP"/>
    </w:rPr>
  </w:style>
  <w:style w:type="character" w:customStyle="1" w:styleId="TitleChar">
    <w:name w:val="Title Char"/>
    <w:link w:val="Title"/>
    <w:uiPriority w:val="10"/>
    <w:rsid w:val="004D5E17"/>
    <w:rPr>
      <w:rFonts w:eastAsia="Times New Roman"/>
      <w:b/>
      <w:sz w:val="40"/>
      <w:szCs w:val="56"/>
      <w:lang w:eastAsia="ja-JP"/>
    </w:rPr>
  </w:style>
  <w:style w:type="paragraph" w:customStyle="1" w:styleId="Titlelarge">
    <w:name w:val="Title large"/>
    <w:qFormat/>
    <w:rsid w:val="004D5E17"/>
    <w:pPr>
      <w:spacing w:before="600" w:after="160"/>
    </w:pPr>
    <w:rPr>
      <w:rFonts w:eastAsia="Times New Roman" w:cs="Calibri Light"/>
      <w:b/>
      <w:sz w:val="56"/>
      <w:szCs w:val="96"/>
      <w:lang w:eastAsia="ja-JP"/>
    </w:rPr>
  </w:style>
  <w:style w:type="paragraph" w:styleId="TOC1">
    <w:name w:val="toc 1"/>
    <w:next w:val="TOC2"/>
    <w:autoRedefine/>
    <w:uiPriority w:val="39"/>
    <w:unhideWhenUsed/>
    <w:rsid w:val="00994823"/>
    <w:pPr>
      <w:tabs>
        <w:tab w:val="right" w:leader="dot" w:pos="9628"/>
      </w:tabs>
      <w:spacing w:before="240" w:after="60" w:line="259" w:lineRule="auto"/>
      <w:ind w:left="680" w:hanging="680"/>
    </w:pPr>
    <w:rPr>
      <w:rFonts w:eastAsia="Times New Roman"/>
      <w:b/>
      <w:sz w:val="22"/>
      <w:szCs w:val="22"/>
      <w:lang w:eastAsia="ja-JP"/>
    </w:rPr>
  </w:style>
  <w:style w:type="paragraph" w:styleId="TOC2">
    <w:name w:val="toc 2"/>
    <w:next w:val="TOC3"/>
    <w:autoRedefine/>
    <w:uiPriority w:val="39"/>
    <w:unhideWhenUsed/>
    <w:rsid w:val="003C7081"/>
    <w:pPr>
      <w:tabs>
        <w:tab w:val="right" w:leader="dot" w:pos="9628"/>
      </w:tabs>
      <w:spacing w:line="259" w:lineRule="auto"/>
      <w:ind w:left="680" w:right="567" w:hanging="680"/>
    </w:pPr>
    <w:rPr>
      <w:rFonts w:eastAsia="Times New Roman"/>
      <w:noProof/>
      <w:sz w:val="22"/>
      <w:szCs w:val="22"/>
      <w:lang w:eastAsia="ja-JP"/>
    </w:rPr>
  </w:style>
  <w:style w:type="paragraph" w:styleId="TOC3">
    <w:name w:val="toc 3"/>
    <w:basedOn w:val="Normal"/>
    <w:next w:val="Normal"/>
    <w:autoRedefine/>
    <w:uiPriority w:val="39"/>
    <w:unhideWhenUsed/>
    <w:rsid w:val="00B22481"/>
    <w:pPr>
      <w:tabs>
        <w:tab w:val="left" w:pos="851"/>
        <w:tab w:val="left" w:pos="1360"/>
        <w:tab w:val="right" w:leader="dot" w:pos="9628"/>
      </w:tabs>
      <w:spacing w:after="0"/>
      <w:ind w:left="1360" w:hanging="680"/>
    </w:pPr>
  </w:style>
  <w:style w:type="paragraph" w:styleId="TOC4">
    <w:name w:val="toc 4"/>
    <w:basedOn w:val="Normal"/>
    <w:next w:val="Normal"/>
    <w:autoRedefine/>
    <w:uiPriority w:val="39"/>
    <w:unhideWhenUsed/>
    <w:rsid w:val="007310E5"/>
    <w:pPr>
      <w:spacing w:after="100"/>
      <w:ind w:left="660"/>
    </w:pPr>
  </w:style>
  <w:style w:type="paragraph" w:styleId="TOCHeading">
    <w:name w:val="TOC Heading"/>
    <w:uiPriority w:val="39"/>
    <w:unhideWhenUsed/>
    <w:qFormat/>
    <w:rsid w:val="007310E5"/>
    <w:pPr>
      <w:spacing w:after="160" w:line="259" w:lineRule="auto"/>
    </w:pPr>
    <w:rPr>
      <w:rFonts w:ascii="Calibri Light" w:eastAsia="Times New Roman" w:hAnsi="Calibri Light"/>
      <w:b/>
      <w:bCs/>
      <w:smallCaps/>
      <w:sz w:val="36"/>
      <w:szCs w:val="36"/>
      <w:lang w:val="en-US" w:eastAsia="ja-JP"/>
    </w:rPr>
  </w:style>
  <w:style w:type="table" w:customStyle="1" w:styleId="TableGrid1">
    <w:name w:val="Table Grid1"/>
    <w:basedOn w:val="TableNormal"/>
    <w:next w:val="TableGrid"/>
    <w:uiPriority w:val="39"/>
    <w:rsid w:val="00822A78"/>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blStylePr>
  </w:style>
  <w:style w:type="paragraph" w:customStyle="1" w:styleId="Boxeditalictext">
    <w:name w:val="Boxed italic text"/>
    <w:qFormat/>
    <w:rsid w:val="00453176"/>
    <w:pPr>
      <w:pBdr>
        <w:top w:val="single" w:sz="4" w:space="6" w:color="auto"/>
        <w:left w:val="single" w:sz="4" w:space="10" w:color="auto"/>
        <w:bottom w:val="single" w:sz="4" w:space="6" w:color="auto"/>
        <w:right w:val="single" w:sz="4" w:space="10" w:color="auto"/>
      </w:pBdr>
      <w:spacing w:before="240" w:after="160" w:line="259" w:lineRule="auto"/>
      <w:ind w:left="227" w:right="227"/>
    </w:pPr>
    <w:rPr>
      <w:rFonts w:eastAsia="Times New Roman"/>
      <w:i/>
      <w:sz w:val="22"/>
      <w:szCs w:val="22"/>
      <w:lang w:eastAsia="ja-JP"/>
    </w:rPr>
  </w:style>
  <w:style w:type="paragraph" w:customStyle="1" w:styleId="041Tabletext008pt">
    <w:name w:val="04.1 Table text 0:0 [8pt]"/>
    <w:qFormat/>
    <w:rsid w:val="004357F8"/>
    <w:pPr>
      <w:spacing w:line="259" w:lineRule="auto"/>
    </w:pPr>
    <w:rPr>
      <w:rFonts w:eastAsia="Times New Roman"/>
      <w:sz w:val="16"/>
      <w:szCs w:val="22"/>
      <w:lang w:eastAsia="ja-JP"/>
    </w:rPr>
  </w:style>
  <w:style w:type="paragraph" w:customStyle="1" w:styleId="091TableRightAligned008pt">
    <w:name w:val="09.1 Table Right Aligned 0:0 [8pt]"/>
    <w:basedOn w:val="081TableRightAligned228pt"/>
    <w:qFormat/>
    <w:rsid w:val="004357F8"/>
    <w:pPr>
      <w:spacing w:before="0" w:after="0" w:line="240" w:lineRule="auto"/>
    </w:pPr>
  </w:style>
  <w:style w:type="paragraph" w:customStyle="1" w:styleId="061Tabletext628pt">
    <w:name w:val="06.1 Table text 6:2 [8pt]"/>
    <w:qFormat/>
    <w:rsid w:val="004357F8"/>
    <w:pPr>
      <w:spacing w:before="120" w:after="40"/>
    </w:pPr>
    <w:rPr>
      <w:rFonts w:eastAsia="Times New Roman"/>
      <w:sz w:val="16"/>
      <w:szCs w:val="22"/>
      <w:lang w:eastAsia="ja-JP"/>
    </w:rPr>
  </w:style>
  <w:style w:type="table" w:customStyle="1" w:styleId="TableGrid3">
    <w:name w:val="Table Grid3"/>
    <w:basedOn w:val="TableNormal"/>
    <w:uiPriority w:val="39"/>
    <w:rsid w:val="00D56861"/>
    <w:rPr>
      <w:rFonts w:eastAsia="Times New Roman"/>
      <w:lang w:eastAsia="ja-JP"/>
    </w:rPr>
    <w:tblPr>
      <w:tblBorders>
        <w:top w:val="single" w:sz="4" w:space="0" w:color="auto"/>
        <w:bottom w:val="single" w:sz="4" w:space="0" w:color="auto"/>
        <w:insideH w:val="single" w:sz="4" w:space="0" w:color="auto"/>
      </w:tblBorders>
    </w:tblPr>
    <w:trPr>
      <w:cantSplit/>
    </w:trPr>
    <w:tblStylePr w:type="firstRow">
      <w:tblPr/>
      <w:tcPr>
        <w:shd w:val="clear" w:color="auto" w:fill="BFBFBF"/>
      </w:tcPr>
    </w:tblStylePr>
  </w:style>
  <w:style w:type="paragraph" w:customStyle="1" w:styleId="ExecSumHeading2">
    <w:name w:val="Exec Sum Heading 2"/>
    <w:next w:val="BodyText"/>
    <w:qFormat/>
    <w:rsid w:val="008C3478"/>
    <w:pPr>
      <w:keepNext/>
      <w:spacing w:before="360" w:after="120" w:line="216" w:lineRule="auto"/>
      <w:outlineLvl w:val="1"/>
    </w:pPr>
    <w:rPr>
      <w:rFonts w:ascii="Calibri Light" w:eastAsia="Times New Roman" w:hAnsi="Calibri Light" w:cs="Calibri Light"/>
      <w:b/>
      <w:sz w:val="32"/>
      <w:szCs w:val="44"/>
      <w:lang w:eastAsia="ja-JP"/>
    </w:rPr>
  </w:style>
  <w:style w:type="paragraph" w:customStyle="1" w:styleId="ExecSumHeading3">
    <w:name w:val="Exec Sum Heading 3"/>
    <w:next w:val="BodyText"/>
    <w:qFormat/>
    <w:rsid w:val="008C3478"/>
    <w:pPr>
      <w:keepNext/>
      <w:spacing w:before="240" w:line="216" w:lineRule="auto"/>
    </w:pPr>
    <w:rPr>
      <w:rFonts w:ascii="Calibri Light" w:eastAsia="Times New Roman" w:hAnsi="Calibri Light" w:cs="Calibri Light"/>
      <w:b/>
      <w:sz w:val="24"/>
      <w:szCs w:val="44"/>
      <w:lang w:eastAsia="ja-JP"/>
    </w:rPr>
  </w:style>
  <w:style w:type="character" w:customStyle="1" w:styleId="UnresolvedMention1">
    <w:name w:val="Unresolved Mention1"/>
    <w:uiPriority w:val="99"/>
    <w:semiHidden/>
    <w:unhideWhenUsed/>
    <w:rsid w:val="00D75B80"/>
    <w:rPr>
      <w:color w:val="808080"/>
      <w:shd w:val="clear" w:color="auto" w:fill="E6E6E6"/>
    </w:rPr>
  </w:style>
  <w:style w:type="paragraph" w:customStyle="1" w:styleId="References">
    <w:name w:val="References"/>
    <w:qFormat/>
    <w:rsid w:val="00A53428"/>
    <w:pPr>
      <w:autoSpaceDE w:val="0"/>
      <w:autoSpaceDN w:val="0"/>
      <w:adjustRightInd w:val="0"/>
      <w:spacing w:before="40"/>
      <w:ind w:left="454" w:hanging="454"/>
    </w:pPr>
    <w:rPr>
      <w:rFonts w:cs="Calibri"/>
      <w:sz w:val="18"/>
      <w:szCs w:val="18"/>
      <w:lang w:eastAsia="en-US"/>
    </w:rPr>
  </w:style>
  <w:style w:type="paragraph" w:styleId="Revision">
    <w:name w:val="Revision"/>
    <w:hidden/>
    <w:uiPriority w:val="99"/>
    <w:semiHidden/>
    <w:rsid w:val="00FA7ABC"/>
    <w:rPr>
      <w:rFonts w:eastAsia="Times New Roman"/>
      <w:sz w:val="22"/>
      <w:szCs w:val="22"/>
      <w:lang w:eastAsia="ja-JP"/>
    </w:rPr>
  </w:style>
  <w:style w:type="character" w:styleId="UnresolvedMention">
    <w:name w:val="Unresolved Mention"/>
    <w:uiPriority w:val="99"/>
    <w:semiHidden/>
    <w:unhideWhenUsed/>
    <w:rsid w:val="000878C3"/>
    <w:rPr>
      <w:color w:val="808080"/>
      <w:shd w:val="clear" w:color="auto" w:fill="E6E6E6"/>
    </w:rPr>
  </w:style>
  <w:style w:type="table" w:styleId="TableGridLight">
    <w:name w:val="Grid Table Light"/>
    <w:basedOn w:val="TableNormal"/>
    <w:uiPriority w:val="40"/>
    <w:rsid w:val="00D04DD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5">
    <w:name w:val="toc 5"/>
    <w:basedOn w:val="Normal"/>
    <w:next w:val="Normal"/>
    <w:autoRedefine/>
    <w:uiPriority w:val="39"/>
    <w:unhideWhenUsed/>
    <w:rsid w:val="00D04DDB"/>
    <w:pPr>
      <w:tabs>
        <w:tab w:val="left" w:pos="1540"/>
        <w:tab w:val="left" w:pos="2041"/>
        <w:tab w:val="right" w:leader="dot" w:pos="9628"/>
      </w:tabs>
      <w:spacing w:after="0"/>
      <w:ind w:left="1815" w:hanging="454"/>
    </w:pPr>
  </w:style>
  <w:style w:type="paragraph" w:styleId="CommentText">
    <w:name w:val="annotation text"/>
    <w:basedOn w:val="Normal"/>
    <w:link w:val="CommentTextChar"/>
    <w:uiPriority w:val="99"/>
    <w:unhideWhenUsed/>
    <w:rsid w:val="00D141B1"/>
    <w:pPr>
      <w:spacing w:line="240" w:lineRule="auto"/>
    </w:pPr>
    <w:rPr>
      <w:sz w:val="20"/>
      <w:szCs w:val="20"/>
    </w:rPr>
  </w:style>
  <w:style w:type="character" w:customStyle="1" w:styleId="CommentTextChar">
    <w:name w:val="Comment Text Char"/>
    <w:link w:val="CommentText"/>
    <w:uiPriority w:val="99"/>
    <w:rsid w:val="00D141B1"/>
    <w:rPr>
      <w:rFonts w:eastAsia="Times New Roman"/>
      <w:lang w:eastAsia="ja-JP"/>
    </w:rPr>
  </w:style>
  <w:style w:type="paragraph" w:styleId="ListParagraph">
    <w:name w:val="List Paragraph"/>
    <w:basedOn w:val="Normal"/>
    <w:uiPriority w:val="34"/>
    <w:qFormat/>
    <w:rsid w:val="00697099"/>
    <w:pPr>
      <w:spacing w:after="0" w:line="240" w:lineRule="auto"/>
      <w:ind w:left="720"/>
      <w:contextualSpacing/>
    </w:pPr>
    <w:rPr>
      <w:rFonts w:ascii="Arial" w:hAnsi="Arial"/>
      <w:sz w:val="21"/>
      <w:szCs w:val="24"/>
      <w:lang w:eastAsia="en-US"/>
    </w:rPr>
  </w:style>
  <w:style w:type="paragraph" w:customStyle="1" w:styleId="011TableHeading10pt">
    <w:name w:val="01.1 Table Heading [10pt]"/>
    <w:qFormat/>
    <w:rsid w:val="0014419B"/>
    <w:pPr>
      <w:spacing w:before="120" w:after="120" w:line="259" w:lineRule="auto"/>
    </w:pPr>
    <w:rPr>
      <w:rFonts w:eastAsia="Times New Roman"/>
      <w:b/>
      <w:szCs w:val="22"/>
      <w:lang w:eastAsia="ja-JP"/>
    </w:rPr>
  </w:style>
  <w:style w:type="paragraph" w:customStyle="1" w:styleId="051Tabletext2210pt">
    <w:name w:val="05.1 Table text 2:2 [10pt]"/>
    <w:link w:val="051Tabletext2210ptChar"/>
    <w:qFormat/>
    <w:rsid w:val="0014419B"/>
    <w:pPr>
      <w:spacing w:before="40" w:after="40"/>
    </w:pPr>
    <w:rPr>
      <w:rFonts w:eastAsia="Times New Roman"/>
      <w:szCs w:val="22"/>
      <w:lang w:eastAsia="ja-JP"/>
    </w:rPr>
  </w:style>
  <w:style w:type="character" w:customStyle="1" w:styleId="051Tabletext2210ptChar">
    <w:name w:val="05.1 Table text 2:2 [10pt] Char"/>
    <w:link w:val="051Tabletext2210pt"/>
    <w:rsid w:val="0014419B"/>
    <w:rPr>
      <w:rFonts w:eastAsia="Times New Roman"/>
      <w:szCs w:val="22"/>
      <w:lang w:eastAsia="ja-JP"/>
    </w:rPr>
  </w:style>
  <w:style w:type="paragraph" w:customStyle="1" w:styleId="111Tablefootnoteslast-nostick10pt">
    <w:name w:val="11.1 Table footnotes last - no stick [10pt]"/>
    <w:next w:val="BodyText"/>
    <w:qFormat/>
    <w:rsid w:val="0014419B"/>
    <w:pPr>
      <w:spacing w:after="360" w:line="259" w:lineRule="auto"/>
    </w:pPr>
    <w:rPr>
      <w:rFonts w:eastAsia="Times New Roman"/>
      <w:szCs w:val="22"/>
      <w:lang w:val="en-US" w:eastAsia="ja-JP"/>
    </w:rPr>
  </w:style>
  <w:style w:type="character" w:customStyle="1" w:styleId="prod-title">
    <w:name w:val="prod-title"/>
    <w:basedOn w:val="DefaultParagraphFont"/>
    <w:rsid w:val="00694E3D"/>
  </w:style>
  <w:style w:type="paragraph" w:customStyle="1" w:styleId="EndNoteBibliographyTitle">
    <w:name w:val="EndNote Bibliography Title"/>
    <w:basedOn w:val="Normal"/>
    <w:link w:val="EndNoteBibliographyTitleChar"/>
    <w:rsid w:val="00EC4EEA"/>
    <w:pPr>
      <w:spacing w:after="0"/>
      <w:jc w:val="center"/>
    </w:pPr>
    <w:rPr>
      <w:rFonts w:cs="Calibri"/>
      <w:noProof/>
    </w:rPr>
  </w:style>
  <w:style w:type="character" w:customStyle="1" w:styleId="EndNoteBibliographyTitleChar">
    <w:name w:val="EndNote Bibliography Title Char"/>
    <w:basedOn w:val="BodyTextChar"/>
    <w:link w:val="EndNoteBibliographyTitle"/>
    <w:rsid w:val="00EC4EEA"/>
    <w:rPr>
      <w:rFonts w:eastAsia="Times New Roman" w:cs="Calibri"/>
      <w:noProof/>
      <w:sz w:val="22"/>
      <w:szCs w:val="22"/>
      <w:lang w:val="en-AU" w:eastAsia="ja-JP"/>
    </w:rPr>
  </w:style>
  <w:style w:type="paragraph" w:customStyle="1" w:styleId="EndNoteBibliography">
    <w:name w:val="EndNote Bibliography"/>
    <w:basedOn w:val="Normal"/>
    <w:link w:val="EndNoteBibliographyChar"/>
    <w:rsid w:val="00EC4EEA"/>
    <w:pPr>
      <w:spacing w:line="240" w:lineRule="auto"/>
    </w:pPr>
    <w:rPr>
      <w:rFonts w:cs="Calibri"/>
      <w:noProof/>
    </w:rPr>
  </w:style>
  <w:style w:type="character" w:customStyle="1" w:styleId="EndNoteBibliographyChar">
    <w:name w:val="EndNote Bibliography Char"/>
    <w:basedOn w:val="BodyTextChar"/>
    <w:link w:val="EndNoteBibliography"/>
    <w:rsid w:val="00EC4EEA"/>
    <w:rPr>
      <w:rFonts w:eastAsia="Times New Roman" w:cs="Calibri"/>
      <w:noProof/>
      <w:sz w:val="22"/>
      <w:szCs w:val="22"/>
      <w:lang w:val="en-AU" w:eastAsia="ja-JP"/>
    </w:rPr>
  </w:style>
  <w:style w:type="character" w:styleId="Mention">
    <w:name w:val="Mention"/>
    <w:basedOn w:val="DefaultParagraphFont"/>
    <w:uiPriority w:val="99"/>
    <w:unhideWhenUsed/>
    <w:rsid w:val="00AC134E"/>
    <w:rPr>
      <w:color w:val="2B579A"/>
      <w:shd w:val="clear" w:color="auto" w:fill="E1DFDD"/>
    </w:rPr>
  </w:style>
  <w:style w:type="character" w:customStyle="1" w:styleId="ui-provider">
    <w:name w:val="ui-provider"/>
    <w:basedOn w:val="DefaultParagraphFont"/>
    <w:rsid w:val="009704FE"/>
  </w:style>
  <w:style w:type="paragraph" w:customStyle="1" w:styleId="pf1">
    <w:name w:val="pf1"/>
    <w:basedOn w:val="Normal"/>
    <w:rsid w:val="00726BF5"/>
    <w:pPr>
      <w:spacing w:before="100" w:beforeAutospacing="1" w:after="100" w:afterAutospacing="1" w:line="240" w:lineRule="auto"/>
    </w:pPr>
    <w:rPr>
      <w:rFonts w:ascii="Times New Roman" w:hAnsi="Times New Roman"/>
      <w:sz w:val="24"/>
      <w:szCs w:val="24"/>
      <w:lang w:eastAsia="en-AU"/>
    </w:rPr>
  </w:style>
  <w:style w:type="paragraph" w:customStyle="1" w:styleId="pf0">
    <w:name w:val="pf0"/>
    <w:basedOn w:val="Normal"/>
    <w:rsid w:val="00726BF5"/>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308">
      <w:bodyDiv w:val="1"/>
      <w:marLeft w:val="0"/>
      <w:marRight w:val="0"/>
      <w:marTop w:val="0"/>
      <w:marBottom w:val="0"/>
      <w:divBdr>
        <w:top w:val="none" w:sz="0" w:space="0" w:color="auto"/>
        <w:left w:val="none" w:sz="0" w:space="0" w:color="auto"/>
        <w:bottom w:val="none" w:sz="0" w:space="0" w:color="auto"/>
        <w:right w:val="none" w:sz="0" w:space="0" w:color="auto"/>
      </w:divBdr>
    </w:div>
    <w:div w:id="53548497">
      <w:bodyDiv w:val="1"/>
      <w:marLeft w:val="0"/>
      <w:marRight w:val="0"/>
      <w:marTop w:val="0"/>
      <w:marBottom w:val="0"/>
      <w:divBdr>
        <w:top w:val="none" w:sz="0" w:space="0" w:color="auto"/>
        <w:left w:val="none" w:sz="0" w:space="0" w:color="auto"/>
        <w:bottom w:val="none" w:sz="0" w:space="0" w:color="auto"/>
        <w:right w:val="none" w:sz="0" w:space="0" w:color="auto"/>
      </w:divBdr>
    </w:div>
    <w:div w:id="108208752">
      <w:bodyDiv w:val="1"/>
      <w:marLeft w:val="0"/>
      <w:marRight w:val="0"/>
      <w:marTop w:val="0"/>
      <w:marBottom w:val="0"/>
      <w:divBdr>
        <w:top w:val="none" w:sz="0" w:space="0" w:color="auto"/>
        <w:left w:val="none" w:sz="0" w:space="0" w:color="auto"/>
        <w:bottom w:val="none" w:sz="0" w:space="0" w:color="auto"/>
        <w:right w:val="none" w:sz="0" w:space="0" w:color="auto"/>
      </w:divBdr>
    </w:div>
    <w:div w:id="151799792">
      <w:bodyDiv w:val="1"/>
      <w:marLeft w:val="0"/>
      <w:marRight w:val="0"/>
      <w:marTop w:val="0"/>
      <w:marBottom w:val="0"/>
      <w:divBdr>
        <w:top w:val="none" w:sz="0" w:space="0" w:color="auto"/>
        <w:left w:val="none" w:sz="0" w:space="0" w:color="auto"/>
        <w:bottom w:val="none" w:sz="0" w:space="0" w:color="auto"/>
        <w:right w:val="none" w:sz="0" w:space="0" w:color="auto"/>
      </w:divBdr>
    </w:div>
    <w:div w:id="193202537">
      <w:bodyDiv w:val="1"/>
      <w:marLeft w:val="0"/>
      <w:marRight w:val="0"/>
      <w:marTop w:val="0"/>
      <w:marBottom w:val="0"/>
      <w:divBdr>
        <w:top w:val="none" w:sz="0" w:space="0" w:color="auto"/>
        <w:left w:val="none" w:sz="0" w:space="0" w:color="auto"/>
        <w:bottom w:val="none" w:sz="0" w:space="0" w:color="auto"/>
        <w:right w:val="none" w:sz="0" w:space="0" w:color="auto"/>
      </w:divBdr>
    </w:div>
    <w:div w:id="209728109">
      <w:bodyDiv w:val="1"/>
      <w:marLeft w:val="0"/>
      <w:marRight w:val="0"/>
      <w:marTop w:val="0"/>
      <w:marBottom w:val="0"/>
      <w:divBdr>
        <w:top w:val="none" w:sz="0" w:space="0" w:color="auto"/>
        <w:left w:val="none" w:sz="0" w:space="0" w:color="auto"/>
        <w:bottom w:val="none" w:sz="0" w:space="0" w:color="auto"/>
        <w:right w:val="none" w:sz="0" w:space="0" w:color="auto"/>
      </w:divBdr>
    </w:div>
    <w:div w:id="218444346">
      <w:bodyDiv w:val="1"/>
      <w:marLeft w:val="0"/>
      <w:marRight w:val="0"/>
      <w:marTop w:val="0"/>
      <w:marBottom w:val="0"/>
      <w:divBdr>
        <w:top w:val="none" w:sz="0" w:space="0" w:color="auto"/>
        <w:left w:val="none" w:sz="0" w:space="0" w:color="auto"/>
        <w:bottom w:val="none" w:sz="0" w:space="0" w:color="auto"/>
        <w:right w:val="none" w:sz="0" w:space="0" w:color="auto"/>
      </w:divBdr>
    </w:div>
    <w:div w:id="226914601">
      <w:bodyDiv w:val="1"/>
      <w:marLeft w:val="0"/>
      <w:marRight w:val="0"/>
      <w:marTop w:val="0"/>
      <w:marBottom w:val="0"/>
      <w:divBdr>
        <w:top w:val="none" w:sz="0" w:space="0" w:color="auto"/>
        <w:left w:val="none" w:sz="0" w:space="0" w:color="auto"/>
        <w:bottom w:val="none" w:sz="0" w:space="0" w:color="auto"/>
        <w:right w:val="none" w:sz="0" w:space="0" w:color="auto"/>
      </w:divBdr>
    </w:div>
    <w:div w:id="252055419">
      <w:bodyDiv w:val="1"/>
      <w:marLeft w:val="0"/>
      <w:marRight w:val="0"/>
      <w:marTop w:val="0"/>
      <w:marBottom w:val="0"/>
      <w:divBdr>
        <w:top w:val="none" w:sz="0" w:space="0" w:color="auto"/>
        <w:left w:val="none" w:sz="0" w:space="0" w:color="auto"/>
        <w:bottom w:val="none" w:sz="0" w:space="0" w:color="auto"/>
        <w:right w:val="none" w:sz="0" w:space="0" w:color="auto"/>
      </w:divBdr>
    </w:div>
    <w:div w:id="258099542">
      <w:bodyDiv w:val="1"/>
      <w:marLeft w:val="0"/>
      <w:marRight w:val="0"/>
      <w:marTop w:val="0"/>
      <w:marBottom w:val="0"/>
      <w:divBdr>
        <w:top w:val="none" w:sz="0" w:space="0" w:color="auto"/>
        <w:left w:val="none" w:sz="0" w:space="0" w:color="auto"/>
        <w:bottom w:val="none" w:sz="0" w:space="0" w:color="auto"/>
        <w:right w:val="none" w:sz="0" w:space="0" w:color="auto"/>
      </w:divBdr>
    </w:div>
    <w:div w:id="289820321">
      <w:bodyDiv w:val="1"/>
      <w:marLeft w:val="0"/>
      <w:marRight w:val="0"/>
      <w:marTop w:val="0"/>
      <w:marBottom w:val="0"/>
      <w:divBdr>
        <w:top w:val="none" w:sz="0" w:space="0" w:color="auto"/>
        <w:left w:val="none" w:sz="0" w:space="0" w:color="auto"/>
        <w:bottom w:val="none" w:sz="0" w:space="0" w:color="auto"/>
        <w:right w:val="none" w:sz="0" w:space="0" w:color="auto"/>
      </w:divBdr>
    </w:div>
    <w:div w:id="351151262">
      <w:bodyDiv w:val="1"/>
      <w:marLeft w:val="0"/>
      <w:marRight w:val="0"/>
      <w:marTop w:val="0"/>
      <w:marBottom w:val="0"/>
      <w:divBdr>
        <w:top w:val="none" w:sz="0" w:space="0" w:color="auto"/>
        <w:left w:val="none" w:sz="0" w:space="0" w:color="auto"/>
        <w:bottom w:val="none" w:sz="0" w:space="0" w:color="auto"/>
        <w:right w:val="none" w:sz="0" w:space="0" w:color="auto"/>
      </w:divBdr>
    </w:div>
    <w:div w:id="402720458">
      <w:bodyDiv w:val="1"/>
      <w:marLeft w:val="0"/>
      <w:marRight w:val="0"/>
      <w:marTop w:val="0"/>
      <w:marBottom w:val="0"/>
      <w:divBdr>
        <w:top w:val="none" w:sz="0" w:space="0" w:color="auto"/>
        <w:left w:val="none" w:sz="0" w:space="0" w:color="auto"/>
        <w:bottom w:val="none" w:sz="0" w:space="0" w:color="auto"/>
        <w:right w:val="none" w:sz="0" w:space="0" w:color="auto"/>
      </w:divBdr>
    </w:div>
    <w:div w:id="416100392">
      <w:bodyDiv w:val="1"/>
      <w:marLeft w:val="0"/>
      <w:marRight w:val="0"/>
      <w:marTop w:val="0"/>
      <w:marBottom w:val="0"/>
      <w:divBdr>
        <w:top w:val="none" w:sz="0" w:space="0" w:color="auto"/>
        <w:left w:val="none" w:sz="0" w:space="0" w:color="auto"/>
        <w:bottom w:val="none" w:sz="0" w:space="0" w:color="auto"/>
        <w:right w:val="none" w:sz="0" w:space="0" w:color="auto"/>
      </w:divBdr>
    </w:div>
    <w:div w:id="423263542">
      <w:bodyDiv w:val="1"/>
      <w:marLeft w:val="0"/>
      <w:marRight w:val="0"/>
      <w:marTop w:val="0"/>
      <w:marBottom w:val="0"/>
      <w:divBdr>
        <w:top w:val="none" w:sz="0" w:space="0" w:color="auto"/>
        <w:left w:val="none" w:sz="0" w:space="0" w:color="auto"/>
        <w:bottom w:val="none" w:sz="0" w:space="0" w:color="auto"/>
        <w:right w:val="none" w:sz="0" w:space="0" w:color="auto"/>
      </w:divBdr>
    </w:div>
    <w:div w:id="439419812">
      <w:bodyDiv w:val="1"/>
      <w:marLeft w:val="0"/>
      <w:marRight w:val="0"/>
      <w:marTop w:val="0"/>
      <w:marBottom w:val="0"/>
      <w:divBdr>
        <w:top w:val="none" w:sz="0" w:space="0" w:color="auto"/>
        <w:left w:val="none" w:sz="0" w:space="0" w:color="auto"/>
        <w:bottom w:val="none" w:sz="0" w:space="0" w:color="auto"/>
        <w:right w:val="none" w:sz="0" w:space="0" w:color="auto"/>
      </w:divBdr>
    </w:div>
    <w:div w:id="460732354">
      <w:bodyDiv w:val="1"/>
      <w:marLeft w:val="0"/>
      <w:marRight w:val="0"/>
      <w:marTop w:val="0"/>
      <w:marBottom w:val="0"/>
      <w:divBdr>
        <w:top w:val="none" w:sz="0" w:space="0" w:color="auto"/>
        <w:left w:val="none" w:sz="0" w:space="0" w:color="auto"/>
        <w:bottom w:val="none" w:sz="0" w:space="0" w:color="auto"/>
        <w:right w:val="none" w:sz="0" w:space="0" w:color="auto"/>
      </w:divBdr>
    </w:div>
    <w:div w:id="539971697">
      <w:bodyDiv w:val="1"/>
      <w:marLeft w:val="0"/>
      <w:marRight w:val="0"/>
      <w:marTop w:val="0"/>
      <w:marBottom w:val="0"/>
      <w:divBdr>
        <w:top w:val="none" w:sz="0" w:space="0" w:color="auto"/>
        <w:left w:val="none" w:sz="0" w:space="0" w:color="auto"/>
        <w:bottom w:val="none" w:sz="0" w:space="0" w:color="auto"/>
        <w:right w:val="none" w:sz="0" w:space="0" w:color="auto"/>
      </w:divBdr>
    </w:div>
    <w:div w:id="543105570">
      <w:bodyDiv w:val="1"/>
      <w:marLeft w:val="0"/>
      <w:marRight w:val="0"/>
      <w:marTop w:val="0"/>
      <w:marBottom w:val="0"/>
      <w:divBdr>
        <w:top w:val="none" w:sz="0" w:space="0" w:color="auto"/>
        <w:left w:val="none" w:sz="0" w:space="0" w:color="auto"/>
        <w:bottom w:val="none" w:sz="0" w:space="0" w:color="auto"/>
        <w:right w:val="none" w:sz="0" w:space="0" w:color="auto"/>
      </w:divBdr>
    </w:div>
    <w:div w:id="574631821">
      <w:bodyDiv w:val="1"/>
      <w:marLeft w:val="0"/>
      <w:marRight w:val="0"/>
      <w:marTop w:val="0"/>
      <w:marBottom w:val="0"/>
      <w:divBdr>
        <w:top w:val="none" w:sz="0" w:space="0" w:color="auto"/>
        <w:left w:val="none" w:sz="0" w:space="0" w:color="auto"/>
        <w:bottom w:val="none" w:sz="0" w:space="0" w:color="auto"/>
        <w:right w:val="none" w:sz="0" w:space="0" w:color="auto"/>
      </w:divBdr>
    </w:div>
    <w:div w:id="610160666">
      <w:bodyDiv w:val="1"/>
      <w:marLeft w:val="0"/>
      <w:marRight w:val="0"/>
      <w:marTop w:val="0"/>
      <w:marBottom w:val="0"/>
      <w:divBdr>
        <w:top w:val="none" w:sz="0" w:space="0" w:color="auto"/>
        <w:left w:val="none" w:sz="0" w:space="0" w:color="auto"/>
        <w:bottom w:val="none" w:sz="0" w:space="0" w:color="auto"/>
        <w:right w:val="none" w:sz="0" w:space="0" w:color="auto"/>
      </w:divBdr>
    </w:div>
    <w:div w:id="665594959">
      <w:bodyDiv w:val="1"/>
      <w:marLeft w:val="0"/>
      <w:marRight w:val="0"/>
      <w:marTop w:val="0"/>
      <w:marBottom w:val="0"/>
      <w:divBdr>
        <w:top w:val="none" w:sz="0" w:space="0" w:color="auto"/>
        <w:left w:val="none" w:sz="0" w:space="0" w:color="auto"/>
        <w:bottom w:val="none" w:sz="0" w:space="0" w:color="auto"/>
        <w:right w:val="none" w:sz="0" w:space="0" w:color="auto"/>
      </w:divBdr>
    </w:div>
    <w:div w:id="672148611">
      <w:bodyDiv w:val="1"/>
      <w:marLeft w:val="0"/>
      <w:marRight w:val="0"/>
      <w:marTop w:val="0"/>
      <w:marBottom w:val="0"/>
      <w:divBdr>
        <w:top w:val="none" w:sz="0" w:space="0" w:color="auto"/>
        <w:left w:val="none" w:sz="0" w:space="0" w:color="auto"/>
        <w:bottom w:val="none" w:sz="0" w:space="0" w:color="auto"/>
        <w:right w:val="none" w:sz="0" w:space="0" w:color="auto"/>
      </w:divBdr>
    </w:div>
    <w:div w:id="719086800">
      <w:bodyDiv w:val="1"/>
      <w:marLeft w:val="0"/>
      <w:marRight w:val="0"/>
      <w:marTop w:val="0"/>
      <w:marBottom w:val="0"/>
      <w:divBdr>
        <w:top w:val="none" w:sz="0" w:space="0" w:color="auto"/>
        <w:left w:val="none" w:sz="0" w:space="0" w:color="auto"/>
        <w:bottom w:val="none" w:sz="0" w:space="0" w:color="auto"/>
        <w:right w:val="none" w:sz="0" w:space="0" w:color="auto"/>
      </w:divBdr>
    </w:div>
    <w:div w:id="719674288">
      <w:bodyDiv w:val="1"/>
      <w:marLeft w:val="0"/>
      <w:marRight w:val="0"/>
      <w:marTop w:val="0"/>
      <w:marBottom w:val="0"/>
      <w:divBdr>
        <w:top w:val="none" w:sz="0" w:space="0" w:color="auto"/>
        <w:left w:val="none" w:sz="0" w:space="0" w:color="auto"/>
        <w:bottom w:val="none" w:sz="0" w:space="0" w:color="auto"/>
        <w:right w:val="none" w:sz="0" w:space="0" w:color="auto"/>
      </w:divBdr>
    </w:div>
    <w:div w:id="766538264">
      <w:bodyDiv w:val="1"/>
      <w:marLeft w:val="0"/>
      <w:marRight w:val="0"/>
      <w:marTop w:val="0"/>
      <w:marBottom w:val="0"/>
      <w:divBdr>
        <w:top w:val="none" w:sz="0" w:space="0" w:color="auto"/>
        <w:left w:val="none" w:sz="0" w:space="0" w:color="auto"/>
        <w:bottom w:val="none" w:sz="0" w:space="0" w:color="auto"/>
        <w:right w:val="none" w:sz="0" w:space="0" w:color="auto"/>
      </w:divBdr>
    </w:div>
    <w:div w:id="770055904">
      <w:bodyDiv w:val="1"/>
      <w:marLeft w:val="0"/>
      <w:marRight w:val="0"/>
      <w:marTop w:val="0"/>
      <w:marBottom w:val="0"/>
      <w:divBdr>
        <w:top w:val="none" w:sz="0" w:space="0" w:color="auto"/>
        <w:left w:val="none" w:sz="0" w:space="0" w:color="auto"/>
        <w:bottom w:val="none" w:sz="0" w:space="0" w:color="auto"/>
        <w:right w:val="none" w:sz="0" w:space="0" w:color="auto"/>
      </w:divBdr>
    </w:div>
    <w:div w:id="798380600">
      <w:bodyDiv w:val="1"/>
      <w:marLeft w:val="0"/>
      <w:marRight w:val="0"/>
      <w:marTop w:val="0"/>
      <w:marBottom w:val="0"/>
      <w:divBdr>
        <w:top w:val="none" w:sz="0" w:space="0" w:color="auto"/>
        <w:left w:val="none" w:sz="0" w:space="0" w:color="auto"/>
        <w:bottom w:val="none" w:sz="0" w:space="0" w:color="auto"/>
        <w:right w:val="none" w:sz="0" w:space="0" w:color="auto"/>
      </w:divBdr>
    </w:div>
    <w:div w:id="827525600">
      <w:bodyDiv w:val="1"/>
      <w:marLeft w:val="0"/>
      <w:marRight w:val="0"/>
      <w:marTop w:val="0"/>
      <w:marBottom w:val="0"/>
      <w:divBdr>
        <w:top w:val="none" w:sz="0" w:space="0" w:color="auto"/>
        <w:left w:val="none" w:sz="0" w:space="0" w:color="auto"/>
        <w:bottom w:val="none" w:sz="0" w:space="0" w:color="auto"/>
        <w:right w:val="none" w:sz="0" w:space="0" w:color="auto"/>
      </w:divBdr>
    </w:div>
    <w:div w:id="848910961">
      <w:bodyDiv w:val="1"/>
      <w:marLeft w:val="0"/>
      <w:marRight w:val="0"/>
      <w:marTop w:val="0"/>
      <w:marBottom w:val="0"/>
      <w:divBdr>
        <w:top w:val="none" w:sz="0" w:space="0" w:color="auto"/>
        <w:left w:val="none" w:sz="0" w:space="0" w:color="auto"/>
        <w:bottom w:val="none" w:sz="0" w:space="0" w:color="auto"/>
        <w:right w:val="none" w:sz="0" w:space="0" w:color="auto"/>
      </w:divBdr>
    </w:div>
    <w:div w:id="851068980">
      <w:bodyDiv w:val="1"/>
      <w:marLeft w:val="0"/>
      <w:marRight w:val="0"/>
      <w:marTop w:val="0"/>
      <w:marBottom w:val="0"/>
      <w:divBdr>
        <w:top w:val="none" w:sz="0" w:space="0" w:color="auto"/>
        <w:left w:val="none" w:sz="0" w:space="0" w:color="auto"/>
        <w:bottom w:val="none" w:sz="0" w:space="0" w:color="auto"/>
        <w:right w:val="none" w:sz="0" w:space="0" w:color="auto"/>
      </w:divBdr>
    </w:div>
    <w:div w:id="899707038">
      <w:bodyDiv w:val="1"/>
      <w:marLeft w:val="0"/>
      <w:marRight w:val="0"/>
      <w:marTop w:val="0"/>
      <w:marBottom w:val="0"/>
      <w:divBdr>
        <w:top w:val="none" w:sz="0" w:space="0" w:color="auto"/>
        <w:left w:val="none" w:sz="0" w:space="0" w:color="auto"/>
        <w:bottom w:val="none" w:sz="0" w:space="0" w:color="auto"/>
        <w:right w:val="none" w:sz="0" w:space="0" w:color="auto"/>
      </w:divBdr>
    </w:div>
    <w:div w:id="904803175">
      <w:bodyDiv w:val="1"/>
      <w:marLeft w:val="0"/>
      <w:marRight w:val="0"/>
      <w:marTop w:val="0"/>
      <w:marBottom w:val="0"/>
      <w:divBdr>
        <w:top w:val="none" w:sz="0" w:space="0" w:color="auto"/>
        <w:left w:val="none" w:sz="0" w:space="0" w:color="auto"/>
        <w:bottom w:val="none" w:sz="0" w:space="0" w:color="auto"/>
        <w:right w:val="none" w:sz="0" w:space="0" w:color="auto"/>
      </w:divBdr>
    </w:div>
    <w:div w:id="957377292">
      <w:bodyDiv w:val="1"/>
      <w:marLeft w:val="0"/>
      <w:marRight w:val="0"/>
      <w:marTop w:val="0"/>
      <w:marBottom w:val="0"/>
      <w:divBdr>
        <w:top w:val="none" w:sz="0" w:space="0" w:color="auto"/>
        <w:left w:val="none" w:sz="0" w:space="0" w:color="auto"/>
        <w:bottom w:val="none" w:sz="0" w:space="0" w:color="auto"/>
        <w:right w:val="none" w:sz="0" w:space="0" w:color="auto"/>
      </w:divBdr>
    </w:div>
    <w:div w:id="961377694">
      <w:bodyDiv w:val="1"/>
      <w:marLeft w:val="0"/>
      <w:marRight w:val="0"/>
      <w:marTop w:val="0"/>
      <w:marBottom w:val="0"/>
      <w:divBdr>
        <w:top w:val="none" w:sz="0" w:space="0" w:color="auto"/>
        <w:left w:val="none" w:sz="0" w:space="0" w:color="auto"/>
        <w:bottom w:val="none" w:sz="0" w:space="0" w:color="auto"/>
        <w:right w:val="none" w:sz="0" w:space="0" w:color="auto"/>
      </w:divBdr>
    </w:div>
    <w:div w:id="977683506">
      <w:bodyDiv w:val="1"/>
      <w:marLeft w:val="0"/>
      <w:marRight w:val="0"/>
      <w:marTop w:val="0"/>
      <w:marBottom w:val="0"/>
      <w:divBdr>
        <w:top w:val="none" w:sz="0" w:space="0" w:color="auto"/>
        <w:left w:val="none" w:sz="0" w:space="0" w:color="auto"/>
        <w:bottom w:val="none" w:sz="0" w:space="0" w:color="auto"/>
        <w:right w:val="none" w:sz="0" w:space="0" w:color="auto"/>
      </w:divBdr>
    </w:div>
    <w:div w:id="996614029">
      <w:bodyDiv w:val="1"/>
      <w:marLeft w:val="0"/>
      <w:marRight w:val="0"/>
      <w:marTop w:val="0"/>
      <w:marBottom w:val="0"/>
      <w:divBdr>
        <w:top w:val="none" w:sz="0" w:space="0" w:color="auto"/>
        <w:left w:val="none" w:sz="0" w:space="0" w:color="auto"/>
        <w:bottom w:val="none" w:sz="0" w:space="0" w:color="auto"/>
        <w:right w:val="none" w:sz="0" w:space="0" w:color="auto"/>
      </w:divBdr>
    </w:div>
    <w:div w:id="1018432138">
      <w:bodyDiv w:val="1"/>
      <w:marLeft w:val="0"/>
      <w:marRight w:val="0"/>
      <w:marTop w:val="0"/>
      <w:marBottom w:val="0"/>
      <w:divBdr>
        <w:top w:val="none" w:sz="0" w:space="0" w:color="auto"/>
        <w:left w:val="none" w:sz="0" w:space="0" w:color="auto"/>
        <w:bottom w:val="none" w:sz="0" w:space="0" w:color="auto"/>
        <w:right w:val="none" w:sz="0" w:space="0" w:color="auto"/>
      </w:divBdr>
    </w:div>
    <w:div w:id="1106118475">
      <w:bodyDiv w:val="1"/>
      <w:marLeft w:val="0"/>
      <w:marRight w:val="0"/>
      <w:marTop w:val="0"/>
      <w:marBottom w:val="0"/>
      <w:divBdr>
        <w:top w:val="none" w:sz="0" w:space="0" w:color="auto"/>
        <w:left w:val="none" w:sz="0" w:space="0" w:color="auto"/>
        <w:bottom w:val="none" w:sz="0" w:space="0" w:color="auto"/>
        <w:right w:val="none" w:sz="0" w:space="0" w:color="auto"/>
      </w:divBdr>
    </w:div>
    <w:div w:id="1114447921">
      <w:bodyDiv w:val="1"/>
      <w:marLeft w:val="0"/>
      <w:marRight w:val="0"/>
      <w:marTop w:val="0"/>
      <w:marBottom w:val="0"/>
      <w:divBdr>
        <w:top w:val="none" w:sz="0" w:space="0" w:color="auto"/>
        <w:left w:val="none" w:sz="0" w:space="0" w:color="auto"/>
        <w:bottom w:val="none" w:sz="0" w:space="0" w:color="auto"/>
        <w:right w:val="none" w:sz="0" w:space="0" w:color="auto"/>
      </w:divBdr>
    </w:div>
    <w:div w:id="1125270648">
      <w:bodyDiv w:val="1"/>
      <w:marLeft w:val="0"/>
      <w:marRight w:val="0"/>
      <w:marTop w:val="0"/>
      <w:marBottom w:val="0"/>
      <w:divBdr>
        <w:top w:val="none" w:sz="0" w:space="0" w:color="auto"/>
        <w:left w:val="none" w:sz="0" w:space="0" w:color="auto"/>
        <w:bottom w:val="none" w:sz="0" w:space="0" w:color="auto"/>
        <w:right w:val="none" w:sz="0" w:space="0" w:color="auto"/>
      </w:divBdr>
    </w:div>
    <w:div w:id="1142772420">
      <w:bodyDiv w:val="1"/>
      <w:marLeft w:val="0"/>
      <w:marRight w:val="0"/>
      <w:marTop w:val="0"/>
      <w:marBottom w:val="0"/>
      <w:divBdr>
        <w:top w:val="none" w:sz="0" w:space="0" w:color="auto"/>
        <w:left w:val="none" w:sz="0" w:space="0" w:color="auto"/>
        <w:bottom w:val="none" w:sz="0" w:space="0" w:color="auto"/>
        <w:right w:val="none" w:sz="0" w:space="0" w:color="auto"/>
      </w:divBdr>
    </w:div>
    <w:div w:id="1194146923">
      <w:bodyDiv w:val="1"/>
      <w:marLeft w:val="0"/>
      <w:marRight w:val="0"/>
      <w:marTop w:val="0"/>
      <w:marBottom w:val="0"/>
      <w:divBdr>
        <w:top w:val="none" w:sz="0" w:space="0" w:color="auto"/>
        <w:left w:val="none" w:sz="0" w:space="0" w:color="auto"/>
        <w:bottom w:val="none" w:sz="0" w:space="0" w:color="auto"/>
        <w:right w:val="none" w:sz="0" w:space="0" w:color="auto"/>
      </w:divBdr>
    </w:div>
    <w:div w:id="1198007483">
      <w:bodyDiv w:val="1"/>
      <w:marLeft w:val="0"/>
      <w:marRight w:val="0"/>
      <w:marTop w:val="0"/>
      <w:marBottom w:val="0"/>
      <w:divBdr>
        <w:top w:val="none" w:sz="0" w:space="0" w:color="auto"/>
        <w:left w:val="none" w:sz="0" w:space="0" w:color="auto"/>
        <w:bottom w:val="none" w:sz="0" w:space="0" w:color="auto"/>
        <w:right w:val="none" w:sz="0" w:space="0" w:color="auto"/>
      </w:divBdr>
    </w:div>
    <w:div w:id="1255942511">
      <w:bodyDiv w:val="1"/>
      <w:marLeft w:val="0"/>
      <w:marRight w:val="0"/>
      <w:marTop w:val="0"/>
      <w:marBottom w:val="0"/>
      <w:divBdr>
        <w:top w:val="none" w:sz="0" w:space="0" w:color="auto"/>
        <w:left w:val="none" w:sz="0" w:space="0" w:color="auto"/>
        <w:bottom w:val="none" w:sz="0" w:space="0" w:color="auto"/>
        <w:right w:val="none" w:sz="0" w:space="0" w:color="auto"/>
      </w:divBdr>
    </w:div>
    <w:div w:id="1289432441">
      <w:bodyDiv w:val="1"/>
      <w:marLeft w:val="0"/>
      <w:marRight w:val="0"/>
      <w:marTop w:val="0"/>
      <w:marBottom w:val="0"/>
      <w:divBdr>
        <w:top w:val="none" w:sz="0" w:space="0" w:color="auto"/>
        <w:left w:val="none" w:sz="0" w:space="0" w:color="auto"/>
        <w:bottom w:val="none" w:sz="0" w:space="0" w:color="auto"/>
        <w:right w:val="none" w:sz="0" w:space="0" w:color="auto"/>
      </w:divBdr>
      <w:divsChild>
        <w:div w:id="1662780672">
          <w:marLeft w:val="0"/>
          <w:marRight w:val="0"/>
          <w:marTop w:val="0"/>
          <w:marBottom w:val="0"/>
          <w:divBdr>
            <w:top w:val="none" w:sz="0" w:space="0" w:color="auto"/>
            <w:left w:val="none" w:sz="0" w:space="0" w:color="auto"/>
            <w:bottom w:val="none" w:sz="0" w:space="0" w:color="auto"/>
            <w:right w:val="none" w:sz="0" w:space="0" w:color="auto"/>
          </w:divBdr>
        </w:div>
      </w:divsChild>
    </w:div>
    <w:div w:id="1289972907">
      <w:bodyDiv w:val="1"/>
      <w:marLeft w:val="0"/>
      <w:marRight w:val="0"/>
      <w:marTop w:val="0"/>
      <w:marBottom w:val="0"/>
      <w:divBdr>
        <w:top w:val="none" w:sz="0" w:space="0" w:color="auto"/>
        <w:left w:val="none" w:sz="0" w:space="0" w:color="auto"/>
        <w:bottom w:val="none" w:sz="0" w:space="0" w:color="auto"/>
        <w:right w:val="none" w:sz="0" w:space="0" w:color="auto"/>
      </w:divBdr>
    </w:div>
    <w:div w:id="1304041925">
      <w:bodyDiv w:val="1"/>
      <w:marLeft w:val="0"/>
      <w:marRight w:val="0"/>
      <w:marTop w:val="0"/>
      <w:marBottom w:val="0"/>
      <w:divBdr>
        <w:top w:val="none" w:sz="0" w:space="0" w:color="auto"/>
        <w:left w:val="none" w:sz="0" w:space="0" w:color="auto"/>
        <w:bottom w:val="none" w:sz="0" w:space="0" w:color="auto"/>
        <w:right w:val="none" w:sz="0" w:space="0" w:color="auto"/>
      </w:divBdr>
    </w:div>
    <w:div w:id="1314021617">
      <w:bodyDiv w:val="1"/>
      <w:marLeft w:val="0"/>
      <w:marRight w:val="0"/>
      <w:marTop w:val="0"/>
      <w:marBottom w:val="0"/>
      <w:divBdr>
        <w:top w:val="none" w:sz="0" w:space="0" w:color="auto"/>
        <w:left w:val="none" w:sz="0" w:space="0" w:color="auto"/>
        <w:bottom w:val="none" w:sz="0" w:space="0" w:color="auto"/>
        <w:right w:val="none" w:sz="0" w:space="0" w:color="auto"/>
      </w:divBdr>
    </w:div>
    <w:div w:id="1420904052">
      <w:bodyDiv w:val="1"/>
      <w:marLeft w:val="0"/>
      <w:marRight w:val="0"/>
      <w:marTop w:val="0"/>
      <w:marBottom w:val="0"/>
      <w:divBdr>
        <w:top w:val="none" w:sz="0" w:space="0" w:color="auto"/>
        <w:left w:val="none" w:sz="0" w:space="0" w:color="auto"/>
        <w:bottom w:val="none" w:sz="0" w:space="0" w:color="auto"/>
        <w:right w:val="none" w:sz="0" w:space="0" w:color="auto"/>
      </w:divBdr>
    </w:div>
    <w:div w:id="1435512021">
      <w:bodyDiv w:val="1"/>
      <w:marLeft w:val="0"/>
      <w:marRight w:val="0"/>
      <w:marTop w:val="0"/>
      <w:marBottom w:val="0"/>
      <w:divBdr>
        <w:top w:val="none" w:sz="0" w:space="0" w:color="auto"/>
        <w:left w:val="none" w:sz="0" w:space="0" w:color="auto"/>
        <w:bottom w:val="none" w:sz="0" w:space="0" w:color="auto"/>
        <w:right w:val="none" w:sz="0" w:space="0" w:color="auto"/>
      </w:divBdr>
    </w:div>
    <w:div w:id="1441876014">
      <w:bodyDiv w:val="1"/>
      <w:marLeft w:val="0"/>
      <w:marRight w:val="0"/>
      <w:marTop w:val="0"/>
      <w:marBottom w:val="0"/>
      <w:divBdr>
        <w:top w:val="none" w:sz="0" w:space="0" w:color="auto"/>
        <w:left w:val="none" w:sz="0" w:space="0" w:color="auto"/>
        <w:bottom w:val="none" w:sz="0" w:space="0" w:color="auto"/>
        <w:right w:val="none" w:sz="0" w:space="0" w:color="auto"/>
      </w:divBdr>
    </w:div>
    <w:div w:id="1446457572">
      <w:bodyDiv w:val="1"/>
      <w:marLeft w:val="0"/>
      <w:marRight w:val="0"/>
      <w:marTop w:val="0"/>
      <w:marBottom w:val="0"/>
      <w:divBdr>
        <w:top w:val="none" w:sz="0" w:space="0" w:color="auto"/>
        <w:left w:val="none" w:sz="0" w:space="0" w:color="auto"/>
        <w:bottom w:val="none" w:sz="0" w:space="0" w:color="auto"/>
        <w:right w:val="none" w:sz="0" w:space="0" w:color="auto"/>
      </w:divBdr>
    </w:div>
    <w:div w:id="1446583632">
      <w:bodyDiv w:val="1"/>
      <w:marLeft w:val="0"/>
      <w:marRight w:val="0"/>
      <w:marTop w:val="0"/>
      <w:marBottom w:val="0"/>
      <w:divBdr>
        <w:top w:val="none" w:sz="0" w:space="0" w:color="auto"/>
        <w:left w:val="none" w:sz="0" w:space="0" w:color="auto"/>
        <w:bottom w:val="none" w:sz="0" w:space="0" w:color="auto"/>
        <w:right w:val="none" w:sz="0" w:space="0" w:color="auto"/>
      </w:divBdr>
    </w:div>
    <w:div w:id="1451438316">
      <w:bodyDiv w:val="1"/>
      <w:marLeft w:val="0"/>
      <w:marRight w:val="0"/>
      <w:marTop w:val="0"/>
      <w:marBottom w:val="0"/>
      <w:divBdr>
        <w:top w:val="none" w:sz="0" w:space="0" w:color="auto"/>
        <w:left w:val="none" w:sz="0" w:space="0" w:color="auto"/>
        <w:bottom w:val="none" w:sz="0" w:space="0" w:color="auto"/>
        <w:right w:val="none" w:sz="0" w:space="0" w:color="auto"/>
      </w:divBdr>
    </w:div>
    <w:div w:id="1466771242">
      <w:bodyDiv w:val="1"/>
      <w:marLeft w:val="0"/>
      <w:marRight w:val="0"/>
      <w:marTop w:val="0"/>
      <w:marBottom w:val="0"/>
      <w:divBdr>
        <w:top w:val="none" w:sz="0" w:space="0" w:color="auto"/>
        <w:left w:val="none" w:sz="0" w:space="0" w:color="auto"/>
        <w:bottom w:val="none" w:sz="0" w:space="0" w:color="auto"/>
        <w:right w:val="none" w:sz="0" w:space="0" w:color="auto"/>
      </w:divBdr>
    </w:div>
    <w:div w:id="1483230676">
      <w:bodyDiv w:val="1"/>
      <w:marLeft w:val="0"/>
      <w:marRight w:val="0"/>
      <w:marTop w:val="0"/>
      <w:marBottom w:val="0"/>
      <w:divBdr>
        <w:top w:val="none" w:sz="0" w:space="0" w:color="auto"/>
        <w:left w:val="none" w:sz="0" w:space="0" w:color="auto"/>
        <w:bottom w:val="none" w:sz="0" w:space="0" w:color="auto"/>
        <w:right w:val="none" w:sz="0" w:space="0" w:color="auto"/>
      </w:divBdr>
    </w:div>
    <w:div w:id="1519585368">
      <w:bodyDiv w:val="1"/>
      <w:marLeft w:val="0"/>
      <w:marRight w:val="0"/>
      <w:marTop w:val="0"/>
      <w:marBottom w:val="0"/>
      <w:divBdr>
        <w:top w:val="none" w:sz="0" w:space="0" w:color="auto"/>
        <w:left w:val="none" w:sz="0" w:space="0" w:color="auto"/>
        <w:bottom w:val="none" w:sz="0" w:space="0" w:color="auto"/>
        <w:right w:val="none" w:sz="0" w:space="0" w:color="auto"/>
      </w:divBdr>
    </w:div>
    <w:div w:id="1522356671">
      <w:bodyDiv w:val="1"/>
      <w:marLeft w:val="0"/>
      <w:marRight w:val="0"/>
      <w:marTop w:val="0"/>
      <w:marBottom w:val="0"/>
      <w:divBdr>
        <w:top w:val="none" w:sz="0" w:space="0" w:color="auto"/>
        <w:left w:val="none" w:sz="0" w:space="0" w:color="auto"/>
        <w:bottom w:val="none" w:sz="0" w:space="0" w:color="auto"/>
        <w:right w:val="none" w:sz="0" w:space="0" w:color="auto"/>
      </w:divBdr>
    </w:div>
    <w:div w:id="1552493910">
      <w:bodyDiv w:val="1"/>
      <w:marLeft w:val="0"/>
      <w:marRight w:val="0"/>
      <w:marTop w:val="0"/>
      <w:marBottom w:val="0"/>
      <w:divBdr>
        <w:top w:val="none" w:sz="0" w:space="0" w:color="auto"/>
        <w:left w:val="none" w:sz="0" w:space="0" w:color="auto"/>
        <w:bottom w:val="none" w:sz="0" w:space="0" w:color="auto"/>
        <w:right w:val="none" w:sz="0" w:space="0" w:color="auto"/>
      </w:divBdr>
    </w:div>
    <w:div w:id="1554468140">
      <w:bodyDiv w:val="1"/>
      <w:marLeft w:val="0"/>
      <w:marRight w:val="0"/>
      <w:marTop w:val="0"/>
      <w:marBottom w:val="0"/>
      <w:divBdr>
        <w:top w:val="none" w:sz="0" w:space="0" w:color="auto"/>
        <w:left w:val="none" w:sz="0" w:space="0" w:color="auto"/>
        <w:bottom w:val="none" w:sz="0" w:space="0" w:color="auto"/>
        <w:right w:val="none" w:sz="0" w:space="0" w:color="auto"/>
      </w:divBdr>
    </w:div>
    <w:div w:id="1568374712">
      <w:bodyDiv w:val="1"/>
      <w:marLeft w:val="0"/>
      <w:marRight w:val="0"/>
      <w:marTop w:val="0"/>
      <w:marBottom w:val="0"/>
      <w:divBdr>
        <w:top w:val="none" w:sz="0" w:space="0" w:color="auto"/>
        <w:left w:val="none" w:sz="0" w:space="0" w:color="auto"/>
        <w:bottom w:val="none" w:sz="0" w:space="0" w:color="auto"/>
        <w:right w:val="none" w:sz="0" w:space="0" w:color="auto"/>
      </w:divBdr>
    </w:div>
    <w:div w:id="1594125571">
      <w:bodyDiv w:val="1"/>
      <w:marLeft w:val="0"/>
      <w:marRight w:val="0"/>
      <w:marTop w:val="0"/>
      <w:marBottom w:val="0"/>
      <w:divBdr>
        <w:top w:val="none" w:sz="0" w:space="0" w:color="auto"/>
        <w:left w:val="none" w:sz="0" w:space="0" w:color="auto"/>
        <w:bottom w:val="none" w:sz="0" w:space="0" w:color="auto"/>
        <w:right w:val="none" w:sz="0" w:space="0" w:color="auto"/>
      </w:divBdr>
    </w:div>
    <w:div w:id="1633562249">
      <w:bodyDiv w:val="1"/>
      <w:marLeft w:val="0"/>
      <w:marRight w:val="0"/>
      <w:marTop w:val="0"/>
      <w:marBottom w:val="0"/>
      <w:divBdr>
        <w:top w:val="none" w:sz="0" w:space="0" w:color="auto"/>
        <w:left w:val="none" w:sz="0" w:space="0" w:color="auto"/>
        <w:bottom w:val="none" w:sz="0" w:space="0" w:color="auto"/>
        <w:right w:val="none" w:sz="0" w:space="0" w:color="auto"/>
      </w:divBdr>
    </w:div>
    <w:div w:id="1666785260">
      <w:bodyDiv w:val="1"/>
      <w:marLeft w:val="0"/>
      <w:marRight w:val="0"/>
      <w:marTop w:val="0"/>
      <w:marBottom w:val="0"/>
      <w:divBdr>
        <w:top w:val="none" w:sz="0" w:space="0" w:color="auto"/>
        <w:left w:val="none" w:sz="0" w:space="0" w:color="auto"/>
        <w:bottom w:val="none" w:sz="0" w:space="0" w:color="auto"/>
        <w:right w:val="none" w:sz="0" w:space="0" w:color="auto"/>
      </w:divBdr>
    </w:div>
    <w:div w:id="1698462987">
      <w:bodyDiv w:val="1"/>
      <w:marLeft w:val="0"/>
      <w:marRight w:val="0"/>
      <w:marTop w:val="0"/>
      <w:marBottom w:val="0"/>
      <w:divBdr>
        <w:top w:val="none" w:sz="0" w:space="0" w:color="auto"/>
        <w:left w:val="none" w:sz="0" w:space="0" w:color="auto"/>
        <w:bottom w:val="none" w:sz="0" w:space="0" w:color="auto"/>
        <w:right w:val="none" w:sz="0" w:space="0" w:color="auto"/>
      </w:divBdr>
    </w:div>
    <w:div w:id="1704211142">
      <w:bodyDiv w:val="1"/>
      <w:marLeft w:val="0"/>
      <w:marRight w:val="0"/>
      <w:marTop w:val="0"/>
      <w:marBottom w:val="0"/>
      <w:divBdr>
        <w:top w:val="none" w:sz="0" w:space="0" w:color="auto"/>
        <w:left w:val="none" w:sz="0" w:space="0" w:color="auto"/>
        <w:bottom w:val="none" w:sz="0" w:space="0" w:color="auto"/>
        <w:right w:val="none" w:sz="0" w:space="0" w:color="auto"/>
      </w:divBdr>
    </w:div>
    <w:div w:id="1738044275">
      <w:bodyDiv w:val="1"/>
      <w:marLeft w:val="0"/>
      <w:marRight w:val="0"/>
      <w:marTop w:val="0"/>
      <w:marBottom w:val="0"/>
      <w:divBdr>
        <w:top w:val="none" w:sz="0" w:space="0" w:color="auto"/>
        <w:left w:val="none" w:sz="0" w:space="0" w:color="auto"/>
        <w:bottom w:val="none" w:sz="0" w:space="0" w:color="auto"/>
        <w:right w:val="none" w:sz="0" w:space="0" w:color="auto"/>
      </w:divBdr>
    </w:div>
    <w:div w:id="1740202150">
      <w:bodyDiv w:val="1"/>
      <w:marLeft w:val="0"/>
      <w:marRight w:val="0"/>
      <w:marTop w:val="0"/>
      <w:marBottom w:val="0"/>
      <w:divBdr>
        <w:top w:val="none" w:sz="0" w:space="0" w:color="auto"/>
        <w:left w:val="none" w:sz="0" w:space="0" w:color="auto"/>
        <w:bottom w:val="none" w:sz="0" w:space="0" w:color="auto"/>
        <w:right w:val="none" w:sz="0" w:space="0" w:color="auto"/>
      </w:divBdr>
    </w:div>
    <w:div w:id="1740787849">
      <w:bodyDiv w:val="1"/>
      <w:marLeft w:val="0"/>
      <w:marRight w:val="0"/>
      <w:marTop w:val="0"/>
      <w:marBottom w:val="0"/>
      <w:divBdr>
        <w:top w:val="none" w:sz="0" w:space="0" w:color="auto"/>
        <w:left w:val="none" w:sz="0" w:space="0" w:color="auto"/>
        <w:bottom w:val="none" w:sz="0" w:space="0" w:color="auto"/>
        <w:right w:val="none" w:sz="0" w:space="0" w:color="auto"/>
      </w:divBdr>
    </w:div>
    <w:div w:id="1751806321">
      <w:bodyDiv w:val="1"/>
      <w:marLeft w:val="0"/>
      <w:marRight w:val="0"/>
      <w:marTop w:val="0"/>
      <w:marBottom w:val="0"/>
      <w:divBdr>
        <w:top w:val="none" w:sz="0" w:space="0" w:color="auto"/>
        <w:left w:val="none" w:sz="0" w:space="0" w:color="auto"/>
        <w:bottom w:val="none" w:sz="0" w:space="0" w:color="auto"/>
        <w:right w:val="none" w:sz="0" w:space="0" w:color="auto"/>
      </w:divBdr>
    </w:div>
    <w:div w:id="1759784600">
      <w:bodyDiv w:val="1"/>
      <w:marLeft w:val="0"/>
      <w:marRight w:val="0"/>
      <w:marTop w:val="0"/>
      <w:marBottom w:val="0"/>
      <w:divBdr>
        <w:top w:val="none" w:sz="0" w:space="0" w:color="auto"/>
        <w:left w:val="none" w:sz="0" w:space="0" w:color="auto"/>
        <w:bottom w:val="none" w:sz="0" w:space="0" w:color="auto"/>
        <w:right w:val="none" w:sz="0" w:space="0" w:color="auto"/>
      </w:divBdr>
    </w:div>
    <w:div w:id="1791238879">
      <w:bodyDiv w:val="1"/>
      <w:marLeft w:val="0"/>
      <w:marRight w:val="0"/>
      <w:marTop w:val="0"/>
      <w:marBottom w:val="0"/>
      <w:divBdr>
        <w:top w:val="none" w:sz="0" w:space="0" w:color="auto"/>
        <w:left w:val="none" w:sz="0" w:space="0" w:color="auto"/>
        <w:bottom w:val="none" w:sz="0" w:space="0" w:color="auto"/>
        <w:right w:val="none" w:sz="0" w:space="0" w:color="auto"/>
      </w:divBdr>
    </w:div>
    <w:div w:id="1791392017">
      <w:bodyDiv w:val="1"/>
      <w:marLeft w:val="0"/>
      <w:marRight w:val="0"/>
      <w:marTop w:val="0"/>
      <w:marBottom w:val="0"/>
      <w:divBdr>
        <w:top w:val="none" w:sz="0" w:space="0" w:color="auto"/>
        <w:left w:val="none" w:sz="0" w:space="0" w:color="auto"/>
        <w:bottom w:val="none" w:sz="0" w:space="0" w:color="auto"/>
        <w:right w:val="none" w:sz="0" w:space="0" w:color="auto"/>
      </w:divBdr>
    </w:div>
    <w:div w:id="1839005803">
      <w:bodyDiv w:val="1"/>
      <w:marLeft w:val="0"/>
      <w:marRight w:val="0"/>
      <w:marTop w:val="0"/>
      <w:marBottom w:val="0"/>
      <w:divBdr>
        <w:top w:val="none" w:sz="0" w:space="0" w:color="auto"/>
        <w:left w:val="none" w:sz="0" w:space="0" w:color="auto"/>
        <w:bottom w:val="none" w:sz="0" w:space="0" w:color="auto"/>
        <w:right w:val="none" w:sz="0" w:space="0" w:color="auto"/>
      </w:divBdr>
    </w:div>
    <w:div w:id="1908763860">
      <w:bodyDiv w:val="1"/>
      <w:marLeft w:val="0"/>
      <w:marRight w:val="0"/>
      <w:marTop w:val="0"/>
      <w:marBottom w:val="0"/>
      <w:divBdr>
        <w:top w:val="none" w:sz="0" w:space="0" w:color="auto"/>
        <w:left w:val="none" w:sz="0" w:space="0" w:color="auto"/>
        <w:bottom w:val="none" w:sz="0" w:space="0" w:color="auto"/>
        <w:right w:val="none" w:sz="0" w:space="0" w:color="auto"/>
      </w:divBdr>
    </w:div>
    <w:div w:id="1909069095">
      <w:bodyDiv w:val="1"/>
      <w:marLeft w:val="0"/>
      <w:marRight w:val="0"/>
      <w:marTop w:val="0"/>
      <w:marBottom w:val="0"/>
      <w:divBdr>
        <w:top w:val="none" w:sz="0" w:space="0" w:color="auto"/>
        <w:left w:val="none" w:sz="0" w:space="0" w:color="auto"/>
        <w:bottom w:val="none" w:sz="0" w:space="0" w:color="auto"/>
        <w:right w:val="none" w:sz="0" w:space="0" w:color="auto"/>
      </w:divBdr>
    </w:div>
    <w:div w:id="2044790090">
      <w:bodyDiv w:val="1"/>
      <w:marLeft w:val="0"/>
      <w:marRight w:val="0"/>
      <w:marTop w:val="0"/>
      <w:marBottom w:val="0"/>
      <w:divBdr>
        <w:top w:val="none" w:sz="0" w:space="0" w:color="auto"/>
        <w:left w:val="none" w:sz="0" w:space="0" w:color="auto"/>
        <w:bottom w:val="none" w:sz="0" w:space="0" w:color="auto"/>
        <w:right w:val="none" w:sz="0" w:space="0" w:color="auto"/>
      </w:divBdr>
    </w:div>
    <w:div w:id="20720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pn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cochranelibrary.com/cdsr/doi/10.1002/14651858.CD014789/ful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chranelibrary.com/cdsr/doi/10.1002/14651858.CD013756.pub2/fu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medicarestatistics.humanservices.gov.au/statistics/mbs_item.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msac.gov.au/internet/msac/publishing.nsf/Content/1739-public" TargetMode="External"/><Relationship Id="rId13" Type="http://schemas.openxmlformats.org/officeDocument/2006/relationships/hyperlink" Target="https://www.health.gov.au/resources/publications/advice-on-the-prostheses-list-adjusted-benefit-amounts" TargetMode="External"/><Relationship Id="rId18" Type="http://schemas.openxmlformats.org/officeDocument/2006/relationships/hyperlink" Target="https://www.tga.gov.au/sites/default/files/clinical-evidence-guidelines-medical-devices.pdf" TargetMode="External"/><Relationship Id="rId3" Type="http://schemas.openxmlformats.org/officeDocument/2006/relationships/hyperlink" Target="https://www.health.gov.au/resources/publications/prostheses-list-post-listing-review-framework" TargetMode="External"/><Relationship Id="rId21" Type="http://schemas.openxmlformats.org/officeDocument/2006/relationships/hyperlink" Target="https://www.safetyandquality.gov.au/our-work/health-and-human-research/national-arrangements-clinical-quality-registries" TargetMode="External"/><Relationship Id="rId7" Type="http://schemas.openxmlformats.org/officeDocument/2006/relationships/hyperlink" Target="http://www.mbsonline.gov.au/internet/mbsonline/publishing.nsf/Content/77B4A4137E501F71CA2587B1007CAC2F/$File/Factsheet-Implanted-Device-Procedure-MBS-changes.12.04.22.pdf" TargetMode="External"/><Relationship Id="rId12" Type="http://schemas.openxmlformats.org/officeDocument/2006/relationships/hyperlink" Target="https://www.nsanz.org.au/wp-content/uploads/2022/12/Response-to-Recent-JAMA-Article-on-Spinal-Cord-Stimulation.pdf" TargetMode="External"/><Relationship Id="rId17" Type="http://schemas.openxmlformats.org/officeDocument/2006/relationships/hyperlink" Target="https://www.safetyandquality.gov.au/publications-and-resources/resource-library/low-back-pain-clinical-care-standard-2022" TargetMode="External"/><Relationship Id="rId2" Type="http://schemas.openxmlformats.org/officeDocument/2006/relationships/hyperlink" Target="https://www.uow.edu.au/ahsri/eppoc/" TargetMode="External"/><Relationship Id="rId16" Type="http://schemas.openxmlformats.org/officeDocument/2006/relationships/hyperlink" Target="https://www.safetyandquality.gov.au/publications-and-resources/resource-library/opioid-analgesic-stewardship-acute-pain-clinical-care-standard-2022" TargetMode="External"/><Relationship Id="rId20" Type="http://schemas.openxmlformats.org/officeDocument/2006/relationships/hyperlink" Target="https://www.uow.edu.au/ahsri/eppoc/" TargetMode="External"/><Relationship Id="rId1" Type="http://schemas.openxmlformats.org/officeDocument/2006/relationships/hyperlink" Target="https://www.tga.gov.au/sites/default/files/clinical-evidence-guidelines-medical-devices.pdf" TargetMode="External"/><Relationship Id="rId6" Type="http://schemas.openxmlformats.org/officeDocument/2006/relationships/hyperlink" Target="https://www.tga.gov.au/post-market-reviews/post-market-review-spinal-cord-stimulation-scs-devices" TargetMode="External"/><Relationship Id="rId11" Type="http://schemas.openxmlformats.org/officeDocument/2006/relationships/hyperlink" Target="https://www.has-sante.fr/upload/docs/application/pdf/2021-09/guide_methodology_for_the_clinical_development_of_md.pdf" TargetMode="External"/><Relationship Id="rId5" Type="http://schemas.openxmlformats.org/officeDocument/2006/relationships/hyperlink" Target="https://mainstaymedical.com/physicians/" TargetMode="External"/><Relationship Id="rId15" Type="http://schemas.openxmlformats.org/officeDocument/2006/relationships/hyperlink" Target="https://www.painaustralia.org.au/static/uploads/files/national-action-plan-final-02-07-2019-wfpnnlamkiqw.pdf" TargetMode="External"/><Relationship Id="rId10" Type="http://schemas.openxmlformats.org/officeDocument/2006/relationships/hyperlink" Target="https://training.cochrane.org/handbook/current/chapter-03" TargetMode="External"/><Relationship Id="rId19" Type="http://schemas.openxmlformats.org/officeDocument/2006/relationships/hyperlink" Target="https://nsuki.memberclicks.net/assets/documents/Patient%20Information%20NNR%20160118.pdf" TargetMode="External"/><Relationship Id="rId4" Type="http://schemas.openxmlformats.org/officeDocument/2006/relationships/hyperlink" Target="https://icd.who.int/browse11/l-m/en" TargetMode="External"/><Relationship Id="rId9" Type="http://schemas.openxmlformats.org/officeDocument/2006/relationships/hyperlink" Target="http://www.msac.gov.au/internet/msac/publishing.nsf/Content/E0D4E4EDDE91EAC8CA2586E0007AFC75/$File/MSAC%20Guidelines-complete-16-FINAL(18May21).pdf" TargetMode="External"/><Relationship Id="rId14" Type="http://schemas.openxmlformats.org/officeDocument/2006/relationships/hyperlink" Target="https://www.riziv.fgov.be/fr/professionnels/sante/fournisseurs-implants/Pages/implants-liste-prestations-nominatives.aspx" TargetMode="External"/><Relationship Id="rId22" Type="http://schemas.openxmlformats.org/officeDocument/2006/relationships/hyperlink" Target="https://oia.pmc.gov.au/published-impact-analyses-and-reports/clinical-registers-high-risk-implantable-medical-devices-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shaPrakash\Hereco\Resources%20-%20Documents\01%20WORKING%20AT%20HERECO\GENERAL%20OFFICE%20FILES\TEMPLATES\CURRENT%20hereco%20Word%20templates\Template%20for%20hereco%20technical%20reports_DOUBLE%20CLICK_15Jul2021.dotx" TargetMode="External"/></Relationships>
</file>

<file path=word/documenttasks/documenttasks1.xml><?xml version="1.0" encoding="utf-8"?>
<t:Tasks xmlns:t="http://schemas.microsoft.com/office/tasks/2019/documenttasks" xmlns:oel="http://schemas.microsoft.com/office/2019/extlst">
  <t:Task id="{CE079D8A-0510-4A3D-BD02-7906D2FB67F6}">
    <t:Anchor>
      <t:Comment id="670979335"/>
    </t:Anchor>
    <t:History>
      <t:Event id="{9A391F92-C316-417A-88F8-5609EE1DD7FE}" time="2023-05-04T06:00:07.145Z">
        <t:Attribution userId="S::Natasha@hereco.com.au::9f7f2394-b17d-486b-a13a-794cb189766d" userProvider="AD" userName="Natasha Prakash"/>
        <t:Anchor>
          <t:Comment id="670979335"/>
        </t:Anchor>
        <t:Create/>
      </t:Event>
      <t:Event id="{DA258FED-1C7A-4E5F-B252-FF73A30D3EC8}" time="2023-05-04T06:00:07.145Z">
        <t:Attribution userId="S::Natasha@hereco.com.au::9f7f2394-b17d-486b-a13a-794cb189766d" userProvider="AD" userName="Natasha Prakash"/>
        <t:Anchor>
          <t:Comment id="670979335"/>
        </t:Anchor>
        <t:Assign userId="S::samara@hereco.com.au::144ee691-337a-4c83-b4c9-25f69b83cc57" userProvider="AD" userName="Samara Lewis"/>
      </t:Event>
      <t:Event id="{122B6AD1-BAD5-4C16-8722-A952AF6BFBD3}" time="2023-05-04T06:00:07.145Z">
        <t:Attribution userId="S::Natasha@hereco.com.au::9f7f2394-b17d-486b-a13a-794cb189766d" userProvider="AD" userName="Natasha Prakash"/>
        <t:Anchor>
          <t:Comment id="670979335"/>
        </t:Anchor>
        <t:SetTitle title="@Samara Lewis Double check Zucco 2015 and Farber 2017 because they were included in McClure but not included in Niyomsri"/>
      </t:Event>
      <t:Event id="{97B36E51-1850-4345-AB99-84F35146CF85}" time="2023-05-05T01:53:31.636Z">
        <t:Attribution userId="S::Natasha@hereco.com.au::9f7f2394-b17d-486b-a13a-794cb189766d" userProvider="AD" userName="Natasha Prakash"/>
        <t:Progress percentComplete="100"/>
      </t:Event>
    </t:History>
  </t:Task>
  <t:Task id="{E0052DE9-DC60-4D92-B7D4-919AAE886F24}">
    <t:Anchor>
      <t:Comment id="671052848"/>
    </t:Anchor>
    <t:History>
      <t:Event id="{70003265-B285-4ED2-89F1-DD9AE700E4DD}" time="2023-05-05T02:25:20.618Z">
        <t:Attribution userId="S::Natasha@hereco.com.au::9f7f2394-b17d-486b-a13a-794cb189766d" userProvider="AD" userName="Natasha Prakash"/>
        <t:Anchor>
          <t:Comment id="671052848"/>
        </t:Anchor>
        <t:Create/>
      </t:Event>
      <t:Event id="{B0195604-668B-4434-9B69-6BD2093D9122}" time="2023-05-05T02:25:20.618Z">
        <t:Attribution userId="S::Natasha@hereco.com.au::9f7f2394-b17d-486b-a13a-794cb189766d" userProvider="AD" userName="Natasha Prakash"/>
        <t:Anchor>
          <t:Comment id="671052848"/>
        </t:Anchor>
        <t:Assign userId="S::Allison@hereco.com.au::023fc254-f657-49fc-85c0-c59db1215177" userProvider="AD" userName="Allison Wyndham"/>
      </t:Event>
      <t:Event id="{41B6E1CA-002B-4587-A296-5144841CF0E2}" time="2023-05-05T02:25:20.618Z">
        <t:Attribution userId="S::Natasha@hereco.com.au::9f7f2394-b17d-486b-a13a-794cb189766d" userProvider="AD" userName="Natasha Prakash"/>
        <t:Anchor>
          <t:Comment id="671052848"/>
        </t:Anchor>
        <t:SetTitle title="@Allison Wyndham can you please double check Zucco 2015 and Farber 2017 because they were included in McClure but not included in Niyomsri. Are you also able to check Mekhail 2020? "/>
      </t:Event>
    </t:History>
  </t:Task>
  <t:Task id="{517E0421-0E6E-438F-B32E-7D2D512E4678}">
    <t:Anchor>
      <t:Comment id="671299179"/>
    </t:Anchor>
    <t:History>
      <t:Event id="{C8DE5CA4-04AF-4CB4-8B71-F514006B7F89}" time="2023-05-07T22:50:51.375Z">
        <t:Attribution userId="S::samara@hereco.com.au::144ee691-337a-4c83-b4c9-25f69b83cc57" userProvider="AD" userName="Samara Lewis"/>
        <t:Anchor>
          <t:Comment id="671299179"/>
        </t:Anchor>
        <t:Create/>
      </t:Event>
      <t:Event id="{6EAE8AF2-6CA2-48F0-A96D-9F3C909A8E73}" time="2023-05-07T22:50:51.375Z">
        <t:Attribution userId="S::samara@hereco.com.au::144ee691-337a-4c83-b4c9-25f69b83cc57" userProvider="AD" userName="Samara Lewis"/>
        <t:Anchor>
          <t:Comment id="671299179"/>
        </t:Anchor>
        <t:Assign userId="S::Natasha@hereco.com.au::9f7f2394-b17d-486b-a13a-794cb189766d" userProvider="AD" userName="Natasha Prakash"/>
      </t:Event>
      <t:Event id="{DC8F3ED1-E80D-4747-89BD-316532936543}" time="2023-05-07T22:50:51.375Z">
        <t:Attribution userId="S::samara@hereco.com.au::144ee691-337a-4c83-b4c9-25f69b83cc57" userProvider="AD" userName="Samara Lewis"/>
        <t:Anchor>
          <t:Comment id="671299179"/>
        </t:Anchor>
        <t:SetTitle title="@Natasha Prakash can you please add the references and abbreviations?"/>
      </t:Event>
      <t:Event id="{3E6F10B7-4CB6-4FDA-A29F-C11A0E92043A}" time="2023-05-10T02:28:47.76Z">
        <t:Attribution userId="S::Natasha@hereco.com.au::9f7f2394-b17d-486b-a13a-794cb189766d" userProvider="AD" userName="Natasha Prakas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35A181B5C29E41B2C3A36DC002046B" ma:contentTypeVersion="12" ma:contentTypeDescription="Create a new document." ma:contentTypeScope="" ma:versionID="c58ed1fbee8330c3f8342dc91b19b549">
  <xsd:schema xmlns:xsd="http://www.w3.org/2001/XMLSchema" xmlns:xs="http://www.w3.org/2001/XMLSchema" xmlns:p="http://schemas.microsoft.com/office/2006/metadata/properties" xmlns:ns2="5fb94cad-f8c7-43fc-bdc5-29783b9fc5f0" xmlns:ns3="5f060afc-9420-4897-9e44-e1bd360ae6a1" targetNamespace="http://schemas.microsoft.com/office/2006/metadata/properties" ma:root="true" ma:fieldsID="bec2398a35ccf705b19b9a5b7302c339" ns2:_="" ns3:_="">
    <xsd:import namespace="5fb94cad-f8c7-43fc-bdc5-29783b9fc5f0"/>
    <xsd:import namespace="5f060afc-9420-4897-9e44-e1bd360ae6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4cad-f8c7-43fc-bdc5-29783b9fc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1b048f-90a4-4abb-bbb2-2d308f8073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60afc-9420-4897-9e44-e1bd360ae6a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d0368b8-58bf-4120-a78b-5bf3a7318961}" ma:internalName="TaxCatchAll" ma:showField="CatchAllData" ma:web="5f060afc-9420-4897-9e44-e1bd360ae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b94cad-f8c7-43fc-bdc5-29783b9fc5f0">
      <Terms xmlns="http://schemas.microsoft.com/office/infopath/2007/PartnerControls"/>
    </lcf76f155ced4ddcb4097134ff3c332f>
    <TaxCatchAll xmlns="5f060afc-9420-4897-9e44-e1bd360ae6a1" xsi:nil="true"/>
    <MediaLengthInSeconds xmlns="5fb94cad-f8c7-43fc-bdc5-29783b9fc5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95E21-9ACE-4FFD-BC72-67FA274C6A11}">
  <ds:schemaRefs>
    <ds:schemaRef ds:uri="http://schemas.openxmlformats.org/officeDocument/2006/bibliography"/>
  </ds:schemaRefs>
</ds:datastoreItem>
</file>

<file path=customXml/itemProps2.xml><?xml version="1.0" encoding="utf-8"?>
<ds:datastoreItem xmlns:ds="http://schemas.openxmlformats.org/officeDocument/2006/customXml" ds:itemID="{F4A26CBC-25B7-4893-A35A-969699963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4cad-f8c7-43fc-bdc5-29783b9fc5f0"/>
    <ds:schemaRef ds:uri="5f060afc-9420-4897-9e44-e1bd360ae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A6E9E-8D55-4253-82AA-0C571B36D8FE}">
  <ds:schemaRefs>
    <ds:schemaRef ds:uri="http://schemas.microsoft.com/office/2006/metadata/properties"/>
    <ds:schemaRef ds:uri="http://schemas.microsoft.com/office/infopath/2007/PartnerControls"/>
    <ds:schemaRef ds:uri="5fb94cad-f8c7-43fc-bdc5-29783b9fc5f0"/>
    <ds:schemaRef ds:uri="5f060afc-9420-4897-9e44-e1bd360ae6a1"/>
  </ds:schemaRefs>
</ds:datastoreItem>
</file>

<file path=customXml/itemProps4.xml><?xml version="1.0" encoding="utf-8"?>
<ds:datastoreItem xmlns:ds="http://schemas.openxmlformats.org/officeDocument/2006/customXml" ds:itemID="{51CB7AE1-3D98-4E66-B661-E72D373D5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 hereco technical reports_DOUBLE CLICK_15Jul2021.dotx</Template>
  <TotalTime>3</TotalTime>
  <Pages>114</Pages>
  <Words>59541</Words>
  <Characters>339389</Characters>
  <Application>Microsoft Office Word</Application>
  <DocSecurity>0</DocSecurity>
  <Lines>2828</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398134</CharactersWithSpaces>
  <SharedDoc>false</SharedDoc>
  <HLinks>
    <vt:vector size="576" baseType="variant">
      <vt:variant>
        <vt:i4>983161</vt:i4>
      </vt:variant>
      <vt:variant>
        <vt:i4>519</vt:i4>
      </vt:variant>
      <vt:variant>
        <vt:i4>0</vt:i4>
      </vt:variant>
      <vt:variant>
        <vt:i4>5</vt:i4>
      </vt:variant>
      <vt:variant>
        <vt:lpwstr>http://medicarestatistics.humanservices.gov.au/statistics/mbs_item.jsp</vt:lpwstr>
      </vt:variant>
      <vt:variant>
        <vt:lpwstr/>
      </vt:variant>
      <vt:variant>
        <vt:i4>3538977</vt:i4>
      </vt:variant>
      <vt:variant>
        <vt:i4>456</vt:i4>
      </vt:variant>
      <vt:variant>
        <vt:i4>0</vt:i4>
      </vt:variant>
      <vt:variant>
        <vt:i4>5</vt:i4>
      </vt:variant>
      <vt:variant>
        <vt:lpwstr>https://www.cochranelibrary.com/cdsr/doi/10.1002/14651858.CD014789/full</vt:lpwstr>
      </vt:variant>
      <vt:variant>
        <vt:lpwstr/>
      </vt:variant>
      <vt:variant>
        <vt:i4>1507346</vt:i4>
      </vt:variant>
      <vt:variant>
        <vt:i4>453</vt:i4>
      </vt:variant>
      <vt:variant>
        <vt:i4>0</vt:i4>
      </vt:variant>
      <vt:variant>
        <vt:i4>5</vt:i4>
      </vt:variant>
      <vt:variant>
        <vt:lpwstr>https://www.cochranelibrary.com/cdsr/doi/10.1002/14651858.CD013756.pub2/full</vt:lpwstr>
      </vt:variant>
      <vt:variant>
        <vt:lpwstr/>
      </vt:variant>
      <vt:variant>
        <vt:i4>1900597</vt:i4>
      </vt:variant>
      <vt:variant>
        <vt:i4>422</vt:i4>
      </vt:variant>
      <vt:variant>
        <vt:i4>0</vt:i4>
      </vt:variant>
      <vt:variant>
        <vt:i4>5</vt:i4>
      </vt:variant>
      <vt:variant>
        <vt:lpwstr/>
      </vt:variant>
      <vt:variant>
        <vt:lpwstr>_Toc135149510</vt:lpwstr>
      </vt:variant>
      <vt:variant>
        <vt:i4>1835061</vt:i4>
      </vt:variant>
      <vt:variant>
        <vt:i4>416</vt:i4>
      </vt:variant>
      <vt:variant>
        <vt:i4>0</vt:i4>
      </vt:variant>
      <vt:variant>
        <vt:i4>5</vt:i4>
      </vt:variant>
      <vt:variant>
        <vt:lpwstr/>
      </vt:variant>
      <vt:variant>
        <vt:lpwstr>_Toc135149509</vt:lpwstr>
      </vt:variant>
      <vt:variant>
        <vt:i4>1835061</vt:i4>
      </vt:variant>
      <vt:variant>
        <vt:i4>410</vt:i4>
      </vt:variant>
      <vt:variant>
        <vt:i4>0</vt:i4>
      </vt:variant>
      <vt:variant>
        <vt:i4>5</vt:i4>
      </vt:variant>
      <vt:variant>
        <vt:lpwstr/>
      </vt:variant>
      <vt:variant>
        <vt:lpwstr>_Toc135149508</vt:lpwstr>
      </vt:variant>
      <vt:variant>
        <vt:i4>1835061</vt:i4>
      </vt:variant>
      <vt:variant>
        <vt:i4>404</vt:i4>
      </vt:variant>
      <vt:variant>
        <vt:i4>0</vt:i4>
      </vt:variant>
      <vt:variant>
        <vt:i4>5</vt:i4>
      </vt:variant>
      <vt:variant>
        <vt:lpwstr/>
      </vt:variant>
      <vt:variant>
        <vt:lpwstr>_Toc135149507</vt:lpwstr>
      </vt:variant>
      <vt:variant>
        <vt:i4>1835061</vt:i4>
      </vt:variant>
      <vt:variant>
        <vt:i4>398</vt:i4>
      </vt:variant>
      <vt:variant>
        <vt:i4>0</vt:i4>
      </vt:variant>
      <vt:variant>
        <vt:i4>5</vt:i4>
      </vt:variant>
      <vt:variant>
        <vt:lpwstr/>
      </vt:variant>
      <vt:variant>
        <vt:lpwstr>_Toc135149506</vt:lpwstr>
      </vt:variant>
      <vt:variant>
        <vt:i4>1835061</vt:i4>
      </vt:variant>
      <vt:variant>
        <vt:i4>392</vt:i4>
      </vt:variant>
      <vt:variant>
        <vt:i4>0</vt:i4>
      </vt:variant>
      <vt:variant>
        <vt:i4>5</vt:i4>
      </vt:variant>
      <vt:variant>
        <vt:lpwstr/>
      </vt:variant>
      <vt:variant>
        <vt:lpwstr>_Toc135149505</vt:lpwstr>
      </vt:variant>
      <vt:variant>
        <vt:i4>1835061</vt:i4>
      </vt:variant>
      <vt:variant>
        <vt:i4>386</vt:i4>
      </vt:variant>
      <vt:variant>
        <vt:i4>0</vt:i4>
      </vt:variant>
      <vt:variant>
        <vt:i4>5</vt:i4>
      </vt:variant>
      <vt:variant>
        <vt:lpwstr/>
      </vt:variant>
      <vt:variant>
        <vt:lpwstr>_Toc135149504</vt:lpwstr>
      </vt:variant>
      <vt:variant>
        <vt:i4>1835061</vt:i4>
      </vt:variant>
      <vt:variant>
        <vt:i4>380</vt:i4>
      </vt:variant>
      <vt:variant>
        <vt:i4>0</vt:i4>
      </vt:variant>
      <vt:variant>
        <vt:i4>5</vt:i4>
      </vt:variant>
      <vt:variant>
        <vt:lpwstr/>
      </vt:variant>
      <vt:variant>
        <vt:lpwstr>_Toc135149503</vt:lpwstr>
      </vt:variant>
      <vt:variant>
        <vt:i4>1835061</vt:i4>
      </vt:variant>
      <vt:variant>
        <vt:i4>374</vt:i4>
      </vt:variant>
      <vt:variant>
        <vt:i4>0</vt:i4>
      </vt:variant>
      <vt:variant>
        <vt:i4>5</vt:i4>
      </vt:variant>
      <vt:variant>
        <vt:lpwstr/>
      </vt:variant>
      <vt:variant>
        <vt:lpwstr>_Toc135149502</vt:lpwstr>
      </vt:variant>
      <vt:variant>
        <vt:i4>1835061</vt:i4>
      </vt:variant>
      <vt:variant>
        <vt:i4>368</vt:i4>
      </vt:variant>
      <vt:variant>
        <vt:i4>0</vt:i4>
      </vt:variant>
      <vt:variant>
        <vt:i4>5</vt:i4>
      </vt:variant>
      <vt:variant>
        <vt:lpwstr/>
      </vt:variant>
      <vt:variant>
        <vt:lpwstr>_Toc135149501</vt:lpwstr>
      </vt:variant>
      <vt:variant>
        <vt:i4>1835061</vt:i4>
      </vt:variant>
      <vt:variant>
        <vt:i4>362</vt:i4>
      </vt:variant>
      <vt:variant>
        <vt:i4>0</vt:i4>
      </vt:variant>
      <vt:variant>
        <vt:i4>5</vt:i4>
      </vt:variant>
      <vt:variant>
        <vt:lpwstr/>
      </vt:variant>
      <vt:variant>
        <vt:lpwstr>_Toc135149500</vt:lpwstr>
      </vt:variant>
      <vt:variant>
        <vt:i4>1376308</vt:i4>
      </vt:variant>
      <vt:variant>
        <vt:i4>356</vt:i4>
      </vt:variant>
      <vt:variant>
        <vt:i4>0</vt:i4>
      </vt:variant>
      <vt:variant>
        <vt:i4>5</vt:i4>
      </vt:variant>
      <vt:variant>
        <vt:lpwstr/>
      </vt:variant>
      <vt:variant>
        <vt:lpwstr>_Toc135149499</vt:lpwstr>
      </vt:variant>
      <vt:variant>
        <vt:i4>1376308</vt:i4>
      </vt:variant>
      <vt:variant>
        <vt:i4>350</vt:i4>
      </vt:variant>
      <vt:variant>
        <vt:i4>0</vt:i4>
      </vt:variant>
      <vt:variant>
        <vt:i4>5</vt:i4>
      </vt:variant>
      <vt:variant>
        <vt:lpwstr/>
      </vt:variant>
      <vt:variant>
        <vt:lpwstr>_Toc135149498</vt:lpwstr>
      </vt:variant>
      <vt:variant>
        <vt:i4>1376308</vt:i4>
      </vt:variant>
      <vt:variant>
        <vt:i4>344</vt:i4>
      </vt:variant>
      <vt:variant>
        <vt:i4>0</vt:i4>
      </vt:variant>
      <vt:variant>
        <vt:i4>5</vt:i4>
      </vt:variant>
      <vt:variant>
        <vt:lpwstr/>
      </vt:variant>
      <vt:variant>
        <vt:lpwstr>_Toc135149497</vt:lpwstr>
      </vt:variant>
      <vt:variant>
        <vt:i4>1376308</vt:i4>
      </vt:variant>
      <vt:variant>
        <vt:i4>338</vt:i4>
      </vt:variant>
      <vt:variant>
        <vt:i4>0</vt:i4>
      </vt:variant>
      <vt:variant>
        <vt:i4>5</vt:i4>
      </vt:variant>
      <vt:variant>
        <vt:lpwstr/>
      </vt:variant>
      <vt:variant>
        <vt:lpwstr>_Toc135149496</vt:lpwstr>
      </vt:variant>
      <vt:variant>
        <vt:i4>1376308</vt:i4>
      </vt:variant>
      <vt:variant>
        <vt:i4>332</vt:i4>
      </vt:variant>
      <vt:variant>
        <vt:i4>0</vt:i4>
      </vt:variant>
      <vt:variant>
        <vt:i4>5</vt:i4>
      </vt:variant>
      <vt:variant>
        <vt:lpwstr/>
      </vt:variant>
      <vt:variant>
        <vt:lpwstr>_Toc135149495</vt:lpwstr>
      </vt:variant>
      <vt:variant>
        <vt:i4>1376308</vt:i4>
      </vt:variant>
      <vt:variant>
        <vt:i4>326</vt:i4>
      </vt:variant>
      <vt:variant>
        <vt:i4>0</vt:i4>
      </vt:variant>
      <vt:variant>
        <vt:i4>5</vt:i4>
      </vt:variant>
      <vt:variant>
        <vt:lpwstr/>
      </vt:variant>
      <vt:variant>
        <vt:lpwstr>_Toc135149494</vt:lpwstr>
      </vt:variant>
      <vt:variant>
        <vt:i4>1376308</vt:i4>
      </vt:variant>
      <vt:variant>
        <vt:i4>320</vt:i4>
      </vt:variant>
      <vt:variant>
        <vt:i4>0</vt:i4>
      </vt:variant>
      <vt:variant>
        <vt:i4>5</vt:i4>
      </vt:variant>
      <vt:variant>
        <vt:lpwstr/>
      </vt:variant>
      <vt:variant>
        <vt:lpwstr>_Toc135149493</vt:lpwstr>
      </vt:variant>
      <vt:variant>
        <vt:i4>1376308</vt:i4>
      </vt:variant>
      <vt:variant>
        <vt:i4>314</vt:i4>
      </vt:variant>
      <vt:variant>
        <vt:i4>0</vt:i4>
      </vt:variant>
      <vt:variant>
        <vt:i4>5</vt:i4>
      </vt:variant>
      <vt:variant>
        <vt:lpwstr/>
      </vt:variant>
      <vt:variant>
        <vt:lpwstr>_Toc135149492</vt:lpwstr>
      </vt:variant>
      <vt:variant>
        <vt:i4>1376308</vt:i4>
      </vt:variant>
      <vt:variant>
        <vt:i4>308</vt:i4>
      </vt:variant>
      <vt:variant>
        <vt:i4>0</vt:i4>
      </vt:variant>
      <vt:variant>
        <vt:i4>5</vt:i4>
      </vt:variant>
      <vt:variant>
        <vt:lpwstr/>
      </vt:variant>
      <vt:variant>
        <vt:lpwstr>_Toc135149491</vt:lpwstr>
      </vt:variant>
      <vt:variant>
        <vt:i4>1376308</vt:i4>
      </vt:variant>
      <vt:variant>
        <vt:i4>302</vt:i4>
      </vt:variant>
      <vt:variant>
        <vt:i4>0</vt:i4>
      </vt:variant>
      <vt:variant>
        <vt:i4>5</vt:i4>
      </vt:variant>
      <vt:variant>
        <vt:lpwstr/>
      </vt:variant>
      <vt:variant>
        <vt:lpwstr>_Toc135149490</vt:lpwstr>
      </vt:variant>
      <vt:variant>
        <vt:i4>1310772</vt:i4>
      </vt:variant>
      <vt:variant>
        <vt:i4>296</vt:i4>
      </vt:variant>
      <vt:variant>
        <vt:i4>0</vt:i4>
      </vt:variant>
      <vt:variant>
        <vt:i4>5</vt:i4>
      </vt:variant>
      <vt:variant>
        <vt:lpwstr/>
      </vt:variant>
      <vt:variant>
        <vt:lpwstr>_Toc135149489</vt:lpwstr>
      </vt:variant>
      <vt:variant>
        <vt:i4>1310772</vt:i4>
      </vt:variant>
      <vt:variant>
        <vt:i4>290</vt:i4>
      </vt:variant>
      <vt:variant>
        <vt:i4>0</vt:i4>
      </vt:variant>
      <vt:variant>
        <vt:i4>5</vt:i4>
      </vt:variant>
      <vt:variant>
        <vt:lpwstr/>
      </vt:variant>
      <vt:variant>
        <vt:lpwstr>_Toc135149488</vt:lpwstr>
      </vt:variant>
      <vt:variant>
        <vt:i4>1310772</vt:i4>
      </vt:variant>
      <vt:variant>
        <vt:i4>284</vt:i4>
      </vt:variant>
      <vt:variant>
        <vt:i4>0</vt:i4>
      </vt:variant>
      <vt:variant>
        <vt:i4>5</vt:i4>
      </vt:variant>
      <vt:variant>
        <vt:lpwstr/>
      </vt:variant>
      <vt:variant>
        <vt:lpwstr>_Toc135149487</vt:lpwstr>
      </vt:variant>
      <vt:variant>
        <vt:i4>1310772</vt:i4>
      </vt:variant>
      <vt:variant>
        <vt:i4>278</vt:i4>
      </vt:variant>
      <vt:variant>
        <vt:i4>0</vt:i4>
      </vt:variant>
      <vt:variant>
        <vt:i4>5</vt:i4>
      </vt:variant>
      <vt:variant>
        <vt:lpwstr/>
      </vt:variant>
      <vt:variant>
        <vt:lpwstr>_Toc135149486</vt:lpwstr>
      </vt:variant>
      <vt:variant>
        <vt:i4>1310772</vt:i4>
      </vt:variant>
      <vt:variant>
        <vt:i4>272</vt:i4>
      </vt:variant>
      <vt:variant>
        <vt:i4>0</vt:i4>
      </vt:variant>
      <vt:variant>
        <vt:i4>5</vt:i4>
      </vt:variant>
      <vt:variant>
        <vt:lpwstr/>
      </vt:variant>
      <vt:variant>
        <vt:lpwstr>_Toc135149485</vt:lpwstr>
      </vt:variant>
      <vt:variant>
        <vt:i4>1310772</vt:i4>
      </vt:variant>
      <vt:variant>
        <vt:i4>266</vt:i4>
      </vt:variant>
      <vt:variant>
        <vt:i4>0</vt:i4>
      </vt:variant>
      <vt:variant>
        <vt:i4>5</vt:i4>
      </vt:variant>
      <vt:variant>
        <vt:lpwstr/>
      </vt:variant>
      <vt:variant>
        <vt:lpwstr>_Toc135149484</vt:lpwstr>
      </vt:variant>
      <vt:variant>
        <vt:i4>1310772</vt:i4>
      </vt:variant>
      <vt:variant>
        <vt:i4>260</vt:i4>
      </vt:variant>
      <vt:variant>
        <vt:i4>0</vt:i4>
      </vt:variant>
      <vt:variant>
        <vt:i4>5</vt:i4>
      </vt:variant>
      <vt:variant>
        <vt:lpwstr/>
      </vt:variant>
      <vt:variant>
        <vt:lpwstr>_Toc135149483</vt:lpwstr>
      </vt:variant>
      <vt:variant>
        <vt:i4>1310772</vt:i4>
      </vt:variant>
      <vt:variant>
        <vt:i4>254</vt:i4>
      </vt:variant>
      <vt:variant>
        <vt:i4>0</vt:i4>
      </vt:variant>
      <vt:variant>
        <vt:i4>5</vt:i4>
      </vt:variant>
      <vt:variant>
        <vt:lpwstr/>
      </vt:variant>
      <vt:variant>
        <vt:lpwstr>_Toc135149482</vt:lpwstr>
      </vt:variant>
      <vt:variant>
        <vt:i4>1310772</vt:i4>
      </vt:variant>
      <vt:variant>
        <vt:i4>248</vt:i4>
      </vt:variant>
      <vt:variant>
        <vt:i4>0</vt:i4>
      </vt:variant>
      <vt:variant>
        <vt:i4>5</vt:i4>
      </vt:variant>
      <vt:variant>
        <vt:lpwstr/>
      </vt:variant>
      <vt:variant>
        <vt:lpwstr>_Toc135149481</vt:lpwstr>
      </vt:variant>
      <vt:variant>
        <vt:i4>1310772</vt:i4>
      </vt:variant>
      <vt:variant>
        <vt:i4>242</vt:i4>
      </vt:variant>
      <vt:variant>
        <vt:i4>0</vt:i4>
      </vt:variant>
      <vt:variant>
        <vt:i4>5</vt:i4>
      </vt:variant>
      <vt:variant>
        <vt:lpwstr/>
      </vt:variant>
      <vt:variant>
        <vt:lpwstr>_Toc135149480</vt:lpwstr>
      </vt:variant>
      <vt:variant>
        <vt:i4>1769524</vt:i4>
      </vt:variant>
      <vt:variant>
        <vt:i4>236</vt:i4>
      </vt:variant>
      <vt:variant>
        <vt:i4>0</vt:i4>
      </vt:variant>
      <vt:variant>
        <vt:i4>5</vt:i4>
      </vt:variant>
      <vt:variant>
        <vt:lpwstr/>
      </vt:variant>
      <vt:variant>
        <vt:lpwstr>_Toc135149479</vt:lpwstr>
      </vt:variant>
      <vt:variant>
        <vt:i4>1769524</vt:i4>
      </vt:variant>
      <vt:variant>
        <vt:i4>230</vt:i4>
      </vt:variant>
      <vt:variant>
        <vt:i4>0</vt:i4>
      </vt:variant>
      <vt:variant>
        <vt:i4>5</vt:i4>
      </vt:variant>
      <vt:variant>
        <vt:lpwstr/>
      </vt:variant>
      <vt:variant>
        <vt:lpwstr>_Toc135149478</vt:lpwstr>
      </vt:variant>
      <vt:variant>
        <vt:i4>1769524</vt:i4>
      </vt:variant>
      <vt:variant>
        <vt:i4>224</vt:i4>
      </vt:variant>
      <vt:variant>
        <vt:i4>0</vt:i4>
      </vt:variant>
      <vt:variant>
        <vt:i4>5</vt:i4>
      </vt:variant>
      <vt:variant>
        <vt:lpwstr/>
      </vt:variant>
      <vt:variant>
        <vt:lpwstr>_Toc135149477</vt:lpwstr>
      </vt:variant>
      <vt:variant>
        <vt:i4>1769524</vt:i4>
      </vt:variant>
      <vt:variant>
        <vt:i4>218</vt:i4>
      </vt:variant>
      <vt:variant>
        <vt:i4>0</vt:i4>
      </vt:variant>
      <vt:variant>
        <vt:i4>5</vt:i4>
      </vt:variant>
      <vt:variant>
        <vt:lpwstr/>
      </vt:variant>
      <vt:variant>
        <vt:lpwstr>_Toc135149476</vt:lpwstr>
      </vt:variant>
      <vt:variant>
        <vt:i4>1769524</vt:i4>
      </vt:variant>
      <vt:variant>
        <vt:i4>212</vt:i4>
      </vt:variant>
      <vt:variant>
        <vt:i4>0</vt:i4>
      </vt:variant>
      <vt:variant>
        <vt:i4>5</vt:i4>
      </vt:variant>
      <vt:variant>
        <vt:lpwstr/>
      </vt:variant>
      <vt:variant>
        <vt:lpwstr>_Toc135149475</vt:lpwstr>
      </vt:variant>
      <vt:variant>
        <vt:i4>1769524</vt:i4>
      </vt:variant>
      <vt:variant>
        <vt:i4>206</vt:i4>
      </vt:variant>
      <vt:variant>
        <vt:i4>0</vt:i4>
      </vt:variant>
      <vt:variant>
        <vt:i4>5</vt:i4>
      </vt:variant>
      <vt:variant>
        <vt:lpwstr/>
      </vt:variant>
      <vt:variant>
        <vt:lpwstr>_Toc135149474</vt:lpwstr>
      </vt:variant>
      <vt:variant>
        <vt:i4>1769524</vt:i4>
      </vt:variant>
      <vt:variant>
        <vt:i4>200</vt:i4>
      </vt:variant>
      <vt:variant>
        <vt:i4>0</vt:i4>
      </vt:variant>
      <vt:variant>
        <vt:i4>5</vt:i4>
      </vt:variant>
      <vt:variant>
        <vt:lpwstr/>
      </vt:variant>
      <vt:variant>
        <vt:lpwstr>_Toc135149473</vt:lpwstr>
      </vt:variant>
      <vt:variant>
        <vt:i4>1769524</vt:i4>
      </vt:variant>
      <vt:variant>
        <vt:i4>194</vt:i4>
      </vt:variant>
      <vt:variant>
        <vt:i4>0</vt:i4>
      </vt:variant>
      <vt:variant>
        <vt:i4>5</vt:i4>
      </vt:variant>
      <vt:variant>
        <vt:lpwstr/>
      </vt:variant>
      <vt:variant>
        <vt:lpwstr>_Toc135149472</vt:lpwstr>
      </vt:variant>
      <vt:variant>
        <vt:i4>1769524</vt:i4>
      </vt:variant>
      <vt:variant>
        <vt:i4>188</vt:i4>
      </vt:variant>
      <vt:variant>
        <vt:i4>0</vt:i4>
      </vt:variant>
      <vt:variant>
        <vt:i4>5</vt:i4>
      </vt:variant>
      <vt:variant>
        <vt:lpwstr/>
      </vt:variant>
      <vt:variant>
        <vt:lpwstr>_Toc135149471</vt:lpwstr>
      </vt:variant>
      <vt:variant>
        <vt:i4>1769524</vt:i4>
      </vt:variant>
      <vt:variant>
        <vt:i4>182</vt:i4>
      </vt:variant>
      <vt:variant>
        <vt:i4>0</vt:i4>
      </vt:variant>
      <vt:variant>
        <vt:i4>5</vt:i4>
      </vt:variant>
      <vt:variant>
        <vt:lpwstr/>
      </vt:variant>
      <vt:variant>
        <vt:lpwstr>_Toc135149470</vt:lpwstr>
      </vt:variant>
      <vt:variant>
        <vt:i4>1703988</vt:i4>
      </vt:variant>
      <vt:variant>
        <vt:i4>176</vt:i4>
      </vt:variant>
      <vt:variant>
        <vt:i4>0</vt:i4>
      </vt:variant>
      <vt:variant>
        <vt:i4>5</vt:i4>
      </vt:variant>
      <vt:variant>
        <vt:lpwstr/>
      </vt:variant>
      <vt:variant>
        <vt:lpwstr>_Toc135149469</vt:lpwstr>
      </vt:variant>
      <vt:variant>
        <vt:i4>1703988</vt:i4>
      </vt:variant>
      <vt:variant>
        <vt:i4>170</vt:i4>
      </vt:variant>
      <vt:variant>
        <vt:i4>0</vt:i4>
      </vt:variant>
      <vt:variant>
        <vt:i4>5</vt:i4>
      </vt:variant>
      <vt:variant>
        <vt:lpwstr/>
      </vt:variant>
      <vt:variant>
        <vt:lpwstr>_Toc135149468</vt:lpwstr>
      </vt:variant>
      <vt:variant>
        <vt:i4>1703988</vt:i4>
      </vt:variant>
      <vt:variant>
        <vt:i4>164</vt:i4>
      </vt:variant>
      <vt:variant>
        <vt:i4>0</vt:i4>
      </vt:variant>
      <vt:variant>
        <vt:i4>5</vt:i4>
      </vt:variant>
      <vt:variant>
        <vt:lpwstr/>
      </vt:variant>
      <vt:variant>
        <vt:lpwstr>_Toc135149467</vt:lpwstr>
      </vt:variant>
      <vt:variant>
        <vt:i4>1703988</vt:i4>
      </vt:variant>
      <vt:variant>
        <vt:i4>158</vt:i4>
      </vt:variant>
      <vt:variant>
        <vt:i4>0</vt:i4>
      </vt:variant>
      <vt:variant>
        <vt:i4>5</vt:i4>
      </vt:variant>
      <vt:variant>
        <vt:lpwstr/>
      </vt:variant>
      <vt:variant>
        <vt:lpwstr>_Toc135149466</vt:lpwstr>
      </vt:variant>
      <vt:variant>
        <vt:i4>1703988</vt:i4>
      </vt:variant>
      <vt:variant>
        <vt:i4>152</vt:i4>
      </vt:variant>
      <vt:variant>
        <vt:i4>0</vt:i4>
      </vt:variant>
      <vt:variant>
        <vt:i4>5</vt:i4>
      </vt:variant>
      <vt:variant>
        <vt:lpwstr/>
      </vt:variant>
      <vt:variant>
        <vt:lpwstr>_Toc135149465</vt:lpwstr>
      </vt:variant>
      <vt:variant>
        <vt:i4>1703988</vt:i4>
      </vt:variant>
      <vt:variant>
        <vt:i4>146</vt:i4>
      </vt:variant>
      <vt:variant>
        <vt:i4>0</vt:i4>
      </vt:variant>
      <vt:variant>
        <vt:i4>5</vt:i4>
      </vt:variant>
      <vt:variant>
        <vt:lpwstr/>
      </vt:variant>
      <vt:variant>
        <vt:lpwstr>_Toc135149464</vt:lpwstr>
      </vt:variant>
      <vt:variant>
        <vt:i4>1703988</vt:i4>
      </vt:variant>
      <vt:variant>
        <vt:i4>140</vt:i4>
      </vt:variant>
      <vt:variant>
        <vt:i4>0</vt:i4>
      </vt:variant>
      <vt:variant>
        <vt:i4>5</vt:i4>
      </vt:variant>
      <vt:variant>
        <vt:lpwstr/>
      </vt:variant>
      <vt:variant>
        <vt:lpwstr>_Toc135149463</vt:lpwstr>
      </vt:variant>
      <vt:variant>
        <vt:i4>1703988</vt:i4>
      </vt:variant>
      <vt:variant>
        <vt:i4>134</vt:i4>
      </vt:variant>
      <vt:variant>
        <vt:i4>0</vt:i4>
      </vt:variant>
      <vt:variant>
        <vt:i4>5</vt:i4>
      </vt:variant>
      <vt:variant>
        <vt:lpwstr/>
      </vt:variant>
      <vt:variant>
        <vt:lpwstr>_Toc135149462</vt:lpwstr>
      </vt:variant>
      <vt:variant>
        <vt:i4>1703988</vt:i4>
      </vt:variant>
      <vt:variant>
        <vt:i4>128</vt:i4>
      </vt:variant>
      <vt:variant>
        <vt:i4>0</vt:i4>
      </vt:variant>
      <vt:variant>
        <vt:i4>5</vt:i4>
      </vt:variant>
      <vt:variant>
        <vt:lpwstr/>
      </vt:variant>
      <vt:variant>
        <vt:lpwstr>_Toc135149461</vt:lpwstr>
      </vt:variant>
      <vt:variant>
        <vt:i4>1703988</vt:i4>
      </vt:variant>
      <vt:variant>
        <vt:i4>122</vt:i4>
      </vt:variant>
      <vt:variant>
        <vt:i4>0</vt:i4>
      </vt:variant>
      <vt:variant>
        <vt:i4>5</vt:i4>
      </vt:variant>
      <vt:variant>
        <vt:lpwstr/>
      </vt:variant>
      <vt:variant>
        <vt:lpwstr>_Toc135149460</vt:lpwstr>
      </vt:variant>
      <vt:variant>
        <vt:i4>1638452</vt:i4>
      </vt:variant>
      <vt:variant>
        <vt:i4>116</vt:i4>
      </vt:variant>
      <vt:variant>
        <vt:i4>0</vt:i4>
      </vt:variant>
      <vt:variant>
        <vt:i4>5</vt:i4>
      </vt:variant>
      <vt:variant>
        <vt:lpwstr/>
      </vt:variant>
      <vt:variant>
        <vt:lpwstr>_Toc135149459</vt:lpwstr>
      </vt:variant>
      <vt:variant>
        <vt:i4>1638452</vt:i4>
      </vt:variant>
      <vt:variant>
        <vt:i4>110</vt:i4>
      </vt:variant>
      <vt:variant>
        <vt:i4>0</vt:i4>
      </vt:variant>
      <vt:variant>
        <vt:i4>5</vt:i4>
      </vt:variant>
      <vt:variant>
        <vt:lpwstr/>
      </vt:variant>
      <vt:variant>
        <vt:lpwstr>_Toc135149458</vt:lpwstr>
      </vt:variant>
      <vt:variant>
        <vt:i4>1638452</vt:i4>
      </vt:variant>
      <vt:variant>
        <vt:i4>104</vt:i4>
      </vt:variant>
      <vt:variant>
        <vt:i4>0</vt:i4>
      </vt:variant>
      <vt:variant>
        <vt:i4>5</vt:i4>
      </vt:variant>
      <vt:variant>
        <vt:lpwstr/>
      </vt:variant>
      <vt:variant>
        <vt:lpwstr>_Toc135149457</vt:lpwstr>
      </vt:variant>
      <vt:variant>
        <vt:i4>1638452</vt:i4>
      </vt:variant>
      <vt:variant>
        <vt:i4>98</vt:i4>
      </vt:variant>
      <vt:variant>
        <vt:i4>0</vt:i4>
      </vt:variant>
      <vt:variant>
        <vt:i4>5</vt:i4>
      </vt:variant>
      <vt:variant>
        <vt:lpwstr/>
      </vt:variant>
      <vt:variant>
        <vt:lpwstr>_Toc135149456</vt:lpwstr>
      </vt:variant>
      <vt:variant>
        <vt:i4>1638452</vt:i4>
      </vt:variant>
      <vt:variant>
        <vt:i4>92</vt:i4>
      </vt:variant>
      <vt:variant>
        <vt:i4>0</vt:i4>
      </vt:variant>
      <vt:variant>
        <vt:i4>5</vt:i4>
      </vt:variant>
      <vt:variant>
        <vt:lpwstr/>
      </vt:variant>
      <vt:variant>
        <vt:lpwstr>_Toc135149455</vt:lpwstr>
      </vt:variant>
      <vt:variant>
        <vt:i4>1638452</vt:i4>
      </vt:variant>
      <vt:variant>
        <vt:i4>86</vt:i4>
      </vt:variant>
      <vt:variant>
        <vt:i4>0</vt:i4>
      </vt:variant>
      <vt:variant>
        <vt:i4>5</vt:i4>
      </vt:variant>
      <vt:variant>
        <vt:lpwstr/>
      </vt:variant>
      <vt:variant>
        <vt:lpwstr>_Toc135149454</vt:lpwstr>
      </vt:variant>
      <vt:variant>
        <vt:i4>1638452</vt:i4>
      </vt:variant>
      <vt:variant>
        <vt:i4>80</vt:i4>
      </vt:variant>
      <vt:variant>
        <vt:i4>0</vt:i4>
      </vt:variant>
      <vt:variant>
        <vt:i4>5</vt:i4>
      </vt:variant>
      <vt:variant>
        <vt:lpwstr/>
      </vt:variant>
      <vt:variant>
        <vt:lpwstr>_Toc135149453</vt:lpwstr>
      </vt:variant>
      <vt:variant>
        <vt:i4>1638452</vt:i4>
      </vt:variant>
      <vt:variant>
        <vt:i4>74</vt:i4>
      </vt:variant>
      <vt:variant>
        <vt:i4>0</vt:i4>
      </vt:variant>
      <vt:variant>
        <vt:i4>5</vt:i4>
      </vt:variant>
      <vt:variant>
        <vt:lpwstr/>
      </vt:variant>
      <vt:variant>
        <vt:lpwstr>_Toc135149452</vt:lpwstr>
      </vt:variant>
      <vt:variant>
        <vt:i4>1638452</vt:i4>
      </vt:variant>
      <vt:variant>
        <vt:i4>68</vt:i4>
      </vt:variant>
      <vt:variant>
        <vt:i4>0</vt:i4>
      </vt:variant>
      <vt:variant>
        <vt:i4>5</vt:i4>
      </vt:variant>
      <vt:variant>
        <vt:lpwstr/>
      </vt:variant>
      <vt:variant>
        <vt:lpwstr>_Toc135149451</vt:lpwstr>
      </vt:variant>
      <vt:variant>
        <vt:i4>1638452</vt:i4>
      </vt:variant>
      <vt:variant>
        <vt:i4>62</vt:i4>
      </vt:variant>
      <vt:variant>
        <vt:i4>0</vt:i4>
      </vt:variant>
      <vt:variant>
        <vt:i4>5</vt:i4>
      </vt:variant>
      <vt:variant>
        <vt:lpwstr/>
      </vt:variant>
      <vt:variant>
        <vt:lpwstr>_Toc135149450</vt:lpwstr>
      </vt:variant>
      <vt:variant>
        <vt:i4>1572916</vt:i4>
      </vt:variant>
      <vt:variant>
        <vt:i4>56</vt:i4>
      </vt:variant>
      <vt:variant>
        <vt:i4>0</vt:i4>
      </vt:variant>
      <vt:variant>
        <vt:i4>5</vt:i4>
      </vt:variant>
      <vt:variant>
        <vt:lpwstr/>
      </vt:variant>
      <vt:variant>
        <vt:lpwstr>_Toc135149449</vt:lpwstr>
      </vt:variant>
      <vt:variant>
        <vt:i4>1572916</vt:i4>
      </vt:variant>
      <vt:variant>
        <vt:i4>50</vt:i4>
      </vt:variant>
      <vt:variant>
        <vt:i4>0</vt:i4>
      </vt:variant>
      <vt:variant>
        <vt:i4>5</vt:i4>
      </vt:variant>
      <vt:variant>
        <vt:lpwstr/>
      </vt:variant>
      <vt:variant>
        <vt:lpwstr>_Toc135149448</vt:lpwstr>
      </vt:variant>
      <vt:variant>
        <vt:i4>1572916</vt:i4>
      </vt:variant>
      <vt:variant>
        <vt:i4>44</vt:i4>
      </vt:variant>
      <vt:variant>
        <vt:i4>0</vt:i4>
      </vt:variant>
      <vt:variant>
        <vt:i4>5</vt:i4>
      </vt:variant>
      <vt:variant>
        <vt:lpwstr/>
      </vt:variant>
      <vt:variant>
        <vt:lpwstr>_Toc135149447</vt:lpwstr>
      </vt:variant>
      <vt:variant>
        <vt:i4>1572916</vt:i4>
      </vt:variant>
      <vt:variant>
        <vt:i4>38</vt:i4>
      </vt:variant>
      <vt:variant>
        <vt:i4>0</vt:i4>
      </vt:variant>
      <vt:variant>
        <vt:i4>5</vt:i4>
      </vt:variant>
      <vt:variant>
        <vt:lpwstr/>
      </vt:variant>
      <vt:variant>
        <vt:lpwstr>_Toc135149446</vt:lpwstr>
      </vt:variant>
      <vt:variant>
        <vt:i4>1572916</vt:i4>
      </vt:variant>
      <vt:variant>
        <vt:i4>32</vt:i4>
      </vt:variant>
      <vt:variant>
        <vt:i4>0</vt:i4>
      </vt:variant>
      <vt:variant>
        <vt:i4>5</vt:i4>
      </vt:variant>
      <vt:variant>
        <vt:lpwstr/>
      </vt:variant>
      <vt:variant>
        <vt:lpwstr>_Toc135149445</vt:lpwstr>
      </vt:variant>
      <vt:variant>
        <vt:i4>1572916</vt:i4>
      </vt:variant>
      <vt:variant>
        <vt:i4>26</vt:i4>
      </vt:variant>
      <vt:variant>
        <vt:i4>0</vt:i4>
      </vt:variant>
      <vt:variant>
        <vt:i4>5</vt:i4>
      </vt:variant>
      <vt:variant>
        <vt:lpwstr/>
      </vt:variant>
      <vt:variant>
        <vt:lpwstr>_Toc135149444</vt:lpwstr>
      </vt:variant>
      <vt:variant>
        <vt:i4>1572916</vt:i4>
      </vt:variant>
      <vt:variant>
        <vt:i4>20</vt:i4>
      </vt:variant>
      <vt:variant>
        <vt:i4>0</vt:i4>
      </vt:variant>
      <vt:variant>
        <vt:i4>5</vt:i4>
      </vt:variant>
      <vt:variant>
        <vt:lpwstr/>
      </vt:variant>
      <vt:variant>
        <vt:lpwstr>_Toc135149443</vt:lpwstr>
      </vt:variant>
      <vt:variant>
        <vt:i4>1572916</vt:i4>
      </vt:variant>
      <vt:variant>
        <vt:i4>14</vt:i4>
      </vt:variant>
      <vt:variant>
        <vt:i4>0</vt:i4>
      </vt:variant>
      <vt:variant>
        <vt:i4>5</vt:i4>
      </vt:variant>
      <vt:variant>
        <vt:lpwstr/>
      </vt:variant>
      <vt:variant>
        <vt:lpwstr>_Toc135149442</vt:lpwstr>
      </vt:variant>
      <vt:variant>
        <vt:i4>1572916</vt:i4>
      </vt:variant>
      <vt:variant>
        <vt:i4>8</vt:i4>
      </vt:variant>
      <vt:variant>
        <vt:i4>0</vt:i4>
      </vt:variant>
      <vt:variant>
        <vt:i4>5</vt:i4>
      </vt:variant>
      <vt:variant>
        <vt:lpwstr/>
      </vt:variant>
      <vt:variant>
        <vt:lpwstr>_Toc135149441</vt:lpwstr>
      </vt:variant>
      <vt:variant>
        <vt:i4>1572916</vt:i4>
      </vt:variant>
      <vt:variant>
        <vt:i4>2</vt:i4>
      </vt:variant>
      <vt:variant>
        <vt:i4>0</vt:i4>
      </vt:variant>
      <vt:variant>
        <vt:i4>5</vt:i4>
      </vt:variant>
      <vt:variant>
        <vt:lpwstr/>
      </vt:variant>
      <vt:variant>
        <vt:lpwstr>_Toc135149440</vt:lpwstr>
      </vt:variant>
      <vt:variant>
        <vt:i4>7012393</vt:i4>
      </vt:variant>
      <vt:variant>
        <vt:i4>63</vt:i4>
      </vt:variant>
      <vt:variant>
        <vt:i4>0</vt:i4>
      </vt:variant>
      <vt:variant>
        <vt:i4>5</vt:i4>
      </vt:variant>
      <vt:variant>
        <vt:lpwstr>https://oia.pmc.gov.au/published-impact-analyses-and-reports/clinical-registers-high-risk-implantable-medical-devices-0</vt:lpwstr>
      </vt:variant>
      <vt:variant>
        <vt:lpwstr/>
      </vt:variant>
      <vt:variant>
        <vt:i4>5767189</vt:i4>
      </vt:variant>
      <vt:variant>
        <vt:i4>60</vt:i4>
      </vt:variant>
      <vt:variant>
        <vt:i4>0</vt:i4>
      </vt:variant>
      <vt:variant>
        <vt:i4>5</vt:i4>
      </vt:variant>
      <vt:variant>
        <vt:lpwstr>https://www.safetyandquality.gov.au/our-work/health-and-human-research/national-arrangements-clinical-quality-registries</vt:lpwstr>
      </vt:variant>
      <vt:variant>
        <vt:lpwstr/>
      </vt:variant>
      <vt:variant>
        <vt:i4>3866678</vt:i4>
      </vt:variant>
      <vt:variant>
        <vt:i4>57</vt:i4>
      </vt:variant>
      <vt:variant>
        <vt:i4>0</vt:i4>
      </vt:variant>
      <vt:variant>
        <vt:i4>5</vt:i4>
      </vt:variant>
      <vt:variant>
        <vt:lpwstr>https://www.uow.edu.au/ahsri/eppoc/</vt:lpwstr>
      </vt:variant>
      <vt:variant>
        <vt:lpwstr/>
      </vt:variant>
      <vt:variant>
        <vt:i4>3080232</vt:i4>
      </vt:variant>
      <vt:variant>
        <vt:i4>54</vt:i4>
      </vt:variant>
      <vt:variant>
        <vt:i4>0</vt:i4>
      </vt:variant>
      <vt:variant>
        <vt:i4>5</vt:i4>
      </vt:variant>
      <vt:variant>
        <vt:lpwstr>https://nsuki.memberclicks.net/assets/documents/Patient Information NNR 160118.pdf</vt:lpwstr>
      </vt:variant>
      <vt:variant>
        <vt:lpwstr/>
      </vt:variant>
      <vt:variant>
        <vt:i4>2359411</vt:i4>
      </vt:variant>
      <vt:variant>
        <vt:i4>51</vt:i4>
      </vt:variant>
      <vt:variant>
        <vt:i4>0</vt:i4>
      </vt:variant>
      <vt:variant>
        <vt:i4>5</vt:i4>
      </vt:variant>
      <vt:variant>
        <vt:lpwstr>https://www.tga.gov.au/sites/default/files/clinical-evidence-guidelines-medical-devices.pdf</vt:lpwstr>
      </vt:variant>
      <vt:variant>
        <vt:lpwstr/>
      </vt:variant>
      <vt:variant>
        <vt:i4>5832723</vt:i4>
      </vt:variant>
      <vt:variant>
        <vt:i4>48</vt:i4>
      </vt:variant>
      <vt:variant>
        <vt:i4>0</vt:i4>
      </vt:variant>
      <vt:variant>
        <vt:i4>5</vt:i4>
      </vt:variant>
      <vt:variant>
        <vt:lpwstr>https://www.safetyandquality.gov.au/publications-and-resources/resource-library/low-back-pain-clinical-care-standard-2022</vt:lpwstr>
      </vt:variant>
      <vt:variant>
        <vt:lpwstr/>
      </vt:variant>
      <vt:variant>
        <vt:i4>6750265</vt:i4>
      </vt:variant>
      <vt:variant>
        <vt:i4>45</vt:i4>
      </vt:variant>
      <vt:variant>
        <vt:i4>0</vt:i4>
      </vt:variant>
      <vt:variant>
        <vt:i4>5</vt:i4>
      </vt:variant>
      <vt:variant>
        <vt:lpwstr>https://www.safetyandquality.gov.au/publications-and-resources/resource-library/opioid-analgesic-stewardship-acute-pain-clinical-care-standard-2022</vt:lpwstr>
      </vt:variant>
      <vt:variant>
        <vt:lpwstr/>
      </vt:variant>
      <vt:variant>
        <vt:i4>5505113</vt:i4>
      </vt:variant>
      <vt:variant>
        <vt:i4>42</vt:i4>
      </vt:variant>
      <vt:variant>
        <vt:i4>0</vt:i4>
      </vt:variant>
      <vt:variant>
        <vt:i4>5</vt:i4>
      </vt:variant>
      <vt:variant>
        <vt:lpwstr>https://www.painaustralia.org.au/static/uploads/files/national-action-plan-final-02-07-2019-wfpnnlamkiqw.pdf</vt:lpwstr>
      </vt:variant>
      <vt:variant>
        <vt:lpwstr/>
      </vt:variant>
      <vt:variant>
        <vt:i4>5373978</vt:i4>
      </vt:variant>
      <vt:variant>
        <vt:i4>39</vt:i4>
      </vt:variant>
      <vt:variant>
        <vt:i4>0</vt:i4>
      </vt:variant>
      <vt:variant>
        <vt:i4>5</vt:i4>
      </vt:variant>
      <vt:variant>
        <vt:lpwstr>https://www.riziv.fgov.be/fr/professionnels/sante/fournisseurs-implants/Pages/implants-liste-prestations-nominatives.aspx</vt:lpwstr>
      </vt:variant>
      <vt:variant>
        <vt:lpwstr/>
      </vt:variant>
      <vt:variant>
        <vt:i4>3342394</vt:i4>
      </vt:variant>
      <vt:variant>
        <vt:i4>36</vt:i4>
      </vt:variant>
      <vt:variant>
        <vt:i4>0</vt:i4>
      </vt:variant>
      <vt:variant>
        <vt:i4>5</vt:i4>
      </vt:variant>
      <vt:variant>
        <vt:lpwstr>https://www.health.gov.au/resources/publications/advice-on-the-prostheses-list-adjusted-benefit-amounts</vt:lpwstr>
      </vt:variant>
      <vt:variant>
        <vt:lpwstr/>
      </vt:variant>
      <vt:variant>
        <vt:i4>7667775</vt:i4>
      </vt:variant>
      <vt:variant>
        <vt:i4>33</vt:i4>
      </vt:variant>
      <vt:variant>
        <vt:i4>0</vt:i4>
      </vt:variant>
      <vt:variant>
        <vt:i4>5</vt:i4>
      </vt:variant>
      <vt:variant>
        <vt:lpwstr>https://www.nsanz.org.au/wp-content/uploads/2022/12/Response-to-Recent-JAMA-Article-on-Spinal-Cord-Stimulation.pdf</vt:lpwstr>
      </vt:variant>
      <vt:variant>
        <vt:lpwstr/>
      </vt:variant>
      <vt:variant>
        <vt:i4>5505125</vt:i4>
      </vt:variant>
      <vt:variant>
        <vt:i4>30</vt:i4>
      </vt:variant>
      <vt:variant>
        <vt:i4>0</vt:i4>
      </vt:variant>
      <vt:variant>
        <vt:i4>5</vt:i4>
      </vt:variant>
      <vt:variant>
        <vt:lpwstr>https://www.has-sante.fr/upload/docs/application/pdf/2021-09/guide_methodology_for_the_clinical_development_of_md.pdf</vt:lpwstr>
      </vt:variant>
      <vt:variant>
        <vt:lpwstr/>
      </vt:variant>
      <vt:variant>
        <vt:i4>7340089</vt:i4>
      </vt:variant>
      <vt:variant>
        <vt:i4>27</vt:i4>
      </vt:variant>
      <vt:variant>
        <vt:i4>0</vt:i4>
      </vt:variant>
      <vt:variant>
        <vt:i4>5</vt:i4>
      </vt:variant>
      <vt:variant>
        <vt:lpwstr>https://training.cochrane.org/handbook/current/chapter-03</vt:lpwstr>
      </vt:variant>
      <vt:variant>
        <vt:lpwstr>a-33-determining-which-study-designs-to-include</vt:lpwstr>
      </vt:variant>
      <vt:variant>
        <vt:i4>131100</vt:i4>
      </vt:variant>
      <vt:variant>
        <vt:i4>24</vt:i4>
      </vt:variant>
      <vt:variant>
        <vt:i4>0</vt:i4>
      </vt:variant>
      <vt:variant>
        <vt:i4>5</vt:i4>
      </vt:variant>
      <vt:variant>
        <vt:lpwstr>http://www.msac.gov.au/internet/msac/publishing.nsf/Content/E0D4E4EDDE91EAC8CA2586E0007AFC75/$File/MSAC Guidelines-complete-16-FINAL(18May21).pdf</vt:lpwstr>
      </vt:variant>
      <vt:variant>
        <vt:lpwstr/>
      </vt:variant>
      <vt:variant>
        <vt:i4>2621547</vt:i4>
      </vt:variant>
      <vt:variant>
        <vt:i4>21</vt:i4>
      </vt:variant>
      <vt:variant>
        <vt:i4>0</vt:i4>
      </vt:variant>
      <vt:variant>
        <vt:i4>5</vt:i4>
      </vt:variant>
      <vt:variant>
        <vt:lpwstr>http://www.msac.gov.au/internet/msac/publishing.nsf/Content/1739-public</vt:lpwstr>
      </vt:variant>
      <vt:variant>
        <vt:lpwstr/>
      </vt:variant>
      <vt:variant>
        <vt:i4>6881326</vt:i4>
      </vt:variant>
      <vt:variant>
        <vt:i4>18</vt:i4>
      </vt:variant>
      <vt:variant>
        <vt:i4>0</vt:i4>
      </vt:variant>
      <vt:variant>
        <vt:i4>5</vt:i4>
      </vt:variant>
      <vt:variant>
        <vt:lpwstr>http://www.mbsonline.gov.au/internet/mbsonline/publishing.nsf/Content/77B4A4137E501F71CA2587B1007CAC2F/$File/Factsheet-Implanted-Device-Procedure-MBS-changes.12.04.22.pdf</vt:lpwstr>
      </vt:variant>
      <vt:variant>
        <vt:lpwstr/>
      </vt:variant>
      <vt:variant>
        <vt:i4>4259840</vt:i4>
      </vt:variant>
      <vt:variant>
        <vt:i4>15</vt:i4>
      </vt:variant>
      <vt:variant>
        <vt:i4>0</vt:i4>
      </vt:variant>
      <vt:variant>
        <vt:i4>5</vt:i4>
      </vt:variant>
      <vt:variant>
        <vt:lpwstr>https://www.tga.gov.au/post-market-reviews/post-market-review-spinal-cord-stimulation-scs-devices</vt:lpwstr>
      </vt:variant>
      <vt:variant>
        <vt:lpwstr/>
      </vt:variant>
      <vt:variant>
        <vt:i4>7995449</vt:i4>
      </vt:variant>
      <vt:variant>
        <vt:i4>12</vt:i4>
      </vt:variant>
      <vt:variant>
        <vt:i4>0</vt:i4>
      </vt:variant>
      <vt:variant>
        <vt:i4>5</vt:i4>
      </vt:variant>
      <vt:variant>
        <vt:lpwstr>https://mainstaymedical.com/physicians/</vt:lpwstr>
      </vt:variant>
      <vt:variant>
        <vt:lpwstr/>
      </vt:variant>
      <vt:variant>
        <vt:i4>7405679</vt:i4>
      </vt:variant>
      <vt:variant>
        <vt:i4>9</vt:i4>
      </vt:variant>
      <vt:variant>
        <vt:i4>0</vt:i4>
      </vt:variant>
      <vt:variant>
        <vt:i4>5</vt:i4>
      </vt:variant>
      <vt:variant>
        <vt:lpwstr>https://icd.who.int/browse11/l-m/en</vt:lpwstr>
      </vt:variant>
      <vt:variant>
        <vt:lpwstr>/http://id.who.int/icd/entity/1581976053</vt:lpwstr>
      </vt:variant>
      <vt:variant>
        <vt:i4>6291574</vt:i4>
      </vt:variant>
      <vt:variant>
        <vt:i4>6</vt:i4>
      </vt:variant>
      <vt:variant>
        <vt:i4>0</vt:i4>
      </vt:variant>
      <vt:variant>
        <vt:i4>5</vt:i4>
      </vt:variant>
      <vt:variant>
        <vt:lpwstr>https://www.health.gov.au/resources/publications/prostheses-list-post-listing-review-framework</vt:lpwstr>
      </vt:variant>
      <vt:variant>
        <vt:lpwstr/>
      </vt:variant>
      <vt:variant>
        <vt:i4>3866678</vt:i4>
      </vt:variant>
      <vt:variant>
        <vt:i4>3</vt:i4>
      </vt:variant>
      <vt:variant>
        <vt:i4>0</vt:i4>
      </vt:variant>
      <vt:variant>
        <vt:i4>5</vt:i4>
      </vt:variant>
      <vt:variant>
        <vt:lpwstr>https://www.uow.edu.au/ahsri/eppoc/</vt:lpwstr>
      </vt:variant>
      <vt:variant>
        <vt:lpwstr/>
      </vt:variant>
      <vt:variant>
        <vt:i4>2359411</vt:i4>
      </vt:variant>
      <vt:variant>
        <vt:i4>0</vt:i4>
      </vt:variant>
      <vt:variant>
        <vt:i4>0</vt:i4>
      </vt:variant>
      <vt:variant>
        <vt:i4>5</vt:i4>
      </vt:variant>
      <vt:variant>
        <vt:lpwstr>https://www.tga.gov.au/sites/default/files/clinical-evidence-guidelines-medical-devices.pdf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Spinal Cord Stimulators</dc:title>
  <dc:subject>Medical devices</dc:subject>
  <dc:creator>Australian Government, Department of Health and Aged Care</dc:creator>
  <cp:keywords/>
  <dc:description/>
  <cp:lastModifiedBy>Australian Government Department of Health and Aged </cp:lastModifiedBy>
  <cp:revision>3</cp:revision>
  <cp:lastPrinted>2019-01-25T04:46:00Z</cp:lastPrinted>
  <dcterms:created xsi:type="dcterms:W3CDTF">2024-05-22T01:17:00Z</dcterms:created>
  <dcterms:modified xsi:type="dcterms:W3CDTF">2024-05-22T01:20:00Z</dcterms:modified>
  <cp:contentStatus/>
</cp:coreProperties>
</file>