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F9D6" w14:textId="5C13583D" w:rsidR="00AF5479" w:rsidRPr="00F33DE0" w:rsidRDefault="00633DD0" w:rsidP="00E01AE0">
      <w:pPr>
        <w:pStyle w:val="Title"/>
      </w:pPr>
      <w:r w:rsidRPr="00F33DE0">
        <w:rPr>
          <w:noProof/>
        </w:rPr>
        <w:drawing>
          <wp:anchor distT="0" distB="0" distL="114300" distR="114300" simplePos="0" relativeHeight="251660288" behindDoc="0" locked="0" layoutInCell="1" allowOverlap="1" wp14:anchorId="2C3733A8" wp14:editId="5CC50E07">
            <wp:simplePos x="0" y="0"/>
            <wp:positionH relativeFrom="column">
              <wp:posOffset>-557530</wp:posOffset>
            </wp:positionH>
            <wp:positionV relativeFrom="paragraph">
              <wp:posOffset>-680085</wp:posOffset>
            </wp:positionV>
            <wp:extent cx="2476500" cy="1122680"/>
            <wp:effectExtent l="0" t="0" r="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500" cy="1122680"/>
                    </a:xfrm>
                    <a:prstGeom prst="rect">
                      <a:avLst/>
                    </a:prstGeom>
                  </pic:spPr>
                </pic:pic>
              </a:graphicData>
            </a:graphic>
            <wp14:sizeRelH relativeFrom="page">
              <wp14:pctWidth>0</wp14:pctWidth>
            </wp14:sizeRelH>
            <wp14:sizeRelV relativeFrom="page">
              <wp14:pctHeight>0</wp14:pctHeight>
            </wp14:sizeRelV>
          </wp:anchor>
        </w:drawing>
      </w:r>
      <w:r w:rsidR="00AF5479">
        <w:rPr>
          <w:noProof/>
          <w:lang w:eastAsia="en-AU"/>
        </w:rPr>
        <w:drawing>
          <wp:anchor distT="0" distB="0" distL="114300" distR="114300" simplePos="0" relativeHeight="251659264" behindDoc="1" locked="0" layoutInCell="1" allowOverlap="1" wp14:anchorId="299A08F0" wp14:editId="17B6D98F">
            <wp:simplePos x="0" y="0"/>
            <wp:positionH relativeFrom="column">
              <wp:posOffset>-784225</wp:posOffset>
            </wp:positionH>
            <wp:positionV relativeFrom="paragraph">
              <wp:posOffset>-854710</wp:posOffset>
            </wp:positionV>
            <wp:extent cx="7372350" cy="10467975"/>
            <wp:effectExtent l="0" t="0" r="0" b="952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72350" cy="104679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1F5">
        <w:t>Rural Procedural Grants Program</w:t>
      </w:r>
      <w:r w:rsidR="00E01AE0">
        <w:t xml:space="preserve"> </w:t>
      </w:r>
      <w:r w:rsidR="008E41F5">
        <w:t>Guidelines</w:t>
      </w:r>
    </w:p>
    <w:p w14:paraId="74CE5DC0" w14:textId="5BF25E78" w:rsidR="00E173EF" w:rsidRPr="00985EAF" w:rsidRDefault="00E539FF" w:rsidP="00985EAF">
      <w:pPr>
        <w:pStyle w:val="Date"/>
      </w:pPr>
      <w:r w:rsidRPr="00985EAF">
        <w:t xml:space="preserve">April </w:t>
      </w:r>
      <w:r w:rsidR="00D501E8" w:rsidRPr="00985EAF">
        <w:t>20</w:t>
      </w:r>
      <w:r w:rsidR="000D7774" w:rsidRPr="00985EAF">
        <w:t>24</w:t>
      </w:r>
    </w:p>
    <w:p w14:paraId="243E9CAE" w14:textId="369921C7" w:rsidR="00751A23" w:rsidRPr="00AF5479" w:rsidRDefault="00751A23" w:rsidP="00AF5479">
      <w:pPr>
        <w:tabs>
          <w:tab w:val="left" w:pos="2760"/>
        </w:tabs>
        <w:sectPr w:rsidR="00751A23" w:rsidRPr="00AF5479" w:rsidSect="00D45D94">
          <w:footerReference w:type="default" r:id="rId13"/>
          <w:headerReference w:type="first" r:id="rId14"/>
          <w:type w:val="continuous"/>
          <w:pgSz w:w="11906" w:h="16838"/>
          <w:pgMar w:top="1701" w:right="1418" w:bottom="1418" w:left="1418" w:header="850" w:footer="709" w:gutter="0"/>
          <w:cols w:space="708"/>
          <w:titlePg/>
          <w:docGrid w:linePitch="360"/>
        </w:sectPr>
      </w:pPr>
    </w:p>
    <w:sdt>
      <w:sdtPr>
        <w:rPr>
          <w:rFonts w:eastAsia="Times New Roman" w:cs="Times New Roman"/>
          <w:color w:val="auto"/>
          <w:sz w:val="22"/>
          <w:szCs w:val="24"/>
          <w:lang w:val="en-AU"/>
        </w:rPr>
        <w:id w:val="-2080200049"/>
        <w:docPartObj>
          <w:docPartGallery w:val="Table of Contents"/>
          <w:docPartUnique/>
        </w:docPartObj>
      </w:sdtPr>
      <w:sdtContent>
        <w:p w14:paraId="53AD931A" w14:textId="2A98C671" w:rsidR="00F33DE0" w:rsidRDefault="00F33DE0">
          <w:pPr>
            <w:pStyle w:val="TOCHeading"/>
          </w:pPr>
          <w:r>
            <w:t>Contents</w:t>
          </w:r>
        </w:p>
        <w:p w14:paraId="1580E967" w14:textId="301309FF" w:rsidR="00F33DE0" w:rsidRDefault="00F33DE0">
          <w:pPr>
            <w:pStyle w:val="TOC1"/>
            <w:tabs>
              <w:tab w:val="left" w:pos="440"/>
              <w:tab w:val="right" w:leader="dot" w:pos="9060"/>
            </w:tabs>
            <w:rPr>
              <w:rFonts w:asciiTheme="minorHAnsi" w:eastAsiaTheme="minorEastAsia" w:hAnsiTheme="minorHAnsi" w:cstheme="minorBidi"/>
              <w:noProof/>
              <w:kern w:val="2"/>
              <w:szCs w:val="22"/>
              <w:lang w:eastAsia="en-AU"/>
              <w14:ligatures w14:val="standardContextual"/>
            </w:rPr>
          </w:pPr>
          <w:r>
            <w:fldChar w:fldCharType="begin"/>
          </w:r>
          <w:r>
            <w:instrText xml:space="preserve"> TOC \o "1-3" \h \z \u </w:instrText>
          </w:r>
          <w:r>
            <w:fldChar w:fldCharType="separate"/>
          </w:r>
          <w:hyperlink w:anchor="_Toc165898255" w:history="1">
            <w:r w:rsidRPr="003C5897">
              <w:rPr>
                <w:rStyle w:val="Hyperlink"/>
                <w:noProof/>
              </w:rPr>
              <w:t>1.</w:t>
            </w:r>
            <w:r>
              <w:rPr>
                <w:rFonts w:asciiTheme="minorHAnsi" w:eastAsiaTheme="minorEastAsia" w:hAnsiTheme="minorHAnsi" w:cstheme="minorBidi"/>
                <w:noProof/>
                <w:kern w:val="2"/>
                <w:szCs w:val="22"/>
                <w:lang w:eastAsia="en-AU"/>
                <w14:ligatures w14:val="standardContextual"/>
              </w:rPr>
              <w:tab/>
            </w:r>
            <w:r w:rsidRPr="003C5897">
              <w:rPr>
                <w:rStyle w:val="Hyperlink"/>
                <w:noProof/>
              </w:rPr>
              <w:t>Program Aim</w:t>
            </w:r>
            <w:r>
              <w:rPr>
                <w:noProof/>
                <w:webHidden/>
              </w:rPr>
              <w:tab/>
            </w:r>
            <w:r>
              <w:rPr>
                <w:noProof/>
                <w:webHidden/>
              </w:rPr>
              <w:fldChar w:fldCharType="begin"/>
            </w:r>
            <w:r>
              <w:rPr>
                <w:noProof/>
                <w:webHidden/>
              </w:rPr>
              <w:instrText xml:space="preserve"> PAGEREF _Toc165898255 \h </w:instrText>
            </w:r>
            <w:r>
              <w:rPr>
                <w:noProof/>
                <w:webHidden/>
              </w:rPr>
            </w:r>
            <w:r>
              <w:rPr>
                <w:noProof/>
                <w:webHidden/>
              </w:rPr>
              <w:fldChar w:fldCharType="separate"/>
            </w:r>
            <w:r w:rsidR="006B3D77">
              <w:rPr>
                <w:noProof/>
                <w:webHidden/>
              </w:rPr>
              <w:t>3</w:t>
            </w:r>
            <w:r>
              <w:rPr>
                <w:noProof/>
                <w:webHidden/>
              </w:rPr>
              <w:fldChar w:fldCharType="end"/>
            </w:r>
          </w:hyperlink>
        </w:p>
        <w:p w14:paraId="0D86D41C" w14:textId="10E2E631" w:rsidR="00F33DE0" w:rsidRDefault="00000000">
          <w:pPr>
            <w:pStyle w:val="TOC1"/>
            <w:tabs>
              <w:tab w:val="left" w:pos="440"/>
              <w:tab w:val="right" w:leader="dot" w:pos="9060"/>
            </w:tabs>
            <w:rPr>
              <w:rFonts w:asciiTheme="minorHAnsi" w:eastAsiaTheme="minorEastAsia" w:hAnsiTheme="minorHAnsi" w:cstheme="minorBidi"/>
              <w:noProof/>
              <w:kern w:val="2"/>
              <w:szCs w:val="22"/>
              <w:lang w:eastAsia="en-AU"/>
              <w14:ligatures w14:val="standardContextual"/>
            </w:rPr>
          </w:pPr>
          <w:hyperlink w:anchor="_Toc165898256" w:history="1">
            <w:r w:rsidR="00F33DE0" w:rsidRPr="003C5897">
              <w:rPr>
                <w:rStyle w:val="Hyperlink"/>
                <w:noProof/>
              </w:rPr>
              <w:t>2.</w:t>
            </w:r>
            <w:r w:rsidR="00F33DE0">
              <w:rPr>
                <w:rFonts w:asciiTheme="minorHAnsi" w:eastAsiaTheme="minorEastAsia" w:hAnsiTheme="minorHAnsi" w:cstheme="minorBidi"/>
                <w:noProof/>
                <w:kern w:val="2"/>
                <w:szCs w:val="22"/>
                <w:lang w:eastAsia="en-AU"/>
                <w14:ligatures w14:val="standardContextual"/>
              </w:rPr>
              <w:tab/>
            </w:r>
            <w:r w:rsidR="00F33DE0" w:rsidRPr="003C5897">
              <w:rPr>
                <w:rStyle w:val="Hyperlink"/>
                <w:noProof/>
              </w:rPr>
              <w:t>Program Outcomes</w:t>
            </w:r>
            <w:r w:rsidR="00F33DE0">
              <w:rPr>
                <w:noProof/>
                <w:webHidden/>
              </w:rPr>
              <w:tab/>
            </w:r>
            <w:r w:rsidR="00F33DE0">
              <w:rPr>
                <w:noProof/>
                <w:webHidden/>
              </w:rPr>
              <w:fldChar w:fldCharType="begin"/>
            </w:r>
            <w:r w:rsidR="00F33DE0">
              <w:rPr>
                <w:noProof/>
                <w:webHidden/>
              </w:rPr>
              <w:instrText xml:space="preserve"> PAGEREF _Toc165898256 \h </w:instrText>
            </w:r>
            <w:r w:rsidR="00F33DE0">
              <w:rPr>
                <w:noProof/>
                <w:webHidden/>
              </w:rPr>
            </w:r>
            <w:r w:rsidR="00F33DE0">
              <w:rPr>
                <w:noProof/>
                <w:webHidden/>
              </w:rPr>
              <w:fldChar w:fldCharType="separate"/>
            </w:r>
            <w:r w:rsidR="006B3D77">
              <w:rPr>
                <w:noProof/>
                <w:webHidden/>
              </w:rPr>
              <w:t>3</w:t>
            </w:r>
            <w:r w:rsidR="00F33DE0">
              <w:rPr>
                <w:noProof/>
                <w:webHidden/>
              </w:rPr>
              <w:fldChar w:fldCharType="end"/>
            </w:r>
          </w:hyperlink>
        </w:p>
        <w:p w14:paraId="0883F8C9" w14:textId="4A329342" w:rsidR="00F33DE0" w:rsidRDefault="00000000">
          <w:pPr>
            <w:pStyle w:val="TOC1"/>
            <w:tabs>
              <w:tab w:val="left" w:pos="440"/>
              <w:tab w:val="right" w:leader="dot" w:pos="9060"/>
            </w:tabs>
            <w:rPr>
              <w:rFonts w:asciiTheme="minorHAnsi" w:eastAsiaTheme="minorEastAsia" w:hAnsiTheme="minorHAnsi" w:cstheme="minorBidi"/>
              <w:noProof/>
              <w:kern w:val="2"/>
              <w:szCs w:val="22"/>
              <w:lang w:eastAsia="en-AU"/>
              <w14:ligatures w14:val="standardContextual"/>
            </w:rPr>
          </w:pPr>
          <w:hyperlink w:anchor="_Toc165898257" w:history="1">
            <w:r w:rsidR="00F33DE0" w:rsidRPr="003C5897">
              <w:rPr>
                <w:rStyle w:val="Hyperlink"/>
                <w:noProof/>
              </w:rPr>
              <w:t>3.</w:t>
            </w:r>
            <w:r w:rsidR="00F33DE0">
              <w:rPr>
                <w:rFonts w:asciiTheme="minorHAnsi" w:eastAsiaTheme="minorEastAsia" w:hAnsiTheme="minorHAnsi" w:cstheme="minorBidi"/>
                <w:noProof/>
                <w:kern w:val="2"/>
                <w:szCs w:val="22"/>
                <w:lang w:eastAsia="en-AU"/>
                <w14:ligatures w14:val="standardContextual"/>
              </w:rPr>
              <w:tab/>
            </w:r>
            <w:r w:rsidR="00F33DE0" w:rsidRPr="003C5897">
              <w:rPr>
                <w:rStyle w:val="Hyperlink"/>
                <w:noProof/>
              </w:rPr>
              <w:t>Key Principles of the Program</w:t>
            </w:r>
            <w:r w:rsidR="00F33DE0">
              <w:rPr>
                <w:noProof/>
                <w:webHidden/>
              </w:rPr>
              <w:tab/>
            </w:r>
            <w:r w:rsidR="00F33DE0">
              <w:rPr>
                <w:noProof/>
                <w:webHidden/>
              </w:rPr>
              <w:fldChar w:fldCharType="begin"/>
            </w:r>
            <w:r w:rsidR="00F33DE0">
              <w:rPr>
                <w:noProof/>
                <w:webHidden/>
              </w:rPr>
              <w:instrText xml:space="preserve"> PAGEREF _Toc165898257 \h </w:instrText>
            </w:r>
            <w:r w:rsidR="00F33DE0">
              <w:rPr>
                <w:noProof/>
                <w:webHidden/>
              </w:rPr>
            </w:r>
            <w:r w:rsidR="00F33DE0">
              <w:rPr>
                <w:noProof/>
                <w:webHidden/>
              </w:rPr>
              <w:fldChar w:fldCharType="separate"/>
            </w:r>
            <w:r w:rsidR="006B3D77">
              <w:rPr>
                <w:noProof/>
                <w:webHidden/>
              </w:rPr>
              <w:t>3</w:t>
            </w:r>
            <w:r w:rsidR="00F33DE0">
              <w:rPr>
                <w:noProof/>
                <w:webHidden/>
              </w:rPr>
              <w:fldChar w:fldCharType="end"/>
            </w:r>
          </w:hyperlink>
        </w:p>
        <w:p w14:paraId="49EBFCDA" w14:textId="196E23F1" w:rsidR="00F33DE0" w:rsidRDefault="00000000">
          <w:pPr>
            <w:pStyle w:val="TOC1"/>
            <w:tabs>
              <w:tab w:val="left" w:pos="440"/>
              <w:tab w:val="right" w:leader="dot" w:pos="9060"/>
            </w:tabs>
            <w:rPr>
              <w:rFonts w:asciiTheme="minorHAnsi" w:eastAsiaTheme="minorEastAsia" w:hAnsiTheme="minorHAnsi" w:cstheme="minorBidi"/>
              <w:noProof/>
              <w:kern w:val="2"/>
              <w:szCs w:val="22"/>
              <w:lang w:eastAsia="en-AU"/>
              <w14:ligatures w14:val="standardContextual"/>
            </w:rPr>
          </w:pPr>
          <w:hyperlink w:anchor="_Toc165898258" w:history="1">
            <w:r w:rsidR="00F33DE0" w:rsidRPr="003C5897">
              <w:rPr>
                <w:rStyle w:val="Hyperlink"/>
                <w:noProof/>
              </w:rPr>
              <w:t>4.</w:t>
            </w:r>
            <w:r w:rsidR="00F33DE0">
              <w:rPr>
                <w:rFonts w:asciiTheme="minorHAnsi" w:eastAsiaTheme="minorEastAsia" w:hAnsiTheme="minorHAnsi" w:cstheme="minorBidi"/>
                <w:noProof/>
                <w:kern w:val="2"/>
                <w:szCs w:val="22"/>
                <w:lang w:eastAsia="en-AU"/>
                <w14:ligatures w14:val="standardContextual"/>
              </w:rPr>
              <w:tab/>
            </w:r>
            <w:r w:rsidR="00F33DE0" w:rsidRPr="003C5897">
              <w:rPr>
                <w:rStyle w:val="Hyperlink"/>
                <w:noProof/>
              </w:rPr>
              <w:t>Program Background</w:t>
            </w:r>
            <w:r w:rsidR="00F33DE0">
              <w:rPr>
                <w:noProof/>
                <w:webHidden/>
              </w:rPr>
              <w:tab/>
            </w:r>
            <w:r w:rsidR="00F33DE0">
              <w:rPr>
                <w:noProof/>
                <w:webHidden/>
              </w:rPr>
              <w:fldChar w:fldCharType="begin"/>
            </w:r>
            <w:r w:rsidR="00F33DE0">
              <w:rPr>
                <w:noProof/>
                <w:webHidden/>
              </w:rPr>
              <w:instrText xml:space="preserve"> PAGEREF _Toc165898258 \h </w:instrText>
            </w:r>
            <w:r w:rsidR="00F33DE0">
              <w:rPr>
                <w:noProof/>
                <w:webHidden/>
              </w:rPr>
            </w:r>
            <w:r w:rsidR="00F33DE0">
              <w:rPr>
                <w:noProof/>
                <w:webHidden/>
              </w:rPr>
              <w:fldChar w:fldCharType="separate"/>
            </w:r>
            <w:r w:rsidR="006B3D77">
              <w:rPr>
                <w:noProof/>
                <w:webHidden/>
              </w:rPr>
              <w:t>3</w:t>
            </w:r>
            <w:r w:rsidR="00F33DE0">
              <w:rPr>
                <w:noProof/>
                <w:webHidden/>
              </w:rPr>
              <w:fldChar w:fldCharType="end"/>
            </w:r>
          </w:hyperlink>
        </w:p>
        <w:p w14:paraId="7D501C1F" w14:textId="22EBDA81" w:rsidR="00F33DE0" w:rsidRDefault="00000000">
          <w:pPr>
            <w:pStyle w:val="TOC1"/>
            <w:tabs>
              <w:tab w:val="left" w:pos="440"/>
              <w:tab w:val="right" w:leader="dot" w:pos="9060"/>
            </w:tabs>
            <w:rPr>
              <w:rFonts w:asciiTheme="minorHAnsi" w:eastAsiaTheme="minorEastAsia" w:hAnsiTheme="minorHAnsi" w:cstheme="minorBidi"/>
              <w:noProof/>
              <w:kern w:val="2"/>
              <w:szCs w:val="22"/>
              <w:lang w:eastAsia="en-AU"/>
              <w14:ligatures w14:val="standardContextual"/>
            </w:rPr>
          </w:pPr>
          <w:hyperlink w:anchor="_Toc165898259" w:history="1">
            <w:r w:rsidR="00F33DE0" w:rsidRPr="003C5897">
              <w:rPr>
                <w:rStyle w:val="Hyperlink"/>
                <w:noProof/>
              </w:rPr>
              <w:t>5.</w:t>
            </w:r>
            <w:r w:rsidR="00F33DE0">
              <w:rPr>
                <w:rFonts w:asciiTheme="minorHAnsi" w:eastAsiaTheme="minorEastAsia" w:hAnsiTheme="minorHAnsi" w:cstheme="minorBidi"/>
                <w:noProof/>
                <w:kern w:val="2"/>
                <w:szCs w:val="22"/>
                <w:lang w:eastAsia="en-AU"/>
                <w14:ligatures w14:val="standardContextual"/>
              </w:rPr>
              <w:tab/>
            </w:r>
            <w:r w:rsidR="00F33DE0" w:rsidRPr="003C5897">
              <w:rPr>
                <w:rStyle w:val="Hyperlink"/>
                <w:noProof/>
              </w:rPr>
              <w:t>Components</w:t>
            </w:r>
            <w:r w:rsidR="00F33DE0">
              <w:rPr>
                <w:noProof/>
                <w:webHidden/>
              </w:rPr>
              <w:tab/>
            </w:r>
            <w:r w:rsidR="00F33DE0">
              <w:rPr>
                <w:noProof/>
                <w:webHidden/>
              </w:rPr>
              <w:fldChar w:fldCharType="begin"/>
            </w:r>
            <w:r w:rsidR="00F33DE0">
              <w:rPr>
                <w:noProof/>
                <w:webHidden/>
              </w:rPr>
              <w:instrText xml:space="preserve"> PAGEREF _Toc165898259 \h </w:instrText>
            </w:r>
            <w:r w:rsidR="00F33DE0">
              <w:rPr>
                <w:noProof/>
                <w:webHidden/>
              </w:rPr>
            </w:r>
            <w:r w:rsidR="00F33DE0">
              <w:rPr>
                <w:noProof/>
                <w:webHidden/>
              </w:rPr>
              <w:fldChar w:fldCharType="separate"/>
            </w:r>
            <w:r w:rsidR="006B3D77">
              <w:rPr>
                <w:noProof/>
                <w:webHidden/>
              </w:rPr>
              <w:t>3</w:t>
            </w:r>
            <w:r w:rsidR="00F33DE0">
              <w:rPr>
                <w:noProof/>
                <w:webHidden/>
              </w:rPr>
              <w:fldChar w:fldCharType="end"/>
            </w:r>
          </w:hyperlink>
        </w:p>
        <w:p w14:paraId="0553C4CE" w14:textId="6BF54045" w:rsidR="00F33DE0" w:rsidRDefault="00000000">
          <w:pPr>
            <w:pStyle w:val="TOC1"/>
            <w:tabs>
              <w:tab w:val="left" w:pos="440"/>
              <w:tab w:val="right" w:leader="dot" w:pos="9060"/>
            </w:tabs>
            <w:rPr>
              <w:rFonts w:asciiTheme="minorHAnsi" w:eastAsiaTheme="minorEastAsia" w:hAnsiTheme="minorHAnsi" w:cstheme="minorBidi"/>
              <w:noProof/>
              <w:kern w:val="2"/>
              <w:szCs w:val="22"/>
              <w:lang w:eastAsia="en-AU"/>
              <w14:ligatures w14:val="standardContextual"/>
            </w:rPr>
          </w:pPr>
          <w:hyperlink w:anchor="_Toc165898260" w:history="1">
            <w:r w:rsidR="00F33DE0" w:rsidRPr="003C5897">
              <w:rPr>
                <w:rStyle w:val="Hyperlink"/>
                <w:noProof/>
              </w:rPr>
              <w:t>6.</w:t>
            </w:r>
            <w:r w:rsidR="00F33DE0">
              <w:rPr>
                <w:rFonts w:asciiTheme="minorHAnsi" w:eastAsiaTheme="minorEastAsia" w:hAnsiTheme="minorHAnsi" w:cstheme="minorBidi"/>
                <w:noProof/>
                <w:kern w:val="2"/>
                <w:szCs w:val="22"/>
                <w:lang w:eastAsia="en-AU"/>
                <w14:ligatures w14:val="standardContextual"/>
              </w:rPr>
              <w:tab/>
            </w:r>
            <w:r w:rsidR="00F33DE0" w:rsidRPr="003C5897">
              <w:rPr>
                <w:rStyle w:val="Hyperlink"/>
                <w:noProof/>
              </w:rPr>
              <w:t>Component 1 – Procedural GPs Practising in Surgery, Anaesthetics and/or Obstetrics</w:t>
            </w:r>
            <w:r w:rsidR="00F33DE0">
              <w:rPr>
                <w:noProof/>
                <w:webHidden/>
              </w:rPr>
              <w:tab/>
            </w:r>
            <w:r w:rsidR="00F33DE0">
              <w:rPr>
                <w:noProof/>
                <w:webHidden/>
              </w:rPr>
              <w:fldChar w:fldCharType="begin"/>
            </w:r>
            <w:r w:rsidR="00F33DE0">
              <w:rPr>
                <w:noProof/>
                <w:webHidden/>
              </w:rPr>
              <w:instrText xml:space="preserve"> PAGEREF _Toc165898260 \h </w:instrText>
            </w:r>
            <w:r w:rsidR="00F33DE0">
              <w:rPr>
                <w:noProof/>
                <w:webHidden/>
              </w:rPr>
            </w:r>
            <w:r w:rsidR="00F33DE0">
              <w:rPr>
                <w:noProof/>
                <w:webHidden/>
              </w:rPr>
              <w:fldChar w:fldCharType="separate"/>
            </w:r>
            <w:r w:rsidR="006B3D77">
              <w:rPr>
                <w:noProof/>
                <w:webHidden/>
              </w:rPr>
              <w:t>4</w:t>
            </w:r>
            <w:r w:rsidR="00F33DE0">
              <w:rPr>
                <w:noProof/>
                <w:webHidden/>
              </w:rPr>
              <w:fldChar w:fldCharType="end"/>
            </w:r>
          </w:hyperlink>
        </w:p>
        <w:p w14:paraId="79B1C9E8" w14:textId="7B065DEF" w:rsidR="00F33DE0" w:rsidRDefault="00000000">
          <w:pPr>
            <w:pStyle w:val="TOC2"/>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61" w:history="1">
            <w:r w:rsidR="00F33DE0" w:rsidRPr="003C5897">
              <w:rPr>
                <w:rStyle w:val="Hyperlink"/>
                <w:noProof/>
              </w:rPr>
              <w:t>Purpose and Value of Grant</w:t>
            </w:r>
            <w:r w:rsidR="00F33DE0">
              <w:rPr>
                <w:noProof/>
                <w:webHidden/>
              </w:rPr>
              <w:tab/>
            </w:r>
            <w:r w:rsidR="00F33DE0">
              <w:rPr>
                <w:noProof/>
                <w:webHidden/>
              </w:rPr>
              <w:fldChar w:fldCharType="begin"/>
            </w:r>
            <w:r w:rsidR="00F33DE0">
              <w:rPr>
                <w:noProof/>
                <w:webHidden/>
              </w:rPr>
              <w:instrText xml:space="preserve"> PAGEREF _Toc165898261 \h </w:instrText>
            </w:r>
            <w:r w:rsidR="00F33DE0">
              <w:rPr>
                <w:noProof/>
                <w:webHidden/>
              </w:rPr>
            </w:r>
            <w:r w:rsidR="00F33DE0">
              <w:rPr>
                <w:noProof/>
                <w:webHidden/>
              </w:rPr>
              <w:fldChar w:fldCharType="separate"/>
            </w:r>
            <w:r w:rsidR="006B3D77">
              <w:rPr>
                <w:noProof/>
                <w:webHidden/>
              </w:rPr>
              <w:t>4</w:t>
            </w:r>
            <w:r w:rsidR="00F33DE0">
              <w:rPr>
                <w:noProof/>
                <w:webHidden/>
              </w:rPr>
              <w:fldChar w:fldCharType="end"/>
            </w:r>
          </w:hyperlink>
        </w:p>
        <w:p w14:paraId="349BB687" w14:textId="67B738E1" w:rsidR="00F33DE0" w:rsidRDefault="00000000">
          <w:pPr>
            <w:pStyle w:val="TOC2"/>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62" w:history="1">
            <w:r w:rsidR="00F33DE0" w:rsidRPr="003C5897">
              <w:rPr>
                <w:rStyle w:val="Hyperlink"/>
                <w:noProof/>
                <w:lang w:val="en-US"/>
              </w:rPr>
              <w:t>Eligibility</w:t>
            </w:r>
            <w:r w:rsidR="00F33DE0">
              <w:rPr>
                <w:noProof/>
                <w:webHidden/>
              </w:rPr>
              <w:tab/>
            </w:r>
            <w:r w:rsidR="00F33DE0">
              <w:rPr>
                <w:noProof/>
                <w:webHidden/>
              </w:rPr>
              <w:fldChar w:fldCharType="begin"/>
            </w:r>
            <w:r w:rsidR="00F33DE0">
              <w:rPr>
                <w:noProof/>
                <w:webHidden/>
              </w:rPr>
              <w:instrText xml:space="preserve"> PAGEREF _Toc165898262 \h </w:instrText>
            </w:r>
            <w:r w:rsidR="00F33DE0">
              <w:rPr>
                <w:noProof/>
                <w:webHidden/>
              </w:rPr>
            </w:r>
            <w:r w:rsidR="00F33DE0">
              <w:rPr>
                <w:noProof/>
                <w:webHidden/>
              </w:rPr>
              <w:fldChar w:fldCharType="separate"/>
            </w:r>
            <w:r w:rsidR="006B3D77">
              <w:rPr>
                <w:noProof/>
                <w:webHidden/>
              </w:rPr>
              <w:t>4</w:t>
            </w:r>
            <w:r w:rsidR="00F33DE0">
              <w:rPr>
                <w:noProof/>
                <w:webHidden/>
              </w:rPr>
              <w:fldChar w:fldCharType="end"/>
            </w:r>
          </w:hyperlink>
        </w:p>
        <w:p w14:paraId="54B62C96" w14:textId="60D7B826" w:rsidR="00F33DE0" w:rsidRDefault="00000000">
          <w:pPr>
            <w:pStyle w:val="TOC2"/>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63" w:history="1">
            <w:r w:rsidR="00F33DE0" w:rsidRPr="003C5897">
              <w:rPr>
                <w:rStyle w:val="Hyperlink"/>
                <w:noProof/>
              </w:rPr>
              <w:t>Ineligibility</w:t>
            </w:r>
            <w:r w:rsidR="00F33DE0">
              <w:rPr>
                <w:noProof/>
                <w:webHidden/>
              </w:rPr>
              <w:tab/>
            </w:r>
            <w:r w:rsidR="00F33DE0">
              <w:rPr>
                <w:noProof/>
                <w:webHidden/>
              </w:rPr>
              <w:fldChar w:fldCharType="begin"/>
            </w:r>
            <w:r w:rsidR="00F33DE0">
              <w:rPr>
                <w:noProof/>
                <w:webHidden/>
              </w:rPr>
              <w:instrText xml:space="preserve"> PAGEREF _Toc165898263 \h </w:instrText>
            </w:r>
            <w:r w:rsidR="00F33DE0">
              <w:rPr>
                <w:noProof/>
                <w:webHidden/>
              </w:rPr>
            </w:r>
            <w:r w:rsidR="00F33DE0">
              <w:rPr>
                <w:noProof/>
                <w:webHidden/>
              </w:rPr>
              <w:fldChar w:fldCharType="separate"/>
            </w:r>
            <w:r w:rsidR="006B3D77">
              <w:rPr>
                <w:noProof/>
                <w:webHidden/>
              </w:rPr>
              <w:t>4</w:t>
            </w:r>
            <w:r w:rsidR="00F33DE0">
              <w:rPr>
                <w:noProof/>
                <w:webHidden/>
              </w:rPr>
              <w:fldChar w:fldCharType="end"/>
            </w:r>
          </w:hyperlink>
        </w:p>
        <w:p w14:paraId="6BD964A2" w14:textId="4A3F0EA0" w:rsidR="00F33DE0" w:rsidRDefault="00000000">
          <w:pPr>
            <w:pStyle w:val="TOC1"/>
            <w:tabs>
              <w:tab w:val="left" w:pos="440"/>
              <w:tab w:val="right" w:leader="dot" w:pos="9060"/>
            </w:tabs>
            <w:rPr>
              <w:rFonts w:asciiTheme="minorHAnsi" w:eastAsiaTheme="minorEastAsia" w:hAnsiTheme="minorHAnsi" w:cstheme="minorBidi"/>
              <w:noProof/>
              <w:kern w:val="2"/>
              <w:szCs w:val="22"/>
              <w:lang w:eastAsia="en-AU"/>
              <w14:ligatures w14:val="standardContextual"/>
            </w:rPr>
          </w:pPr>
          <w:hyperlink w:anchor="_Toc165898264" w:history="1">
            <w:r w:rsidR="00F33DE0" w:rsidRPr="003C5897">
              <w:rPr>
                <w:rStyle w:val="Hyperlink"/>
                <w:noProof/>
              </w:rPr>
              <w:t>7.</w:t>
            </w:r>
            <w:r w:rsidR="00F33DE0">
              <w:rPr>
                <w:rFonts w:asciiTheme="minorHAnsi" w:eastAsiaTheme="minorEastAsia" w:hAnsiTheme="minorHAnsi" w:cstheme="minorBidi"/>
                <w:noProof/>
                <w:kern w:val="2"/>
                <w:szCs w:val="22"/>
                <w:lang w:eastAsia="en-AU"/>
                <w14:ligatures w14:val="standardContextual"/>
              </w:rPr>
              <w:tab/>
            </w:r>
            <w:r w:rsidR="00F33DE0" w:rsidRPr="003C5897">
              <w:rPr>
                <w:rStyle w:val="Hyperlink"/>
                <w:noProof/>
              </w:rPr>
              <w:t>Component 2 – GPs Practising Emergency Medicine</w:t>
            </w:r>
            <w:r w:rsidR="00F33DE0">
              <w:rPr>
                <w:noProof/>
                <w:webHidden/>
              </w:rPr>
              <w:tab/>
            </w:r>
            <w:r w:rsidR="00F33DE0">
              <w:rPr>
                <w:noProof/>
                <w:webHidden/>
              </w:rPr>
              <w:fldChar w:fldCharType="begin"/>
            </w:r>
            <w:r w:rsidR="00F33DE0">
              <w:rPr>
                <w:noProof/>
                <w:webHidden/>
              </w:rPr>
              <w:instrText xml:space="preserve"> PAGEREF _Toc165898264 \h </w:instrText>
            </w:r>
            <w:r w:rsidR="00F33DE0">
              <w:rPr>
                <w:noProof/>
                <w:webHidden/>
              </w:rPr>
            </w:r>
            <w:r w:rsidR="00F33DE0">
              <w:rPr>
                <w:noProof/>
                <w:webHidden/>
              </w:rPr>
              <w:fldChar w:fldCharType="separate"/>
            </w:r>
            <w:r w:rsidR="006B3D77">
              <w:rPr>
                <w:noProof/>
                <w:webHidden/>
              </w:rPr>
              <w:t>5</w:t>
            </w:r>
            <w:r w:rsidR="00F33DE0">
              <w:rPr>
                <w:noProof/>
                <w:webHidden/>
              </w:rPr>
              <w:fldChar w:fldCharType="end"/>
            </w:r>
          </w:hyperlink>
        </w:p>
        <w:p w14:paraId="0DF69B82" w14:textId="389D0756" w:rsidR="00F33DE0" w:rsidRDefault="00000000">
          <w:pPr>
            <w:pStyle w:val="TOC2"/>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65" w:history="1">
            <w:r w:rsidR="00F33DE0" w:rsidRPr="003C5897">
              <w:rPr>
                <w:rStyle w:val="Hyperlink"/>
                <w:noProof/>
              </w:rPr>
              <w:t>Purpose and Value of Grant</w:t>
            </w:r>
            <w:r w:rsidR="00F33DE0">
              <w:rPr>
                <w:noProof/>
                <w:webHidden/>
              </w:rPr>
              <w:tab/>
            </w:r>
            <w:r w:rsidR="00F33DE0">
              <w:rPr>
                <w:noProof/>
                <w:webHidden/>
              </w:rPr>
              <w:fldChar w:fldCharType="begin"/>
            </w:r>
            <w:r w:rsidR="00F33DE0">
              <w:rPr>
                <w:noProof/>
                <w:webHidden/>
              </w:rPr>
              <w:instrText xml:space="preserve"> PAGEREF _Toc165898265 \h </w:instrText>
            </w:r>
            <w:r w:rsidR="00F33DE0">
              <w:rPr>
                <w:noProof/>
                <w:webHidden/>
              </w:rPr>
            </w:r>
            <w:r w:rsidR="00F33DE0">
              <w:rPr>
                <w:noProof/>
                <w:webHidden/>
              </w:rPr>
              <w:fldChar w:fldCharType="separate"/>
            </w:r>
            <w:r w:rsidR="006B3D77">
              <w:rPr>
                <w:noProof/>
                <w:webHidden/>
              </w:rPr>
              <w:t>5</w:t>
            </w:r>
            <w:r w:rsidR="00F33DE0">
              <w:rPr>
                <w:noProof/>
                <w:webHidden/>
              </w:rPr>
              <w:fldChar w:fldCharType="end"/>
            </w:r>
          </w:hyperlink>
        </w:p>
        <w:p w14:paraId="48B8790E" w14:textId="5E6630E3" w:rsidR="00F33DE0" w:rsidRDefault="00000000">
          <w:pPr>
            <w:pStyle w:val="TOC3"/>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66" w:history="1">
            <w:r w:rsidR="00F33DE0" w:rsidRPr="003C5897">
              <w:rPr>
                <w:rStyle w:val="Hyperlink"/>
                <w:noProof/>
              </w:rPr>
              <w:t>Emergency Medicine</w:t>
            </w:r>
            <w:r w:rsidR="00F33DE0">
              <w:rPr>
                <w:noProof/>
                <w:webHidden/>
              </w:rPr>
              <w:tab/>
            </w:r>
            <w:r w:rsidR="00F33DE0">
              <w:rPr>
                <w:noProof/>
                <w:webHidden/>
              </w:rPr>
              <w:fldChar w:fldCharType="begin"/>
            </w:r>
            <w:r w:rsidR="00F33DE0">
              <w:rPr>
                <w:noProof/>
                <w:webHidden/>
              </w:rPr>
              <w:instrText xml:space="preserve"> PAGEREF _Toc165898266 \h </w:instrText>
            </w:r>
            <w:r w:rsidR="00F33DE0">
              <w:rPr>
                <w:noProof/>
                <w:webHidden/>
              </w:rPr>
            </w:r>
            <w:r w:rsidR="00F33DE0">
              <w:rPr>
                <w:noProof/>
                <w:webHidden/>
              </w:rPr>
              <w:fldChar w:fldCharType="separate"/>
            </w:r>
            <w:r w:rsidR="006B3D77">
              <w:rPr>
                <w:noProof/>
                <w:webHidden/>
              </w:rPr>
              <w:t>5</w:t>
            </w:r>
            <w:r w:rsidR="00F33DE0">
              <w:rPr>
                <w:noProof/>
                <w:webHidden/>
              </w:rPr>
              <w:fldChar w:fldCharType="end"/>
            </w:r>
          </w:hyperlink>
        </w:p>
        <w:p w14:paraId="6808FC14" w14:textId="5334302D" w:rsidR="00F33DE0" w:rsidRDefault="00000000">
          <w:pPr>
            <w:pStyle w:val="TOC3"/>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67" w:history="1">
            <w:r w:rsidR="00F33DE0" w:rsidRPr="003C5897">
              <w:rPr>
                <w:rStyle w:val="Hyperlink"/>
                <w:noProof/>
              </w:rPr>
              <w:t>Emergency Mental Health Services</w:t>
            </w:r>
            <w:r w:rsidR="00F33DE0">
              <w:rPr>
                <w:noProof/>
                <w:webHidden/>
              </w:rPr>
              <w:tab/>
            </w:r>
            <w:r w:rsidR="00F33DE0">
              <w:rPr>
                <w:noProof/>
                <w:webHidden/>
              </w:rPr>
              <w:fldChar w:fldCharType="begin"/>
            </w:r>
            <w:r w:rsidR="00F33DE0">
              <w:rPr>
                <w:noProof/>
                <w:webHidden/>
              </w:rPr>
              <w:instrText xml:space="preserve"> PAGEREF _Toc165898267 \h </w:instrText>
            </w:r>
            <w:r w:rsidR="00F33DE0">
              <w:rPr>
                <w:noProof/>
                <w:webHidden/>
              </w:rPr>
            </w:r>
            <w:r w:rsidR="00F33DE0">
              <w:rPr>
                <w:noProof/>
                <w:webHidden/>
              </w:rPr>
              <w:fldChar w:fldCharType="separate"/>
            </w:r>
            <w:r w:rsidR="006B3D77">
              <w:rPr>
                <w:noProof/>
                <w:webHidden/>
              </w:rPr>
              <w:t>5</w:t>
            </w:r>
            <w:r w:rsidR="00F33DE0">
              <w:rPr>
                <w:noProof/>
                <w:webHidden/>
              </w:rPr>
              <w:fldChar w:fldCharType="end"/>
            </w:r>
          </w:hyperlink>
        </w:p>
        <w:p w14:paraId="3BBB7DFB" w14:textId="049C3194" w:rsidR="00F33DE0" w:rsidRDefault="00000000">
          <w:pPr>
            <w:pStyle w:val="TOC2"/>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68" w:history="1">
            <w:r w:rsidR="00F33DE0" w:rsidRPr="003C5897">
              <w:rPr>
                <w:rStyle w:val="Hyperlink"/>
                <w:noProof/>
                <w:lang w:val="en-US"/>
              </w:rPr>
              <w:t>Eligibility</w:t>
            </w:r>
            <w:r w:rsidR="00F33DE0">
              <w:rPr>
                <w:noProof/>
                <w:webHidden/>
              </w:rPr>
              <w:tab/>
            </w:r>
            <w:r w:rsidR="00F33DE0">
              <w:rPr>
                <w:noProof/>
                <w:webHidden/>
              </w:rPr>
              <w:fldChar w:fldCharType="begin"/>
            </w:r>
            <w:r w:rsidR="00F33DE0">
              <w:rPr>
                <w:noProof/>
                <w:webHidden/>
              </w:rPr>
              <w:instrText xml:space="preserve"> PAGEREF _Toc165898268 \h </w:instrText>
            </w:r>
            <w:r w:rsidR="00F33DE0">
              <w:rPr>
                <w:noProof/>
                <w:webHidden/>
              </w:rPr>
            </w:r>
            <w:r w:rsidR="00F33DE0">
              <w:rPr>
                <w:noProof/>
                <w:webHidden/>
              </w:rPr>
              <w:fldChar w:fldCharType="separate"/>
            </w:r>
            <w:r w:rsidR="006B3D77">
              <w:rPr>
                <w:noProof/>
                <w:webHidden/>
              </w:rPr>
              <w:t>5</w:t>
            </w:r>
            <w:r w:rsidR="00F33DE0">
              <w:rPr>
                <w:noProof/>
                <w:webHidden/>
              </w:rPr>
              <w:fldChar w:fldCharType="end"/>
            </w:r>
          </w:hyperlink>
        </w:p>
        <w:p w14:paraId="22DCE38C" w14:textId="24083A67" w:rsidR="00F33DE0" w:rsidRDefault="00000000">
          <w:pPr>
            <w:pStyle w:val="TOC2"/>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69" w:history="1">
            <w:r w:rsidR="00F33DE0" w:rsidRPr="003C5897">
              <w:rPr>
                <w:rStyle w:val="Hyperlink"/>
                <w:noProof/>
              </w:rPr>
              <w:t>Ineligibility</w:t>
            </w:r>
            <w:r w:rsidR="00F33DE0">
              <w:rPr>
                <w:noProof/>
                <w:webHidden/>
              </w:rPr>
              <w:tab/>
            </w:r>
            <w:r w:rsidR="00F33DE0">
              <w:rPr>
                <w:noProof/>
                <w:webHidden/>
              </w:rPr>
              <w:fldChar w:fldCharType="begin"/>
            </w:r>
            <w:r w:rsidR="00F33DE0">
              <w:rPr>
                <w:noProof/>
                <w:webHidden/>
              </w:rPr>
              <w:instrText xml:space="preserve"> PAGEREF _Toc165898269 \h </w:instrText>
            </w:r>
            <w:r w:rsidR="00F33DE0">
              <w:rPr>
                <w:noProof/>
                <w:webHidden/>
              </w:rPr>
            </w:r>
            <w:r w:rsidR="00F33DE0">
              <w:rPr>
                <w:noProof/>
                <w:webHidden/>
              </w:rPr>
              <w:fldChar w:fldCharType="separate"/>
            </w:r>
            <w:r w:rsidR="006B3D77">
              <w:rPr>
                <w:noProof/>
                <w:webHidden/>
              </w:rPr>
              <w:t>7</w:t>
            </w:r>
            <w:r w:rsidR="00F33DE0">
              <w:rPr>
                <w:noProof/>
                <w:webHidden/>
              </w:rPr>
              <w:fldChar w:fldCharType="end"/>
            </w:r>
          </w:hyperlink>
        </w:p>
        <w:p w14:paraId="0F1231C7" w14:textId="460877DD" w:rsidR="00F33DE0" w:rsidRDefault="00000000">
          <w:pPr>
            <w:pStyle w:val="TOC1"/>
            <w:tabs>
              <w:tab w:val="left" w:pos="440"/>
              <w:tab w:val="right" w:leader="dot" w:pos="9060"/>
            </w:tabs>
            <w:rPr>
              <w:rFonts w:asciiTheme="minorHAnsi" w:eastAsiaTheme="minorEastAsia" w:hAnsiTheme="minorHAnsi" w:cstheme="minorBidi"/>
              <w:noProof/>
              <w:kern w:val="2"/>
              <w:szCs w:val="22"/>
              <w:lang w:eastAsia="en-AU"/>
              <w14:ligatures w14:val="standardContextual"/>
            </w:rPr>
          </w:pPr>
          <w:hyperlink w:anchor="_Toc165898270" w:history="1">
            <w:r w:rsidR="00F33DE0" w:rsidRPr="003C5897">
              <w:rPr>
                <w:rStyle w:val="Hyperlink"/>
                <w:noProof/>
              </w:rPr>
              <w:t>8.</w:t>
            </w:r>
            <w:r w:rsidR="00F33DE0">
              <w:rPr>
                <w:rFonts w:asciiTheme="minorHAnsi" w:eastAsiaTheme="minorEastAsia" w:hAnsiTheme="minorHAnsi" w:cstheme="minorBidi"/>
                <w:noProof/>
                <w:kern w:val="2"/>
                <w:szCs w:val="22"/>
                <w:lang w:eastAsia="en-AU"/>
                <w14:ligatures w14:val="standardContextual"/>
              </w:rPr>
              <w:tab/>
            </w:r>
            <w:r w:rsidR="00F33DE0" w:rsidRPr="003C5897">
              <w:rPr>
                <w:rStyle w:val="Hyperlink"/>
                <w:noProof/>
              </w:rPr>
              <w:t>Program Management &amp; Administration</w:t>
            </w:r>
            <w:r w:rsidR="00F33DE0">
              <w:rPr>
                <w:noProof/>
                <w:webHidden/>
              </w:rPr>
              <w:tab/>
            </w:r>
            <w:r w:rsidR="00F33DE0">
              <w:rPr>
                <w:noProof/>
                <w:webHidden/>
              </w:rPr>
              <w:fldChar w:fldCharType="begin"/>
            </w:r>
            <w:r w:rsidR="00F33DE0">
              <w:rPr>
                <w:noProof/>
                <w:webHidden/>
              </w:rPr>
              <w:instrText xml:space="preserve"> PAGEREF _Toc165898270 \h </w:instrText>
            </w:r>
            <w:r w:rsidR="00F33DE0">
              <w:rPr>
                <w:noProof/>
                <w:webHidden/>
              </w:rPr>
            </w:r>
            <w:r w:rsidR="00F33DE0">
              <w:rPr>
                <w:noProof/>
                <w:webHidden/>
              </w:rPr>
              <w:fldChar w:fldCharType="separate"/>
            </w:r>
            <w:r w:rsidR="006B3D77">
              <w:rPr>
                <w:noProof/>
                <w:webHidden/>
              </w:rPr>
              <w:t>7</w:t>
            </w:r>
            <w:r w:rsidR="00F33DE0">
              <w:rPr>
                <w:noProof/>
                <w:webHidden/>
              </w:rPr>
              <w:fldChar w:fldCharType="end"/>
            </w:r>
          </w:hyperlink>
        </w:p>
        <w:p w14:paraId="480C5072" w14:textId="505D8398" w:rsidR="00F33DE0" w:rsidRDefault="00000000">
          <w:pPr>
            <w:pStyle w:val="TOC2"/>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71" w:history="1">
            <w:r w:rsidR="00F33DE0" w:rsidRPr="003C5897">
              <w:rPr>
                <w:rStyle w:val="Hyperlink"/>
                <w:noProof/>
              </w:rPr>
              <w:t>Eligible Activities</w:t>
            </w:r>
            <w:r w:rsidR="00F33DE0">
              <w:rPr>
                <w:noProof/>
                <w:webHidden/>
              </w:rPr>
              <w:tab/>
            </w:r>
            <w:r w:rsidR="00F33DE0">
              <w:rPr>
                <w:noProof/>
                <w:webHidden/>
              </w:rPr>
              <w:fldChar w:fldCharType="begin"/>
            </w:r>
            <w:r w:rsidR="00F33DE0">
              <w:rPr>
                <w:noProof/>
                <w:webHidden/>
              </w:rPr>
              <w:instrText xml:space="preserve"> PAGEREF _Toc165898271 \h </w:instrText>
            </w:r>
            <w:r w:rsidR="00F33DE0">
              <w:rPr>
                <w:noProof/>
                <w:webHidden/>
              </w:rPr>
            </w:r>
            <w:r w:rsidR="00F33DE0">
              <w:rPr>
                <w:noProof/>
                <w:webHidden/>
              </w:rPr>
              <w:fldChar w:fldCharType="separate"/>
            </w:r>
            <w:r w:rsidR="006B3D77">
              <w:rPr>
                <w:noProof/>
                <w:webHidden/>
              </w:rPr>
              <w:t>7</w:t>
            </w:r>
            <w:r w:rsidR="00F33DE0">
              <w:rPr>
                <w:noProof/>
                <w:webHidden/>
              </w:rPr>
              <w:fldChar w:fldCharType="end"/>
            </w:r>
          </w:hyperlink>
        </w:p>
        <w:p w14:paraId="1B770540" w14:textId="20F26A28" w:rsidR="00F33DE0" w:rsidRDefault="00000000">
          <w:pPr>
            <w:pStyle w:val="TOC2"/>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72" w:history="1">
            <w:r w:rsidR="00F33DE0" w:rsidRPr="003C5897">
              <w:rPr>
                <w:rStyle w:val="Hyperlink"/>
                <w:noProof/>
              </w:rPr>
              <w:t>Payments to Support Recipients</w:t>
            </w:r>
            <w:r w:rsidR="00F33DE0">
              <w:rPr>
                <w:noProof/>
                <w:webHidden/>
              </w:rPr>
              <w:tab/>
            </w:r>
            <w:r w:rsidR="00F33DE0">
              <w:rPr>
                <w:noProof/>
                <w:webHidden/>
              </w:rPr>
              <w:fldChar w:fldCharType="begin"/>
            </w:r>
            <w:r w:rsidR="00F33DE0">
              <w:rPr>
                <w:noProof/>
                <w:webHidden/>
              </w:rPr>
              <w:instrText xml:space="preserve"> PAGEREF _Toc165898272 \h </w:instrText>
            </w:r>
            <w:r w:rsidR="00F33DE0">
              <w:rPr>
                <w:noProof/>
                <w:webHidden/>
              </w:rPr>
            </w:r>
            <w:r w:rsidR="00F33DE0">
              <w:rPr>
                <w:noProof/>
                <w:webHidden/>
              </w:rPr>
              <w:fldChar w:fldCharType="separate"/>
            </w:r>
            <w:r w:rsidR="006B3D77">
              <w:rPr>
                <w:noProof/>
                <w:webHidden/>
              </w:rPr>
              <w:t>8</w:t>
            </w:r>
            <w:r w:rsidR="00F33DE0">
              <w:rPr>
                <w:noProof/>
                <w:webHidden/>
              </w:rPr>
              <w:fldChar w:fldCharType="end"/>
            </w:r>
          </w:hyperlink>
        </w:p>
        <w:p w14:paraId="401127F0" w14:textId="28BA8A46" w:rsidR="00F33DE0" w:rsidRDefault="00000000">
          <w:pPr>
            <w:pStyle w:val="TOC2"/>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73" w:history="1">
            <w:r w:rsidR="00F33DE0" w:rsidRPr="003C5897">
              <w:rPr>
                <w:rStyle w:val="Hyperlink"/>
                <w:noProof/>
              </w:rPr>
              <w:t>False or Misleading Claims</w:t>
            </w:r>
            <w:r w:rsidR="00F33DE0">
              <w:rPr>
                <w:noProof/>
                <w:webHidden/>
              </w:rPr>
              <w:tab/>
            </w:r>
            <w:r w:rsidR="00F33DE0">
              <w:rPr>
                <w:noProof/>
                <w:webHidden/>
              </w:rPr>
              <w:fldChar w:fldCharType="begin"/>
            </w:r>
            <w:r w:rsidR="00F33DE0">
              <w:rPr>
                <w:noProof/>
                <w:webHidden/>
              </w:rPr>
              <w:instrText xml:space="preserve"> PAGEREF _Toc165898273 \h </w:instrText>
            </w:r>
            <w:r w:rsidR="00F33DE0">
              <w:rPr>
                <w:noProof/>
                <w:webHidden/>
              </w:rPr>
            </w:r>
            <w:r w:rsidR="00F33DE0">
              <w:rPr>
                <w:noProof/>
                <w:webHidden/>
              </w:rPr>
              <w:fldChar w:fldCharType="separate"/>
            </w:r>
            <w:r w:rsidR="006B3D77">
              <w:rPr>
                <w:noProof/>
                <w:webHidden/>
              </w:rPr>
              <w:t>9</w:t>
            </w:r>
            <w:r w:rsidR="00F33DE0">
              <w:rPr>
                <w:noProof/>
                <w:webHidden/>
              </w:rPr>
              <w:fldChar w:fldCharType="end"/>
            </w:r>
          </w:hyperlink>
        </w:p>
        <w:p w14:paraId="6D360B29" w14:textId="0E30C7A5" w:rsidR="00F33DE0" w:rsidRDefault="00000000">
          <w:pPr>
            <w:pStyle w:val="TOC2"/>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74" w:history="1">
            <w:r w:rsidR="00F33DE0" w:rsidRPr="003C5897">
              <w:rPr>
                <w:rStyle w:val="Hyperlink"/>
                <w:noProof/>
              </w:rPr>
              <w:t>Appeals</w:t>
            </w:r>
            <w:r w:rsidR="00F33DE0">
              <w:rPr>
                <w:noProof/>
                <w:webHidden/>
              </w:rPr>
              <w:tab/>
            </w:r>
            <w:r w:rsidR="00F33DE0">
              <w:rPr>
                <w:noProof/>
                <w:webHidden/>
              </w:rPr>
              <w:fldChar w:fldCharType="begin"/>
            </w:r>
            <w:r w:rsidR="00F33DE0">
              <w:rPr>
                <w:noProof/>
                <w:webHidden/>
              </w:rPr>
              <w:instrText xml:space="preserve"> PAGEREF _Toc165898274 \h </w:instrText>
            </w:r>
            <w:r w:rsidR="00F33DE0">
              <w:rPr>
                <w:noProof/>
                <w:webHidden/>
              </w:rPr>
            </w:r>
            <w:r w:rsidR="00F33DE0">
              <w:rPr>
                <w:noProof/>
                <w:webHidden/>
              </w:rPr>
              <w:fldChar w:fldCharType="separate"/>
            </w:r>
            <w:r w:rsidR="006B3D77">
              <w:rPr>
                <w:noProof/>
                <w:webHidden/>
              </w:rPr>
              <w:t>9</w:t>
            </w:r>
            <w:r w:rsidR="00F33DE0">
              <w:rPr>
                <w:noProof/>
                <w:webHidden/>
              </w:rPr>
              <w:fldChar w:fldCharType="end"/>
            </w:r>
          </w:hyperlink>
        </w:p>
        <w:p w14:paraId="4D571017" w14:textId="24EA0041" w:rsidR="00F33DE0" w:rsidRDefault="00000000">
          <w:pPr>
            <w:pStyle w:val="TOC2"/>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75" w:history="1">
            <w:r w:rsidR="00F33DE0" w:rsidRPr="003C5897">
              <w:rPr>
                <w:rStyle w:val="Hyperlink"/>
                <w:noProof/>
              </w:rPr>
              <w:t>Program Funding</w:t>
            </w:r>
            <w:r w:rsidR="00F33DE0">
              <w:rPr>
                <w:noProof/>
                <w:webHidden/>
              </w:rPr>
              <w:tab/>
            </w:r>
            <w:r w:rsidR="00F33DE0">
              <w:rPr>
                <w:noProof/>
                <w:webHidden/>
              </w:rPr>
              <w:fldChar w:fldCharType="begin"/>
            </w:r>
            <w:r w:rsidR="00F33DE0">
              <w:rPr>
                <w:noProof/>
                <w:webHidden/>
              </w:rPr>
              <w:instrText xml:space="preserve"> PAGEREF _Toc165898275 \h </w:instrText>
            </w:r>
            <w:r w:rsidR="00F33DE0">
              <w:rPr>
                <w:noProof/>
                <w:webHidden/>
              </w:rPr>
            </w:r>
            <w:r w:rsidR="00F33DE0">
              <w:rPr>
                <w:noProof/>
                <w:webHidden/>
              </w:rPr>
              <w:fldChar w:fldCharType="separate"/>
            </w:r>
            <w:r w:rsidR="006B3D77">
              <w:rPr>
                <w:noProof/>
                <w:webHidden/>
              </w:rPr>
              <w:t>9</w:t>
            </w:r>
            <w:r w:rsidR="00F33DE0">
              <w:rPr>
                <w:noProof/>
                <w:webHidden/>
              </w:rPr>
              <w:fldChar w:fldCharType="end"/>
            </w:r>
          </w:hyperlink>
        </w:p>
        <w:p w14:paraId="20112749" w14:textId="06DF4696" w:rsidR="00F33DE0" w:rsidRDefault="00000000">
          <w:pPr>
            <w:pStyle w:val="TOC2"/>
            <w:tabs>
              <w:tab w:val="right" w:leader="dot" w:pos="9060"/>
            </w:tabs>
            <w:rPr>
              <w:rFonts w:asciiTheme="minorHAnsi" w:eastAsiaTheme="minorEastAsia" w:hAnsiTheme="minorHAnsi" w:cstheme="minorBidi"/>
              <w:noProof/>
              <w:kern w:val="2"/>
              <w:szCs w:val="22"/>
              <w:lang w:eastAsia="en-AU"/>
              <w14:ligatures w14:val="standardContextual"/>
            </w:rPr>
          </w:pPr>
          <w:hyperlink w:anchor="_Toc165898276" w:history="1">
            <w:r w:rsidR="00F33DE0" w:rsidRPr="003C5897">
              <w:rPr>
                <w:rStyle w:val="Hyperlink"/>
                <w:noProof/>
              </w:rPr>
              <w:t>Program Roles and Responsibilities</w:t>
            </w:r>
            <w:r w:rsidR="00F33DE0">
              <w:rPr>
                <w:noProof/>
                <w:webHidden/>
              </w:rPr>
              <w:tab/>
            </w:r>
            <w:r w:rsidR="00F33DE0">
              <w:rPr>
                <w:noProof/>
                <w:webHidden/>
              </w:rPr>
              <w:fldChar w:fldCharType="begin"/>
            </w:r>
            <w:r w:rsidR="00F33DE0">
              <w:rPr>
                <w:noProof/>
                <w:webHidden/>
              </w:rPr>
              <w:instrText xml:space="preserve"> PAGEREF _Toc165898276 \h </w:instrText>
            </w:r>
            <w:r w:rsidR="00F33DE0">
              <w:rPr>
                <w:noProof/>
                <w:webHidden/>
              </w:rPr>
            </w:r>
            <w:r w:rsidR="00F33DE0">
              <w:rPr>
                <w:noProof/>
                <w:webHidden/>
              </w:rPr>
              <w:fldChar w:fldCharType="separate"/>
            </w:r>
            <w:r w:rsidR="006B3D77">
              <w:rPr>
                <w:noProof/>
                <w:webHidden/>
              </w:rPr>
              <w:t>9</w:t>
            </w:r>
            <w:r w:rsidR="00F33DE0">
              <w:rPr>
                <w:noProof/>
                <w:webHidden/>
              </w:rPr>
              <w:fldChar w:fldCharType="end"/>
            </w:r>
          </w:hyperlink>
        </w:p>
        <w:p w14:paraId="4D1CE8B2" w14:textId="2701FAFD" w:rsidR="00F33DE0" w:rsidRDefault="00000000" w:rsidP="006B3D77">
          <w:pPr>
            <w:pStyle w:val="TOC2"/>
            <w:tabs>
              <w:tab w:val="right" w:leader="dot" w:pos="9060"/>
            </w:tabs>
            <w:ind w:left="0"/>
            <w:rPr>
              <w:rFonts w:asciiTheme="minorHAnsi" w:eastAsiaTheme="minorEastAsia" w:hAnsiTheme="minorHAnsi" w:cstheme="minorBidi"/>
              <w:noProof/>
              <w:kern w:val="2"/>
              <w:szCs w:val="22"/>
              <w:lang w:eastAsia="en-AU"/>
              <w14:ligatures w14:val="standardContextual"/>
            </w:rPr>
          </w:pPr>
          <w:hyperlink w:anchor="_Toc165898277" w:history="1">
            <w:r w:rsidR="00F33DE0" w:rsidRPr="003C5897">
              <w:rPr>
                <w:rStyle w:val="Hyperlink"/>
                <w:noProof/>
              </w:rPr>
              <w:t>Appendix A: Definitions of Key Terms</w:t>
            </w:r>
            <w:r w:rsidR="00F33DE0">
              <w:rPr>
                <w:noProof/>
                <w:webHidden/>
              </w:rPr>
              <w:tab/>
            </w:r>
            <w:r w:rsidR="00F33DE0">
              <w:rPr>
                <w:noProof/>
                <w:webHidden/>
              </w:rPr>
              <w:fldChar w:fldCharType="begin"/>
            </w:r>
            <w:r w:rsidR="00F33DE0">
              <w:rPr>
                <w:noProof/>
                <w:webHidden/>
              </w:rPr>
              <w:instrText xml:space="preserve"> PAGEREF _Toc165898277 \h </w:instrText>
            </w:r>
            <w:r w:rsidR="00F33DE0">
              <w:rPr>
                <w:noProof/>
                <w:webHidden/>
              </w:rPr>
            </w:r>
            <w:r w:rsidR="00F33DE0">
              <w:rPr>
                <w:noProof/>
                <w:webHidden/>
              </w:rPr>
              <w:fldChar w:fldCharType="separate"/>
            </w:r>
            <w:r w:rsidR="006B3D77">
              <w:rPr>
                <w:noProof/>
                <w:webHidden/>
              </w:rPr>
              <w:t>11</w:t>
            </w:r>
            <w:r w:rsidR="00F33DE0">
              <w:rPr>
                <w:noProof/>
                <w:webHidden/>
              </w:rPr>
              <w:fldChar w:fldCharType="end"/>
            </w:r>
          </w:hyperlink>
        </w:p>
        <w:p w14:paraId="07D85AB9" w14:textId="449AEC98" w:rsidR="003B11B2" w:rsidRPr="00F33DE0" w:rsidRDefault="00F33DE0" w:rsidP="00F33DE0">
          <w:r>
            <w:rPr>
              <w:b/>
              <w:bCs/>
              <w:noProof/>
            </w:rPr>
            <w:fldChar w:fldCharType="end"/>
          </w:r>
        </w:p>
      </w:sdtContent>
    </w:sdt>
    <w:p w14:paraId="2781E1BF" w14:textId="77777777" w:rsidR="00804611" w:rsidRPr="00F33DE0" w:rsidRDefault="00804611" w:rsidP="00F33DE0">
      <w:r>
        <w:br w:type="page"/>
      </w:r>
    </w:p>
    <w:p w14:paraId="235D852A" w14:textId="5F845929" w:rsidR="004D72B5" w:rsidRPr="00F33DE0" w:rsidRDefault="004D72B5" w:rsidP="00F33DE0">
      <w:pPr>
        <w:pStyle w:val="Heading1"/>
      </w:pPr>
      <w:bookmarkStart w:id="0" w:name="_Toc66285930"/>
      <w:bookmarkStart w:id="1" w:name="_Toc165898255"/>
      <w:r w:rsidRPr="00F33DE0">
        <w:lastRenderedPageBreak/>
        <w:t>Program Aim</w:t>
      </w:r>
      <w:bookmarkEnd w:id="0"/>
      <w:bookmarkEnd w:id="1"/>
    </w:p>
    <w:p w14:paraId="03118FEC" w14:textId="4012902C" w:rsidR="004D72B5" w:rsidRPr="004D72B5" w:rsidRDefault="004D72B5" w:rsidP="00F33DE0">
      <w:r w:rsidRPr="004D72B5">
        <w:t>Improve rural and remote healthcare service delivery and workforce retention by supp</w:t>
      </w:r>
      <w:r w:rsidRPr="000A2BE4">
        <w:t xml:space="preserve">orting procedural </w:t>
      </w:r>
      <w:r w:rsidRPr="004D72B5">
        <w:t>General Practitioners (GPs) to undertake Continuing Professional Development (CPD) to maintain or enhance existing procedural skills.</w:t>
      </w:r>
    </w:p>
    <w:p w14:paraId="5CAC8F56" w14:textId="735D5C33" w:rsidR="004D72B5" w:rsidRPr="00F33DE0" w:rsidRDefault="004D72B5" w:rsidP="00F33DE0">
      <w:pPr>
        <w:pStyle w:val="Heading1"/>
      </w:pPr>
      <w:bookmarkStart w:id="2" w:name="_Toc66285931"/>
      <w:bookmarkStart w:id="3" w:name="_Toc165898256"/>
      <w:r w:rsidRPr="00F33DE0">
        <w:t>Program Outcomes</w:t>
      </w:r>
      <w:bookmarkEnd w:id="2"/>
      <w:bookmarkEnd w:id="3"/>
    </w:p>
    <w:p w14:paraId="6303C5E2" w14:textId="77777777" w:rsidR="004D72B5" w:rsidRPr="00F33DE0" w:rsidRDefault="004D72B5" w:rsidP="00F33DE0">
      <w:r w:rsidRPr="00F33DE0">
        <w:t>The expected Program outcomes are:</w:t>
      </w:r>
    </w:p>
    <w:p w14:paraId="22CB61AB" w14:textId="2331B0F7" w:rsidR="004D72B5" w:rsidRPr="00F33DE0" w:rsidRDefault="004D72B5" w:rsidP="00F33DE0">
      <w:pPr>
        <w:pStyle w:val="ListBullet"/>
      </w:pPr>
      <w:r w:rsidRPr="00F33DE0">
        <w:t xml:space="preserve">Procedurally trained GPs are maintaining their skills, keeping up to date with new developments and continuing to provide these services within their rural </w:t>
      </w:r>
      <w:proofErr w:type="gramStart"/>
      <w:r w:rsidRPr="00F33DE0">
        <w:t>communities;</w:t>
      </w:r>
      <w:proofErr w:type="gramEnd"/>
      <w:r w:rsidRPr="00F33DE0">
        <w:t xml:space="preserve"> </w:t>
      </w:r>
    </w:p>
    <w:p w14:paraId="6F6EAC8B" w14:textId="6D907639" w:rsidR="004D72B5" w:rsidRPr="00F33DE0" w:rsidRDefault="004D72B5" w:rsidP="00F33DE0">
      <w:pPr>
        <w:pStyle w:val="ListBullet"/>
      </w:pPr>
      <w:r w:rsidRPr="00F33DE0">
        <w:t xml:space="preserve">Maintaining and/or increasing healthcare service delivery in rural communities; and </w:t>
      </w:r>
    </w:p>
    <w:p w14:paraId="329CE698" w14:textId="249D2F00" w:rsidR="004D72B5" w:rsidRPr="00F33DE0" w:rsidRDefault="004D72B5" w:rsidP="00F33DE0">
      <w:pPr>
        <w:pStyle w:val="ListBullet"/>
      </w:pPr>
      <w:r w:rsidRPr="00F33DE0">
        <w:t xml:space="preserve">Ensuring safe and </w:t>
      </w:r>
      <w:r w:rsidR="000D7774" w:rsidRPr="00F33DE0">
        <w:t>high-quality</w:t>
      </w:r>
      <w:r w:rsidRPr="00F33DE0">
        <w:t xml:space="preserve"> procedural and emergency services are being delivered by established rural GPs.</w:t>
      </w:r>
    </w:p>
    <w:p w14:paraId="05CCA31B" w14:textId="77777777" w:rsidR="004D72B5" w:rsidRPr="00F33DE0" w:rsidRDefault="004D72B5" w:rsidP="00F33DE0">
      <w:pPr>
        <w:pStyle w:val="Heading1"/>
      </w:pPr>
      <w:bookmarkStart w:id="4" w:name="_Toc25050236"/>
      <w:bookmarkStart w:id="5" w:name="_Toc66285932"/>
      <w:bookmarkStart w:id="6" w:name="_Toc165898257"/>
      <w:r w:rsidRPr="00F33DE0">
        <w:t>Key Principles of the Program</w:t>
      </w:r>
      <w:bookmarkEnd w:id="4"/>
      <w:bookmarkEnd w:id="5"/>
      <w:bookmarkEnd w:id="6"/>
    </w:p>
    <w:p w14:paraId="169A06B2" w14:textId="2B7FB437" w:rsidR="004D72B5" w:rsidRPr="00C555F1" w:rsidRDefault="004D72B5" w:rsidP="00F33DE0">
      <w:r w:rsidRPr="00C555F1">
        <w:t>The program supports procedural GPs in rural and remote areas within the Modified Monash Model 3-7 (MMM3-7) regions, who meet the eligibility requirements to attend relevant</w:t>
      </w:r>
      <w:r w:rsidR="001D4FFF">
        <w:t xml:space="preserve"> </w:t>
      </w:r>
      <w:r w:rsidR="009435A9">
        <w:t>CPD</w:t>
      </w:r>
      <w:r>
        <w:t xml:space="preserve"> activities</w:t>
      </w:r>
      <w:r w:rsidRPr="00C555F1">
        <w:t xml:space="preserve">, which </w:t>
      </w:r>
      <w:r>
        <w:t>are</w:t>
      </w:r>
      <w:r w:rsidRPr="00C555F1">
        <w:t xml:space="preserve"> focused on skills maintenance and </w:t>
      </w:r>
      <w:r w:rsidRPr="00DB6B28">
        <w:t xml:space="preserve">enhancement. Eligible activities must meet </w:t>
      </w:r>
      <w:r w:rsidRPr="00F33DE0">
        <w:t>relevant</w:t>
      </w:r>
      <w:r w:rsidRPr="00DB6B28">
        <w:t xml:space="preserve"> criteria and must contain a </w:t>
      </w:r>
      <w:r w:rsidR="001D4FFF">
        <w:t xml:space="preserve">component of </w:t>
      </w:r>
      <w:r w:rsidRPr="00DB6B28">
        <w:t>physical face to face training and/or assessment of the relevant skill(s). Support is provided in the form of grant payments which are a contribution towards the cost of attending</w:t>
      </w:r>
      <w:r>
        <w:t xml:space="preserve"> the activity</w:t>
      </w:r>
      <w:r w:rsidRPr="00DB6B28">
        <w:t>, including course and travel expenses and locum relief.</w:t>
      </w:r>
    </w:p>
    <w:p w14:paraId="2DFFA3DF" w14:textId="77777777" w:rsidR="004D72B5" w:rsidRPr="00F33DE0" w:rsidRDefault="004D72B5" w:rsidP="00F33DE0">
      <w:pPr>
        <w:pStyle w:val="Heading1"/>
      </w:pPr>
      <w:bookmarkStart w:id="7" w:name="_Toc25050237"/>
      <w:bookmarkStart w:id="8" w:name="_Toc66285933"/>
      <w:bookmarkStart w:id="9" w:name="_Toc165898258"/>
      <w:r w:rsidRPr="00F33DE0">
        <w:t>Program Background</w:t>
      </w:r>
      <w:bookmarkEnd w:id="7"/>
      <w:bookmarkEnd w:id="8"/>
      <w:bookmarkEnd w:id="9"/>
    </w:p>
    <w:p w14:paraId="433E673F" w14:textId="3D20DD7B" w:rsidR="004D72B5" w:rsidRPr="00F33DE0" w:rsidRDefault="004D72B5" w:rsidP="00F33DE0">
      <w:r w:rsidRPr="00C555F1">
        <w:t xml:space="preserve">The Program provides rural GPs and eligible locum GPs with a grant to partially subsidise the costs of attending approved </w:t>
      </w:r>
      <w:r>
        <w:t xml:space="preserve">CPD activities </w:t>
      </w:r>
      <w:r w:rsidRPr="00C555F1">
        <w:t xml:space="preserve">to maintain and enhance their procedural and emergency </w:t>
      </w:r>
      <w:r w:rsidRPr="00F33DE0">
        <w:t xml:space="preserve">medicine skills, relevant to their location and community need. </w:t>
      </w:r>
    </w:p>
    <w:p w14:paraId="4C0BAF6E" w14:textId="10473E70" w:rsidR="004D72B5" w:rsidRPr="00F33DE0" w:rsidRDefault="004D72B5" w:rsidP="00F33DE0">
      <w:r w:rsidRPr="00F33DE0">
        <w:t>It is a demand driven, entitlement program. It was first implemented in 2004 as part of the Strengthening Medicare Package, with the policy objective of supporting rural health care service delivery and workforce retention.</w:t>
      </w:r>
    </w:p>
    <w:p w14:paraId="455A9FF1" w14:textId="77777777" w:rsidR="004D72B5" w:rsidRDefault="004D72B5" w:rsidP="00F33DE0">
      <w:r w:rsidRPr="00F33DE0">
        <w:t>In 2017, the Nous Group completed a review of this program and the General Practitioner Procedural Training Support Program. Following stakeholder feedback and Government’s consideration of the review findings, these updated Guidelines reflect decisions agreed by Government to reform</w:t>
      </w:r>
      <w:r>
        <w:t xml:space="preserve"> the program, including:</w:t>
      </w:r>
    </w:p>
    <w:p w14:paraId="40B6C362" w14:textId="25757D94" w:rsidR="004D72B5" w:rsidRPr="00F33DE0" w:rsidRDefault="004D72B5" w:rsidP="00F33DE0">
      <w:pPr>
        <w:pStyle w:val="ListBullet"/>
      </w:pPr>
      <w:r w:rsidRPr="00F33DE0">
        <w:t>Adoption of the Modified Monash Model rural classification system using Modified Monash (MM) categories 3-7;</w:t>
      </w:r>
      <w:r w:rsidR="00C13D8D" w:rsidRPr="00F33DE0">
        <w:t xml:space="preserve"> and</w:t>
      </w:r>
    </w:p>
    <w:p w14:paraId="3E72507B" w14:textId="328C832D" w:rsidR="004D72B5" w:rsidRPr="00F33DE0" w:rsidRDefault="004D72B5" w:rsidP="00F33DE0">
      <w:pPr>
        <w:pStyle w:val="ListBullet"/>
      </w:pPr>
      <w:r w:rsidRPr="00F33DE0">
        <w:t>Introduction of support for emergency mental health</w:t>
      </w:r>
      <w:r w:rsidR="00C13D8D" w:rsidRPr="00F33DE0">
        <w:t>.</w:t>
      </w:r>
    </w:p>
    <w:p w14:paraId="3AF3D2C6" w14:textId="539114E3" w:rsidR="004D72B5" w:rsidRPr="00F6385B" w:rsidRDefault="004D72B5" w:rsidP="00F33DE0">
      <w:pPr>
        <w:pStyle w:val="ListBullet"/>
      </w:pPr>
      <w:r w:rsidRPr="00F33DE0">
        <w:t>Restriction</w:t>
      </w:r>
      <w:r w:rsidRPr="00F6385B">
        <w:t xml:space="preserve"> of eligibility to VR GPs</w:t>
      </w:r>
      <w:r w:rsidR="00F6385B" w:rsidRPr="00F6385B">
        <w:t xml:space="preserve"> and </w:t>
      </w:r>
      <w:r w:rsidR="008F318F">
        <w:t xml:space="preserve">GP </w:t>
      </w:r>
      <w:r w:rsidR="00F6385B" w:rsidRPr="00F6385B">
        <w:t>registrars.</w:t>
      </w:r>
    </w:p>
    <w:p w14:paraId="0D3E6E1F" w14:textId="44550626" w:rsidR="004D72B5" w:rsidRPr="00F33DE0" w:rsidRDefault="004D72B5" w:rsidP="00F33DE0">
      <w:pPr>
        <w:pStyle w:val="Heading1"/>
      </w:pPr>
      <w:bookmarkStart w:id="10" w:name="_Toc25050238"/>
      <w:bookmarkStart w:id="11" w:name="_Toc66285934"/>
      <w:bookmarkStart w:id="12" w:name="_Toc165898259"/>
      <w:r w:rsidRPr="00F33DE0">
        <w:t>Components</w:t>
      </w:r>
      <w:bookmarkEnd w:id="10"/>
      <w:bookmarkEnd w:id="11"/>
      <w:bookmarkEnd w:id="12"/>
      <w:r w:rsidRPr="00F33DE0">
        <w:t xml:space="preserve"> </w:t>
      </w:r>
    </w:p>
    <w:p w14:paraId="2F134D51" w14:textId="77777777" w:rsidR="004D72B5" w:rsidRPr="00F33DE0" w:rsidRDefault="004D72B5" w:rsidP="00F33DE0">
      <w:r w:rsidRPr="00F33DE0">
        <w:t>The RPGP has two components:</w:t>
      </w:r>
    </w:p>
    <w:p w14:paraId="1289DCCB" w14:textId="6FED2662" w:rsidR="004D72B5" w:rsidRPr="00C555F1" w:rsidRDefault="004D72B5" w:rsidP="00F33DE0">
      <w:pPr>
        <w:pStyle w:val="ListNumber"/>
      </w:pPr>
      <w:r>
        <w:t>Rural p</w:t>
      </w:r>
      <w:r w:rsidRPr="00C555F1">
        <w:t>rocedural GPs practising in surgery, anaesthetics and/or obstetrics (see Section</w:t>
      </w:r>
      <w:r w:rsidR="00E36525">
        <w:t xml:space="preserve"> 6</w:t>
      </w:r>
      <w:r w:rsidRPr="00C555F1">
        <w:t>); and</w:t>
      </w:r>
    </w:p>
    <w:p w14:paraId="66CD2E6C" w14:textId="77E67842" w:rsidR="00EF4109" w:rsidRDefault="004D72B5" w:rsidP="00F33DE0">
      <w:pPr>
        <w:pStyle w:val="ListNumber"/>
      </w:pPr>
      <w:r>
        <w:t xml:space="preserve">Rural </w:t>
      </w:r>
      <w:r w:rsidRPr="00C555F1">
        <w:t xml:space="preserve">GPs practising emergency medicine (including mental health services) (see Section </w:t>
      </w:r>
      <w:r w:rsidR="00E36525">
        <w:t>7</w:t>
      </w:r>
      <w:r w:rsidRPr="00C555F1">
        <w:t>).</w:t>
      </w:r>
    </w:p>
    <w:p w14:paraId="62D706C8" w14:textId="345E2F0C" w:rsidR="004D72B5" w:rsidRPr="00F33DE0" w:rsidRDefault="00EF4109" w:rsidP="00F33DE0">
      <w:r w:rsidRPr="00F33DE0">
        <w:lastRenderedPageBreak/>
        <w:t>GPs can register for both components of the RPGP if they meet the relevant eligibility criteria.</w:t>
      </w:r>
    </w:p>
    <w:p w14:paraId="49C7E515" w14:textId="77777777" w:rsidR="004D72B5" w:rsidRPr="00F33DE0" w:rsidRDefault="004D72B5" w:rsidP="00F33DE0">
      <w:pPr>
        <w:pStyle w:val="Heading1"/>
      </w:pPr>
      <w:bookmarkStart w:id="13" w:name="_Toc25050240"/>
      <w:bookmarkStart w:id="14" w:name="_Toc66285935"/>
      <w:bookmarkStart w:id="15" w:name="_Toc165898260"/>
      <w:r w:rsidRPr="00F33DE0">
        <w:t>Component 1 – Procedural GPs Practising in Surgery, Anaesthetics and/or Obstetrics</w:t>
      </w:r>
      <w:bookmarkEnd w:id="13"/>
      <w:bookmarkEnd w:id="14"/>
      <w:bookmarkEnd w:id="15"/>
    </w:p>
    <w:p w14:paraId="14AC3BB6" w14:textId="77777777" w:rsidR="004D72B5" w:rsidRPr="00C555F1" w:rsidRDefault="004D72B5" w:rsidP="004D72B5">
      <w:pPr>
        <w:pStyle w:val="Heading2"/>
      </w:pPr>
      <w:bookmarkStart w:id="16" w:name="_Toc25050241"/>
      <w:bookmarkStart w:id="17" w:name="_Toc66285936"/>
      <w:bookmarkStart w:id="18" w:name="_Toc165898261"/>
      <w:r w:rsidRPr="00C555F1">
        <w:t>Purpose and Value of Grant</w:t>
      </w:r>
      <w:bookmarkEnd w:id="16"/>
      <w:bookmarkEnd w:id="17"/>
      <w:bookmarkEnd w:id="18"/>
      <w:r w:rsidRPr="00C555F1">
        <w:t xml:space="preserve"> </w:t>
      </w:r>
    </w:p>
    <w:p w14:paraId="2E7B69DE" w14:textId="669A4035" w:rsidR="004D72B5" w:rsidRPr="00F33DE0" w:rsidRDefault="004D72B5" w:rsidP="00F33DE0">
      <w:r w:rsidRPr="00F33DE0">
        <w:t xml:space="preserve">This component is designed to assist eligible GPs with the cost of attending </w:t>
      </w:r>
      <w:r w:rsidR="009435A9" w:rsidRPr="00F33DE0">
        <w:t xml:space="preserve">CPD activities </w:t>
      </w:r>
      <w:r w:rsidRPr="00F33DE0">
        <w:t xml:space="preserve">to maintain and/or enhance their procedural skills in surgery, anaesthetics and/or obstetrics. </w:t>
      </w:r>
    </w:p>
    <w:p w14:paraId="4F993EB1" w14:textId="6F63327E" w:rsidR="004D72B5" w:rsidRPr="00F33DE0" w:rsidRDefault="004D72B5" w:rsidP="00F33DE0">
      <w:r w:rsidRPr="00F33DE0">
        <w:t xml:space="preserve">A grant of $2,000 per day </w:t>
      </w:r>
      <w:r w:rsidR="008462CC" w:rsidRPr="00F33DE0">
        <w:t xml:space="preserve">(or $1000 per day for relevant online training) </w:t>
      </w:r>
      <w:r w:rsidRPr="00F33DE0">
        <w:t xml:space="preserve">for a maximum of 10 days per financial year is available. GPs are eligible to access the payment multiple times per financial year up to this maximum. </w:t>
      </w:r>
    </w:p>
    <w:p w14:paraId="62483211" w14:textId="77777777" w:rsidR="006B3D77" w:rsidRDefault="004D72B5" w:rsidP="00F33DE0">
      <w:r w:rsidRPr="00F33DE0">
        <w:t xml:space="preserve">The grant is not expected to cover the entire cost of the </w:t>
      </w:r>
      <w:r w:rsidR="009435A9" w:rsidRPr="00F33DE0">
        <w:t xml:space="preserve">CPD activity </w:t>
      </w:r>
      <w:r w:rsidRPr="00F33DE0">
        <w:t xml:space="preserve">and associated expenses. </w:t>
      </w:r>
    </w:p>
    <w:p w14:paraId="4506EC5C" w14:textId="13545E4B" w:rsidR="004D72B5" w:rsidRPr="00F33DE0" w:rsidRDefault="004D72B5" w:rsidP="00F33DE0">
      <w:r w:rsidRPr="00F33DE0">
        <w:t xml:space="preserve">It is a contribution towards expenses related to attending the </w:t>
      </w:r>
      <w:r w:rsidR="009435A9" w:rsidRPr="00F33DE0">
        <w:t>CPD activity</w:t>
      </w:r>
      <w:r w:rsidRPr="00F33DE0">
        <w:t>.</w:t>
      </w:r>
    </w:p>
    <w:p w14:paraId="35A65A04" w14:textId="0063F5B8" w:rsidR="004D72B5" w:rsidRPr="00F33DE0" w:rsidRDefault="004D72B5" w:rsidP="00F33DE0">
      <w:r w:rsidRPr="00F33DE0">
        <w:t xml:space="preserve">For the purposes of this component, the definition of a procedural GP is as per the key terms at </w:t>
      </w:r>
      <w:hyperlink w:anchor="_Appendix_A:_Definitions" w:history="1">
        <w:r w:rsidRPr="006B3D77">
          <w:rPr>
            <w:rStyle w:val="Hyperlink"/>
          </w:rPr>
          <w:t>Appendix A</w:t>
        </w:r>
      </w:hyperlink>
      <w:r w:rsidRPr="00F33DE0">
        <w:t>.</w:t>
      </w:r>
    </w:p>
    <w:p w14:paraId="49D82810" w14:textId="77777777" w:rsidR="004D72B5" w:rsidRPr="00C555F1" w:rsidRDefault="004D72B5" w:rsidP="004D72B5">
      <w:pPr>
        <w:pStyle w:val="Heading2"/>
        <w:rPr>
          <w:lang w:val="en-US"/>
        </w:rPr>
      </w:pPr>
      <w:bookmarkStart w:id="19" w:name="_Toc25050242"/>
      <w:bookmarkStart w:id="20" w:name="_Toc66285937"/>
      <w:bookmarkStart w:id="21" w:name="_Toc165898262"/>
      <w:r>
        <w:rPr>
          <w:lang w:val="en-US"/>
        </w:rPr>
        <w:t>Eligibility</w:t>
      </w:r>
      <w:bookmarkEnd w:id="19"/>
      <w:bookmarkEnd w:id="20"/>
      <w:bookmarkEnd w:id="21"/>
      <w:r w:rsidRPr="00C555F1">
        <w:rPr>
          <w:lang w:val="en-US"/>
        </w:rPr>
        <w:t xml:space="preserve"> </w:t>
      </w:r>
    </w:p>
    <w:p w14:paraId="0485DB23" w14:textId="77777777" w:rsidR="004D72B5" w:rsidRPr="00F33DE0" w:rsidRDefault="004D72B5" w:rsidP="00F33DE0">
      <w:r w:rsidRPr="00F33DE0">
        <w:t xml:space="preserve">Applicants must meet the following eligibility criteria: </w:t>
      </w:r>
    </w:p>
    <w:p w14:paraId="29840F50" w14:textId="6E469F91" w:rsidR="00C13D8D" w:rsidRPr="00197815" w:rsidRDefault="00923E14" w:rsidP="00A751E1">
      <w:pPr>
        <w:pStyle w:val="ListBullet"/>
      </w:pPr>
      <w:r w:rsidRPr="00197815">
        <w:t>Hold vocational recognition as a general practitioner</w:t>
      </w:r>
      <w:r w:rsidR="00491958" w:rsidRPr="00197815">
        <w:t xml:space="preserve"> </w:t>
      </w:r>
      <w:r w:rsidRPr="00197815">
        <w:t>(VR GP</w:t>
      </w:r>
      <w:r w:rsidR="00371F70">
        <w:t>)</w:t>
      </w:r>
      <w:r w:rsidR="00371F70" w:rsidRPr="00371F70">
        <w:t xml:space="preserve"> or be enrolled in a Fellowship pathway with either ACRRM or </w:t>
      </w:r>
      <w:proofErr w:type="gramStart"/>
      <w:r w:rsidR="00371F70" w:rsidRPr="00371F70">
        <w:t>RACGP</w:t>
      </w:r>
      <w:r w:rsidRPr="00197815">
        <w:t>;</w:t>
      </w:r>
      <w:proofErr w:type="gramEnd"/>
      <w:r w:rsidR="00C13D8D" w:rsidRPr="00197815">
        <w:t xml:space="preserve"> </w:t>
      </w:r>
    </w:p>
    <w:p w14:paraId="2CEB0E95" w14:textId="5B304AB1" w:rsidR="004D72B5" w:rsidRPr="00C555F1" w:rsidRDefault="004D72B5" w:rsidP="00804611">
      <w:pPr>
        <w:pStyle w:val="ListBullet"/>
      </w:pPr>
      <w:r w:rsidRPr="00C555F1">
        <w:t xml:space="preserve">Principal clinical practice is physically located in a MM 3-7 </w:t>
      </w:r>
      <w:proofErr w:type="gramStart"/>
      <w:r w:rsidRPr="00C555F1">
        <w:t>region;</w:t>
      </w:r>
      <w:proofErr w:type="gramEnd"/>
    </w:p>
    <w:p w14:paraId="509B3AFA" w14:textId="11B2B136" w:rsidR="004D72B5" w:rsidRPr="00C555F1" w:rsidRDefault="004D72B5" w:rsidP="004D72B5">
      <w:pPr>
        <w:pStyle w:val="ListBullet"/>
      </w:pPr>
      <w:r w:rsidRPr="00C555F1">
        <w:t xml:space="preserve">Hold unsupervised clinical privileges in an eligible discipline </w:t>
      </w:r>
      <w:r w:rsidR="009435A9">
        <w:t xml:space="preserve">(surgery, anaesthetics and/or obstetrics) </w:t>
      </w:r>
      <w:r w:rsidRPr="00C555F1">
        <w:t xml:space="preserve">at </w:t>
      </w:r>
      <w:r>
        <w:t>a</w:t>
      </w:r>
      <w:r w:rsidRPr="00C555F1">
        <w:t xml:space="preserve"> hospital</w:t>
      </w:r>
      <w:r>
        <w:t xml:space="preserve"> located in MM3-7</w:t>
      </w:r>
      <w:r w:rsidRPr="00C555F1">
        <w:t>;</w:t>
      </w:r>
      <w:r w:rsidR="00C13D8D">
        <w:t xml:space="preserve"> </w:t>
      </w:r>
      <w:r w:rsidR="00A751E1">
        <w:t>and</w:t>
      </w:r>
    </w:p>
    <w:p w14:paraId="78EA9A22" w14:textId="3F40D9A6" w:rsidR="0008242D" w:rsidRDefault="004D72B5" w:rsidP="004D72B5">
      <w:pPr>
        <w:pStyle w:val="ListBullet"/>
      </w:pPr>
      <w:r w:rsidRPr="00C555F1">
        <w:t>Participate in a regular roster or general on-call roster</w:t>
      </w:r>
      <w:r w:rsidR="0008242D">
        <w:t>.</w:t>
      </w:r>
    </w:p>
    <w:p w14:paraId="6E326248" w14:textId="2CC75249" w:rsidR="004D72B5" w:rsidRPr="00F33DE0" w:rsidRDefault="0008242D" w:rsidP="00F33DE0">
      <w:r w:rsidRPr="00F33DE0">
        <w:t>GP registrars must have pre-existing qualifications in one or more disciplines. Pre-existing qualifications may include a recognised qualification in the procedural components of Anaesthetics, Obstetrics, or Surgery (such as a DRANZCOG certificate).</w:t>
      </w:r>
    </w:p>
    <w:p w14:paraId="1DF15FB7" w14:textId="34209F09" w:rsidR="004D72B5" w:rsidRPr="004D72B5" w:rsidRDefault="004D72B5" w:rsidP="004D72B5">
      <w:pPr>
        <w:pStyle w:val="Heading2"/>
      </w:pPr>
      <w:bookmarkStart w:id="22" w:name="_Toc25050243"/>
      <w:bookmarkStart w:id="23" w:name="_Toc66285938"/>
      <w:bookmarkStart w:id="24" w:name="_Toc165898263"/>
      <w:r w:rsidRPr="004D72B5">
        <w:t>Ineligibility</w:t>
      </w:r>
      <w:bookmarkEnd w:id="22"/>
      <w:bookmarkEnd w:id="23"/>
      <w:bookmarkEnd w:id="24"/>
    </w:p>
    <w:p w14:paraId="4FF1B730" w14:textId="77777777" w:rsidR="004D72B5" w:rsidRPr="00F33DE0" w:rsidRDefault="004D72B5" w:rsidP="00F33DE0">
      <w:r w:rsidRPr="00F33DE0">
        <w:t>Ineligible doctors under this component include:</w:t>
      </w:r>
    </w:p>
    <w:p w14:paraId="070D7FC3" w14:textId="1E276953" w:rsidR="004D72B5" w:rsidRPr="00197815" w:rsidRDefault="004D72B5" w:rsidP="004D72B5">
      <w:pPr>
        <w:pStyle w:val="ListBullet"/>
      </w:pPr>
      <w:r w:rsidRPr="00197815">
        <w:t xml:space="preserve">GPs who undertake only minor procedural work in their </w:t>
      </w:r>
      <w:r w:rsidR="006B3D77" w:rsidRPr="00197815">
        <w:t>rooms.</w:t>
      </w:r>
    </w:p>
    <w:p w14:paraId="2BEB0EB8" w14:textId="01CC93D0" w:rsidR="004D72B5" w:rsidRPr="00197815" w:rsidRDefault="004D72B5" w:rsidP="004D72B5">
      <w:pPr>
        <w:pStyle w:val="ListBullet"/>
      </w:pPr>
      <w:r w:rsidRPr="00197815">
        <w:t xml:space="preserve">GPs </w:t>
      </w:r>
      <w:r w:rsidR="001760FF" w:rsidRPr="00197815">
        <w:t>who are not already a</w:t>
      </w:r>
      <w:r w:rsidRPr="00197815">
        <w:t xml:space="preserve"> procedural </w:t>
      </w:r>
      <w:r w:rsidR="006B3D77" w:rsidRPr="00197815">
        <w:t>GP.</w:t>
      </w:r>
    </w:p>
    <w:p w14:paraId="73A06921" w14:textId="6B888DAD" w:rsidR="004D72B5" w:rsidRPr="00197815" w:rsidRDefault="004D72B5" w:rsidP="004D72B5">
      <w:pPr>
        <w:pStyle w:val="ListBullet"/>
      </w:pPr>
      <w:r w:rsidRPr="00197815">
        <w:t>Non-VR GPs</w:t>
      </w:r>
      <w:r w:rsidR="00197815" w:rsidRPr="00197815">
        <w:t>;</w:t>
      </w:r>
      <w:r w:rsidR="003D3349">
        <w:t xml:space="preserve"> </w:t>
      </w:r>
      <w:r w:rsidR="00F6385B">
        <w:t>and</w:t>
      </w:r>
    </w:p>
    <w:p w14:paraId="6BEE1158" w14:textId="3462FC10" w:rsidR="004D72B5" w:rsidRPr="00C555F1" w:rsidRDefault="004D72B5" w:rsidP="004D72B5">
      <w:pPr>
        <w:pStyle w:val="ListBullet"/>
      </w:pPr>
      <w:r w:rsidRPr="00C555F1">
        <w:t>GPs who do not have un</w:t>
      </w:r>
      <w:r>
        <w:t>supervised</w:t>
      </w:r>
      <w:r w:rsidRPr="00C555F1">
        <w:t xml:space="preserve"> clinical privileges</w:t>
      </w:r>
      <w:r w:rsidR="00F6385B">
        <w:t>.</w:t>
      </w:r>
    </w:p>
    <w:p w14:paraId="3596C226" w14:textId="1A0C3223" w:rsidR="001760FF" w:rsidRPr="00A61093" w:rsidRDefault="001760FF" w:rsidP="006B3D77">
      <w:pPr>
        <w:pStyle w:val="Heading3"/>
      </w:pPr>
      <w:r w:rsidRPr="00A61093">
        <w:t>GP Locums</w:t>
      </w:r>
    </w:p>
    <w:p w14:paraId="73A2FAC7" w14:textId="77777777" w:rsidR="001760FF" w:rsidRPr="00F33DE0" w:rsidRDefault="001760FF" w:rsidP="00F33DE0">
      <w:r w:rsidRPr="00F33DE0">
        <w:t xml:space="preserve">Rural locums must obtain clinical privileges in at least one hospital/local health service in the region they are providing the locum services to be eligible for the program. </w:t>
      </w:r>
    </w:p>
    <w:p w14:paraId="4E7B8F5D" w14:textId="79B01281" w:rsidR="001760FF" w:rsidRPr="00F33DE0" w:rsidRDefault="001760FF" w:rsidP="00F33DE0">
      <w:r w:rsidRPr="00F33DE0">
        <w:t>Rural locums will be deemed eligible for the program if they are VR GPs</w:t>
      </w:r>
      <w:r w:rsidR="00741574" w:rsidRPr="00F33DE0">
        <w:t xml:space="preserve"> or GP registrars</w:t>
      </w:r>
      <w:r w:rsidRPr="00F33DE0">
        <w:t>, have already obtained the relevant procedural skill(s) and undertake a minimum of 28 days of locum work per financial year within MM 3-7 locations.</w:t>
      </w:r>
    </w:p>
    <w:p w14:paraId="216403A5" w14:textId="10CB076F" w:rsidR="001760FF" w:rsidRPr="00F33DE0" w:rsidRDefault="001760FF" w:rsidP="00F33DE0">
      <w:r w:rsidRPr="00F33DE0">
        <w:lastRenderedPageBreak/>
        <w:t>The period of locum work needs to be undertaken prior to lodging a claim for payment for eligible training under the program</w:t>
      </w:r>
      <w:r w:rsidR="00EF5EA7" w:rsidRPr="00F33DE0">
        <w:t>.</w:t>
      </w:r>
      <w:r w:rsidR="002600FC" w:rsidRPr="00F33DE0">
        <w:t xml:space="preserve"> </w:t>
      </w:r>
      <w:r w:rsidR="00EF5EA7" w:rsidRPr="00F33DE0">
        <w:t>T</w:t>
      </w:r>
      <w:r w:rsidR="002600FC" w:rsidRPr="00F33DE0">
        <w:t xml:space="preserve">raining </w:t>
      </w:r>
      <w:r w:rsidR="00EF5EA7" w:rsidRPr="00F33DE0">
        <w:t xml:space="preserve">can occur </w:t>
      </w:r>
      <w:r w:rsidR="002600FC" w:rsidRPr="00F33DE0">
        <w:t>at any time during the relevant financial year</w:t>
      </w:r>
      <w:r w:rsidR="00EF5EA7" w:rsidRPr="00F33DE0">
        <w:t>, including prior to the completion of the period of locum work</w:t>
      </w:r>
      <w:r w:rsidRPr="00F33DE0">
        <w:t>.</w:t>
      </w:r>
    </w:p>
    <w:p w14:paraId="497CA810" w14:textId="4D56E53F" w:rsidR="004D72B5" w:rsidRPr="00F33DE0" w:rsidRDefault="004D72B5" w:rsidP="00F33DE0">
      <w:pPr>
        <w:pStyle w:val="Heading1"/>
      </w:pPr>
      <w:bookmarkStart w:id="25" w:name="_Toc25050244"/>
      <w:bookmarkStart w:id="26" w:name="_Toc66285939"/>
      <w:bookmarkStart w:id="27" w:name="_Toc165898264"/>
      <w:r w:rsidRPr="00F33DE0">
        <w:t>Component 2 – GPs Practising Emergency Medicine</w:t>
      </w:r>
      <w:bookmarkEnd w:id="25"/>
      <w:bookmarkEnd w:id="26"/>
      <w:bookmarkEnd w:id="27"/>
    </w:p>
    <w:p w14:paraId="4E484AF3" w14:textId="77777777" w:rsidR="004D72B5" w:rsidRPr="004D72B5" w:rsidRDefault="004D72B5" w:rsidP="004D72B5">
      <w:pPr>
        <w:pStyle w:val="Heading2"/>
      </w:pPr>
      <w:bookmarkStart w:id="28" w:name="_Toc25050245"/>
      <w:bookmarkStart w:id="29" w:name="_Toc66285940"/>
      <w:bookmarkStart w:id="30" w:name="_Toc165898265"/>
      <w:r w:rsidRPr="004D72B5">
        <w:t>Purpose and Value of Grant</w:t>
      </w:r>
      <w:bookmarkEnd w:id="28"/>
      <w:bookmarkEnd w:id="29"/>
      <w:bookmarkEnd w:id="30"/>
      <w:r w:rsidRPr="004D72B5">
        <w:t xml:space="preserve"> </w:t>
      </w:r>
    </w:p>
    <w:p w14:paraId="46701DA6" w14:textId="4FE0579C" w:rsidR="004D72B5" w:rsidRPr="00F33DE0" w:rsidRDefault="004D72B5" w:rsidP="00F33DE0">
      <w:r w:rsidRPr="00F33DE0">
        <w:t xml:space="preserve">This component is designed to assist eligible GPs with the cost of attending </w:t>
      </w:r>
      <w:r w:rsidR="002751B3" w:rsidRPr="00F33DE0">
        <w:t xml:space="preserve">CPD </w:t>
      </w:r>
      <w:r w:rsidRPr="00F33DE0">
        <w:t>activities to maintain and/or enhance their emergency medicine skills.</w:t>
      </w:r>
    </w:p>
    <w:p w14:paraId="562E4D2F" w14:textId="19A58325" w:rsidR="004D72B5" w:rsidRPr="00F33DE0" w:rsidRDefault="004D72B5" w:rsidP="00F33DE0">
      <w:r w:rsidRPr="00F33DE0">
        <w:t xml:space="preserve">GPs must be eligible under the emergency medicine component of the program </w:t>
      </w:r>
      <w:proofErr w:type="gramStart"/>
      <w:r w:rsidRPr="00F33DE0">
        <w:t>in order to</w:t>
      </w:r>
      <w:proofErr w:type="gramEnd"/>
      <w:r w:rsidRPr="00F33DE0">
        <w:t xml:space="preserve"> be eligible for the emergency mental health training support grant. The grant is not expected to cover the entire cost of the </w:t>
      </w:r>
      <w:r w:rsidR="00485328" w:rsidRPr="00F33DE0">
        <w:t xml:space="preserve">CPD activity </w:t>
      </w:r>
      <w:r w:rsidRPr="00F33DE0">
        <w:t xml:space="preserve">and associated expenses. It is a contribution towards expenses related to attending the </w:t>
      </w:r>
      <w:r w:rsidR="00485328" w:rsidRPr="00F33DE0">
        <w:t>activity</w:t>
      </w:r>
      <w:r w:rsidRPr="00F33DE0">
        <w:t>.</w:t>
      </w:r>
    </w:p>
    <w:p w14:paraId="4953E2C9" w14:textId="77777777" w:rsidR="004D72B5" w:rsidRPr="00C555F1" w:rsidRDefault="004D72B5" w:rsidP="006B3D77">
      <w:pPr>
        <w:pStyle w:val="Heading3"/>
      </w:pPr>
      <w:bookmarkStart w:id="31" w:name="_Toc165898266"/>
      <w:r w:rsidRPr="00C555F1">
        <w:t>Emergency Medicine</w:t>
      </w:r>
      <w:bookmarkEnd w:id="31"/>
    </w:p>
    <w:p w14:paraId="32300346" w14:textId="543AACC1" w:rsidR="004D72B5" w:rsidRPr="00F33DE0" w:rsidRDefault="004D72B5" w:rsidP="00F33DE0">
      <w:r w:rsidRPr="00F33DE0">
        <w:t xml:space="preserve">A grant of $2,000 per day </w:t>
      </w:r>
      <w:r w:rsidR="00CA04EB" w:rsidRPr="00F33DE0">
        <w:t xml:space="preserve">(or $1000 per day for relevant online training) </w:t>
      </w:r>
      <w:r w:rsidRPr="00F33DE0">
        <w:t xml:space="preserve">for a maximum of 3 days per financial year is available. GPs are eligible to access the payment multiple times per financial year up to this maximum. </w:t>
      </w:r>
    </w:p>
    <w:p w14:paraId="76FA6E7E" w14:textId="77777777" w:rsidR="004D72B5" w:rsidRPr="00C555F1" w:rsidRDefault="004D72B5" w:rsidP="006B3D77">
      <w:pPr>
        <w:pStyle w:val="Heading3"/>
      </w:pPr>
      <w:bookmarkStart w:id="32" w:name="_Toc165898267"/>
      <w:r w:rsidRPr="00C555F1">
        <w:t>Emergency Mental Health Services</w:t>
      </w:r>
      <w:bookmarkEnd w:id="32"/>
    </w:p>
    <w:p w14:paraId="006DBE5B" w14:textId="4F1EBBA1" w:rsidR="004D72B5" w:rsidRPr="00F33DE0" w:rsidRDefault="004D72B5" w:rsidP="00F33DE0">
      <w:r w:rsidRPr="00F33DE0">
        <w:t xml:space="preserve">A grant of $2,000 per day </w:t>
      </w:r>
      <w:r w:rsidR="00CA04EB" w:rsidRPr="00F33DE0">
        <w:t xml:space="preserve">(or $1000 per day for relevant online training) </w:t>
      </w:r>
      <w:r w:rsidRPr="00F33DE0">
        <w:t xml:space="preserve">for an additional 3 days per financial year to support CPD in mental health, if the GP is also responsible for providing care in respect of emergency mental health services/crisis intervention in patients presenting with acute mental health issues. </w:t>
      </w:r>
    </w:p>
    <w:p w14:paraId="0D2C4FCD" w14:textId="77777777" w:rsidR="004D72B5" w:rsidRPr="00C555F1" w:rsidRDefault="004D72B5" w:rsidP="00C85C34">
      <w:pPr>
        <w:pStyle w:val="Heading2"/>
        <w:rPr>
          <w:lang w:val="en-US"/>
        </w:rPr>
      </w:pPr>
      <w:bookmarkStart w:id="33" w:name="_Toc25050246"/>
      <w:bookmarkStart w:id="34" w:name="_Toc66285941"/>
      <w:bookmarkStart w:id="35" w:name="_Toc165898268"/>
      <w:r>
        <w:rPr>
          <w:lang w:val="en-US"/>
        </w:rPr>
        <w:t>Eligibility</w:t>
      </w:r>
      <w:bookmarkEnd w:id="33"/>
      <w:bookmarkEnd w:id="34"/>
      <w:bookmarkEnd w:id="35"/>
      <w:r w:rsidRPr="00C555F1">
        <w:rPr>
          <w:lang w:val="en-US"/>
        </w:rPr>
        <w:t xml:space="preserve"> </w:t>
      </w:r>
    </w:p>
    <w:p w14:paraId="77FE1B6D" w14:textId="77777777" w:rsidR="004D72B5" w:rsidRPr="00F33DE0" w:rsidRDefault="004D72B5" w:rsidP="00F33DE0">
      <w:r w:rsidRPr="00F33DE0">
        <w:t xml:space="preserve">Applicants must meet the following eligibility criteria: </w:t>
      </w:r>
    </w:p>
    <w:p w14:paraId="4DD3358D" w14:textId="46F89480" w:rsidR="00371F70" w:rsidRPr="00197815" w:rsidRDefault="00923E14" w:rsidP="00371F70">
      <w:pPr>
        <w:pStyle w:val="ListBullet"/>
      </w:pPr>
      <w:r>
        <w:t xml:space="preserve">Hold </w:t>
      </w:r>
      <w:r w:rsidRPr="00197815">
        <w:t>vocational recognition as a general practitioner</w:t>
      </w:r>
      <w:r w:rsidR="00491958" w:rsidRPr="00197815">
        <w:t xml:space="preserve"> </w:t>
      </w:r>
      <w:r w:rsidRPr="00197815">
        <w:t>(</w:t>
      </w:r>
      <w:r w:rsidR="004D72B5" w:rsidRPr="00197815">
        <w:t>VR GP</w:t>
      </w:r>
      <w:r w:rsidRPr="00197815">
        <w:t>)</w:t>
      </w:r>
      <w:r w:rsidR="00371F70">
        <w:t xml:space="preserve"> </w:t>
      </w:r>
      <w:r w:rsidR="00371F70" w:rsidRPr="00371F70">
        <w:t xml:space="preserve">or be enrolled in a Fellowship pathway with either ACRRM or </w:t>
      </w:r>
      <w:proofErr w:type="gramStart"/>
      <w:r w:rsidR="00371F70" w:rsidRPr="00371F70">
        <w:t>RACGP</w:t>
      </w:r>
      <w:r w:rsidR="00371F70" w:rsidRPr="00197815">
        <w:t>;</w:t>
      </w:r>
      <w:proofErr w:type="gramEnd"/>
      <w:r w:rsidR="00371F70" w:rsidRPr="00197815">
        <w:t xml:space="preserve"> </w:t>
      </w:r>
    </w:p>
    <w:p w14:paraId="1D4383B4" w14:textId="03C17F69" w:rsidR="004D72B5" w:rsidRDefault="004D72B5" w:rsidP="00371F70">
      <w:pPr>
        <w:pStyle w:val="ListBullet"/>
      </w:pPr>
      <w:r w:rsidRPr="00C555F1">
        <w:t xml:space="preserve">Principal clinical practice is physically located in a MM 3-7 </w:t>
      </w:r>
      <w:proofErr w:type="gramStart"/>
      <w:r w:rsidRPr="00C555F1">
        <w:t>region;</w:t>
      </w:r>
      <w:proofErr w:type="gramEnd"/>
    </w:p>
    <w:p w14:paraId="634D82D0" w14:textId="1E9661B5" w:rsidR="00923E14" w:rsidRPr="00C555F1" w:rsidRDefault="00923E14" w:rsidP="00923E14">
      <w:pPr>
        <w:pStyle w:val="ListBullet"/>
      </w:pPr>
      <w:r w:rsidRPr="00C555F1">
        <w:t xml:space="preserve">Hold unsupervised clinical privileges in </w:t>
      </w:r>
      <w:r>
        <w:t xml:space="preserve">emergency medicine </w:t>
      </w:r>
      <w:r w:rsidRPr="00C555F1">
        <w:t xml:space="preserve">at </w:t>
      </w:r>
      <w:r>
        <w:t>a</w:t>
      </w:r>
      <w:r w:rsidRPr="00C555F1">
        <w:t xml:space="preserve"> </w:t>
      </w:r>
      <w:r>
        <w:t xml:space="preserve">nominated </w:t>
      </w:r>
      <w:r w:rsidRPr="00C555F1">
        <w:t>hospital</w:t>
      </w:r>
      <w:r>
        <w:t xml:space="preserve"> located in MM3-</w:t>
      </w:r>
      <w:proofErr w:type="gramStart"/>
      <w:r>
        <w:t>7</w:t>
      </w:r>
      <w:r w:rsidRPr="00C555F1">
        <w:t>;</w:t>
      </w:r>
      <w:proofErr w:type="gramEnd"/>
      <w:r w:rsidR="00F42970">
        <w:t xml:space="preserve"> </w:t>
      </w:r>
    </w:p>
    <w:p w14:paraId="422062D0" w14:textId="0E5BBFB2" w:rsidR="004D72B5" w:rsidRDefault="004D72B5" w:rsidP="00C85C34">
      <w:pPr>
        <w:pStyle w:val="ListBullet"/>
      </w:pPr>
      <w:r w:rsidRPr="00C555F1">
        <w:t>Provide clinical care for emergencies in MM3-</w:t>
      </w:r>
      <w:proofErr w:type="gramStart"/>
      <w:r w:rsidRPr="00C555F1">
        <w:t>7</w:t>
      </w:r>
      <w:r w:rsidR="00923E14">
        <w:t>;</w:t>
      </w:r>
      <w:proofErr w:type="gramEnd"/>
      <w:r w:rsidR="00F42970">
        <w:t xml:space="preserve"> </w:t>
      </w:r>
    </w:p>
    <w:p w14:paraId="218F54E7" w14:textId="26CE2446" w:rsidR="00C85C34" w:rsidRDefault="004D72B5" w:rsidP="00C85C34">
      <w:pPr>
        <w:pStyle w:val="ListBullet"/>
      </w:pPr>
      <w:r w:rsidRPr="00C555F1">
        <w:t>Participate in a regular roster or general on-call roster</w:t>
      </w:r>
      <w:r w:rsidR="00C60AB5">
        <w:t>;</w:t>
      </w:r>
      <w:r>
        <w:t xml:space="preserve"> and</w:t>
      </w:r>
      <w:r w:rsidR="00C85C34">
        <w:t xml:space="preserve"> </w:t>
      </w:r>
    </w:p>
    <w:p w14:paraId="7FEB62D3" w14:textId="546A8C5A" w:rsidR="004D72B5" w:rsidRPr="00C85C34" w:rsidRDefault="004D72B5" w:rsidP="00C85C34">
      <w:pPr>
        <w:pStyle w:val="ListBullet"/>
      </w:pPr>
      <w:r w:rsidRPr="00C555F1">
        <w:t>Require on-going training to maintain their skill level</w:t>
      </w:r>
      <w:r>
        <w:t>.</w:t>
      </w:r>
    </w:p>
    <w:p w14:paraId="043B3C28" w14:textId="77777777" w:rsidR="004D72B5" w:rsidRPr="00F33DE0" w:rsidRDefault="004D72B5" w:rsidP="00F33DE0">
      <w:r w:rsidRPr="00F33DE0">
        <w:t xml:space="preserve">For the purposes of this component, the definition of emergency medicine is as per the key terms at Appendix A. </w:t>
      </w:r>
    </w:p>
    <w:p w14:paraId="5005A2F8" w14:textId="30B81A79" w:rsidR="0008242D" w:rsidRPr="00F33DE0" w:rsidRDefault="0008242D" w:rsidP="00F33DE0">
      <w:r w:rsidRPr="00F33DE0">
        <w:t xml:space="preserve">GP registrars must have </w:t>
      </w:r>
      <w:r w:rsidR="00F10D0A" w:rsidRPr="00F33DE0">
        <w:t xml:space="preserve">successfully </w:t>
      </w:r>
      <w:r w:rsidRPr="00F33DE0">
        <w:t>completed a 12-months Advanced Specialist Training (AST) post in Emergency Medicine and their relevant college (ACRRM or RACGP) must confirm this as part of the registration process</w:t>
      </w:r>
      <w:r w:rsidR="00A1210B" w:rsidRPr="00F33DE0">
        <w:t>.</w:t>
      </w:r>
    </w:p>
    <w:p w14:paraId="6F7F759D" w14:textId="39DFCE18" w:rsidR="004D72B5" w:rsidRPr="00F33DE0" w:rsidRDefault="004D72B5" w:rsidP="00F33DE0">
      <w:r w:rsidRPr="00F33DE0">
        <w:t>All GPs will be required to provide evidence of their recognition as a current unsupervised provider of emergency medicine services when registering for this component.</w:t>
      </w:r>
    </w:p>
    <w:p w14:paraId="1AF453EF" w14:textId="26B21945" w:rsidR="00F10D0A" w:rsidRPr="00F33DE0" w:rsidRDefault="001760FF" w:rsidP="00F33DE0">
      <w:r>
        <w:t xml:space="preserve">GPs seeking support for mental health services (refer to Appendix A: Definitions of Key Terms) are required to provide evidence from their employer verifying they are providing these services. </w:t>
      </w:r>
      <w:r w:rsidR="00001C08">
        <w:t>Where evidence from an employer cannot be secured, a</w:t>
      </w:r>
      <w:r>
        <w:t xml:space="preserve"> statutory declaration </w:t>
      </w:r>
      <w:r w:rsidR="00001C08">
        <w:t xml:space="preserve">will be </w:t>
      </w:r>
      <w:r>
        <w:t>accepted as sufficient evidence.</w:t>
      </w:r>
      <w:bookmarkStart w:id="36" w:name="_Toc25050247"/>
      <w:r w:rsidR="00F10D0A">
        <w:br w:type="page"/>
      </w:r>
    </w:p>
    <w:p w14:paraId="07CFF2E3" w14:textId="30DCA009" w:rsidR="004D72B5" w:rsidRPr="00C555F1" w:rsidRDefault="004D72B5" w:rsidP="00C85C34">
      <w:pPr>
        <w:pStyle w:val="Heading2"/>
      </w:pPr>
      <w:bookmarkStart w:id="37" w:name="_Toc66285942"/>
      <w:bookmarkStart w:id="38" w:name="_Toc165898269"/>
      <w:r w:rsidRPr="00C555F1">
        <w:lastRenderedPageBreak/>
        <w:t>Ineligibility</w:t>
      </w:r>
      <w:bookmarkEnd w:id="36"/>
      <w:bookmarkEnd w:id="37"/>
      <w:bookmarkEnd w:id="38"/>
    </w:p>
    <w:p w14:paraId="4FA5A2D7" w14:textId="77777777" w:rsidR="004D72B5" w:rsidRPr="00F33DE0" w:rsidRDefault="004D72B5" w:rsidP="00F33DE0">
      <w:r w:rsidRPr="00F33DE0">
        <w:t>Ineligible doctors under component 2 include:</w:t>
      </w:r>
    </w:p>
    <w:p w14:paraId="28BCEFAA" w14:textId="49E74BDA" w:rsidR="00F42970" w:rsidRDefault="00F42970" w:rsidP="00C85C34">
      <w:pPr>
        <w:pStyle w:val="ListBullet"/>
      </w:pPr>
      <w:r w:rsidRPr="00197815">
        <w:t xml:space="preserve">Non-VR </w:t>
      </w:r>
      <w:proofErr w:type="gramStart"/>
      <w:r w:rsidRPr="00197815">
        <w:t>GPs</w:t>
      </w:r>
      <w:r>
        <w:t>;</w:t>
      </w:r>
      <w:proofErr w:type="gramEnd"/>
    </w:p>
    <w:p w14:paraId="2064EAAC" w14:textId="5F8FBFC6" w:rsidR="004D72B5" w:rsidRPr="00C555F1" w:rsidRDefault="004D72B5" w:rsidP="00C85C34">
      <w:pPr>
        <w:pStyle w:val="ListBullet"/>
      </w:pPr>
      <w:r w:rsidRPr="00C555F1">
        <w:t xml:space="preserve">GPs seeking to attend </w:t>
      </w:r>
      <w:r>
        <w:t>activities</w:t>
      </w:r>
      <w:r w:rsidRPr="00C555F1">
        <w:t xml:space="preserve"> to </w:t>
      </w:r>
      <w:r w:rsidR="002600FC">
        <w:t>obtain initial credentialing</w:t>
      </w:r>
      <w:r w:rsidRPr="00C555F1">
        <w:t xml:space="preserve"> in emergency </w:t>
      </w:r>
      <w:proofErr w:type="gramStart"/>
      <w:r w:rsidRPr="00C555F1">
        <w:t>medicine;</w:t>
      </w:r>
      <w:proofErr w:type="gramEnd"/>
    </w:p>
    <w:p w14:paraId="5A8B96C8" w14:textId="5A576E8A" w:rsidR="004D72B5" w:rsidRDefault="00EF4109" w:rsidP="00C85C34">
      <w:pPr>
        <w:pStyle w:val="ListBullet"/>
      </w:pPr>
      <w:r>
        <w:t>GPs</w:t>
      </w:r>
      <w:r w:rsidRPr="001B074A">
        <w:t xml:space="preserve"> </w:t>
      </w:r>
      <w:r w:rsidR="004D72B5" w:rsidRPr="001B074A">
        <w:t xml:space="preserve">only performing emergency medical services, such as suturing of small wounds, x-ray, assessment and treatment of unscheduled presentations, in a medical practice treatment room or at an attached </w:t>
      </w:r>
      <w:proofErr w:type="gramStart"/>
      <w:r w:rsidR="004D72B5" w:rsidRPr="001B074A">
        <w:t>outpatients</w:t>
      </w:r>
      <w:proofErr w:type="gramEnd"/>
      <w:r w:rsidR="004D72B5" w:rsidRPr="001B074A">
        <w:t xml:space="preserve"> clinic; and</w:t>
      </w:r>
    </w:p>
    <w:p w14:paraId="7FF4A8E3" w14:textId="0522DDDA" w:rsidR="00804611" w:rsidRDefault="00EF4109" w:rsidP="00485328">
      <w:pPr>
        <w:pStyle w:val="ListBullet"/>
      </w:pPr>
      <w:r>
        <w:t>GPs</w:t>
      </w:r>
      <w:r w:rsidRPr="001B074A">
        <w:t xml:space="preserve"> </w:t>
      </w:r>
      <w:r w:rsidR="004D72B5" w:rsidRPr="001B074A">
        <w:t>providing less acute mental health consultations in practice rooms or in planned appointment consultations at an outpatient clinic attached to a hospital or health care service delivery facility.</w:t>
      </w:r>
    </w:p>
    <w:p w14:paraId="5999F845" w14:textId="39C970AE" w:rsidR="00485328" w:rsidRPr="00A61093" w:rsidRDefault="00485328" w:rsidP="006B3D77">
      <w:pPr>
        <w:pStyle w:val="Heading3"/>
      </w:pPr>
      <w:r w:rsidRPr="00A61093">
        <w:t>GP Locums</w:t>
      </w:r>
    </w:p>
    <w:p w14:paraId="02D65C3E" w14:textId="77777777" w:rsidR="00485328" w:rsidRPr="00F33DE0" w:rsidRDefault="00485328" w:rsidP="00F33DE0">
      <w:r w:rsidRPr="00F33DE0">
        <w:t xml:space="preserve">Rural locums must obtain clinical privileges in at least one hospital/local health service in the region they are providing the locum services to be eligible for the program. </w:t>
      </w:r>
    </w:p>
    <w:p w14:paraId="749D7396" w14:textId="35CE7269" w:rsidR="00485328" w:rsidRPr="00F33DE0" w:rsidRDefault="00485328" w:rsidP="00F33DE0">
      <w:r w:rsidRPr="00F33DE0">
        <w:t>Rural locums will be deemed eligible for the program if they are VR GPs</w:t>
      </w:r>
      <w:r w:rsidR="00741574" w:rsidRPr="00F33DE0">
        <w:t xml:space="preserve"> or GP registrars</w:t>
      </w:r>
      <w:r w:rsidRPr="00F33DE0">
        <w:t xml:space="preserve">, have already obtained the relevant </w:t>
      </w:r>
      <w:r w:rsidR="00EF4109" w:rsidRPr="00F33DE0">
        <w:t>emergency medicine skills</w:t>
      </w:r>
      <w:r w:rsidRPr="00F33DE0">
        <w:t xml:space="preserve"> and undertake a minimum of 28 days of locum work per financial year within MM 3-7 locations.</w:t>
      </w:r>
    </w:p>
    <w:p w14:paraId="033B99BF" w14:textId="761694B0" w:rsidR="00485328" w:rsidRPr="00F33DE0" w:rsidRDefault="00485328" w:rsidP="00F33DE0">
      <w:r w:rsidRPr="00F33DE0">
        <w:t>The period of locum work needs to be undertaken prior to lodging a claim for payment for eligible training under the program</w:t>
      </w:r>
      <w:r w:rsidR="00EF5EA7" w:rsidRPr="00F33DE0">
        <w:t>.</w:t>
      </w:r>
      <w:r w:rsidR="002600FC" w:rsidRPr="00F33DE0">
        <w:t xml:space="preserve"> </w:t>
      </w:r>
      <w:r w:rsidR="00EF5EA7" w:rsidRPr="00F33DE0">
        <w:t>T</w:t>
      </w:r>
      <w:r w:rsidR="002600FC" w:rsidRPr="00F33DE0">
        <w:t xml:space="preserve">raining </w:t>
      </w:r>
      <w:r w:rsidR="00EF5EA7" w:rsidRPr="00F33DE0">
        <w:t xml:space="preserve">can occur </w:t>
      </w:r>
      <w:r w:rsidR="002600FC" w:rsidRPr="00F33DE0">
        <w:t>at any time during the relevant financial year</w:t>
      </w:r>
      <w:r w:rsidR="00EF5EA7" w:rsidRPr="00F33DE0">
        <w:t>, including prior to the completion of the period of locum work</w:t>
      </w:r>
      <w:r w:rsidR="002600FC" w:rsidRPr="00F33DE0">
        <w:t>.</w:t>
      </w:r>
    </w:p>
    <w:p w14:paraId="726AE25C" w14:textId="77777777" w:rsidR="00227275" w:rsidRPr="00F33DE0" w:rsidRDefault="00227275" w:rsidP="00F33DE0">
      <w:pPr>
        <w:pStyle w:val="Heading1"/>
      </w:pPr>
      <w:bookmarkStart w:id="39" w:name="_Toc25050249"/>
      <w:bookmarkStart w:id="40" w:name="_Toc66285943"/>
      <w:bookmarkStart w:id="41" w:name="_Toc165898270"/>
      <w:r w:rsidRPr="00F33DE0">
        <w:t>Program Management &amp; Administration</w:t>
      </w:r>
      <w:bookmarkEnd w:id="39"/>
      <w:bookmarkEnd w:id="40"/>
      <w:bookmarkEnd w:id="41"/>
    </w:p>
    <w:p w14:paraId="097ADF35" w14:textId="2121FC77" w:rsidR="00227275" w:rsidRPr="00F33DE0" w:rsidRDefault="00227275" w:rsidP="00F33DE0">
      <w:r w:rsidRPr="00F33DE0">
        <w:t xml:space="preserve">The Royal Australian College of General Practitioners (RACGP) and Australian College of Rural and Remote Medicine (ACRRM) are the Managing Organisations for this program. </w:t>
      </w:r>
      <w:r w:rsidR="00FA5A85" w:rsidRPr="00F33DE0">
        <w:br/>
      </w:r>
      <w:r w:rsidRPr="00F33DE0">
        <w:t>Their responsibilities include:</w:t>
      </w:r>
    </w:p>
    <w:p w14:paraId="0D624DF6" w14:textId="24E4B186" w:rsidR="00EF4109" w:rsidRDefault="00EF4109" w:rsidP="00D228BF">
      <w:pPr>
        <w:pStyle w:val="ListBullet"/>
      </w:pPr>
      <w:r>
        <w:t xml:space="preserve">Maintaining and publishing applicant guidelines for the </w:t>
      </w:r>
      <w:proofErr w:type="gramStart"/>
      <w:r>
        <w:t>program;</w:t>
      </w:r>
      <w:proofErr w:type="gramEnd"/>
    </w:p>
    <w:p w14:paraId="49D1AA6D" w14:textId="47C28B2E" w:rsidR="00227275" w:rsidRPr="00C555F1" w:rsidRDefault="00227275" w:rsidP="00D228BF">
      <w:pPr>
        <w:pStyle w:val="ListBullet"/>
      </w:pPr>
      <w:r w:rsidRPr="00C555F1">
        <w:t xml:space="preserve">Assessing GPs’ eligibility for the </w:t>
      </w:r>
      <w:proofErr w:type="gramStart"/>
      <w:r w:rsidRPr="00C555F1">
        <w:t>program;</w:t>
      </w:r>
      <w:proofErr w:type="gramEnd"/>
    </w:p>
    <w:p w14:paraId="0B83FDF4" w14:textId="77777777" w:rsidR="00227275" w:rsidRPr="00C555F1" w:rsidRDefault="00227275" w:rsidP="00D228BF">
      <w:pPr>
        <w:pStyle w:val="ListBullet"/>
      </w:pPr>
      <w:r w:rsidRPr="00C555F1">
        <w:t xml:space="preserve">Maintaining a register of eligible GPs registered for the </w:t>
      </w:r>
      <w:proofErr w:type="gramStart"/>
      <w:r w:rsidRPr="00C555F1">
        <w:t>program;</w:t>
      </w:r>
      <w:proofErr w:type="gramEnd"/>
    </w:p>
    <w:p w14:paraId="61B231C3" w14:textId="77777777" w:rsidR="00227275" w:rsidRPr="00C555F1" w:rsidRDefault="00227275" w:rsidP="00D228BF">
      <w:pPr>
        <w:pStyle w:val="ListBullet"/>
      </w:pPr>
      <w:r w:rsidRPr="00C555F1">
        <w:t xml:space="preserve">Assessing training programs eligible to be accessed under the </w:t>
      </w:r>
      <w:proofErr w:type="gramStart"/>
      <w:r w:rsidRPr="00C555F1">
        <w:t>program;</w:t>
      </w:r>
      <w:proofErr w:type="gramEnd"/>
    </w:p>
    <w:p w14:paraId="0C2BE18E" w14:textId="77777777" w:rsidR="00227275" w:rsidRPr="00C555F1" w:rsidRDefault="00227275" w:rsidP="00D228BF">
      <w:pPr>
        <w:pStyle w:val="ListBullet"/>
      </w:pPr>
      <w:r w:rsidRPr="00C555F1">
        <w:t xml:space="preserve">Processing grant payments to eligible </w:t>
      </w:r>
      <w:proofErr w:type="gramStart"/>
      <w:r w:rsidRPr="00C555F1">
        <w:t>applicants;</w:t>
      </w:r>
      <w:proofErr w:type="gramEnd"/>
    </w:p>
    <w:p w14:paraId="0A78C4A7" w14:textId="77777777" w:rsidR="00227275" w:rsidRPr="00C555F1" w:rsidRDefault="00227275" w:rsidP="00D228BF">
      <w:pPr>
        <w:pStyle w:val="ListBullet"/>
      </w:pPr>
      <w:r w:rsidRPr="00C555F1">
        <w:t>Ensuring appropriate use of Commonwealth funds, including through auditing and compliance activities; and</w:t>
      </w:r>
    </w:p>
    <w:p w14:paraId="561CF9C2" w14:textId="65C0756F" w:rsidR="00227275" w:rsidRPr="00C555F1" w:rsidRDefault="00227275" w:rsidP="00D228BF">
      <w:pPr>
        <w:pStyle w:val="ListBullet"/>
      </w:pPr>
      <w:r w:rsidRPr="00C555F1">
        <w:t>Reporting on program outcomes to the Department of Health</w:t>
      </w:r>
      <w:r w:rsidR="00DC7E5D">
        <w:t xml:space="preserve"> and Aged Care</w:t>
      </w:r>
      <w:r w:rsidRPr="00C555F1">
        <w:t xml:space="preserve"> and liaising with the Department on guideline and policy interpretation matters.</w:t>
      </w:r>
    </w:p>
    <w:p w14:paraId="30A65F12" w14:textId="77777777" w:rsidR="00227275" w:rsidRPr="00F33DE0" w:rsidRDefault="00227275" w:rsidP="00F33DE0">
      <w:r w:rsidRPr="00F33DE0">
        <w:t xml:space="preserve">Each College should convene an advisory committee or collaborate in a joint committee, which provides advice to the Managing Organisations on eligible training courses under this program. </w:t>
      </w:r>
    </w:p>
    <w:p w14:paraId="7999F5F9" w14:textId="1980447C" w:rsidR="00227275" w:rsidRPr="00C555F1" w:rsidRDefault="00227275" w:rsidP="00D228BF">
      <w:pPr>
        <w:pStyle w:val="Heading2"/>
      </w:pPr>
      <w:bookmarkStart w:id="42" w:name="_Toc25050250"/>
      <w:bookmarkStart w:id="43" w:name="_Toc66285944"/>
      <w:bookmarkStart w:id="44" w:name="_Toc165898271"/>
      <w:r w:rsidRPr="00C555F1">
        <w:t xml:space="preserve">Eligible </w:t>
      </w:r>
      <w:bookmarkEnd w:id="42"/>
      <w:r>
        <w:t>Activities</w:t>
      </w:r>
      <w:bookmarkEnd w:id="43"/>
      <w:bookmarkEnd w:id="44"/>
    </w:p>
    <w:p w14:paraId="227E59C1" w14:textId="77777777" w:rsidR="00227275" w:rsidRPr="00F33DE0" w:rsidRDefault="00227275" w:rsidP="00F33DE0">
      <w:r w:rsidRPr="00F33DE0">
        <w:t>Eligible CPD activities must meet the following criteria:</w:t>
      </w:r>
    </w:p>
    <w:p w14:paraId="6446042C" w14:textId="1A1154B2" w:rsidR="00227275" w:rsidRPr="00C555F1" w:rsidRDefault="000D7774" w:rsidP="00D228BF">
      <w:pPr>
        <w:pStyle w:val="ListBullet"/>
      </w:pPr>
      <w:r>
        <w:t>B</w:t>
      </w:r>
      <w:r w:rsidR="00227275" w:rsidRPr="00C555F1">
        <w:t xml:space="preserve">e for skills maintenance and/or skills </w:t>
      </w:r>
      <w:proofErr w:type="gramStart"/>
      <w:r w:rsidR="00227275" w:rsidRPr="00C555F1">
        <w:t>enhancement;</w:t>
      </w:r>
      <w:proofErr w:type="gramEnd"/>
    </w:p>
    <w:p w14:paraId="6D1AFBA0" w14:textId="7A8BE2F0" w:rsidR="00227275" w:rsidRPr="00C555F1" w:rsidRDefault="000D7774" w:rsidP="00D228BF">
      <w:pPr>
        <w:pStyle w:val="ListBullet"/>
      </w:pPr>
      <w:r>
        <w:t>C</w:t>
      </w:r>
      <w:r w:rsidR="00227275" w:rsidRPr="00C555F1">
        <w:t>an be both formal (</w:t>
      </w:r>
      <w:proofErr w:type="gramStart"/>
      <w:r w:rsidR="00227275" w:rsidRPr="00C555F1">
        <w:t>e.g.</w:t>
      </w:r>
      <w:proofErr w:type="gramEnd"/>
      <w:r w:rsidR="00227275" w:rsidRPr="00C555F1">
        <w:t xml:space="preserve"> courses) and informal (e.g. clinical attachments) delivery modes;</w:t>
      </w:r>
    </w:p>
    <w:p w14:paraId="3F341BB1" w14:textId="5905001E" w:rsidR="00227275" w:rsidRDefault="000D7774" w:rsidP="00A4510D">
      <w:pPr>
        <w:pStyle w:val="ListBullet"/>
      </w:pPr>
      <w:r w:rsidRPr="00897BEB">
        <w:t>I</w:t>
      </w:r>
      <w:r w:rsidR="00227275" w:rsidRPr="00897BEB">
        <w:t>nclude a (physical) face to face component to assess the practical skills of the relevant course</w:t>
      </w:r>
      <w:r w:rsidR="00DC7E5D" w:rsidRPr="00897BEB">
        <w:t xml:space="preserve"> </w:t>
      </w:r>
      <w:r w:rsidR="00DC7E5D" w:rsidRPr="008755C8">
        <w:t>wherever possible</w:t>
      </w:r>
      <w:r w:rsidR="00A4510D" w:rsidRPr="008755C8">
        <w:t xml:space="preserve">, noting </w:t>
      </w:r>
      <w:r w:rsidR="00DC7E5D" w:rsidRPr="008755C8">
        <w:t xml:space="preserve">that online training is also eligible under the </w:t>
      </w:r>
      <w:proofErr w:type="gramStart"/>
      <w:r w:rsidR="00DC7E5D" w:rsidRPr="008755C8">
        <w:t>program</w:t>
      </w:r>
      <w:r w:rsidR="00227275" w:rsidRPr="00897BEB">
        <w:t>;</w:t>
      </w:r>
      <w:proofErr w:type="gramEnd"/>
    </w:p>
    <w:p w14:paraId="6ABCDFC2" w14:textId="7C55E158" w:rsidR="00CA04EB" w:rsidRPr="00897BEB" w:rsidRDefault="00CA04EB" w:rsidP="00A4510D">
      <w:pPr>
        <w:pStyle w:val="ListBullet"/>
      </w:pPr>
      <w:r>
        <w:t xml:space="preserve">Online training must include an interactive component and/or </w:t>
      </w:r>
      <w:proofErr w:type="gramStart"/>
      <w:r>
        <w:t>assessment;</w:t>
      </w:r>
      <w:proofErr w:type="gramEnd"/>
    </w:p>
    <w:p w14:paraId="4D1724CD" w14:textId="1867C85D" w:rsidR="00227275" w:rsidRDefault="000D7774" w:rsidP="00D228BF">
      <w:pPr>
        <w:pStyle w:val="ListBullet"/>
      </w:pPr>
      <w:r>
        <w:lastRenderedPageBreak/>
        <w:t>A</w:t>
      </w:r>
      <w:r w:rsidR="00227275" w:rsidRPr="00C555F1">
        <w:t xml:space="preserve">ssessed by the GP Colleges as meeting the required academic, practical/clinical standards of </w:t>
      </w:r>
      <w:r w:rsidR="00227275">
        <w:t>CPD</w:t>
      </w:r>
      <w:r w:rsidR="00227275" w:rsidRPr="00C555F1">
        <w:t>, training and education, as well as being of sufficient length (time/hours</w:t>
      </w:r>
      <w:proofErr w:type="gramStart"/>
      <w:r w:rsidR="00227275" w:rsidRPr="00C555F1">
        <w:t>);</w:t>
      </w:r>
      <w:proofErr w:type="gramEnd"/>
    </w:p>
    <w:p w14:paraId="0BEB9B9A" w14:textId="67FA7C6F" w:rsidR="00227275" w:rsidRPr="00D54BAA" w:rsidRDefault="000D7774" w:rsidP="00D228BF">
      <w:pPr>
        <w:pStyle w:val="ListBullet"/>
      </w:pPr>
      <w:r>
        <w:t>M</w:t>
      </w:r>
      <w:r w:rsidR="00227275" w:rsidRPr="00D54BAA">
        <w:t>ust be related to the relevant program discipline being claimed under; and</w:t>
      </w:r>
    </w:p>
    <w:p w14:paraId="621D096C" w14:textId="68855124" w:rsidR="00DC7E5D" w:rsidRDefault="000D7774" w:rsidP="000D7774">
      <w:pPr>
        <w:pStyle w:val="ListBullet"/>
      </w:pPr>
      <w:r>
        <w:t>A</w:t>
      </w:r>
      <w:r w:rsidR="00227275" w:rsidRPr="00C555F1">
        <w:t xml:space="preserve">ll courses, workshops, seminars, </w:t>
      </w:r>
      <w:proofErr w:type="gramStart"/>
      <w:r w:rsidR="00227275" w:rsidRPr="00C555F1">
        <w:t>conferences</w:t>
      </w:r>
      <w:proofErr w:type="gramEnd"/>
      <w:r w:rsidR="00227275" w:rsidRPr="00C555F1">
        <w:t xml:space="preserve"> or clinical attachments must be a minimum of six hours of procedural upskilling contact time (excludes breaks, etc</w:t>
      </w:r>
      <w:r w:rsidR="0011157F">
        <w:t>.</w:t>
      </w:r>
      <w:r w:rsidR="00227275" w:rsidRPr="00C555F1">
        <w:t>). Online courses should have a minimum of four hours</w:t>
      </w:r>
      <w:r w:rsidR="00227275">
        <w:t xml:space="preserve"> of </w:t>
      </w:r>
      <w:r w:rsidR="00897BEB">
        <w:t>interactive</w:t>
      </w:r>
      <w:r w:rsidR="00227275" w:rsidRPr="00C555F1">
        <w:t xml:space="preserve"> training delivery.</w:t>
      </w:r>
    </w:p>
    <w:p w14:paraId="2BC57D27" w14:textId="0968B973" w:rsidR="00E32EE3" w:rsidRPr="00F33DE0" w:rsidRDefault="00E32EE3" w:rsidP="00F33DE0">
      <w:r w:rsidRPr="00F33DE0">
        <w:t>CPD t</w:t>
      </w:r>
      <w:r w:rsidR="00DC7E5D" w:rsidRPr="00F33DE0">
        <w:t xml:space="preserve">raining </w:t>
      </w:r>
      <w:r w:rsidRPr="00F33DE0">
        <w:t xml:space="preserve">activities </w:t>
      </w:r>
      <w:r w:rsidR="00DC7E5D" w:rsidRPr="00F33DE0">
        <w:t>may be undertaken o</w:t>
      </w:r>
      <w:r w:rsidR="00F672AC" w:rsidRPr="00F33DE0">
        <w:t>verseas</w:t>
      </w:r>
      <w:r w:rsidR="000D7774" w:rsidRPr="00F33DE0">
        <w:t xml:space="preserve"> in a face-to-face format</w:t>
      </w:r>
      <w:r w:rsidRPr="00F33DE0">
        <w:t>. CPD activities undertaken overseas must meet the following criteria:</w:t>
      </w:r>
    </w:p>
    <w:p w14:paraId="0017EC83" w14:textId="5BCE7210" w:rsidR="00F672AC" w:rsidRPr="00F33DE0" w:rsidRDefault="000D7774" w:rsidP="00F33DE0">
      <w:pPr>
        <w:pStyle w:val="ListBullet"/>
      </w:pPr>
      <w:r w:rsidRPr="00F33DE0">
        <w:t>T</w:t>
      </w:r>
      <w:r w:rsidR="00E32EE3" w:rsidRPr="00F33DE0">
        <w:t>raining must be</w:t>
      </w:r>
      <w:r w:rsidR="00F672AC" w:rsidRPr="00F33DE0">
        <w:t xml:space="preserve"> pre-approval by</w:t>
      </w:r>
      <w:r w:rsidR="00DC7E5D" w:rsidRPr="00F33DE0">
        <w:t xml:space="preserve"> one of the M</w:t>
      </w:r>
      <w:r w:rsidR="00F672AC" w:rsidRPr="00F33DE0">
        <w:t xml:space="preserve">anaging </w:t>
      </w:r>
      <w:proofErr w:type="gramStart"/>
      <w:r w:rsidRPr="00F33DE0">
        <w:t>O</w:t>
      </w:r>
      <w:r w:rsidR="00F672AC" w:rsidRPr="00F33DE0">
        <w:t>rganisation</w:t>
      </w:r>
      <w:r w:rsidR="00DC7E5D" w:rsidRPr="00F33DE0">
        <w:t>s</w:t>
      </w:r>
      <w:r w:rsidR="00E32EE3" w:rsidRPr="00F33DE0">
        <w:t>;</w:t>
      </w:r>
      <w:proofErr w:type="gramEnd"/>
      <w:r w:rsidR="00E32EE3" w:rsidRPr="00F33DE0">
        <w:t xml:space="preserve"> </w:t>
      </w:r>
    </w:p>
    <w:p w14:paraId="634D52B5" w14:textId="2299542C" w:rsidR="00F672AC" w:rsidRPr="00F33DE0" w:rsidRDefault="000D7774" w:rsidP="00F33DE0">
      <w:pPr>
        <w:pStyle w:val="ListBullet"/>
      </w:pPr>
      <w:r w:rsidRPr="00F33DE0">
        <w:t>A</w:t>
      </w:r>
      <w:r w:rsidR="00F672AC" w:rsidRPr="00F33DE0">
        <w:t>ctivities must be education that is not available</w:t>
      </w:r>
      <w:r w:rsidR="00E06D57" w:rsidRPr="00F33DE0">
        <w:t>,</w:t>
      </w:r>
      <w:r w:rsidR="00F672AC" w:rsidRPr="00F33DE0">
        <w:t xml:space="preserve"> or difficult to attend</w:t>
      </w:r>
      <w:r w:rsidR="00E06D57" w:rsidRPr="00F33DE0">
        <w:t>,</w:t>
      </w:r>
      <w:r w:rsidR="00F672AC" w:rsidRPr="00F33DE0">
        <w:t xml:space="preserve"> in Australia </w:t>
      </w:r>
      <w:r w:rsidRPr="00F33DE0">
        <w:t>(</w:t>
      </w:r>
      <w:proofErr w:type="gramStart"/>
      <w:r w:rsidR="00F672AC" w:rsidRPr="00F33DE0">
        <w:t>i.e.</w:t>
      </w:r>
      <w:proofErr w:type="gramEnd"/>
      <w:r w:rsidR="00F672AC" w:rsidRPr="00F33DE0">
        <w:t xml:space="preserve"> long waiting lists or distance constraints</w:t>
      </w:r>
      <w:r w:rsidRPr="00F33DE0">
        <w:t>)</w:t>
      </w:r>
      <w:r w:rsidR="00E32EE3" w:rsidRPr="00F33DE0">
        <w:t xml:space="preserve">; </w:t>
      </w:r>
    </w:p>
    <w:p w14:paraId="550F6D6B" w14:textId="01C077C4" w:rsidR="00F672AC" w:rsidRPr="00F33DE0" w:rsidRDefault="000D7774" w:rsidP="00F33DE0">
      <w:pPr>
        <w:pStyle w:val="ListBullet"/>
      </w:pPr>
      <w:r w:rsidRPr="00F33DE0">
        <w:t>P</w:t>
      </w:r>
      <w:r w:rsidR="00F672AC" w:rsidRPr="00F33DE0">
        <w:t xml:space="preserve">articipants must submit an attendance </w:t>
      </w:r>
      <w:proofErr w:type="gramStart"/>
      <w:r w:rsidR="00F672AC" w:rsidRPr="00F33DE0">
        <w:t>certificate</w:t>
      </w:r>
      <w:r w:rsidR="00E32EE3" w:rsidRPr="00F33DE0">
        <w:t>;</w:t>
      </w:r>
      <w:proofErr w:type="gramEnd"/>
    </w:p>
    <w:p w14:paraId="1E8246EE" w14:textId="78A982AB" w:rsidR="00F672AC" w:rsidRPr="00F33DE0" w:rsidRDefault="000D7774" w:rsidP="00F33DE0">
      <w:pPr>
        <w:pStyle w:val="ListBullet"/>
      </w:pPr>
      <w:r w:rsidRPr="00F33DE0">
        <w:t>P</w:t>
      </w:r>
      <w:r w:rsidR="00F672AC" w:rsidRPr="00F33DE0">
        <w:t>articipants must provide confirmation</w:t>
      </w:r>
      <w:r w:rsidR="00E32EE3" w:rsidRPr="00F33DE0">
        <w:t xml:space="preserve"> and evidence</w:t>
      </w:r>
      <w:r w:rsidR="00F672AC" w:rsidRPr="00F33DE0">
        <w:t xml:space="preserve"> of </w:t>
      </w:r>
      <w:r w:rsidR="00E32EE3" w:rsidRPr="00F33DE0">
        <w:t xml:space="preserve">the number of </w:t>
      </w:r>
      <w:r w:rsidR="00F672AC" w:rsidRPr="00F33DE0">
        <w:t xml:space="preserve">days and hours </w:t>
      </w:r>
      <w:r w:rsidR="00E32EE3" w:rsidRPr="00F33DE0">
        <w:t xml:space="preserve">of training </w:t>
      </w:r>
      <w:proofErr w:type="gramStart"/>
      <w:r w:rsidR="00F672AC" w:rsidRPr="00F33DE0">
        <w:t>attended</w:t>
      </w:r>
      <w:r w:rsidR="00E32EE3" w:rsidRPr="00F33DE0">
        <w:t>;</w:t>
      </w:r>
      <w:proofErr w:type="gramEnd"/>
      <w:r w:rsidR="00E32EE3" w:rsidRPr="00F33DE0">
        <w:t xml:space="preserve"> </w:t>
      </w:r>
    </w:p>
    <w:p w14:paraId="06E7E69D" w14:textId="116E90DF" w:rsidR="00F672AC" w:rsidRPr="00F33DE0" w:rsidRDefault="000D7774" w:rsidP="00F33DE0">
      <w:pPr>
        <w:pStyle w:val="ListBullet"/>
      </w:pPr>
      <w:r w:rsidRPr="00F33DE0">
        <w:t>P</w:t>
      </w:r>
      <w:r w:rsidR="00F672AC" w:rsidRPr="00F33DE0">
        <w:t>articipants must provide confirmation of interactive sessions attended (</w:t>
      </w:r>
      <w:proofErr w:type="gramStart"/>
      <w:r w:rsidR="00F672AC" w:rsidRPr="00F33DE0">
        <w:t>i</w:t>
      </w:r>
      <w:r w:rsidR="00E32EE3" w:rsidRPr="00F33DE0">
        <w:t>.</w:t>
      </w:r>
      <w:r w:rsidR="00F672AC" w:rsidRPr="00F33DE0">
        <w:t>e.</w:t>
      </w:r>
      <w:proofErr w:type="gramEnd"/>
      <w:r w:rsidR="00F672AC" w:rsidRPr="00F33DE0">
        <w:t xml:space="preserve"> </w:t>
      </w:r>
      <w:r w:rsidR="00E32EE3" w:rsidRPr="00F33DE0">
        <w:t>h</w:t>
      </w:r>
      <w:r w:rsidR="00F672AC" w:rsidRPr="00F33DE0">
        <w:t>ighlighted program</w:t>
      </w:r>
      <w:r w:rsidR="00E32EE3" w:rsidRPr="00F33DE0">
        <w:t xml:space="preserve"> or other documented evidence</w:t>
      </w:r>
      <w:r w:rsidR="00F672AC" w:rsidRPr="00F33DE0">
        <w:t>)</w:t>
      </w:r>
      <w:r w:rsidR="00E32EE3" w:rsidRPr="00F33DE0">
        <w:t xml:space="preserve">; and </w:t>
      </w:r>
    </w:p>
    <w:p w14:paraId="0986D9D3" w14:textId="14C993B2" w:rsidR="00F672AC" w:rsidRPr="00F33DE0" w:rsidRDefault="000D7774" w:rsidP="00F33DE0">
      <w:pPr>
        <w:pStyle w:val="ListBullet"/>
      </w:pPr>
      <w:r w:rsidRPr="00F33DE0">
        <w:t>P</w:t>
      </w:r>
      <w:r w:rsidR="00F672AC" w:rsidRPr="00F33DE0">
        <w:t xml:space="preserve">articipants must provide evidence that </w:t>
      </w:r>
      <w:r w:rsidR="00E32EE3" w:rsidRPr="00F33DE0">
        <w:t xml:space="preserve">the </w:t>
      </w:r>
      <w:r w:rsidR="00F672AC" w:rsidRPr="00F33DE0">
        <w:t xml:space="preserve">attended activity benefits procedural and/or emergency medicine </w:t>
      </w:r>
      <w:r w:rsidR="00E32EE3" w:rsidRPr="00F33DE0">
        <w:t xml:space="preserve">skills </w:t>
      </w:r>
      <w:r w:rsidR="00F672AC" w:rsidRPr="00F33DE0">
        <w:t>maintenance and/or upskilling in the rural Australian medical context.</w:t>
      </w:r>
    </w:p>
    <w:p w14:paraId="1D20A182" w14:textId="1BB4EE60" w:rsidR="0008242D" w:rsidRPr="00F33DE0" w:rsidRDefault="0008242D" w:rsidP="00F33DE0">
      <w:pPr>
        <w:rPr>
          <w:rFonts w:eastAsiaTheme="minorEastAsia"/>
        </w:rPr>
      </w:pPr>
      <w:r w:rsidRPr="00F33DE0">
        <w:t>Emergency mental health training must contain content relevant to mental health presentations to an emergency facility, with a primary focus on acute mental health issues. This can include training that helps to broaden the practitioners’ understanding of the contextual assessment, treatment, and ongoing clinical support of acute mental health presentations.</w:t>
      </w:r>
    </w:p>
    <w:p w14:paraId="37FE0B53" w14:textId="47F61261" w:rsidR="00227275" w:rsidRPr="00F33DE0" w:rsidRDefault="000D7774" w:rsidP="00F33DE0">
      <w:r w:rsidRPr="00F33DE0">
        <w:t>The Managing Organisations</w:t>
      </w:r>
      <w:r w:rsidR="00227275" w:rsidRPr="00F33DE0">
        <w:t xml:space="preserve"> will assess the eligibility of training for inclusion in the Program in line with the above criteria. </w:t>
      </w:r>
    </w:p>
    <w:p w14:paraId="28052E2B" w14:textId="1F5DF37E" w:rsidR="00227275" w:rsidRPr="00F33DE0" w:rsidRDefault="00227275" w:rsidP="00F33DE0">
      <w:r w:rsidRPr="00F33DE0">
        <w:t>GPs are encouraged to contact either ACRRM or RACGP prior to registering for training to confirm whether the proposed educational/</w:t>
      </w:r>
      <w:r w:rsidR="000D7774" w:rsidRPr="00F33DE0">
        <w:t>skills-based</w:t>
      </w:r>
      <w:r w:rsidRPr="00F33DE0">
        <w:t xml:space="preserve"> activity is eligible training for the purposes of receiving a grant under this program.</w:t>
      </w:r>
    </w:p>
    <w:p w14:paraId="69C8F83E" w14:textId="1E3845F5" w:rsidR="00227275" w:rsidRPr="00C555F1" w:rsidRDefault="00227275" w:rsidP="00BA3049">
      <w:pPr>
        <w:pStyle w:val="Heading3"/>
      </w:pPr>
      <w:r w:rsidRPr="00C555F1">
        <w:t xml:space="preserve">Ineligible </w:t>
      </w:r>
      <w:r w:rsidR="00F6385B">
        <w:t>Activities</w:t>
      </w:r>
    </w:p>
    <w:p w14:paraId="5DE84D72" w14:textId="6FE0964D" w:rsidR="00227275" w:rsidRPr="00F33DE0" w:rsidRDefault="00F6385B" w:rsidP="00F33DE0">
      <w:r w:rsidRPr="00F33DE0">
        <w:t xml:space="preserve">Activities </w:t>
      </w:r>
      <w:r w:rsidR="00227275" w:rsidRPr="00F33DE0">
        <w:t>will be considered ineligible for grants if:</w:t>
      </w:r>
    </w:p>
    <w:p w14:paraId="39F664C9" w14:textId="732E0E82" w:rsidR="00F672AC" w:rsidRPr="008755C8" w:rsidRDefault="000D7774" w:rsidP="00D228BF">
      <w:pPr>
        <w:pStyle w:val="ListBullet"/>
      </w:pPr>
      <w:r w:rsidRPr="008755C8">
        <w:t>T</w:t>
      </w:r>
      <w:r w:rsidR="00F672AC" w:rsidRPr="008755C8">
        <w:t>raining overseas does not meet the overseas training criteria</w:t>
      </w:r>
      <w:r w:rsidR="00E32EE3" w:rsidRPr="008755C8">
        <w:t xml:space="preserve"> outlined above</w:t>
      </w:r>
      <w:r w:rsidR="00F672AC" w:rsidRPr="008755C8">
        <w:t xml:space="preserve">. </w:t>
      </w:r>
    </w:p>
    <w:p w14:paraId="277D7FA6" w14:textId="2A297505" w:rsidR="00227275" w:rsidRPr="00897BEB" w:rsidRDefault="000D7774" w:rsidP="00D228BF">
      <w:pPr>
        <w:pStyle w:val="ListBullet"/>
      </w:pPr>
      <w:r w:rsidRPr="00897BEB">
        <w:t>T</w:t>
      </w:r>
      <w:r w:rsidR="00227275" w:rsidRPr="00897BEB">
        <w:t>raining does not meet the required length of time (minimum six hours a day excluding breaks</w:t>
      </w:r>
      <w:proofErr w:type="gramStart"/>
      <w:r w:rsidR="00227275" w:rsidRPr="00897BEB">
        <w:t>);</w:t>
      </w:r>
      <w:proofErr w:type="gramEnd"/>
    </w:p>
    <w:p w14:paraId="4C2376C4" w14:textId="0DE3ACFD" w:rsidR="00897BEB" w:rsidRDefault="00897BEB" w:rsidP="00D228BF">
      <w:pPr>
        <w:pStyle w:val="ListBullet"/>
      </w:pPr>
      <w:r>
        <w:t xml:space="preserve">Training undertaken prior to eligible GPs enrolling in the </w:t>
      </w:r>
      <w:proofErr w:type="gramStart"/>
      <w:r>
        <w:t>Program;</w:t>
      </w:r>
      <w:proofErr w:type="gramEnd"/>
    </w:p>
    <w:p w14:paraId="1496D1C2" w14:textId="6EFBC78E" w:rsidR="00227275" w:rsidRPr="008755C8" w:rsidRDefault="000D7774" w:rsidP="00D228BF">
      <w:pPr>
        <w:pStyle w:val="ListBullet"/>
      </w:pPr>
      <w:r w:rsidRPr="008755C8">
        <w:t>T</w:t>
      </w:r>
      <w:r w:rsidR="00227275" w:rsidRPr="008755C8">
        <w:t>he interactive and/or assessment components are online only</w:t>
      </w:r>
      <w:r w:rsidR="00E32EE3" w:rsidRPr="008755C8">
        <w:t xml:space="preserve"> (for </w:t>
      </w:r>
      <w:r w:rsidRPr="008755C8">
        <w:t>face-to-face</w:t>
      </w:r>
      <w:r w:rsidR="00E32EE3" w:rsidRPr="008755C8">
        <w:t xml:space="preserve"> training</w:t>
      </w:r>
      <w:proofErr w:type="gramStart"/>
      <w:r w:rsidR="00E32EE3" w:rsidRPr="008755C8">
        <w:t>)</w:t>
      </w:r>
      <w:r w:rsidR="00227275" w:rsidRPr="008755C8">
        <w:t>;</w:t>
      </w:r>
      <w:proofErr w:type="gramEnd"/>
    </w:p>
    <w:p w14:paraId="7CB5DAEC" w14:textId="10EAB719" w:rsidR="00F6385B" w:rsidRPr="00897BEB" w:rsidRDefault="000D7774" w:rsidP="00D228BF">
      <w:pPr>
        <w:pStyle w:val="ListBullet"/>
      </w:pPr>
      <w:r w:rsidRPr="00897BEB">
        <w:t>T</w:t>
      </w:r>
      <w:r w:rsidR="00227275" w:rsidRPr="00897BEB">
        <w:t>raining has not been assessed as eligible by the relevant Managing Organisation</w:t>
      </w:r>
      <w:r w:rsidR="00F6385B" w:rsidRPr="00897BEB">
        <w:t>; or</w:t>
      </w:r>
    </w:p>
    <w:p w14:paraId="78F9B9C5" w14:textId="7A416611" w:rsidR="00227275" w:rsidRPr="00897BEB" w:rsidRDefault="000D7774" w:rsidP="00D228BF">
      <w:pPr>
        <w:pStyle w:val="ListBullet"/>
      </w:pPr>
      <w:r w:rsidRPr="00897BEB">
        <w:t>T</w:t>
      </w:r>
      <w:r w:rsidR="00F6385B" w:rsidRPr="00897BEB">
        <w:t xml:space="preserve">he claimant has already </w:t>
      </w:r>
      <w:r w:rsidR="00741574" w:rsidRPr="00897BEB">
        <w:t xml:space="preserve">received funding from the Australian Government, or a state and territory government, for the same activity. </w:t>
      </w:r>
    </w:p>
    <w:p w14:paraId="1F58A08C" w14:textId="77777777" w:rsidR="00227275" w:rsidRPr="00C555F1" w:rsidRDefault="00227275" w:rsidP="00D228BF">
      <w:pPr>
        <w:pStyle w:val="Heading2"/>
      </w:pPr>
      <w:bookmarkStart w:id="45" w:name="_Toc25050251"/>
      <w:bookmarkStart w:id="46" w:name="_Toc66285945"/>
      <w:bookmarkStart w:id="47" w:name="_Toc165898272"/>
      <w:r w:rsidRPr="00C555F1">
        <w:t>Payments to Support Recipients</w:t>
      </w:r>
      <w:bookmarkEnd w:id="45"/>
      <w:bookmarkEnd w:id="46"/>
      <w:bookmarkEnd w:id="47"/>
      <w:r w:rsidRPr="00C555F1">
        <w:t xml:space="preserve"> </w:t>
      </w:r>
    </w:p>
    <w:p w14:paraId="2613D694" w14:textId="77777777" w:rsidR="00227275" w:rsidRPr="00F33DE0" w:rsidRDefault="00227275" w:rsidP="00F33DE0">
      <w:r w:rsidRPr="00F33DE0">
        <w:t>Eligible GPs will need to select the Managing Organisation they would like to access a grant payment from under this program. If registered for both components of the Program, the GP must indicate the grant for which they are claiming.</w:t>
      </w:r>
    </w:p>
    <w:p w14:paraId="621BBCB0" w14:textId="77777777" w:rsidR="00227275" w:rsidRPr="00F33DE0" w:rsidRDefault="00227275" w:rsidP="00F33DE0">
      <w:r w:rsidRPr="00F33DE0">
        <w:t>GPs must register with one Managing Organisation only. A Statutory Declaration may be required to verify that payments will be sought from one College.</w:t>
      </w:r>
    </w:p>
    <w:p w14:paraId="5D228C5E" w14:textId="77777777" w:rsidR="00227275" w:rsidRPr="00F33DE0" w:rsidRDefault="00227275" w:rsidP="00F33DE0">
      <w:r w:rsidRPr="00F33DE0">
        <w:lastRenderedPageBreak/>
        <w:t xml:space="preserve">Grant payments to GPs are made directly to a bank account nominated by the GP. The Managing Organisations will also send an electronic statement to the GP detailing each payment made. Each Managing Organisation is responsible for processing grants under this program. </w:t>
      </w:r>
    </w:p>
    <w:p w14:paraId="0D60E780" w14:textId="77777777" w:rsidR="00227275" w:rsidRPr="00F33DE0" w:rsidRDefault="00227275" w:rsidP="00F33DE0">
      <w:r w:rsidRPr="00F33DE0">
        <w:t>The Managing Organisation</w:t>
      </w:r>
      <w:r w:rsidRPr="00F33DE0" w:rsidDel="00BF3B3E">
        <w:t xml:space="preserve"> </w:t>
      </w:r>
      <w:r w:rsidRPr="00F33DE0">
        <w:t>will also:</w:t>
      </w:r>
    </w:p>
    <w:p w14:paraId="599DE254" w14:textId="22B8B424" w:rsidR="00227275" w:rsidRPr="00B8619A" w:rsidRDefault="000D7774" w:rsidP="00D228BF">
      <w:pPr>
        <w:pStyle w:val="ListBullet"/>
      </w:pPr>
      <w:r>
        <w:t>P</w:t>
      </w:r>
      <w:r w:rsidR="00227275" w:rsidRPr="00B8619A">
        <w:t>rovide payments fortnightly</w:t>
      </w:r>
      <w:r w:rsidR="002A171D" w:rsidRPr="00B8619A">
        <w:t xml:space="preserve"> </w:t>
      </w:r>
      <w:r w:rsidR="006A3D14">
        <w:t xml:space="preserve">(once claims are </w:t>
      </w:r>
      <w:r w:rsidR="002A171D" w:rsidRPr="00B8619A">
        <w:t>verified</w:t>
      </w:r>
      <w:r w:rsidR="006A3D14">
        <w:t xml:space="preserve"> as eligible</w:t>
      </w:r>
      <w:proofErr w:type="gramStart"/>
      <w:r w:rsidR="002A171D" w:rsidRPr="00B8619A">
        <w:t>)</w:t>
      </w:r>
      <w:r w:rsidR="00227275" w:rsidRPr="00B8619A">
        <w:t>;</w:t>
      </w:r>
      <w:proofErr w:type="gramEnd"/>
    </w:p>
    <w:p w14:paraId="5BD810DB" w14:textId="0CA12017" w:rsidR="00DF38A8" w:rsidRPr="00B8619A" w:rsidRDefault="000D7774" w:rsidP="00D228BF">
      <w:pPr>
        <w:pStyle w:val="ListBullet"/>
      </w:pPr>
      <w:r>
        <w:t>P</w:t>
      </w:r>
      <w:r w:rsidR="00227275" w:rsidRPr="00B8619A">
        <w:t>rovide program participants access to an online statement of claims (this does not include any PAYG responsibility</w:t>
      </w:r>
      <w:proofErr w:type="gramStart"/>
      <w:r w:rsidR="00227275" w:rsidRPr="00B8619A">
        <w:t>);</w:t>
      </w:r>
      <w:proofErr w:type="gramEnd"/>
      <w:r w:rsidR="00227275" w:rsidRPr="00B8619A">
        <w:t xml:space="preserve"> </w:t>
      </w:r>
    </w:p>
    <w:p w14:paraId="47F8F200" w14:textId="12E4227D" w:rsidR="00227275" w:rsidRPr="00C555F1" w:rsidRDefault="000D7774" w:rsidP="00D228BF">
      <w:pPr>
        <w:pStyle w:val="ListBullet"/>
      </w:pPr>
      <w:r>
        <w:t>R</w:t>
      </w:r>
      <w:r w:rsidR="00227275" w:rsidRPr="00B8619A">
        <w:t>esolve processing errors</w:t>
      </w:r>
      <w:r w:rsidR="00227275" w:rsidRPr="00C555F1">
        <w:t xml:space="preserve"> including errors from incorrect bank details; and </w:t>
      </w:r>
    </w:p>
    <w:p w14:paraId="3468D646" w14:textId="3FED00B9" w:rsidR="00227275" w:rsidRPr="00C555F1" w:rsidRDefault="000D7774" w:rsidP="00D228BF">
      <w:pPr>
        <w:pStyle w:val="ListBullet"/>
      </w:pPr>
      <w:r>
        <w:t>U</w:t>
      </w:r>
      <w:r w:rsidR="00227275" w:rsidRPr="00C555F1">
        <w:t>ndertake reporting functions.</w:t>
      </w:r>
    </w:p>
    <w:p w14:paraId="6D5A1831" w14:textId="295AA2C1" w:rsidR="002A171D" w:rsidRPr="002A171D" w:rsidRDefault="002A171D" w:rsidP="002A171D">
      <w:pPr>
        <w:pStyle w:val="Heading2"/>
      </w:pPr>
      <w:bookmarkStart w:id="48" w:name="_Toc66285946"/>
      <w:bookmarkStart w:id="49" w:name="_Toc165898273"/>
      <w:bookmarkStart w:id="50" w:name="_Toc25050252"/>
      <w:r w:rsidRPr="002A171D">
        <w:t>False or Misleading Claims</w:t>
      </w:r>
      <w:bookmarkEnd w:id="48"/>
      <w:bookmarkEnd w:id="49"/>
    </w:p>
    <w:p w14:paraId="345F0A76" w14:textId="77777777" w:rsidR="002A171D" w:rsidRPr="00F33DE0" w:rsidRDefault="002A171D" w:rsidP="00F33DE0">
      <w:r w:rsidRPr="00F33DE0">
        <w:t xml:space="preserve">If the Managing Organisation identifies that an incorrect payment has been made </w:t>
      </w:r>
      <w:proofErr w:type="gramStart"/>
      <w:r w:rsidRPr="00F33DE0">
        <w:t>as a result of</w:t>
      </w:r>
      <w:proofErr w:type="gramEnd"/>
      <w:r w:rsidRPr="00F33DE0">
        <w:t xml:space="preserve"> false or misleading information provided by an applicant, the Managing Organisation will take appropriate action to investigate and recover the payment.</w:t>
      </w:r>
    </w:p>
    <w:p w14:paraId="34F100F7" w14:textId="22CED5DA" w:rsidR="00227275" w:rsidRPr="00C555F1" w:rsidRDefault="00227275" w:rsidP="00D228BF">
      <w:pPr>
        <w:pStyle w:val="Heading2"/>
      </w:pPr>
      <w:bookmarkStart w:id="51" w:name="_Toc66285947"/>
      <w:bookmarkStart w:id="52" w:name="_Toc165898274"/>
      <w:r w:rsidRPr="00C555F1">
        <w:t>Appeals</w:t>
      </w:r>
      <w:bookmarkEnd w:id="50"/>
      <w:bookmarkEnd w:id="51"/>
      <w:bookmarkEnd w:id="52"/>
      <w:r w:rsidRPr="00C555F1">
        <w:t xml:space="preserve"> </w:t>
      </w:r>
    </w:p>
    <w:p w14:paraId="1CBECCCA" w14:textId="291BB84E" w:rsidR="00227275" w:rsidRPr="00F33DE0" w:rsidRDefault="00227275" w:rsidP="00F33DE0">
      <w:r w:rsidRPr="00F33DE0">
        <w:t>GPs may appeal to the Managing Organisation on matters relating to their eligibility for the Program. The Managing Organisation is responsible for making the final decision and notifying the appellant of the outcome of this process. The Managing Organisation may seek advice from its advisory committee and/or the Department of Health</w:t>
      </w:r>
      <w:r w:rsidR="00835631" w:rsidRPr="00F33DE0">
        <w:t xml:space="preserve"> and Aged Care</w:t>
      </w:r>
      <w:r w:rsidRPr="00F33DE0">
        <w:t xml:space="preserve"> in making its decision.</w:t>
      </w:r>
    </w:p>
    <w:p w14:paraId="5EC318AE" w14:textId="77777777" w:rsidR="00227275" w:rsidRPr="00C555F1" w:rsidRDefault="00227275" w:rsidP="00D228BF">
      <w:pPr>
        <w:pStyle w:val="Heading2"/>
      </w:pPr>
      <w:bookmarkStart w:id="53" w:name="_Toc25050253"/>
      <w:bookmarkStart w:id="54" w:name="_Toc66285948"/>
      <w:bookmarkStart w:id="55" w:name="_Toc165898275"/>
      <w:r w:rsidRPr="00C555F1">
        <w:t>Program Funding</w:t>
      </w:r>
      <w:bookmarkEnd w:id="53"/>
      <w:bookmarkEnd w:id="54"/>
      <w:bookmarkEnd w:id="55"/>
      <w:r w:rsidRPr="00C555F1">
        <w:t xml:space="preserve"> </w:t>
      </w:r>
    </w:p>
    <w:p w14:paraId="626C9F77" w14:textId="07B36F3C" w:rsidR="008814B8" w:rsidRPr="00F33DE0" w:rsidRDefault="00227275" w:rsidP="00F33DE0">
      <w:r w:rsidRPr="00F33DE0">
        <w:t xml:space="preserve">Funding to the Managing Organisations is provided via funding agreements offered by the </w:t>
      </w:r>
      <w:r w:rsidR="0014621B" w:rsidRPr="00F33DE0">
        <w:t xml:space="preserve">Australian Government </w:t>
      </w:r>
      <w:r w:rsidRPr="00F33DE0">
        <w:t>Department of Health</w:t>
      </w:r>
      <w:r w:rsidR="003B3A38" w:rsidRPr="00F33DE0">
        <w:t xml:space="preserve"> and Aged Care</w:t>
      </w:r>
      <w:r w:rsidRPr="00F33DE0">
        <w:t xml:space="preserve">. </w:t>
      </w:r>
    </w:p>
    <w:p w14:paraId="17917209" w14:textId="250B3272" w:rsidR="00227275" w:rsidRDefault="00227275" w:rsidP="00D228BF">
      <w:pPr>
        <w:pStyle w:val="Heading2"/>
      </w:pPr>
      <w:bookmarkStart w:id="56" w:name="_Toc25050254"/>
      <w:bookmarkStart w:id="57" w:name="_Toc66285949"/>
      <w:bookmarkStart w:id="58" w:name="_Toc165898276"/>
      <w:r w:rsidRPr="00C555F1">
        <w:t>Program Roles and Responsibilities</w:t>
      </w:r>
      <w:bookmarkEnd w:id="56"/>
      <w:bookmarkEnd w:id="57"/>
      <w:bookmarkEnd w:id="58"/>
      <w:r w:rsidRPr="00C555F1">
        <w:t xml:space="preserve"> </w:t>
      </w:r>
    </w:p>
    <w:tbl>
      <w:tblPr>
        <w:tblStyle w:val="TableGrid"/>
        <w:tblW w:w="0" w:type="auto"/>
        <w:tblInd w:w="5" w:type="dxa"/>
        <w:tblLook w:val="04A0" w:firstRow="1" w:lastRow="0" w:firstColumn="1" w:lastColumn="0" w:noHBand="0" w:noVBand="1"/>
      </w:tblPr>
      <w:tblGrid>
        <w:gridCol w:w="2252"/>
        <w:gridCol w:w="6039"/>
      </w:tblGrid>
      <w:tr w:rsidR="00F33DE0" w:rsidRPr="00EC0E0C" w14:paraId="12A5638F" w14:textId="77777777" w:rsidTr="00F33DE0">
        <w:trPr>
          <w:cnfStyle w:val="100000000000" w:firstRow="1" w:lastRow="0" w:firstColumn="0" w:lastColumn="0" w:oddVBand="0" w:evenVBand="0" w:oddHBand="0" w:evenHBand="0" w:firstRowFirstColumn="0" w:firstRowLastColumn="0" w:lastRowFirstColumn="0" w:lastRowLastColumn="0"/>
          <w:trHeight w:val="202"/>
          <w:tblHeader/>
        </w:trPr>
        <w:tc>
          <w:tcPr>
            <w:cnfStyle w:val="001000000000" w:firstRow="0" w:lastRow="0" w:firstColumn="1" w:lastColumn="0" w:oddVBand="0" w:evenVBand="0" w:oddHBand="0" w:evenHBand="0" w:firstRowFirstColumn="0" w:firstRowLastColumn="0" w:lastRowFirstColumn="0" w:lastRowLastColumn="0"/>
            <w:tcW w:w="2252" w:type="dxa"/>
          </w:tcPr>
          <w:p w14:paraId="1810B6BC" w14:textId="62A53E8B" w:rsidR="00F33DE0" w:rsidRPr="00F33DE0" w:rsidRDefault="00F33DE0" w:rsidP="00F33DE0">
            <w:r>
              <w:t>Program roles</w:t>
            </w:r>
          </w:p>
        </w:tc>
        <w:tc>
          <w:tcPr>
            <w:tcW w:w="6039" w:type="dxa"/>
          </w:tcPr>
          <w:p w14:paraId="543F1214" w14:textId="6D2BBBF8" w:rsidR="00F33DE0" w:rsidRPr="00F33DE0" w:rsidRDefault="00F33DE0" w:rsidP="00F33DE0">
            <w:pPr>
              <w:cnfStyle w:val="100000000000" w:firstRow="1" w:lastRow="0" w:firstColumn="0" w:lastColumn="0" w:oddVBand="0" w:evenVBand="0" w:oddHBand="0" w:evenHBand="0" w:firstRowFirstColumn="0" w:firstRowLastColumn="0" w:lastRowFirstColumn="0" w:lastRowLastColumn="0"/>
            </w:pPr>
            <w:r>
              <w:t>List of responsibilities</w:t>
            </w:r>
          </w:p>
        </w:tc>
      </w:tr>
      <w:tr w:rsidR="00227275" w:rsidRPr="00EC0E0C" w14:paraId="78F0954D" w14:textId="77777777" w:rsidTr="00B6409D">
        <w:trPr>
          <w:trHeight w:val="202"/>
        </w:trPr>
        <w:tc>
          <w:tcPr>
            <w:cnfStyle w:val="001000000000" w:firstRow="0" w:lastRow="0" w:firstColumn="1" w:lastColumn="0" w:oddVBand="0" w:evenVBand="0" w:oddHBand="0" w:evenHBand="0" w:firstRowFirstColumn="0" w:firstRowLastColumn="0" w:lastRowFirstColumn="0" w:lastRowLastColumn="0"/>
            <w:tcW w:w="2252" w:type="dxa"/>
          </w:tcPr>
          <w:p w14:paraId="5AB40B46" w14:textId="4C1797BB" w:rsidR="00227275" w:rsidRPr="00F33DE0" w:rsidRDefault="00227275" w:rsidP="00F33DE0">
            <w:r w:rsidRPr="00F33DE0">
              <w:t>Managing Organisation</w:t>
            </w:r>
          </w:p>
        </w:tc>
        <w:tc>
          <w:tcPr>
            <w:tcW w:w="6039" w:type="dxa"/>
          </w:tcPr>
          <w:p w14:paraId="48216794" w14:textId="77777777"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Assessing GP eligibility for the Program.</w:t>
            </w:r>
          </w:p>
          <w:p w14:paraId="448F68DD" w14:textId="77777777"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Maintaining a register of eligible GPs registered for the Program.</w:t>
            </w:r>
          </w:p>
          <w:p w14:paraId="4CB6C6CB" w14:textId="77777777"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Assessing training activities eligible to be accessed under the Program.</w:t>
            </w:r>
          </w:p>
          <w:p w14:paraId="1AF531CA" w14:textId="77777777"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Making grant payments to GPs on completion of eligible training.</w:t>
            </w:r>
          </w:p>
          <w:p w14:paraId="4B83D644" w14:textId="0B05B24D"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Liaising with and seeking advice from the Department of Health</w:t>
            </w:r>
            <w:r w:rsidR="00835631">
              <w:t xml:space="preserve"> and Aged Care</w:t>
            </w:r>
            <w:r w:rsidRPr="00C555F1">
              <w:t xml:space="preserve"> in relation to program guidelines or policy interpretations.</w:t>
            </w:r>
          </w:p>
          <w:p w14:paraId="1BBFDE46" w14:textId="77777777"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Establishing and maintaining an advisory committee, made up of College members, to provide advice relating to the operation of the Program.</w:t>
            </w:r>
          </w:p>
          <w:p w14:paraId="2ABEE8AA" w14:textId="77777777"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Managing an appeals process.</w:t>
            </w:r>
          </w:p>
        </w:tc>
      </w:tr>
      <w:tr w:rsidR="00227275" w:rsidRPr="00EC0E0C" w14:paraId="464E4865" w14:textId="77777777" w:rsidTr="003B11B2">
        <w:trPr>
          <w:trHeight w:val="3955"/>
        </w:trPr>
        <w:tc>
          <w:tcPr>
            <w:cnfStyle w:val="001000000000" w:firstRow="0" w:lastRow="0" w:firstColumn="1" w:lastColumn="0" w:oddVBand="0" w:evenVBand="0" w:oddHBand="0" w:evenHBand="0" w:firstRowFirstColumn="0" w:firstRowLastColumn="0" w:lastRowFirstColumn="0" w:lastRowLastColumn="0"/>
            <w:tcW w:w="2252" w:type="dxa"/>
          </w:tcPr>
          <w:p w14:paraId="409C991E" w14:textId="77777777" w:rsidR="00227275" w:rsidRPr="00F33DE0" w:rsidRDefault="00227275" w:rsidP="00F33DE0">
            <w:r w:rsidRPr="00F33DE0">
              <w:lastRenderedPageBreak/>
              <w:t>Support Recipient</w:t>
            </w:r>
          </w:p>
        </w:tc>
        <w:tc>
          <w:tcPr>
            <w:tcW w:w="6039" w:type="dxa"/>
          </w:tcPr>
          <w:p w14:paraId="52AAEE56" w14:textId="77777777"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Completing the application form and submitting it to the College.</w:t>
            </w:r>
          </w:p>
          <w:p w14:paraId="02863C4D" w14:textId="77777777"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Gathering and providing all evidence required for an accurate assessment of the application.</w:t>
            </w:r>
          </w:p>
          <w:p w14:paraId="72C40E64" w14:textId="77777777" w:rsidR="00227275" w:rsidRPr="00CC460D"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 xml:space="preserve">Providing evidence of completion of eligible training to the </w:t>
            </w:r>
            <w:r w:rsidRPr="009C673B">
              <w:t>Managing Organisation</w:t>
            </w:r>
            <w:r w:rsidRPr="00C555F1">
              <w:t>.</w:t>
            </w:r>
          </w:p>
          <w:p w14:paraId="666909EA" w14:textId="77777777" w:rsidR="00227275" w:rsidRPr="00CC460D"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C460D">
              <w:t xml:space="preserve">Advising the relevant College of any change to their eligibility status and to provide updated documentary evidence as requested </w:t>
            </w:r>
            <w:proofErr w:type="gramStart"/>
            <w:r w:rsidRPr="00CC460D">
              <w:t>in order to</w:t>
            </w:r>
            <w:proofErr w:type="gramEnd"/>
            <w:r w:rsidRPr="00CC460D">
              <w:t xml:space="preserve"> confirm their ongoing eligibility for the program over time. </w:t>
            </w:r>
          </w:p>
          <w:p w14:paraId="429FA542" w14:textId="77777777" w:rsidR="00227275"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C460D">
              <w:t>Participants that fail to advise of changes to eligibility status may be subject to fund recovery at the discretion of the Managing Organisation acting on behalf of the Department.</w:t>
            </w:r>
          </w:p>
          <w:p w14:paraId="66AE4307" w14:textId="360BA8B4" w:rsidR="00684854" w:rsidRPr="00C555F1" w:rsidRDefault="002A171D" w:rsidP="003B11B2">
            <w:pPr>
              <w:pStyle w:val="ListBullet"/>
              <w:cnfStyle w:val="000000000000" w:firstRow="0" w:lastRow="0" w:firstColumn="0" w:lastColumn="0" w:oddVBand="0" w:evenVBand="0" w:oddHBand="0" w:evenHBand="0" w:firstRowFirstColumn="0" w:firstRowLastColumn="0" w:lastRowFirstColumn="0" w:lastRowLastColumn="0"/>
            </w:pPr>
            <w:r>
              <w:t>GPs</w:t>
            </w:r>
            <w:r w:rsidR="00684854">
              <w:t xml:space="preserve"> may only register for the program with one College, they may change Colleges however they must inform the Managing Organisation of this in writing.</w:t>
            </w:r>
          </w:p>
        </w:tc>
      </w:tr>
      <w:tr w:rsidR="00227275" w:rsidRPr="00EC0E0C" w14:paraId="404CC024" w14:textId="77777777" w:rsidTr="00B6409D">
        <w:trPr>
          <w:trHeight w:val="2487"/>
        </w:trPr>
        <w:tc>
          <w:tcPr>
            <w:cnfStyle w:val="001000000000" w:firstRow="0" w:lastRow="0" w:firstColumn="1" w:lastColumn="0" w:oddVBand="0" w:evenVBand="0" w:oddHBand="0" w:evenHBand="0" w:firstRowFirstColumn="0" w:firstRowLastColumn="0" w:lastRowFirstColumn="0" w:lastRowLastColumn="0"/>
            <w:tcW w:w="2252" w:type="dxa"/>
          </w:tcPr>
          <w:p w14:paraId="443C3743" w14:textId="48681D1F" w:rsidR="00227275" w:rsidRPr="00F33DE0" w:rsidRDefault="00227275" w:rsidP="00F33DE0">
            <w:r w:rsidRPr="00F33DE0">
              <w:t>Department of Health</w:t>
            </w:r>
            <w:r w:rsidR="00835631" w:rsidRPr="00F33DE0">
              <w:t xml:space="preserve"> and Aged Care</w:t>
            </w:r>
          </w:p>
        </w:tc>
        <w:tc>
          <w:tcPr>
            <w:tcW w:w="6039" w:type="dxa"/>
          </w:tcPr>
          <w:p w14:paraId="5520E6BF" w14:textId="77777777"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 xml:space="preserve">Executing and administering funding agreements with the </w:t>
            </w:r>
            <w:r w:rsidRPr="009C673B">
              <w:t>Managing Organisation</w:t>
            </w:r>
            <w:r w:rsidRPr="00C555F1">
              <w:t>.</w:t>
            </w:r>
          </w:p>
          <w:p w14:paraId="6A410C52" w14:textId="77777777"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Oversighting program policy consistent with government priorities.</w:t>
            </w:r>
          </w:p>
          <w:p w14:paraId="5C8284F2" w14:textId="77777777"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Engaging with stakeholders regarding program policies.</w:t>
            </w:r>
          </w:p>
          <w:p w14:paraId="16332BFB" w14:textId="77777777"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 xml:space="preserve">Providing policy advice to Government and the </w:t>
            </w:r>
            <w:r w:rsidRPr="009C673B">
              <w:t>Managing Organisation</w:t>
            </w:r>
            <w:r w:rsidRPr="00C555F1">
              <w:t>.</w:t>
            </w:r>
          </w:p>
          <w:p w14:paraId="442AFD85" w14:textId="77777777" w:rsidR="00227275" w:rsidRPr="00C555F1" w:rsidRDefault="00227275" w:rsidP="003B11B2">
            <w:pPr>
              <w:pStyle w:val="ListBullet"/>
              <w:cnfStyle w:val="000000000000" w:firstRow="0" w:lastRow="0" w:firstColumn="0" w:lastColumn="0" w:oddVBand="0" w:evenVBand="0" w:oddHBand="0" w:evenHBand="0" w:firstRowFirstColumn="0" w:firstRowLastColumn="0" w:lastRowFirstColumn="0" w:lastRowLastColumn="0"/>
            </w:pPr>
            <w:r w:rsidRPr="00C555F1">
              <w:t>Evaluating the program against its outcomes.</w:t>
            </w:r>
          </w:p>
        </w:tc>
      </w:tr>
    </w:tbl>
    <w:p w14:paraId="43D76B87" w14:textId="4BC33AD6" w:rsidR="00C205B1" w:rsidRDefault="003E2CD8" w:rsidP="001F2F78">
      <w:pPr>
        <w:sectPr w:rsidR="00C205B1" w:rsidSect="00C85C34">
          <w:headerReference w:type="default" r:id="rId15"/>
          <w:footerReference w:type="default" r:id="rId16"/>
          <w:pgSz w:w="11906" w:h="16838"/>
          <w:pgMar w:top="1701" w:right="1418" w:bottom="1418" w:left="1418" w:header="709" w:footer="709" w:gutter="0"/>
          <w:cols w:space="708"/>
          <w:docGrid w:linePitch="360"/>
        </w:sectPr>
      </w:pPr>
      <w:r>
        <w:t xml:space="preserve"> </w:t>
      </w:r>
    </w:p>
    <w:p w14:paraId="5106CDDA" w14:textId="650B6918" w:rsidR="00C205B1" w:rsidRDefault="00C205B1" w:rsidP="006B3D77">
      <w:pPr>
        <w:pStyle w:val="Heading1"/>
        <w:numPr>
          <w:ilvl w:val="0"/>
          <w:numId w:val="0"/>
        </w:numPr>
        <w:ind w:left="567" w:hanging="567"/>
      </w:pPr>
      <w:bookmarkStart w:id="59" w:name="_Appendix_A:_Definitions"/>
      <w:bookmarkStart w:id="60" w:name="_Toc66285950"/>
      <w:bookmarkStart w:id="61" w:name="_Toc165898277"/>
      <w:bookmarkEnd w:id="59"/>
      <w:r>
        <w:lastRenderedPageBreak/>
        <w:t>Appendix A</w:t>
      </w:r>
      <w:r w:rsidR="001933CC">
        <w:t xml:space="preserve">: </w:t>
      </w:r>
      <w:r>
        <w:t>Definitions of Key Terms</w:t>
      </w:r>
      <w:bookmarkEnd w:id="60"/>
      <w:bookmarkEnd w:id="61"/>
      <w:r>
        <w:t xml:space="preserve"> </w:t>
      </w:r>
    </w:p>
    <w:tbl>
      <w:tblPr>
        <w:tblStyle w:val="DepartmentofHealthtable"/>
        <w:tblW w:w="14175" w:type="dxa"/>
        <w:tblLook w:val="04A0" w:firstRow="1" w:lastRow="0" w:firstColumn="1" w:lastColumn="0" w:noHBand="0" w:noVBand="1"/>
      </w:tblPr>
      <w:tblGrid>
        <w:gridCol w:w="2268"/>
        <w:gridCol w:w="11907"/>
      </w:tblGrid>
      <w:tr w:rsidR="00C205B1" w:rsidRPr="00011140" w14:paraId="4E7BFFE5" w14:textId="77777777" w:rsidTr="00F33D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14:paraId="6A937FFB" w14:textId="7A2B02E5" w:rsidR="00C205B1" w:rsidRPr="00011140" w:rsidRDefault="00C205B1" w:rsidP="00B6409D">
            <w:pPr>
              <w:pStyle w:val="TableHeaderWhite"/>
              <w:rPr>
                <w:rFonts w:cs="Arial"/>
              </w:rPr>
            </w:pPr>
            <w:r w:rsidRPr="00011140">
              <w:rPr>
                <w:rFonts w:cs="Arial"/>
              </w:rPr>
              <w:t>Term</w:t>
            </w:r>
          </w:p>
        </w:tc>
        <w:tc>
          <w:tcPr>
            <w:tcW w:w="11907" w:type="dxa"/>
          </w:tcPr>
          <w:p w14:paraId="37A19FCB" w14:textId="77777777" w:rsidR="00C205B1" w:rsidRPr="00011140" w:rsidRDefault="00C205B1" w:rsidP="00B6409D">
            <w:pPr>
              <w:pStyle w:val="TableHeader"/>
              <w:cnfStyle w:val="100000000000" w:firstRow="1" w:lastRow="0" w:firstColumn="0" w:lastColumn="0" w:oddVBand="0" w:evenVBand="0" w:oddHBand="0" w:evenHBand="0" w:firstRowFirstColumn="0" w:firstRowLastColumn="0" w:lastRowFirstColumn="0" w:lastRowLastColumn="0"/>
              <w:rPr>
                <w:rFonts w:cs="Arial"/>
              </w:rPr>
            </w:pPr>
            <w:r w:rsidRPr="00011140">
              <w:rPr>
                <w:rFonts w:cs="Arial"/>
              </w:rPr>
              <w:t xml:space="preserve">Definitions </w:t>
            </w:r>
          </w:p>
        </w:tc>
      </w:tr>
      <w:tr w:rsidR="00C205B1" w:rsidRPr="00011140" w14:paraId="625C3F02" w14:textId="77777777" w:rsidTr="00C3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614C32B" w14:textId="4C86F452" w:rsidR="00C205B1" w:rsidRPr="00F33DE0" w:rsidRDefault="00C205B1" w:rsidP="00F33DE0">
            <w:r w:rsidRPr="00F33DE0">
              <w:t>Emergency medicine GP</w:t>
            </w:r>
          </w:p>
        </w:tc>
        <w:tc>
          <w:tcPr>
            <w:tcW w:w="11907" w:type="dxa"/>
          </w:tcPr>
          <w:p w14:paraId="65900D54" w14:textId="32782A62" w:rsidR="00C205B1" w:rsidRPr="00F33DE0" w:rsidRDefault="00C205B1" w:rsidP="00F33DE0">
            <w:pPr>
              <w:cnfStyle w:val="000000100000" w:firstRow="0" w:lastRow="0" w:firstColumn="0" w:lastColumn="0" w:oddVBand="0" w:evenVBand="0" w:oddHBand="1" w:evenHBand="0" w:firstRowFirstColumn="0" w:firstRowLastColumn="0" w:lastRowFirstColumn="0" w:lastRowLastColumn="0"/>
            </w:pPr>
            <w:r w:rsidRPr="00F33DE0">
              <w:t xml:space="preserve">A rural and remote general practitioner who provides emergency medicine cover for non-referred services in an accident and emergency facility which is available for </w:t>
            </w:r>
            <w:proofErr w:type="gramStart"/>
            <w:r w:rsidRPr="00F33DE0">
              <w:t>24 hour</w:t>
            </w:r>
            <w:proofErr w:type="gramEnd"/>
            <w:r w:rsidRPr="00F33DE0">
              <w:t xml:space="preserve"> triaging (hospital or other appropriately equipped facility which provides a minimum equipment list of, but not restricted to resuscitation equipment), rapid diagnosis and management of acute and urgent aspects of illness and injury such as those typically brought to the door by ambulance.</w:t>
            </w:r>
          </w:p>
        </w:tc>
      </w:tr>
      <w:tr w:rsidR="00C205B1" w:rsidRPr="00011140" w14:paraId="5570ACFA" w14:textId="77777777" w:rsidTr="00C302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7EA145C" w14:textId="74E26284" w:rsidR="00C205B1" w:rsidRPr="00F33DE0" w:rsidRDefault="00C205B1" w:rsidP="00F33DE0">
            <w:r w:rsidRPr="00F33DE0">
              <w:t>Emergency mental health</w:t>
            </w:r>
          </w:p>
        </w:tc>
        <w:tc>
          <w:tcPr>
            <w:tcW w:w="11907" w:type="dxa"/>
          </w:tcPr>
          <w:p w14:paraId="3A1BBEBA" w14:textId="078DB489" w:rsidR="00C205B1" w:rsidRPr="00F33DE0" w:rsidRDefault="00C205B1" w:rsidP="00F33DE0">
            <w:pPr>
              <w:cnfStyle w:val="000000010000" w:firstRow="0" w:lastRow="0" w:firstColumn="0" w:lastColumn="0" w:oddVBand="0" w:evenVBand="0" w:oddHBand="0" w:evenHBand="1" w:firstRowFirstColumn="0" w:firstRowLastColumn="0" w:lastRowFirstColumn="0" w:lastRowLastColumn="0"/>
            </w:pPr>
            <w:r w:rsidRPr="00F33DE0">
              <w:t>Urgent assessment, investigation and/or management of an acute mental health problem, including acute psychosis, severe depression, threatened or attempted self-harm or harm of others, or where a patient is brought to hospital under an involuntary detention order for urgent mental health assessment.</w:t>
            </w:r>
          </w:p>
        </w:tc>
      </w:tr>
      <w:tr w:rsidR="00C205B1" w:rsidRPr="00011140" w14:paraId="1B20EEC6" w14:textId="77777777" w:rsidTr="00C3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EA8D0A1" w14:textId="2BEA5CC3" w:rsidR="00C205B1" w:rsidRPr="00F33DE0" w:rsidRDefault="00C205B1" w:rsidP="00F33DE0">
            <w:r w:rsidRPr="00F33DE0">
              <w:t>Non-referred services</w:t>
            </w:r>
          </w:p>
        </w:tc>
        <w:tc>
          <w:tcPr>
            <w:tcW w:w="11907" w:type="dxa"/>
          </w:tcPr>
          <w:p w14:paraId="0D589A37" w14:textId="6253A65D" w:rsidR="00C205B1" w:rsidRPr="00F33DE0" w:rsidRDefault="00C205B1" w:rsidP="00F33DE0">
            <w:pPr>
              <w:cnfStyle w:val="000000100000" w:firstRow="0" w:lastRow="0" w:firstColumn="0" w:lastColumn="0" w:oddVBand="0" w:evenVBand="0" w:oddHBand="1" w:evenHBand="0" w:firstRowFirstColumn="0" w:firstRowLastColumn="0" w:lastRowFirstColumn="0" w:lastRowLastColumn="0"/>
            </w:pPr>
            <w:r w:rsidRPr="00F33DE0">
              <w:t>Services provided by the practitioner where the patient has not been referred to the practitioner by another practitioner for investigation, opinion, treatment and/or management of a condition or problem of a patient or for the performance of a specific examination(s) or test(s).</w:t>
            </w:r>
          </w:p>
        </w:tc>
      </w:tr>
      <w:tr w:rsidR="00C205B1" w:rsidRPr="00011140" w14:paraId="7A27EFC1" w14:textId="77777777" w:rsidTr="00C302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BB11D04" w14:textId="571D063E" w:rsidR="00C205B1" w:rsidRPr="00F33DE0" w:rsidRDefault="00C205B1" w:rsidP="00F33DE0">
            <w:r w:rsidRPr="00F33DE0">
              <w:t>Skills maintenance</w:t>
            </w:r>
          </w:p>
        </w:tc>
        <w:tc>
          <w:tcPr>
            <w:tcW w:w="11907" w:type="dxa"/>
          </w:tcPr>
          <w:p w14:paraId="24B2CB24" w14:textId="5BB8083F" w:rsidR="00C205B1" w:rsidRPr="00F33DE0" w:rsidRDefault="00C205B1" w:rsidP="00F33DE0">
            <w:pPr>
              <w:cnfStyle w:val="000000010000" w:firstRow="0" w:lastRow="0" w:firstColumn="0" w:lastColumn="0" w:oddVBand="0" w:evenVBand="0" w:oddHBand="0" w:evenHBand="1" w:firstRowFirstColumn="0" w:firstRowLastColumn="0" w:lastRowFirstColumn="0" w:lastRowLastColumn="0"/>
            </w:pPr>
            <w:r w:rsidRPr="00F33DE0">
              <w:t>The requirements prescribed by the relevant College that a practitioner must comply with to maintain their clinical privileging rights.</w:t>
            </w:r>
          </w:p>
        </w:tc>
      </w:tr>
      <w:tr w:rsidR="00C205B1" w:rsidRPr="00011140" w14:paraId="54B172BD" w14:textId="77777777" w:rsidTr="00C3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925AA7C" w14:textId="077F196E" w:rsidR="00C205B1" w:rsidRPr="00F33DE0" w:rsidRDefault="00C205B1" w:rsidP="00F33DE0">
            <w:r w:rsidRPr="00F33DE0">
              <w:t>Upskilling</w:t>
            </w:r>
          </w:p>
        </w:tc>
        <w:tc>
          <w:tcPr>
            <w:tcW w:w="11907" w:type="dxa"/>
          </w:tcPr>
          <w:p w14:paraId="650A3C20" w14:textId="31FF34B4" w:rsidR="00C205B1" w:rsidRPr="00F33DE0" w:rsidRDefault="00C205B1" w:rsidP="00F33DE0">
            <w:pPr>
              <w:cnfStyle w:val="000000100000" w:firstRow="0" w:lastRow="0" w:firstColumn="0" w:lastColumn="0" w:oddVBand="0" w:evenVBand="0" w:oddHBand="1" w:evenHBand="0" w:firstRowFirstColumn="0" w:firstRowLastColumn="0" w:lastRowFirstColumn="0" w:lastRowLastColumn="0"/>
            </w:pPr>
            <w:r w:rsidRPr="00F33DE0">
              <w:t>Improving or extending a GP's current skill level or learning a new skill, relevant to their enrolled emergency or procedural component, based on current Australian accredited procedural curriculum and guidelines.</w:t>
            </w:r>
          </w:p>
        </w:tc>
      </w:tr>
      <w:tr w:rsidR="00C205B1" w:rsidRPr="00011140" w14:paraId="6F6FBE5E" w14:textId="77777777" w:rsidTr="00C302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68B91B4" w14:textId="0C9FB851" w:rsidR="00C205B1" w:rsidRPr="00F33DE0" w:rsidRDefault="002D7AD5" w:rsidP="00F33DE0">
            <w:r w:rsidRPr="00F33DE0">
              <w:t>Vocationally Recognised</w:t>
            </w:r>
            <w:r w:rsidR="00C205B1" w:rsidRPr="00F33DE0">
              <w:t xml:space="preserve"> GP</w:t>
            </w:r>
          </w:p>
        </w:tc>
        <w:tc>
          <w:tcPr>
            <w:tcW w:w="11907" w:type="dxa"/>
          </w:tcPr>
          <w:p w14:paraId="23618673" w14:textId="6006583C" w:rsidR="00C205B1" w:rsidRPr="00F33DE0" w:rsidRDefault="00EB1E8F" w:rsidP="00F33DE0">
            <w:pPr>
              <w:cnfStyle w:val="000000010000" w:firstRow="0" w:lastRow="0" w:firstColumn="0" w:lastColumn="0" w:oddVBand="0" w:evenVBand="0" w:oddHBand="0" w:evenHBand="1" w:firstRowFirstColumn="0" w:firstRowLastColumn="0" w:lastRowFirstColumn="0" w:lastRowLastColumn="0"/>
            </w:pPr>
            <w:r w:rsidRPr="00F33DE0">
              <w:t>Vocationally Recognised</w:t>
            </w:r>
            <w:r w:rsidR="00C205B1" w:rsidRPr="00F33DE0">
              <w:t xml:space="preserve"> General Practitioners (GPs) for the purposes of the RPGP Program includes doctors who were on the Vocational Register in 1996, and/or doctors who have achieved fellowship qualifications with the RACGP and/or the ACRRM.</w:t>
            </w:r>
          </w:p>
        </w:tc>
      </w:tr>
      <w:tr w:rsidR="00C205B1" w:rsidRPr="00011140" w14:paraId="108B8F7F" w14:textId="77777777" w:rsidTr="00C30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CE71F20" w14:textId="46FEBE8E" w:rsidR="00C205B1" w:rsidRPr="00F33DE0" w:rsidRDefault="00C205B1" w:rsidP="00F33DE0">
            <w:r w:rsidRPr="00F33DE0">
              <w:t xml:space="preserve">Procedural GP </w:t>
            </w:r>
          </w:p>
        </w:tc>
        <w:tc>
          <w:tcPr>
            <w:tcW w:w="11907" w:type="dxa"/>
          </w:tcPr>
          <w:p w14:paraId="7C5392A5" w14:textId="35E115F8" w:rsidR="00C205B1" w:rsidRPr="00F33DE0" w:rsidRDefault="00C205B1" w:rsidP="00F33DE0">
            <w:pPr>
              <w:cnfStyle w:val="000000100000" w:firstRow="0" w:lastRow="0" w:firstColumn="0" w:lastColumn="0" w:oddVBand="0" w:evenVBand="0" w:oddHBand="1" w:evenHBand="0" w:firstRowFirstColumn="0" w:firstRowLastColumn="0" w:lastRowFirstColumn="0" w:lastRowLastColumn="0"/>
            </w:pPr>
            <w:r w:rsidRPr="00F33DE0">
              <w:t xml:space="preserve">A rural or remote procedural general practitioner who provides non-referred services normally in a hospital theatre, maternity </w:t>
            </w:r>
            <w:proofErr w:type="gramStart"/>
            <w:r w:rsidRPr="00F33DE0">
              <w:t>setting</w:t>
            </w:r>
            <w:proofErr w:type="gramEnd"/>
            <w:r w:rsidRPr="00F33DE0">
              <w:t xml:space="preserve"> or other appropriately equipped facilities, which in urban areas are typically the province of a specific referral-based specialty. For the purposes of the RPGP, this refers to the fields of surgery, </w:t>
            </w:r>
            <w:proofErr w:type="gramStart"/>
            <w:r w:rsidRPr="00F33DE0">
              <w:t>anaesthetics</w:t>
            </w:r>
            <w:proofErr w:type="gramEnd"/>
            <w:r w:rsidRPr="00F33DE0">
              <w:t xml:space="preserve"> and obstetrics. Elements essential to procedural medicine include the use of appropriately equipped facilities and resources and involve a team of health professionals and the active engagement of the practitioner in an appropriate skills maintenance program in the relevant procedural areas.</w:t>
            </w:r>
          </w:p>
          <w:p w14:paraId="39A1D595" w14:textId="2D2DAE57" w:rsidR="00C205B1" w:rsidRPr="00F33DE0" w:rsidRDefault="00C205B1" w:rsidP="00F33DE0">
            <w:pPr>
              <w:cnfStyle w:val="000000100000" w:firstRow="0" w:lastRow="0" w:firstColumn="0" w:lastColumn="0" w:oddVBand="0" w:evenVBand="0" w:oddHBand="1" w:evenHBand="0" w:firstRowFirstColumn="0" w:firstRowLastColumn="0" w:lastRowFirstColumn="0" w:lastRowLastColumn="0"/>
            </w:pPr>
            <w:r w:rsidRPr="00F33DE0">
              <w:t xml:space="preserve">For the purposes of this program, surgery refers to abdominal surgery (including appendectomy), gynaecological surgery (including dilatation and curettage, termination of pregnancy, ectopic pregnancy, abdominal </w:t>
            </w:r>
            <w:proofErr w:type="gramStart"/>
            <w:r w:rsidRPr="00F33DE0">
              <w:t>masses</w:t>
            </w:r>
            <w:proofErr w:type="gramEnd"/>
            <w:r w:rsidRPr="00F33DE0">
              <w:t xml:space="preserve"> and cysts) </w:t>
            </w:r>
            <w:r w:rsidRPr="00F33DE0">
              <w:lastRenderedPageBreak/>
              <w:t>requiring general anaesthetic and endoscopy, and orthopaedics requiring major regional blocks or general anaesthetic including definitive treatment of fractures, dislocations and tendon repairs.</w:t>
            </w:r>
          </w:p>
        </w:tc>
      </w:tr>
      <w:tr w:rsidR="00F42970" w:rsidRPr="00011140" w14:paraId="4BFAE799" w14:textId="77777777" w:rsidTr="00C302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FC644D5" w14:textId="7017811B" w:rsidR="00F42970" w:rsidRPr="00F33DE0" w:rsidDel="00F42970" w:rsidRDefault="00F42970" w:rsidP="00F33DE0">
            <w:r w:rsidRPr="00F33DE0">
              <w:lastRenderedPageBreak/>
              <w:t>Non-VR GP</w:t>
            </w:r>
          </w:p>
        </w:tc>
        <w:tc>
          <w:tcPr>
            <w:tcW w:w="11907" w:type="dxa"/>
          </w:tcPr>
          <w:p w14:paraId="344B68A9" w14:textId="5F1B0AF1" w:rsidR="00F42970" w:rsidRPr="00F33DE0" w:rsidRDefault="00011140" w:rsidP="00F33DE0">
            <w:pPr>
              <w:cnfStyle w:val="000000010000" w:firstRow="0" w:lastRow="0" w:firstColumn="0" w:lastColumn="0" w:oddVBand="0" w:evenVBand="0" w:oddHBand="0" w:evenHBand="1" w:firstRowFirstColumn="0" w:firstRowLastColumn="0" w:lastRowFirstColumn="0" w:lastRowLastColumn="0"/>
            </w:pPr>
            <w:r w:rsidRPr="00F33DE0">
              <w:t xml:space="preserve">A Non-VR GP is a doctor who has not attained fellowship as a specialist general practitioner and therefore does not yet hold vocational recognition as a general practitioner. </w:t>
            </w:r>
          </w:p>
        </w:tc>
      </w:tr>
    </w:tbl>
    <w:p w14:paraId="514CF076" w14:textId="77777777" w:rsidR="00C205B1" w:rsidRPr="00F33DE0" w:rsidRDefault="00C205B1" w:rsidP="00F33DE0"/>
    <w:sectPr w:rsidR="00C205B1" w:rsidRPr="00F33DE0" w:rsidSect="00F33DE0">
      <w:pgSz w:w="16838" w:h="11906" w:orient="landscape"/>
      <w:pgMar w:top="1135" w:right="1701" w:bottom="993" w:left="1418" w:header="709"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09AF" w14:textId="77777777" w:rsidR="008605AF" w:rsidRDefault="008605AF" w:rsidP="006B56BB">
      <w:r>
        <w:separator/>
      </w:r>
    </w:p>
    <w:p w14:paraId="59914A40" w14:textId="77777777" w:rsidR="008605AF" w:rsidRDefault="008605AF"/>
  </w:endnote>
  <w:endnote w:type="continuationSeparator" w:id="0">
    <w:p w14:paraId="16530CC5" w14:textId="77777777" w:rsidR="008605AF" w:rsidRDefault="008605AF" w:rsidP="006B56BB">
      <w:r>
        <w:continuationSeparator/>
      </w:r>
    </w:p>
    <w:p w14:paraId="0B1D8F5A" w14:textId="77777777" w:rsidR="008605AF" w:rsidRDefault="008605AF"/>
  </w:endnote>
  <w:endnote w:type="continuationNotice" w:id="1">
    <w:p w14:paraId="146541D3" w14:textId="77777777" w:rsidR="008605AF" w:rsidRDefault="00860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59835"/>
      <w:docPartObj>
        <w:docPartGallery w:val="Page Numbers (Bottom of Page)"/>
        <w:docPartUnique/>
      </w:docPartObj>
    </w:sdtPr>
    <w:sdtEndPr>
      <w:rPr>
        <w:noProof/>
      </w:rPr>
    </w:sdtEndPr>
    <w:sdtContent>
      <w:p w14:paraId="3689705B" w14:textId="2A307FC6" w:rsidR="00C85C34" w:rsidRDefault="00C85C34" w:rsidP="00C85C34">
        <w:pPr>
          <w:pStyle w:val="Footer"/>
          <w:rPr>
            <w:szCs w:val="20"/>
          </w:rPr>
        </w:pPr>
        <w:r>
          <w:rPr>
            <w:szCs w:val="20"/>
          </w:rPr>
          <w:t>Rural Procedural Grants Program Guidelines</w:t>
        </w:r>
        <w:r w:rsidR="00F62F34">
          <w:rPr>
            <w:szCs w:val="20"/>
          </w:rPr>
          <w:t xml:space="preserve"> </w:t>
        </w:r>
        <w:r w:rsidR="00E173EF">
          <w:rPr>
            <w:szCs w:val="20"/>
          </w:rPr>
          <w:t xml:space="preserve">– </w:t>
        </w:r>
        <w:r w:rsidR="00F62F34">
          <w:rPr>
            <w:szCs w:val="20"/>
          </w:rPr>
          <w:t>2020</w:t>
        </w:r>
      </w:p>
      <w:p w14:paraId="03FD404C" w14:textId="198A9175" w:rsidR="00C85C34" w:rsidRPr="00C85C34" w:rsidRDefault="00C85C34" w:rsidP="00E173EF">
        <w:pPr>
          <w:pStyle w:val="Footer"/>
          <w:jc w:val="right"/>
        </w:pPr>
        <w:r>
          <w:fldChar w:fldCharType="begin"/>
        </w:r>
        <w:r>
          <w:instrText xml:space="preserve"> PAGE   \* MERGEFORMAT </w:instrText>
        </w:r>
        <w:r>
          <w:fldChar w:fldCharType="separate"/>
        </w:r>
        <w:r w:rsidR="007B02F5">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20F7" w14:textId="2FA6BE8B" w:rsidR="00751A23" w:rsidRPr="00751A23" w:rsidRDefault="003B11B2" w:rsidP="00751A23">
    <w:pPr>
      <w:pStyle w:val="Footer"/>
      <w:tabs>
        <w:tab w:val="clear" w:pos="4513"/>
        <w:tab w:val="center" w:pos="0"/>
      </w:tabs>
      <w:jc w:val="right"/>
      <w:rPr>
        <w:szCs w:val="20"/>
      </w:rPr>
    </w:pPr>
    <w:r>
      <w:t>Rural Procedural Grants Program Guidelines</w:t>
    </w:r>
    <w:r w:rsidR="00751A23" w:rsidRPr="00751A23">
      <w:rPr>
        <w:szCs w:val="20"/>
      </w:rPr>
      <w:t xml:space="preserve"> </w:t>
    </w:r>
    <w:sdt>
      <w:sdtPr>
        <w:rPr>
          <w:szCs w:val="20"/>
        </w:rPr>
        <w:id w:val="-443848716"/>
        <w:docPartObj>
          <w:docPartGallery w:val="Page Numbers (Bottom of Page)"/>
          <w:docPartUnique/>
        </w:docPartObj>
      </w:sdtPr>
      <w:sdtEndPr>
        <w:rPr>
          <w:noProof/>
        </w:rPr>
      </w:sdtEndPr>
      <w:sdtContent>
        <w:r w:rsidR="00EA6886">
          <w:rPr>
            <w:szCs w:val="20"/>
          </w:rPr>
          <w:t>–</w:t>
        </w:r>
        <w:r w:rsidR="00E173EF">
          <w:rPr>
            <w:szCs w:val="20"/>
          </w:rPr>
          <w:t xml:space="preserve"> </w:t>
        </w:r>
        <w:r w:rsidR="00EA6886">
          <w:rPr>
            <w:szCs w:val="20"/>
          </w:rPr>
          <w:t>202</w:t>
        </w:r>
        <w:r w:rsidR="00835631">
          <w:rPr>
            <w:szCs w:val="20"/>
          </w:rPr>
          <w:t>4</w:t>
        </w:r>
        <w:r w:rsidR="00751A23">
          <w:rPr>
            <w:szCs w:val="20"/>
          </w:rPr>
          <w:tab/>
        </w:r>
        <w:r w:rsidR="00751A23" w:rsidRPr="006043C7">
          <w:rPr>
            <w:szCs w:val="20"/>
          </w:rPr>
          <w:fldChar w:fldCharType="begin"/>
        </w:r>
        <w:r w:rsidR="00751A23" w:rsidRPr="006043C7">
          <w:rPr>
            <w:szCs w:val="20"/>
          </w:rPr>
          <w:instrText xml:space="preserve"> PAGE   \* MERGEFORMAT </w:instrText>
        </w:r>
        <w:r w:rsidR="00751A23" w:rsidRPr="006043C7">
          <w:rPr>
            <w:szCs w:val="20"/>
          </w:rPr>
          <w:fldChar w:fldCharType="separate"/>
        </w:r>
        <w:r w:rsidR="00F10D0A">
          <w:rPr>
            <w:noProof/>
            <w:szCs w:val="20"/>
          </w:rPr>
          <w:t>10</w:t>
        </w:r>
        <w:r w:rsidR="00751A23"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AC2F" w14:textId="77777777" w:rsidR="008605AF" w:rsidRDefault="008605AF" w:rsidP="006B56BB">
      <w:r>
        <w:separator/>
      </w:r>
    </w:p>
    <w:p w14:paraId="230B6C87" w14:textId="77777777" w:rsidR="008605AF" w:rsidRDefault="008605AF"/>
  </w:footnote>
  <w:footnote w:type="continuationSeparator" w:id="0">
    <w:p w14:paraId="658883A7" w14:textId="77777777" w:rsidR="008605AF" w:rsidRDefault="008605AF" w:rsidP="006B56BB">
      <w:r>
        <w:continuationSeparator/>
      </w:r>
    </w:p>
    <w:p w14:paraId="412F7F99" w14:textId="77777777" w:rsidR="008605AF" w:rsidRDefault="008605AF"/>
  </w:footnote>
  <w:footnote w:type="continuationNotice" w:id="1">
    <w:p w14:paraId="49070823" w14:textId="77777777" w:rsidR="008605AF" w:rsidRDefault="008605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BF28" w14:textId="02C1454F" w:rsidR="00751A23" w:rsidRDefault="00751A23">
    <w:pPr>
      <w:pStyle w:val="Header"/>
    </w:pPr>
    <w:r>
      <w:rPr>
        <w:noProof/>
        <w:lang w:eastAsia="en-AU"/>
      </w:rPr>
      <w:drawing>
        <wp:anchor distT="0" distB="0" distL="114300" distR="114300" simplePos="0" relativeHeight="251657216" behindDoc="1" locked="0" layoutInCell="1" allowOverlap="1" wp14:anchorId="46D321AA" wp14:editId="2FA4412A">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29037E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13E96"/>
    <w:multiLevelType w:val="hybridMultilevel"/>
    <w:tmpl w:val="86C24A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F0ABB"/>
    <w:multiLevelType w:val="hybridMultilevel"/>
    <w:tmpl w:val="1D12A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E6B8D6A6"/>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706FD1"/>
    <w:multiLevelType w:val="hybridMultilevel"/>
    <w:tmpl w:val="FA16C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847154"/>
    <w:multiLevelType w:val="hybridMultilevel"/>
    <w:tmpl w:val="471669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DB221C"/>
    <w:multiLevelType w:val="hybridMultilevel"/>
    <w:tmpl w:val="5658BDFC"/>
    <w:lvl w:ilvl="0" w:tplc="0C090001">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F1ACE64E">
      <w:numFmt w:val="bullet"/>
      <w:lvlText w:val="-"/>
      <w:lvlJc w:val="left"/>
      <w:pPr>
        <w:ind w:left="1800" w:hanging="360"/>
      </w:pPr>
      <w:rPr>
        <w:rFonts w:ascii="Times New Roman" w:eastAsia="Times New Roman" w:hAnsi="Times New Roman" w:cs="Times New Roman"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04D1350"/>
    <w:multiLevelType w:val="hybridMultilevel"/>
    <w:tmpl w:val="3D5C4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74533F"/>
    <w:multiLevelType w:val="hybridMultilevel"/>
    <w:tmpl w:val="86C24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9A41B3"/>
    <w:multiLevelType w:val="hybridMultilevel"/>
    <w:tmpl w:val="0BA62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40779AF"/>
    <w:multiLevelType w:val="hybridMultilevel"/>
    <w:tmpl w:val="1F0C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B1DFD"/>
    <w:multiLevelType w:val="hybridMultilevel"/>
    <w:tmpl w:val="61C65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0548CC"/>
    <w:multiLevelType w:val="hybridMultilevel"/>
    <w:tmpl w:val="E0B2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5921F2"/>
    <w:multiLevelType w:val="hybridMultilevel"/>
    <w:tmpl w:val="0F2C4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63627"/>
    <w:multiLevelType w:val="hybridMultilevel"/>
    <w:tmpl w:val="62945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D35103"/>
    <w:multiLevelType w:val="hybridMultilevel"/>
    <w:tmpl w:val="1D4C7422"/>
    <w:lvl w:ilvl="0" w:tplc="282A2F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9964FF"/>
    <w:multiLevelType w:val="hybridMultilevel"/>
    <w:tmpl w:val="90800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65760C"/>
    <w:multiLevelType w:val="hybridMultilevel"/>
    <w:tmpl w:val="70BAF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B63DBE"/>
    <w:multiLevelType w:val="hybridMultilevel"/>
    <w:tmpl w:val="A650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754598"/>
    <w:multiLevelType w:val="hybridMultilevel"/>
    <w:tmpl w:val="4ED0F6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F95A8B"/>
    <w:multiLevelType w:val="hybridMultilevel"/>
    <w:tmpl w:val="1D4C7422"/>
    <w:lvl w:ilvl="0" w:tplc="282A2F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CC61E7"/>
    <w:multiLevelType w:val="multilevel"/>
    <w:tmpl w:val="4228804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0439921">
    <w:abstractNumId w:val="7"/>
  </w:num>
  <w:num w:numId="2" w16cid:durableId="299238542">
    <w:abstractNumId w:val="24"/>
  </w:num>
  <w:num w:numId="3" w16cid:durableId="571278518">
    <w:abstractNumId w:val="33"/>
  </w:num>
  <w:num w:numId="4" w16cid:durableId="1087461748">
    <w:abstractNumId w:val="9"/>
  </w:num>
  <w:num w:numId="5" w16cid:durableId="726341992">
    <w:abstractNumId w:val="9"/>
    <w:lvlOverride w:ilvl="0">
      <w:startOverride w:val="1"/>
    </w:lvlOverride>
  </w:num>
  <w:num w:numId="6" w16cid:durableId="1461337174">
    <w:abstractNumId w:val="10"/>
  </w:num>
  <w:num w:numId="7" w16cid:durableId="791366275">
    <w:abstractNumId w:val="21"/>
  </w:num>
  <w:num w:numId="8" w16cid:durableId="526606524">
    <w:abstractNumId w:val="32"/>
  </w:num>
  <w:num w:numId="9" w16cid:durableId="2004502457">
    <w:abstractNumId w:val="5"/>
  </w:num>
  <w:num w:numId="10" w16cid:durableId="2046245956">
    <w:abstractNumId w:val="4"/>
  </w:num>
  <w:num w:numId="11" w16cid:durableId="74715766">
    <w:abstractNumId w:val="3"/>
  </w:num>
  <w:num w:numId="12" w16cid:durableId="1510948223">
    <w:abstractNumId w:val="2"/>
  </w:num>
  <w:num w:numId="13" w16cid:durableId="1446542528">
    <w:abstractNumId w:val="6"/>
  </w:num>
  <w:num w:numId="14" w16cid:durableId="1774399010">
    <w:abstractNumId w:val="1"/>
  </w:num>
  <w:num w:numId="15" w16cid:durableId="252738864">
    <w:abstractNumId w:val="0"/>
  </w:num>
  <w:num w:numId="16" w16cid:durableId="2042121707">
    <w:abstractNumId w:val="37"/>
  </w:num>
  <w:num w:numId="17" w16cid:durableId="1984312394">
    <w:abstractNumId w:val="12"/>
  </w:num>
  <w:num w:numId="18" w16cid:durableId="1524855032">
    <w:abstractNumId w:val="14"/>
  </w:num>
  <w:num w:numId="19" w16cid:durableId="41683009">
    <w:abstractNumId w:val="17"/>
  </w:num>
  <w:num w:numId="20" w16cid:durableId="411699745">
    <w:abstractNumId w:val="12"/>
  </w:num>
  <w:num w:numId="21" w16cid:durableId="1468621855">
    <w:abstractNumId w:val="8"/>
  </w:num>
  <w:num w:numId="22" w16cid:durableId="782773700">
    <w:abstractNumId w:val="23"/>
  </w:num>
  <w:num w:numId="23" w16cid:durableId="338504159">
    <w:abstractNumId w:val="28"/>
  </w:num>
  <w:num w:numId="24" w16cid:durableId="1007825748">
    <w:abstractNumId w:val="25"/>
  </w:num>
  <w:num w:numId="25" w16cid:durableId="348142308">
    <w:abstractNumId w:val="19"/>
  </w:num>
  <w:num w:numId="26" w16cid:durableId="888540572">
    <w:abstractNumId w:val="35"/>
  </w:num>
  <w:num w:numId="27" w16cid:durableId="1054744015">
    <w:abstractNumId w:val="29"/>
  </w:num>
  <w:num w:numId="28" w16cid:durableId="2100369442">
    <w:abstractNumId w:val="22"/>
  </w:num>
  <w:num w:numId="29" w16cid:durableId="166672020">
    <w:abstractNumId w:val="34"/>
  </w:num>
  <w:num w:numId="30" w16cid:durableId="849370399">
    <w:abstractNumId w:val="13"/>
  </w:num>
  <w:num w:numId="31" w16cid:durableId="440300971">
    <w:abstractNumId w:val="15"/>
  </w:num>
  <w:num w:numId="32" w16cid:durableId="1156528376">
    <w:abstractNumId w:val="27"/>
  </w:num>
  <w:num w:numId="33" w16cid:durableId="1596472295">
    <w:abstractNumId w:val="20"/>
  </w:num>
  <w:num w:numId="34" w16cid:durableId="159122919">
    <w:abstractNumId w:val="26"/>
  </w:num>
  <w:num w:numId="35" w16cid:durableId="2056617152">
    <w:abstractNumId w:val="16"/>
  </w:num>
  <w:num w:numId="36" w16cid:durableId="435753549">
    <w:abstractNumId w:val="18"/>
  </w:num>
  <w:num w:numId="37" w16cid:durableId="1368531039">
    <w:abstractNumId w:val="30"/>
  </w:num>
  <w:num w:numId="38" w16cid:durableId="290940217">
    <w:abstractNumId w:val="11"/>
  </w:num>
  <w:num w:numId="39" w16cid:durableId="860124850">
    <w:abstractNumId w:val="31"/>
  </w:num>
  <w:num w:numId="40" w16cid:durableId="2107457855">
    <w:abstractNumId w:val="12"/>
  </w:num>
  <w:num w:numId="41" w16cid:durableId="1308129244">
    <w:abstractNumId w:val="6"/>
  </w:num>
  <w:num w:numId="42" w16cid:durableId="10033624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1C08"/>
    <w:rsid w:val="00003743"/>
    <w:rsid w:val="000047B4"/>
    <w:rsid w:val="00005712"/>
    <w:rsid w:val="00007FD8"/>
    <w:rsid w:val="00011140"/>
    <w:rsid w:val="000117F8"/>
    <w:rsid w:val="00026139"/>
    <w:rsid w:val="000261EE"/>
    <w:rsid w:val="00027071"/>
    <w:rsid w:val="00027601"/>
    <w:rsid w:val="00033321"/>
    <w:rsid w:val="000338E5"/>
    <w:rsid w:val="00033ECC"/>
    <w:rsid w:val="0003422F"/>
    <w:rsid w:val="00046FF0"/>
    <w:rsid w:val="00050176"/>
    <w:rsid w:val="00062B65"/>
    <w:rsid w:val="00067456"/>
    <w:rsid w:val="00071506"/>
    <w:rsid w:val="0007154F"/>
    <w:rsid w:val="000757E2"/>
    <w:rsid w:val="00076AA4"/>
    <w:rsid w:val="00081AB1"/>
    <w:rsid w:val="0008242D"/>
    <w:rsid w:val="00090316"/>
    <w:rsid w:val="00093981"/>
    <w:rsid w:val="00093CD9"/>
    <w:rsid w:val="000A2BE4"/>
    <w:rsid w:val="000B067A"/>
    <w:rsid w:val="000B1540"/>
    <w:rsid w:val="000B33FD"/>
    <w:rsid w:val="000B4ABA"/>
    <w:rsid w:val="000C4B16"/>
    <w:rsid w:val="000C50C3"/>
    <w:rsid w:val="000D21F6"/>
    <w:rsid w:val="000D42C3"/>
    <w:rsid w:val="000D4500"/>
    <w:rsid w:val="000D7774"/>
    <w:rsid w:val="000D7AEA"/>
    <w:rsid w:val="000E01A9"/>
    <w:rsid w:val="000E2C66"/>
    <w:rsid w:val="000E6E7D"/>
    <w:rsid w:val="000F123C"/>
    <w:rsid w:val="000F2FED"/>
    <w:rsid w:val="0010616D"/>
    <w:rsid w:val="00110478"/>
    <w:rsid w:val="0011157F"/>
    <w:rsid w:val="0011711B"/>
    <w:rsid w:val="00117F8A"/>
    <w:rsid w:val="00121B9B"/>
    <w:rsid w:val="00122ADC"/>
    <w:rsid w:val="00130F59"/>
    <w:rsid w:val="00133EC0"/>
    <w:rsid w:val="00141CE5"/>
    <w:rsid w:val="00144908"/>
    <w:rsid w:val="0014621B"/>
    <w:rsid w:val="001571C7"/>
    <w:rsid w:val="00161094"/>
    <w:rsid w:val="0016147D"/>
    <w:rsid w:val="00172A55"/>
    <w:rsid w:val="001758CD"/>
    <w:rsid w:val="001760FF"/>
    <w:rsid w:val="0017665C"/>
    <w:rsid w:val="00177AD2"/>
    <w:rsid w:val="001815A8"/>
    <w:rsid w:val="001840FA"/>
    <w:rsid w:val="00190079"/>
    <w:rsid w:val="00191563"/>
    <w:rsid w:val="001933CC"/>
    <w:rsid w:val="0019622E"/>
    <w:rsid w:val="001966A7"/>
    <w:rsid w:val="00197815"/>
    <w:rsid w:val="001A4627"/>
    <w:rsid w:val="001A4979"/>
    <w:rsid w:val="001A7787"/>
    <w:rsid w:val="001B15D3"/>
    <w:rsid w:val="001B3443"/>
    <w:rsid w:val="001C0326"/>
    <w:rsid w:val="001C192F"/>
    <w:rsid w:val="001C3C42"/>
    <w:rsid w:val="001D4FFF"/>
    <w:rsid w:val="001D7869"/>
    <w:rsid w:val="001E1EFD"/>
    <w:rsid w:val="001F2F78"/>
    <w:rsid w:val="00200248"/>
    <w:rsid w:val="002026CD"/>
    <w:rsid w:val="002033FC"/>
    <w:rsid w:val="00203E90"/>
    <w:rsid w:val="002044BB"/>
    <w:rsid w:val="00205F0B"/>
    <w:rsid w:val="00210B09"/>
    <w:rsid w:val="00210C9E"/>
    <w:rsid w:val="00211840"/>
    <w:rsid w:val="0021401A"/>
    <w:rsid w:val="00220E5F"/>
    <w:rsid w:val="002212B5"/>
    <w:rsid w:val="00226668"/>
    <w:rsid w:val="00227275"/>
    <w:rsid w:val="00233809"/>
    <w:rsid w:val="00240046"/>
    <w:rsid w:val="00241EAE"/>
    <w:rsid w:val="0024797F"/>
    <w:rsid w:val="0025119E"/>
    <w:rsid w:val="00251269"/>
    <w:rsid w:val="002535C0"/>
    <w:rsid w:val="00255FD9"/>
    <w:rsid w:val="002565F7"/>
    <w:rsid w:val="002579FE"/>
    <w:rsid w:val="002600FC"/>
    <w:rsid w:val="0026311C"/>
    <w:rsid w:val="0026668C"/>
    <w:rsid w:val="00266AC1"/>
    <w:rsid w:val="0027178C"/>
    <w:rsid w:val="002719FA"/>
    <w:rsid w:val="00272668"/>
    <w:rsid w:val="0027330B"/>
    <w:rsid w:val="002751B3"/>
    <w:rsid w:val="002803AD"/>
    <w:rsid w:val="00282052"/>
    <w:rsid w:val="0028519E"/>
    <w:rsid w:val="002856A5"/>
    <w:rsid w:val="002872ED"/>
    <w:rsid w:val="002905C2"/>
    <w:rsid w:val="00295AF2"/>
    <w:rsid w:val="00295C91"/>
    <w:rsid w:val="00297151"/>
    <w:rsid w:val="002A171D"/>
    <w:rsid w:val="002B20E6"/>
    <w:rsid w:val="002B42A3"/>
    <w:rsid w:val="002C0CDD"/>
    <w:rsid w:val="002D7AD5"/>
    <w:rsid w:val="002E1A1D"/>
    <w:rsid w:val="002E4081"/>
    <w:rsid w:val="002E5B78"/>
    <w:rsid w:val="002F3AE3"/>
    <w:rsid w:val="0030464B"/>
    <w:rsid w:val="0030786C"/>
    <w:rsid w:val="003233DE"/>
    <w:rsid w:val="0032466B"/>
    <w:rsid w:val="003251E5"/>
    <w:rsid w:val="00327B44"/>
    <w:rsid w:val="003330EB"/>
    <w:rsid w:val="00336605"/>
    <w:rsid w:val="00340AC2"/>
    <w:rsid w:val="003415FD"/>
    <w:rsid w:val="003429F0"/>
    <w:rsid w:val="0035097A"/>
    <w:rsid w:val="003540A4"/>
    <w:rsid w:val="00360E4E"/>
    <w:rsid w:val="00370AAA"/>
    <w:rsid w:val="00371F70"/>
    <w:rsid w:val="00375F77"/>
    <w:rsid w:val="00377A78"/>
    <w:rsid w:val="00381BBE"/>
    <w:rsid w:val="00382903"/>
    <w:rsid w:val="003846FF"/>
    <w:rsid w:val="00385AD4"/>
    <w:rsid w:val="00387924"/>
    <w:rsid w:val="003916AA"/>
    <w:rsid w:val="0039384D"/>
    <w:rsid w:val="00395C23"/>
    <w:rsid w:val="003A2E4F"/>
    <w:rsid w:val="003A4438"/>
    <w:rsid w:val="003A5013"/>
    <w:rsid w:val="003A5078"/>
    <w:rsid w:val="003A62DD"/>
    <w:rsid w:val="003A775A"/>
    <w:rsid w:val="003B0DAB"/>
    <w:rsid w:val="003B11B2"/>
    <w:rsid w:val="003B213A"/>
    <w:rsid w:val="003B3A38"/>
    <w:rsid w:val="003B43AD"/>
    <w:rsid w:val="003B680F"/>
    <w:rsid w:val="003B707B"/>
    <w:rsid w:val="003C0FEC"/>
    <w:rsid w:val="003C15B8"/>
    <w:rsid w:val="003C2AC8"/>
    <w:rsid w:val="003D17F9"/>
    <w:rsid w:val="003D1C58"/>
    <w:rsid w:val="003D2D88"/>
    <w:rsid w:val="003D3349"/>
    <w:rsid w:val="003D418B"/>
    <w:rsid w:val="003D41EA"/>
    <w:rsid w:val="003D4850"/>
    <w:rsid w:val="003D535A"/>
    <w:rsid w:val="003E2CD8"/>
    <w:rsid w:val="003E5265"/>
    <w:rsid w:val="003F0955"/>
    <w:rsid w:val="003F0A3E"/>
    <w:rsid w:val="003F6FE1"/>
    <w:rsid w:val="00400F00"/>
    <w:rsid w:val="00404F8B"/>
    <w:rsid w:val="00405256"/>
    <w:rsid w:val="00410031"/>
    <w:rsid w:val="004115A2"/>
    <w:rsid w:val="00415C81"/>
    <w:rsid w:val="00416731"/>
    <w:rsid w:val="00432378"/>
    <w:rsid w:val="0043260C"/>
    <w:rsid w:val="00440D65"/>
    <w:rsid w:val="004435E6"/>
    <w:rsid w:val="00447E31"/>
    <w:rsid w:val="00453923"/>
    <w:rsid w:val="00454B9B"/>
    <w:rsid w:val="00457858"/>
    <w:rsid w:val="00460B0B"/>
    <w:rsid w:val="00461023"/>
    <w:rsid w:val="00462FAC"/>
    <w:rsid w:val="00464631"/>
    <w:rsid w:val="00464B79"/>
    <w:rsid w:val="00467BBF"/>
    <w:rsid w:val="00485328"/>
    <w:rsid w:val="004867E2"/>
    <w:rsid w:val="00491958"/>
    <w:rsid w:val="004929A9"/>
    <w:rsid w:val="004A66C0"/>
    <w:rsid w:val="004B5F73"/>
    <w:rsid w:val="004C2FEC"/>
    <w:rsid w:val="004C6BCF"/>
    <w:rsid w:val="004D58BF"/>
    <w:rsid w:val="004D72B5"/>
    <w:rsid w:val="004E2744"/>
    <w:rsid w:val="004E4335"/>
    <w:rsid w:val="004E5ACF"/>
    <w:rsid w:val="004E6FF8"/>
    <w:rsid w:val="004F13EE"/>
    <w:rsid w:val="004F2022"/>
    <w:rsid w:val="004F7C05"/>
    <w:rsid w:val="00501C94"/>
    <w:rsid w:val="00506432"/>
    <w:rsid w:val="0051242B"/>
    <w:rsid w:val="0052051D"/>
    <w:rsid w:val="00545EE6"/>
    <w:rsid w:val="00554B4E"/>
    <w:rsid w:val="005550E7"/>
    <w:rsid w:val="005564FB"/>
    <w:rsid w:val="005572C7"/>
    <w:rsid w:val="00560A10"/>
    <w:rsid w:val="005650ED"/>
    <w:rsid w:val="00575754"/>
    <w:rsid w:val="00591E20"/>
    <w:rsid w:val="00595408"/>
    <w:rsid w:val="00595E84"/>
    <w:rsid w:val="005A0C59"/>
    <w:rsid w:val="005A48EB"/>
    <w:rsid w:val="005A6CFB"/>
    <w:rsid w:val="005C5AEB"/>
    <w:rsid w:val="005E0A3F"/>
    <w:rsid w:val="005E6883"/>
    <w:rsid w:val="005E6DAC"/>
    <w:rsid w:val="005E772F"/>
    <w:rsid w:val="005F36D7"/>
    <w:rsid w:val="005F4ECA"/>
    <w:rsid w:val="006041BE"/>
    <w:rsid w:val="006043C7"/>
    <w:rsid w:val="00624B52"/>
    <w:rsid w:val="00631DF4"/>
    <w:rsid w:val="00633DD0"/>
    <w:rsid w:val="00634175"/>
    <w:rsid w:val="006408AC"/>
    <w:rsid w:val="006511B6"/>
    <w:rsid w:val="00652285"/>
    <w:rsid w:val="00652742"/>
    <w:rsid w:val="00657FF8"/>
    <w:rsid w:val="00670D99"/>
    <w:rsid w:val="00670E2B"/>
    <w:rsid w:val="006734BB"/>
    <w:rsid w:val="00681A34"/>
    <w:rsid w:val="006821EB"/>
    <w:rsid w:val="00684854"/>
    <w:rsid w:val="006A3D14"/>
    <w:rsid w:val="006B2286"/>
    <w:rsid w:val="006B3D77"/>
    <w:rsid w:val="006B56BB"/>
    <w:rsid w:val="006C77A8"/>
    <w:rsid w:val="006D4098"/>
    <w:rsid w:val="006D7681"/>
    <w:rsid w:val="006D7B2E"/>
    <w:rsid w:val="006E02EA"/>
    <w:rsid w:val="006E0968"/>
    <w:rsid w:val="006E2AF6"/>
    <w:rsid w:val="006E7540"/>
    <w:rsid w:val="006F657E"/>
    <w:rsid w:val="00701275"/>
    <w:rsid w:val="00707F56"/>
    <w:rsid w:val="00713558"/>
    <w:rsid w:val="0072040C"/>
    <w:rsid w:val="00720D08"/>
    <w:rsid w:val="00722E52"/>
    <w:rsid w:val="007263B9"/>
    <w:rsid w:val="007334F8"/>
    <w:rsid w:val="007339CD"/>
    <w:rsid w:val="007359D8"/>
    <w:rsid w:val="007362D4"/>
    <w:rsid w:val="00741574"/>
    <w:rsid w:val="00743DEB"/>
    <w:rsid w:val="00751A23"/>
    <w:rsid w:val="00764E2D"/>
    <w:rsid w:val="0076672A"/>
    <w:rsid w:val="00775E45"/>
    <w:rsid w:val="00776E74"/>
    <w:rsid w:val="00785169"/>
    <w:rsid w:val="007954AB"/>
    <w:rsid w:val="007A14C5"/>
    <w:rsid w:val="007A3E38"/>
    <w:rsid w:val="007A4A10"/>
    <w:rsid w:val="007B02F5"/>
    <w:rsid w:val="007B1760"/>
    <w:rsid w:val="007C6D9C"/>
    <w:rsid w:val="007C7DDB"/>
    <w:rsid w:val="007D2CC7"/>
    <w:rsid w:val="007D673D"/>
    <w:rsid w:val="007E6AEF"/>
    <w:rsid w:val="007F2220"/>
    <w:rsid w:val="007F4624"/>
    <w:rsid w:val="007F4B3E"/>
    <w:rsid w:val="007F588A"/>
    <w:rsid w:val="00804611"/>
    <w:rsid w:val="008127AF"/>
    <w:rsid w:val="00812B46"/>
    <w:rsid w:val="00815700"/>
    <w:rsid w:val="00817B70"/>
    <w:rsid w:val="008264EB"/>
    <w:rsid w:val="00826B8F"/>
    <w:rsid w:val="00831E8A"/>
    <w:rsid w:val="00835631"/>
    <w:rsid w:val="00835C76"/>
    <w:rsid w:val="00843049"/>
    <w:rsid w:val="008462CC"/>
    <w:rsid w:val="0085209B"/>
    <w:rsid w:val="00856B66"/>
    <w:rsid w:val="008605AF"/>
    <w:rsid w:val="00861A5F"/>
    <w:rsid w:val="00862E7C"/>
    <w:rsid w:val="008644AD"/>
    <w:rsid w:val="00865735"/>
    <w:rsid w:val="00865DDB"/>
    <w:rsid w:val="00867538"/>
    <w:rsid w:val="00873D90"/>
    <w:rsid w:val="00873FC8"/>
    <w:rsid w:val="008755C8"/>
    <w:rsid w:val="008814B8"/>
    <w:rsid w:val="00884C63"/>
    <w:rsid w:val="00885908"/>
    <w:rsid w:val="008864B7"/>
    <w:rsid w:val="0089677E"/>
    <w:rsid w:val="00896E8C"/>
    <w:rsid w:val="00897BEB"/>
    <w:rsid w:val="008A7438"/>
    <w:rsid w:val="008B1334"/>
    <w:rsid w:val="008C0278"/>
    <w:rsid w:val="008C24E9"/>
    <w:rsid w:val="008D0533"/>
    <w:rsid w:val="008D42CB"/>
    <w:rsid w:val="008D48C9"/>
    <w:rsid w:val="008D5B79"/>
    <w:rsid w:val="008D6381"/>
    <w:rsid w:val="008E0C77"/>
    <w:rsid w:val="008E17BC"/>
    <w:rsid w:val="008E41F5"/>
    <w:rsid w:val="008E625F"/>
    <w:rsid w:val="008F264D"/>
    <w:rsid w:val="008F318F"/>
    <w:rsid w:val="009074E1"/>
    <w:rsid w:val="009112F7"/>
    <w:rsid w:val="009122AF"/>
    <w:rsid w:val="009127BC"/>
    <w:rsid w:val="00912D54"/>
    <w:rsid w:val="0091389F"/>
    <w:rsid w:val="00915B7F"/>
    <w:rsid w:val="009208F7"/>
    <w:rsid w:val="00922517"/>
    <w:rsid w:val="00922722"/>
    <w:rsid w:val="00923E14"/>
    <w:rsid w:val="009261E6"/>
    <w:rsid w:val="009268E1"/>
    <w:rsid w:val="00930BBE"/>
    <w:rsid w:val="009435A9"/>
    <w:rsid w:val="00945E7F"/>
    <w:rsid w:val="00953E9F"/>
    <w:rsid w:val="009557C1"/>
    <w:rsid w:val="00960D6E"/>
    <w:rsid w:val="00972BC1"/>
    <w:rsid w:val="00974B59"/>
    <w:rsid w:val="0098340B"/>
    <w:rsid w:val="00985BE0"/>
    <w:rsid w:val="00985EAF"/>
    <w:rsid w:val="00986830"/>
    <w:rsid w:val="009924C3"/>
    <w:rsid w:val="00993102"/>
    <w:rsid w:val="009C4A39"/>
    <w:rsid w:val="009C5D93"/>
    <w:rsid w:val="009C6F10"/>
    <w:rsid w:val="009D148F"/>
    <w:rsid w:val="009D2D19"/>
    <w:rsid w:val="009D3D70"/>
    <w:rsid w:val="009E6F7E"/>
    <w:rsid w:val="009E7A57"/>
    <w:rsid w:val="009F4F6A"/>
    <w:rsid w:val="00A01135"/>
    <w:rsid w:val="00A02ADA"/>
    <w:rsid w:val="00A04084"/>
    <w:rsid w:val="00A1210B"/>
    <w:rsid w:val="00A16E36"/>
    <w:rsid w:val="00A24961"/>
    <w:rsid w:val="00A24B10"/>
    <w:rsid w:val="00A30E9B"/>
    <w:rsid w:val="00A33F84"/>
    <w:rsid w:val="00A34235"/>
    <w:rsid w:val="00A40468"/>
    <w:rsid w:val="00A4510D"/>
    <w:rsid w:val="00A4512D"/>
    <w:rsid w:val="00A50244"/>
    <w:rsid w:val="00A56F17"/>
    <w:rsid w:val="00A627D7"/>
    <w:rsid w:val="00A656C7"/>
    <w:rsid w:val="00A705AF"/>
    <w:rsid w:val="00A72454"/>
    <w:rsid w:val="00A751E1"/>
    <w:rsid w:val="00A77696"/>
    <w:rsid w:val="00A80557"/>
    <w:rsid w:val="00A81D33"/>
    <w:rsid w:val="00A9143B"/>
    <w:rsid w:val="00A930AE"/>
    <w:rsid w:val="00A955F2"/>
    <w:rsid w:val="00AA1A95"/>
    <w:rsid w:val="00AA260F"/>
    <w:rsid w:val="00AA37BA"/>
    <w:rsid w:val="00AB1BB4"/>
    <w:rsid w:val="00AB1EE7"/>
    <w:rsid w:val="00AB4B37"/>
    <w:rsid w:val="00AB5762"/>
    <w:rsid w:val="00AC2679"/>
    <w:rsid w:val="00AC2A04"/>
    <w:rsid w:val="00AC4BE4"/>
    <w:rsid w:val="00AC6BF9"/>
    <w:rsid w:val="00AD05E6"/>
    <w:rsid w:val="00AD0D3F"/>
    <w:rsid w:val="00AD39C8"/>
    <w:rsid w:val="00AD6E9D"/>
    <w:rsid w:val="00AE1D7D"/>
    <w:rsid w:val="00AE2A8B"/>
    <w:rsid w:val="00AE3F64"/>
    <w:rsid w:val="00AF1E5F"/>
    <w:rsid w:val="00AF5479"/>
    <w:rsid w:val="00AF7386"/>
    <w:rsid w:val="00AF7934"/>
    <w:rsid w:val="00B00B81"/>
    <w:rsid w:val="00B034F1"/>
    <w:rsid w:val="00B04580"/>
    <w:rsid w:val="00B04B09"/>
    <w:rsid w:val="00B16A51"/>
    <w:rsid w:val="00B22C27"/>
    <w:rsid w:val="00B25440"/>
    <w:rsid w:val="00B32222"/>
    <w:rsid w:val="00B3618D"/>
    <w:rsid w:val="00B36233"/>
    <w:rsid w:val="00B414FE"/>
    <w:rsid w:val="00B42851"/>
    <w:rsid w:val="00B45AC7"/>
    <w:rsid w:val="00B5372F"/>
    <w:rsid w:val="00B61129"/>
    <w:rsid w:val="00B67E7F"/>
    <w:rsid w:val="00B75A04"/>
    <w:rsid w:val="00B839B2"/>
    <w:rsid w:val="00B8619A"/>
    <w:rsid w:val="00B94252"/>
    <w:rsid w:val="00B9715A"/>
    <w:rsid w:val="00BA14BE"/>
    <w:rsid w:val="00BA2732"/>
    <w:rsid w:val="00BA293D"/>
    <w:rsid w:val="00BA3049"/>
    <w:rsid w:val="00BA49BC"/>
    <w:rsid w:val="00BA56B7"/>
    <w:rsid w:val="00BA7A1E"/>
    <w:rsid w:val="00BA7CA9"/>
    <w:rsid w:val="00BB2F6C"/>
    <w:rsid w:val="00BB37B1"/>
    <w:rsid w:val="00BB3875"/>
    <w:rsid w:val="00BB5860"/>
    <w:rsid w:val="00BB6AAD"/>
    <w:rsid w:val="00BC4A19"/>
    <w:rsid w:val="00BC4E6D"/>
    <w:rsid w:val="00BD0617"/>
    <w:rsid w:val="00BD2E9B"/>
    <w:rsid w:val="00BD6AA3"/>
    <w:rsid w:val="00BE65C0"/>
    <w:rsid w:val="00BE7C18"/>
    <w:rsid w:val="00BF5634"/>
    <w:rsid w:val="00C00930"/>
    <w:rsid w:val="00C060AD"/>
    <w:rsid w:val="00C0670D"/>
    <w:rsid w:val="00C113BF"/>
    <w:rsid w:val="00C13D8D"/>
    <w:rsid w:val="00C205B1"/>
    <w:rsid w:val="00C2176E"/>
    <w:rsid w:val="00C23430"/>
    <w:rsid w:val="00C27D67"/>
    <w:rsid w:val="00C302AF"/>
    <w:rsid w:val="00C4631F"/>
    <w:rsid w:val="00C50E16"/>
    <w:rsid w:val="00C53C45"/>
    <w:rsid w:val="00C55258"/>
    <w:rsid w:val="00C609B3"/>
    <w:rsid w:val="00C60AB5"/>
    <w:rsid w:val="00C82EEB"/>
    <w:rsid w:val="00C85C34"/>
    <w:rsid w:val="00C971DC"/>
    <w:rsid w:val="00CA04EB"/>
    <w:rsid w:val="00CA16B7"/>
    <w:rsid w:val="00CA4BE3"/>
    <w:rsid w:val="00CA62AE"/>
    <w:rsid w:val="00CB5B1A"/>
    <w:rsid w:val="00CC220B"/>
    <w:rsid w:val="00CC5C43"/>
    <w:rsid w:val="00CD02AE"/>
    <w:rsid w:val="00CD2A4F"/>
    <w:rsid w:val="00CE03CA"/>
    <w:rsid w:val="00CE22F1"/>
    <w:rsid w:val="00CE50F2"/>
    <w:rsid w:val="00CE6502"/>
    <w:rsid w:val="00CF7D3C"/>
    <w:rsid w:val="00D147EB"/>
    <w:rsid w:val="00D15D29"/>
    <w:rsid w:val="00D228BF"/>
    <w:rsid w:val="00D34667"/>
    <w:rsid w:val="00D401E1"/>
    <w:rsid w:val="00D408B4"/>
    <w:rsid w:val="00D45D94"/>
    <w:rsid w:val="00D501E8"/>
    <w:rsid w:val="00D524C8"/>
    <w:rsid w:val="00D60E25"/>
    <w:rsid w:val="00D70E24"/>
    <w:rsid w:val="00D72B61"/>
    <w:rsid w:val="00D735B3"/>
    <w:rsid w:val="00D77419"/>
    <w:rsid w:val="00DA3D1D"/>
    <w:rsid w:val="00DA4AA5"/>
    <w:rsid w:val="00DB0138"/>
    <w:rsid w:val="00DB6286"/>
    <w:rsid w:val="00DB645F"/>
    <w:rsid w:val="00DB76E9"/>
    <w:rsid w:val="00DC0A67"/>
    <w:rsid w:val="00DC1D5E"/>
    <w:rsid w:val="00DC2313"/>
    <w:rsid w:val="00DC5220"/>
    <w:rsid w:val="00DC7910"/>
    <w:rsid w:val="00DC7E5D"/>
    <w:rsid w:val="00DD2061"/>
    <w:rsid w:val="00DD7DAB"/>
    <w:rsid w:val="00DE3355"/>
    <w:rsid w:val="00DF38A8"/>
    <w:rsid w:val="00DF486F"/>
    <w:rsid w:val="00DF5B5B"/>
    <w:rsid w:val="00DF7619"/>
    <w:rsid w:val="00E01AE0"/>
    <w:rsid w:val="00E0301E"/>
    <w:rsid w:val="00E042D8"/>
    <w:rsid w:val="00E06D57"/>
    <w:rsid w:val="00E07EE7"/>
    <w:rsid w:val="00E1103B"/>
    <w:rsid w:val="00E16C77"/>
    <w:rsid w:val="00E173EF"/>
    <w:rsid w:val="00E17B44"/>
    <w:rsid w:val="00E218A0"/>
    <w:rsid w:val="00E27AE8"/>
    <w:rsid w:val="00E27FEA"/>
    <w:rsid w:val="00E32EE3"/>
    <w:rsid w:val="00E36525"/>
    <w:rsid w:val="00E36C9F"/>
    <w:rsid w:val="00E4086F"/>
    <w:rsid w:val="00E43B3C"/>
    <w:rsid w:val="00E50188"/>
    <w:rsid w:val="00E515CB"/>
    <w:rsid w:val="00E52260"/>
    <w:rsid w:val="00E539FF"/>
    <w:rsid w:val="00E639B6"/>
    <w:rsid w:val="00E6434B"/>
    <w:rsid w:val="00E6463D"/>
    <w:rsid w:val="00E65C53"/>
    <w:rsid w:val="00E72E9B"/>
    <w:rsid w:val="00E849DA"/>
    <w:rsid w:val="00E92346"/>
    <w:rsid w:val="00E9462E"/>
    <w:rsid w:val="00EA470E"/>
    <w:rsid w:val="00EA47A7"/>
    <w:rsid w:val="00EA57EB"/>
    <w:rsid w:val="00EA6018"/>
    <w:rsid w:val="00EA6886"/>
    <w:rsid w:val="00EB1E8F"/>
    <w:rsid w:val="00EB3226"/>
    <w:rsid w:val="00EC213A"/>
    <w:rsid w:val="00EC6603"/>
    <w:rsid w:val="00EC7744"/>
    <w:rsid w:val="00ED0DAD"/>
    <w:rsid w:val="00ED0F46"/>
    <w:rsid w:val="00ED2373"/>
    <w:rsid w:val="00EE3E8A"/>
    <w:rsid w:val="00EF10BD"/>
    <w:rsid w:val="00EF4109"/>
    <w:rsid w:val="00EF5EA7"/>
    <w:rsid w:val="00EF6ECA"/>
    <w:rsid w:val="00F024E1"/>
    <w:rsid w:val="00F036C9"/>
    <w:rsid w:val="00F06C10"/>
    <w:rsid w:val="00F1096F"/>
    <w:rsid w:val="00F10D0A"/>
    <w:rsid w:val="00F12589"/>
    <w:rsid w:val="00F12595"/>
    <w:rsid w:val="00F134D9"/>
    <w:rsid w:val="00F1403D"/>
    <w:rsid w:val="00F1463F"/>
    <w:rsid w:val="00F21302"/>
    <w:rsid w:val="00F321DE"/>
    <w:rsid w:val="00F33777"/>
    <w:rsid w:val="00F33DE0"/>
    <w:rsid w:val="00F40648"/>
    <w:rsid w:val="00F42970"/>
    <w:rsid w:val="00F47DA2"/>
    <w:rsid w:val="00F519FC"/>
    <w:rsid w:val="00F6239D"/>
    <w:rsid w:val="00F62F34"/>
    <w:rsid w:val="00F6385B"/>
    <w:rsid w:val="00F672AC"/>
    <w:rsid w:val="00F67F32"/>
    <w:rsid w:val="00F715D2"/>
    <w:rsid w:val="00F7274F"/>
    <w:rsid w:val="00F76FA8"/>
    <w:rsid w:val="00F830F9"/>
    <w:rsid w:val="00F84948"/>
    <w:rsid w:val="00F93F08"/>
    <w:rsid w:val="00F94CED"/>
    <w:rsid w:val="00FA2CEE"/>
    <w:rsid w:val="00FA318C"/>
    <w:rsid w:val="00FA5A85"/>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85EAF"/>
    <w:pPr>
      <w:spacing w:before="120" w:after="120"/>
    </w:pPr>
    <w:rPr>
      <w:rFonts w:ascii="Arial" w:hAnsi="Arial"/>
      <w:sz w:val="22"/>
      <w:szCs w:val="24"/>
      <w:lang w:eastAsia="en-US"/>
    </w:rPr>
  </w:style>
  <w:style w:type="paragraph" w:styleId="Heading1">
    <w:name w:val="heading 1"/>
    <w:basedOn w:val="Normal"/>
    <w:next w:val="Normal"/>
    <w:qFormat/>
    <w:rsid w:val="00F33DE0"/>
    <w:pPr>
      <w:keepNext/>
      <w:numPr>
        <w:numId w:val="42"/>
      </w:numPr>
      <w:spacing w:before="240" w:after="60"/>
      <w:ind w:left="567" w:hanging="567"/>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basedOn w:val="Heading2"/>
    <w:next w:val="Normal"/>
    <w:qFormat/>
    <w:rsid w:val="006B3D77"/>
    <w:pPr>
      <w:spacing w:before="180"/>
      <w:outlineLvl w:val="2"/>
    </w:pPr>
    <w:rPr>
      <w:b/>
      <w:bCs w:val="0"/>
      <w:color w:val="auto"/>
      <w:sz w:val="24"/>
      <w:szCs w:val="26"/>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TOC3">
    <w:name w:val="toc 3"/>
    <w:basedOn w:val="Normal"/>
    <w:next w:val="Normal"/>
    <w:autoRedefine/>
    <w:uiPriority w:val="39"/>
    <w:unhideWhenUsed/>
    <w:rsid w:val="00F33DE0"/>
    <w:pPr>
      <w:spacing w:after="100"/>
      <w:ind w:left="440"/>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F33DE0"/>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tblStylePr w:type="firstCol">
      <w:rPr>
        <w:rFonts w:ascii="Arial" w:hAnsi="Arial"/>
        <w:b/>
        <w:sz w:val="22"/>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link w:val="Style1Char"/>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UnresolvedMention">
    <w:name w:val="Unresolved Mention"/>
    <w:basedOn w:val="DefaultParagraphFont"/>
    <w:uiPriority w:val="99"/>
    <w:semiHidden/>
    <w:unhideWhenUsed/>
    <w:rsid w:val="006B3D77"/>
    <w:rPr>
      <w:color w:val="605E5C"/>
      <w:shd w:val="clear" w:color="auto" w:fill="E1DFDD"/>
    </w:rPr>
  </w:style>
  <w:style w:type="character" w:styleId="CommentReference">
    <w:name w:val="annotation reference"/>
    <w:uiPriority w:val="99"/>
    <w:rsid w:val="004D72B5"/>
    <w:rPr>
      <w:sz w:val="16"/>
      <w:szCs w:val="16"/>
    </w:rPr>
  </w:style>
  <w:style w:type="paragraph" w:styleId="CommentText">
    <w:name w:val="annotation text"/>
    <w:basedOn w:val="Normal"/>
    <w:link w:val="CommentTextChar"/>
    <w:rsid w:val="004D72B5"/>
    <w:pPr>
      <w:spacing w:after="200" w:line="276" w:lineRule="auto"/>
    </w:pPr>
    <w:rPr>
      <w:rFonts w:asciiTheme="minorHAnsi" w:eastAsiaTheme="minorEastAsia" w:hAnsiTheme="minorHAnsi" w:cstheme="minorBidi"/>
      <w:sz w:val="20"/>
      <w:szCs w:val="20"/>
      <w:lang w:eastAsia="en-AU"/>
    </w:rPr>
  </w:style>
  <w:style w:type="character" w:customStyle="1" w:styleId="CommentTextChar">
    <w:name w:val="Comment Text Char"/>
    <w:basedOn w:val="DefaultParagraphFont"/>
    <w:link w:val="CommentText"/>
    <w:rsid w:val="004D72B5"/>
    <w:rPr>
      <w:rFonts w:asciiTheme="minorHAnsi" w:eastAsiaTheme="minorEastAsia" w:hAnsiTheme="minorHAnsi" w:cstheme="minorBidi"/>
    </w:rPr>
  </w:style>
  <w:style w:type="paragraph" w:styleId="TOCHeading">
    <w:name w:val="TOC Heading"/>
    <w:next w:val="Normal"/>
    <w:uiPriority w:val="39"/>
    <w:unhideWhenUsed/>
    <w:qFormat/>
    <w:rsid w:val="00F33DE0"/>
    <w:pPr>
      <w:keepLines/>
      <w:spacing w:line="259" w:lineRule="auto"/>
    </w:pPr>
    <w:rPr>
      <w:rFonts w:ascii="Arial" w:eastAsiaTheme="majorEastAsia" w:hAnsi="Arial" w:cstheme="majorBidi"/>
      <w:color w:val="2F3757" w:themeColor="accent1" w:themeShade="BF"/>
      <w:sz w:val="32"/>
      <w:szCs w:val="32"/>
      <w:lang w:val="en-US" w:eastAsia="en-US"/>
    </w:rPr>
  </w:style>
  <w:style w:type="paragraph" w:styleId="TOC1">
    <w:name w:val="toc 1"/>
    <w:basedOn w:val="Normal"/>
    <w:next w:val="Normal"/>
    <w:autoRedefine/>
    <w:uiPriority w:val="39"/>
    <w:unhideWhenUsed/>
    <w:rsid w:val="003B11B2"/>
    <w:pPr>
      <w:spacing w:after="100"/>
    </w:pPr>
  </w:style>
  <w:style w:type="paragraph" w:styleId="TOC2">
    <w:name w:val="toc 2"/>
    <w:basedOn w:val="Normal"/>
    <w:next w:val="Normal"/>
    <w:autoRedefine/>
    <w:uiPriority w:val="39"/>
    <w:unhideWhenUsed/>
    <w:rsid w:val="003B11B2"/>
    <w:pPr>
      <w:spacing w:after="100"/>
      <w:ind w:left="220"/>
    </w:pPr>
  </w:style>
  <w:style w:type="character" w:customStyle="1" w:styleId="Style1Char">
    <w:name w:val="Style1 Char"/>
    <w:basedOn w:val="DefaultParagraphFont"/>
    <w:link w:val="Style1"/>
    <w:rsid w:val="00C205B1"/>
    <w:rPr>
      <w:rFonts w:ascii="Arial" w:hAnsi="Arial" w:cs="Arial"/>
      <w:color w:val="000000" w:themeColor="text1"/>
      <w:sz w:val="21"/>
      <w:szCs w:val="24"/>
      <w:lang w:val="en" w:eastAsia="en-US"/>
    </w:rPr>
  </w:style>
  <w:style w:type="paragraph" w:styleId="CommentSubject">
    <w:name w:val="annotation subject"/>
    <w:basedOn w:val="CommentText"/>
    <w:next w:val="CommentText"/>
    <w:link w:val="CommentSubjectChar"/>
    <w:semiHidden/>
    <w:unhideWhenUsed/>
    <w:rsid w:val="00DA4AA5"/>
    <w:pPr>
      <w:spacing w:after="0" w:line="240" w:lineRule="auto"/>
    </w:pPr>
    <w:rPr>
      <w:rFonts w:ascii="Arial" w:eastAsia="Times New Roman" w:hAnsi="Arial" w:cs="Times New Roman"/>
      <w:b/>
      <w:bCs/>
      <w:lang w:eastAsia="en-US"/>
    </w:rPr>
  </w:style>
  <w:style w:type="character" w:customStyle="1" w:styleId="CommentSubjectChar">
    <w:name w:val="Comment Subject Char"/>
    <w:basedOn w:val="CommentTextChar"/>
    <w:link w:val="CommentSubject"/>
    <w:semiHidden/>
    <w:rsid w:val="00DA4AA5"/>
    <w:rPr>
      <w:rFonts w:ascii="Arial" w:eastAsiaTheme="minorEastAsia" w:hAnsi="Arial" w:cstheme="minorBidi"/>
      <w:b/>
      <w:bCs/>
      <w:lang w:eastAsia="en-US"/>
    </w:rPr>
  </w:style>
  <w:style w:type="paragraph" w:styleId="Date">
    <w:name w:val="Date"/>
    <w:basedOn w:val="Normal"/>
    <w:next w:val="Normal"/>
    <w:link w:val="DateChar"/>
    <w:rsid w:val="00985EAF"/>
    <w:rPr>
      <w:b/>
    </w:rPr>
  </w:style>
  <w:style w:type="paragraph" w:styleId="Revision">
    <w:name w:val="Revision"/>
    <w:hidden/>
    <w:uiPriority w:val="99"/>
    <w:semiHidden/>
    <w:rsid w:val="00F672AC"/>
    <w:rPr>
      <w:rFonts w:ascii="Arial" w:hAnsi="Arial"/>
      <w:sz w:val="22"/>
      <w:szCs w:val="24"/>
      <w:lang w:eastAsia="en-US"/>
    </w:rPr>
  </w:style>
  <w:style w:type="paragraph" w:customStyle="1" w:styleId="xmsonormal">
    <w:name w:val="xmsonormal"/>
    <w:basedOn w:val="Normal"/>
    <w:rsid w:val="00F672AC"/>
    <w:rPr>
      <w:rFonts w:ascii="Calibri" w:eastAsiaTheme="minorHAnsi" w:hAnsi="Calibri" w:cs="Calibri"/>
      <w:sz w:val="20"/>
      <w:szCs w:val="20"/>
      <w:lang w:eastAsia="en-AU"/>
    </w:rPr>
  </w:style>
  <w:style w:type="paragraph" w:styleId="ListNumber">
    <w:name w:val="List Number"/>
    <w:basedOn w:val="Normal"/>
    <w:rsid w:val="00F33DE0"/>
    <w:pPr>
      <w:numPr>
        <w:numId w:val="41"/>
      </w:numPr>
      <w:contextualSpacing/>
    </w:pPr>
  </w:style>
  <w:style w:type="character" w:customStyle="1" w:styleId="DateChar">
    <w:name w:val="Date Char"/>
    <w:basedOn w:val="DefaultParagraphFont"/>
    <w:link w:val="Date"/>
    <w:rsid w:val="00985EAF"/>
    <w:rPr>
      <w:rFonts w:ascii="Arial" w:hAnsi="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0620353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51150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066">
          <w:marLeft w:val="0"/>
          <w:marRight w:val="0"/>
          <w:marTop w:val="0"/>
          <w:marBottom w:val="0"/>
          <w:divBdr>
            <w:top w:val="none" w:sz="0" w:space="0" w:color="auto"/>
            <w:left w:val="none" w:sz="0" w:space="0" w:color="auto"/>
            <w:bottom w:val="none" w:sz="0" w:space="0" w:color="auto"/>
            <w:right w:val="none" w:sz="0" w:space="0" w:color="auto"/>
          </w:divBdr>
          <w:divsChild>
            <w:div w:id="1515341965">
              <w:marLeft w:val="600"/>
              <w:marRight w:val="600"/>
              <w:marTop w:val="0"/>
              <w:marBottom w:val="0"/>
              <w:divBdr>
                <w:top w:val="none" w:sz="0" w:space="0" w:color="auto"/>
                <w:left w:val="none" w:sz="0" w:space="0" w:color="auto"/>
                <w:bottom w:val="none" w:sz="0" w:space="0" w:color="auto"/>
                <w:right w:val="none" w:sz="0" w:space="0" w:color="auto"/>
              </w:divBdr>
              <w:divsChild>
                <w:div w:id="20085127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5811781">
          <w:marLeft w:val="0"/>
          <w:marRight w:val="0"/>
          <w:marTop w:val="0"/>
          <w:marBottom w:val="0"/>
          <w:divBdr>
            <w:top w:val="none" w:sz="0" w:space="0" w:color="auto"/>
            <w:left w:val="none" w:sz="0" w:space="0" w:color="auto"/>
            <w:bottom w:val="none" w:sz="0" w:space="0" w:color="auto"/>
            <w:right w:val="none" w:sz="0" w:space="0" w:color="auto"/>
          </w:divBdr>
          <w:divsChild>
            <w:div w:id="104661779">
              <w:marLeft w:val="600"/>
              <w:marRight w:val="600"/>
              <w:marTop w:val="0"/>
              <w:marBottom w:val="0"/>
              <w:divBdr>
                <w:top w:val="none" w:sz="0" w:space="0" w:color="auto"/>
                <w:left w:val="none" w:sz="0" w:space="0" w:color="auto"/>
                <w:bottom w:val="none" w:sz="0" w:space="0" w:color="auto"/>
                <w:right w:val="none" w:sz="0" w:space="0" w:color="auto"/>
              </w:divBdr>
              <w:divsChild>
                <w:div w:id="382402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640B23EB-32CF-4398-B4F2-E241692A4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6462E-DFAC-4C2F-9CC1-43DDD5F88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3235</Words>
  <Characters>18734</Characters>
  <Application>Microsoft Office Word</Application>
  <DocSecurity>0</DocSecurity>
  <Lines>382</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Procedural Grants Program guidelines</dc:title>
  <dc:subject>Health workforce</dc:subject>
  <dc:creator>Australian Government Department of Health and Aged Care</dc:creator>
  <cp:lastModifiedBy>Australian Government Department of Health and Aged </cp:lastModifiedBy>
  <cp:revision>5</cp:revision>
  <cp:lastPrinted>2020-12-16T21:51:00Z</cp:lastPrinted>
  <dcterms:created xsi:type="dcterms:W3CDTF">2024-05-06T04:38:00Z</dcterms:created>
  <dcterms:modified xsi:type="dcterms:W3CDTF">2024-05-06T04:42:00Z</dcterms:modified>
</cp:coreProperties>
</file>